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b w:val="1"/>
          <w:rtl w:val="0"/>
        </w:rPr>
        <w:t xml:space="preserve">William Edwards 2004219 </w:t>
      </w:r>
      <w:r w:rsidDel="00000000" w:rsidR="00000000" w:rsidRPr="00000000">
        <w:rPr>
          <w:rtl w:val="0"/>
        </w:rPr>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jc w:val="center"/>
        <w:rPr>
          <w:b w:val="1"/>
        </w:rPr>
      </w:pPr>
      <w:r w:rsidDel="00000000" w:rsidR="00000000" w:rsidRPr="00000000">
        <w:rPr>
          <w:b w:val="1"/>
          <w:rtl w:val="0"/>
        </w:rPr>
        <w:t xml:space="preserve">Discussion of Symbolic Communication in regards to its use within the Ancient Near East and Agean.</w:t>
      </w:r>
    </w:p>
    <w:p w:rsidR="00000000" w:rsidDel="00000000" w:rsidP="00000000" w:rsidRDefault="00000000" w:rsidRPr="00000000" w14:paraId="00000004">
      <w:pPr>
        <w:jc w:val="center"/>
        <w:rPr>
          <w:b w:val="1"/>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t xml:space="preserve">This essay’s focus will be on the use of artwork in representing significant cultural aspects of Ancient Near Eastern societies, a breakdown of the theory as well as an interrogation of the discipline through the use of examples of artwork delving far back into civilisation. This essay will not only focus upon a historical analysis within their specific contexts, but also take into account the psychological reasons behind how that symbolism has not been lost through the ages, and how artwork from humanity’s distant past can still affect us as perhaps it was intended to all those millenia ago. One motif I shall be exploring is the depiction of facial hair, in particular beards, as well as animalistic features that are incorporated into artworks; from statues to friezes and stelae. The focusing on these specific features is that they are ‘organic’ in nature in relation to the figure, in comparison to an object that the depicted peoples are carrying, they are features that typically have symbolic religious or social importance to the sculptor or the society they belonged to; they also tend to be the most popular choices of depictions of Near Eastern artwork in modern society, and their motifs are oft associated chiefly with sculpture from that part of the world. </w:t>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t xml:space="preserve">Before continuing, I would like to clarify that it is impossible for me to be wholly detached and unemotional when describing these objects and the motifs. Every human has an uncontrollable response to artwork, and while I shall attempt to limit my emotional engagement with the pieces of art, and stay focused upon the more clinical side of this discussion, it is wholly unnatural of me to fully separate my personal emotional responses to the artwork, and as such I shall attempt to ingratiate these ideas with the concepts explored by other academics. Imagery has always been an important part of how we represent ourselves or others: from modern concepts of flags identifying myriad and uncountable specific countries or cultures/subcultures, to more fluid expressions of emotions like graffiti, examples of which are ubiquitous from ash-submerged Pompeii to the liberated cities of Western Europe in the Second World War. It is also important to remember that some items can be the last vestiges of cultures, and while aspects of them may live on, the uniqueness of their cultural identity has largely been subsumed by time. </w:t>
      </w:r>
      <w:r w:rsidDel="00000000" w:rsidR="00000000" w:rsidRPr="00000000">
        <w:rPr>
          <w:rtl w:val="0"/>
        </w:rPr>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b w:val="1"/>
          <w:rtl w:val="0"/>
        </w:rPr>
        <w:t xml:space="preserve">Theory of Symbolic Communication</w:t>
      </w:r>
      <w:r w:rsidDel="00000000" w:rsidR="00000000" w:rsidRPr="00000000">
        <w:rPr>
          <w:rtl w:val="0"/>
        </w:rPr>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t xml:space="preserve">Artwork can be a concise and easily identifiable way of representing beliefs, we see this even today, with major religions being represented with symbology typically linked with an important event within their faith or borrowing the symbols of old empires. They tend to be distinctive and not overly complex, with a more modern trend in companies being minimalism in their iconography, so users can more easily identify products. Symbolism necessitates a degree of separation between a social concept and itself, symbolism being representative of a wider whole, Folke and Westley point to the double helix in the modern day when pictorial reference regarding genealogy, DNA and the study of genetics as a whole, while the art itself is grounded, it represents more than it may necessarily include (Westley, Folke 2018). Art and symbolism within that art can transfer information to the observer more efficiently than word of mouth, motifs within cultures stay because they represent something to that culture, something beyond the physical realm yet they lie within it. Whether it be wider cultural symbology that permeates throughout a region, or a specific art style that a culture adopts as its distinctive style that is isolated in its use, art appeals to all of us and its symbology can be interpreted a larger variety of ways. Writing itself has become an artwork, whether it be incorporated into a larger piece to truly get the message across to the audience, or in poetry and rhetoric used to move the hearts and minds of its listeners or readers. Chiefly this essay is focusing upon pictographic motifs within statues, friezes, and other 3-dimensional art pieces. </w:t>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t xml:space="preserve">It is hard to get across the importance of symbolism without delving into philosophy. Symbolic communication has, is, and will be used by artists of every form; as stated prior, symbols allow us to transfer information quicker than the written word, and while words and letters themselves are symbols, caricatures and non word based symbology tends to be ubiquitous throughout the Ancient Near East and further. An important part of symbology is the representation of humanity through artwork, chiefly how the individual artists and their respective cultures wish to be represented, and a prominent aspect of this is the significant amount of animal symbology within artwork. Whether these be models of animals themselves or pottery with animal motifs, the human fondness for the non-sapient creatures that surround us often becomes entangled with how we view ourselves and our place within this world as well as representing their importance to us; thus, I believe it is of importance to discuss the prevalence of animal motifs within Aegean and Ancient Near Eastern artwork.</w:t>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b w:val="1"/>
        </w:rPr>
      </w:pPr>
      <w:r w:rsidDel="00000000" w:rsidR="00000000" w:rsidRPr="00000000">
        <w:rPr>
          <w:b w:val="1"/>
          <w:rtl w:val="0"/>
        </w:rPr>
        <w:t xml:space="preserve">Psychological aspect.</w:t>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t xml:space="preserve">Psychology is an integral part of understanding art, an emotional and empathetic psychology is needed to help us understand and interrogate artwork from our distant past, and this requires a mixture of art theory as well as psychological principles (Tinio, Gartus 2018 p.319-342). There is a very intimate link between psychology and art, one that I feel is perhaps not explored frequently enough. Bornstein makes a good point, that art cannot always be expressed in words, that “...art must be experienced…” and that art triggers something deep down within us that makes it merely being described to us, as Bornstein puts it, “...wholly unsatisfying.” (Bornstein, 1984, p.2). When we observe art from our distant past, it not only intrigues us on an aesthetic level, it forms a connection between us and them, reminding us of how different our lives are, but how similar we truly are in nature; it, ironically, humanises ancient humans, it gives them an expression of emotion thousands of years after they have disappeared. </w:t>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t xml:space="preserve">That psychology may very well be explainable from a </w:t>
      </w:r>
      <w:r w:rsidDel="00000000" w:rsidR="00000000" w:rsidRPr="00000000">
        <w:rPr>
          <w:rtl w:val="0"/>
        </w:rPr>
        <w:t xml:space="preserve">biopsychological</w:t>
      </w:r>
      <w:r w:rsidDel="00000000" w:rsidR="00000000" w:rsidRPr="00000000">
        <w:rPr>
          <w:rtl w:val="0"/>
        </w:rPr>
        <w:t xml:space="preserve"> or social psychological standpoint, but I argue that to truly understand what is meant by those more clinical terms, one must observe the artwork itself (Tinio, Gartus 2018 p.319-342). Folke and Westley talk about how both art and psychology, as well as science as a wider concept, need each other to fully understand both (Westley, Folke 2018). The identification of motifs is an important part of deciphering artwork, but there is a far more emotional level that cannot always be identified by labelling aspects of the work; art has the uncanny ability to connect us through time with our ancestors, regardless of creed, culture or nationality. As stated prior, psychology plays an unmistakable part in how we in the modern day understand art, partly because it can help us understand why we like it, and through this we can appreciate art more; not only for its deliberate messages, but for its accidental ones, the subliminal languages that art speaks surreptitiously without conscious effort put into them.</w:t>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b w:val="1"/>
        </w:rPr>
      </w:pPr>
      <w:r w:rsidDel="00000000" w:rsidR="00000000" w:rsidRPr="00000000">
        <w:rPr>
          <w:b w:val="1"/>
          <w:rtl w:val="0"/>
        </w:rPr>
        <w:t xml:space="preserve">Analysis of archaeological examples. </w:t>
      </w:r>
    </w:p>
    <w:p w:rsidR="00000000" w:rsidDel="00000000" w:rsidP="00000000" w:rsidRDefault="00000000" w:rsidRPr="00000000" w14:paraId="00000017">
      <w:pPr>
        <w:rPr>
          <w:b w:val="1"/>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t xml:space="preserve">This section deals with the examples found throughout the Ancient Near East, examples will be drawn from: Sumerian, Assyrian, Hittite, Egyptian, Mesopotamian, Anatolian and Aegean cultures. Spreading of artistic ideas is oft interlinked with state actions or the migration of peoples, with the Aegean having a long history of intermingling with the different societies both around the Mediterranean and further East, with there being a “...long existent tradition of foreign influences and cultural exchanges.” between differing cultural groups around the Near East (Preziosi, Hitchcock 1999 p.193). Mass movements of people by direction of the state, such as the Greek and Phoenician expansion through the Mediterranean ensured both the spreading as well as the clashing/merging of cultures throughout the area. </w:t>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t xml:space="preserve">When one is asked to imagine the stereotypical male presenting statue from ancient Mesopotamia, the mind conjures the image of a figure with several prominent notable features: wide staring eyes, a woven skirt, and chief among them, a magnificent beard. It must be stated that not all male presenting statues are carved with beards, some are in fact clean shaven, often including their scalps; however, those who are equipped with beards, are come with long pleated/wavy/braided hair that is almost equal in length to their beards, which themselves often reach halfway down the upper torso. Grooming of one's hair was and still is a ritual most of us adhere to on a daily basis as societal beauty standards tend to shape how we wish to be viewed. When it comes to characterising the importance of beards, Winter phrases it most aptly, “Vitality is therefore conflated with manliness (for men), and is articulated visually by facial hair…” (Winter, 2009, p.87), Winter’s is saying that within art from within the culture of the Ancient Near East, beards have an allure of sexual maturity as well as a physical manifestation of power. The societal importance of beards is not limited to Mesopotamia; famously, in Egypt, the Pharaoh </w:t>
      </w:r>
      <w:r w:rsidDel="00000000" w:rsidR="00000000" w:rsidRPr="00000000">
        <w:rPr>
          <w:rtl w:val="0"/>
        </w:rPr>
        <w:t xml:space="preserve">or the</w:t>
      </w:r>
      <w:r w:rsidDel="00000000" w:rsidR="00000000" w:rsidRPr="00000000">
        <w:rPr>
          <w:rtl w:val="0"/>
        </w:rPr>
        <w:t xml:space="preserve"> gods were the only ones allowed to be depicted having a beard. Elsewhere, such as Anatolia, the Hittites were known for their statues of kings bearing beards and other facial hair, Haroutunian cites that this custom was most likely adopted from the Hurrians who introduced the motif “...to Asia Minor…from Mesopotamia through North Syria.” (Haroutunian, 2002, p.44). </w:t>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drawing>
          <wp:inline distB="114300" distT="114300" distL="114300" distR="114300">
            <wp:extent cx="3000375" cy="6962775"/>
            <wp:effectExtent b="0" l="0" r="0" t="0"/>
            <wp:docPr id="2" name="image4.png"/>
            <a:graphic>
              <a:graphicData uri="http://schemas.openxmlformats.org/drawingml/2006/picture">
                <pic:pic>
                  <pic:nvPicPr>
                    <pic:cNvPr id="0" name="image4.png"/>
                    <pic:cNvPicPr preferRelativeResize="0"/>
                  </pic:nvPicPr>
                  <pic:blipFill>
                    <a:blip r:embed="rId6"/>
                    <a:srcRect b="9942" l="22101" r="20833" t="6514"/>
                    <a:stretch>
                      <a:fillRect/>
                    </a:stretch>
                  </pic:blipFill>
                  <pic:spPr>
                    <a:xfrm>
                      <a:off x="0" y="0"/>
                      <a:ext cx="3000375" cy="6962775"/>
                    </a:xfrm>
                    <a:prstGeom prst="rect"/>
                    <a:ln/>
                  </pic:spPr>
                </pic:pic>
              </a:graphicData>
            </a:graphic>
          </wp:inline>
        </w:drawing>
      </w:r>
      <w:r w:rsidDel="00000000" w:rsidR="00000000" w:rsidRPr="00000000">
        <w:rPr>
          <w:rtl w:val="0"/>
        </w:rPr>
      </w:r>
    </w:p>
    <w:p w:rsidR="00000000" w:rsidDel="00000000" w:rsidP="00000000" w:rsidRDefault="00000000" w:rsidRPr="00000000" w14:paraId="0000001D">
      <w:pPr>
        <w:rPr/>
      </w:pPr>
      <w:r w:rsidDel="00000000" w:rsidR="00000000" w:rsidRPr="00000000">
        <w:rPr>
          <w:b w:val="1"/>
          <w:rtl w:val="0"/>
        </w:rPr>
        <w:t xml:space="preserve">Figure 1 - </w:t>
      </w:r>
      <w:r w:rsidDel="00000000" w:rsidR="00000000" w:rsidRPr="00000000">
        <w:rPr>
          <w:rtl w:val="0"/>
        </w:rPr>
        <w:t xml:space="preserve">a classic Sumerian votive figure, note that the beard tends to be the focus of the detail of the figure, with it being delicately carved. Figure 1 is of interest due to the levels of detail that is ascribed to different part of the body, the lower half is significantly less interesting than the torso, and while a significant amount of time was no doubt spent on the lining of the dress, the head commands the gaze of the eyes far more than the other aspects of the model. The face evolutionary is an important aspect of how we discern the intent of others, our brain puts so much emphasis on the face it may attempt to create patterns in random objects, thus producing the effect known as pareidolia. Artists wish to keep our attention for as long as possible, so there is a pattern of having very intricate faces, and as such our gaze is transfixed upon the eyes and the array of hair that surrounds the bulbous orbs on purpose, as our brains try and analyse the face the artists intent can be communicated to us through cultural symbology. </w:t>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t xml:space="preserve">The mixture of animals and humans, either by the anthropomorphisation of animals or the transmogrification or amalgamation of human and animal body parts is frequently prevalent across Ancient Near Eastern cultures, from the winged Genii oft depicted in Mesopotamian art to the depiction of the Egyptian pantheon deities with animal features, referred to as </w:t>
      </w:r>
      <w:r w:rsidDel="00000000" w:rsidR="00000000" w:rsidRPr="00000000">
        <w:rPr>
          <w:rtl w:val="0"/>
        </w:rPr>
        <w:t xml:space="preserve">anthropozoomorphs</w:t>
      </w:r>
      <w:r w:rsidDel="00000000" w:rsidR="00000000" w:rsidRPr="00000000">
        <w:rPr>
          <w:rtl w:val="0"/>
        </w:rPr>
        <w:t xml:space="preserve">, or as Teeter prefers, therianthropic figures (Teeter, 2002 p.2). Werness postulates that the early Greek gods were more animalistic in nature, and over time there was a shift and a more dominant anthropomorphic symbolism becoming more dominant while the animalistic symbology remains only as a representative of that deity's domain (Werness, 2004 p.203). Werness points at the discovery by archaeologists at the uncovering of a significant amount of animal votives found in sacred placed as the grounds for this; this works with the idea that there is an overall perception of animals being linked with deities throughout the Eastern Mediterranean, but this theory is predicated on what i’d argue as shaky ground, primarily citing votives towards deities rather than animal to human symbology being prevalent in artwork regarding the Greek deities, nevertheless, it remains an interesting theory in regards to the mixing of animal and human symbology within a culture (Werness, 2004, p.203). Teeter dispels Greek and Roman myths about the subject of animal worship and animal iconography in ancient Egypt, which oft try to </w:t>
      </w:r>
      <w:r w:rsidDel="00000000" w:rsidR="00000000" w:rsidRPr="00000000">
        <w:rPr>
          <w:rtl w:val="0"/>
        </w:rPr>
        <w:t xml:space="preserve">otherise</w:t>
      </w:r>
      <w:r w:rsidDel="00000000" w:rsidR="00000000" w:rsidRPr="00000000">
        <w:rPr>
          <w:rtl w:val="0"/>
        </w:rPr>
        <w:t xml:space="preserve"> and diminish the Egyptian practices of worship; humans lived alongside humans rather than humans being made lord over them, and the deities had links with specific animals, and these were the objects of reverence (Teeter, 2002. p.251, p.335.336). It is summarised succinctly with “This association of animals with gods, and the perceived purity</w:t>
      </w:r>
    </w:p>
    <w:p w:rsidR="00000000" w:rsidDel="00000000" w:rsidP="00000000" w:rsidRDefault="00000000" w:rsidRPr="00000000" w14:paraId="00000020">
      <w:pPr>
        <w:rPr/>
      </w:pPr>
      <w:r w:rsidDel="00000000" w:rsidR="00000000" w:rsidRPr="00000000">
        <w:rPr>
          <w:rtl w:val="0"/>
        </w:rPr>
        <w:t xml:space="preserve">of the natural state of animals added to their role in moralistic tales.” and while Teeter was explaining the roles of animals within textual evidence and literature, it can be argued that a similar role is played by animals in their melding with anthropomorphic representations of the Egyptian gods. As stated earlier, beards also play an important social role in distinguishing between social rank, with only the gods and the pharaohs being depicted as having beards, even queens being depicted as wearing false beards, Attalla argues that the reason for this is to emphasise the king’s power (Attala, 2021 p.111). This usage of the beard as a symbol of power could be why we also see in some Egyptian art, the defeated foes being grasped by their beards, a symbolic showing of their power being in the grips of the vanquishers (Layton 1991 p.25).</w:t>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drawing>
          <wp:inline distB="114300" distT="114300" distL="114300" distR="114300">
            <wp:extent cx="5700713" cy="4275534"/>
            <wp:effectExtent b="0" l="0" r="0" t="0"/>
            <wp:docPr id="3" name="image6.png"/>
            <a:graphic>
              <a:graphicData uri="http://schemas.openxmlformats.org/drawingml/2006/picture">
                <pic:pic>
                  <pic:nvPicPr>
                    <pic:cNvPr id="0" name="image6.png"/>
                    <pic:cNvPicPr preferRelativeResize="0"/>
                  </pic:nvPicPr>
                  <pic:blipFill>
                    <a:blip r:embed="rId7"/>
                    <a:srcRect b="0" l="0" r="0" t="0"/>
                    <a:stretch>
                      <a:fillRect/>
                    </a:stretch>
                  </pic:blipFill>
                  <pic:spPr>
                    <a:xfrm>
                      <a:off x="0" y="0"/>
                      <a:ext cx="5700713" cy="4275534"/>
                    </a:xfrm>
                    <a:prstGeom prst="rect"/>
                    <a:ln/>
                  </pic:spPr>
                </pic:pic>
              </a:graphicData>
            </a:graphic>
          </wp:inline>
        </w:drawing>
      </w:r>
      <w:r w:rsidDel="00000000" w:rsidR="00000000" w:rsidRPr="00000000">
        <w:rPr>
          <w:rtl w:val="0"/>
        </w:rPr>
      </w:r>
    </w:p>
    <w:p w:rsidR="00000000" w:rsidDel="00000000" w:rsidP="00000000" w:rsidRDefault="00000000" w:rsidRPr="00000000" w14:paraId="00000023">
      <w:pPr>
        <w:rPr/>
      </w:pPr>
      <w:r w:rsidDel="00000000" w:rsidR="00000000" w:rsidRPr="00000000">
        <w:rPr>
          <w:b w:val="1"/>
          <w:rtl w:val="0"/>
        </w:rPr>
        <w:t xml:space="preserve">Figure 2 - </w:t>
      </w:r>
      <w:r w:rsidDel="00000000" w:rsidR="00000000" w:rsidRPr="00000000">
        <w:rPr>
          <w:rtl w:val="0"/>
        </w:rPr>
        <w:t xml:space="preserve">Depiction of members of the Egyptian pantheon within a tomb, note Anubis (second from left) and Horus (middle left). Note that three of the humanoid figures have prominent beards, even if they were stripped of their garments and the items they were clutching, it would be obvious that they are of significant importance either culturally or religiously.</w:t>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t xml:space="preserve">Graves can contain statue/statuettes, rather than being public display, these figures would be sealed away from public eye and can arguably be of more symbolic purpose than publicly displayed figures. Funeral ceremonies tend to be personal and intimate, and as such artwork within these events would be far more emotionally significant to the participants, therefore, they are also an important example of cultural symbolism within artwork, as the artwork will have some form of emotional and most likely cultural importance to the family/local society. Betancourt notes that not a lot of items are buried with the dead, and so figurine inclusion in this short itinerary is worth examining (Betancourt 2007 p.14). An interesting discussion can be engaged upon regarding the creation of the objects, whether they are removed from shrines or homes linked with the deceased to ‘accompany’ them, or if they are specifically created for that event, being crafted as representations of people or emotional symbols linked with the dead. On the Cycladic islands in the Aegean, figurines can be found within graves, with a distinct differentiate between the sexes found between both how the figures are carved both in relation to their proportions/realisticness as well as the equipment they are displayed with, Hitchcock and Preziosi say that the cultural significance remains ambiguous, once being suggested that they are representative of spirits or deities, although this is a fairly common interpretation for figurines and is </w:t>
      </w:r>
      <w:r w:rsidDel="00000000" w:rsidR="00000000" w:rsidRPr="00000000">
        <w:rPr>
          <w:rtl w:val="0"/>
        </w:rPr>
        <w:t xml:space="preserve">overgeneralising</w:t>
      </w:r>
      <w:r w:rsidDel="00000000" w:rsidR="00000000" w:rsidRPr="00000000">
        <w:rPr>
          <w:rtl w:val="0"/>
        </w:rPr>
        <w:t xml:space="preserve"> complex cultural practices; the masculine presenting figures tend to be armed or playing a musical instruments while feminine presenting figures tend to be displayed laying down, and as Preziosi and Hitchcock posit “...perhaps imitating the position of the deceased.” (Preziosi, Hitchcock 1999 p.53-54, Betancourt 2007 p.14-17, Ucko 1962 p.38). This trend is not limited to the Cycladic islands, as it is also seen in Western Anatolia, showing how cultural ideas are not tied to singular geographic regions and are capable of spreading through regions, with similar figurines being found as far away as Mesopotamia (Betancourt 2007 p.17). This reliance upon identification of sexes based on bodily proportions rather than the appearance of hair is interesting, as the lack of convergence with the wider cultural prevalence of beards makes the Cycladic islands the outliers, whether this is due in part to a conscious attempt to stay culturally distinct from surrounding civilisations is unclear, although as Hitchcock and Preziosi say of the figures themselves “Their function, usage, and cultural significance remains unclear.” and so only speculation on our part can try and decipher the meaning behind them, and all theories hold rough parity with each other (Preziosi, Hitchcock 1999 p.53). Regarding the prior point about the emotional depth that funerary statues have, Higgins puts it well “If Cycladic pottery is dull and uninspired, the statuettes…are without question among the finest products of the Aegean Bronze age.”, thus we can see the emotional outlet that these statues emphasise, and how high quality the more intimate creations of sculptors are (Higgins 1974 p.58).</w:t>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drawing>
          <wp:inline distB="114300" distT="114300" distL="114300" distR="114300">
            <wp:extent cx="4102113" cy="4824413"/>
            <wp:effectExtent b="0" l="0" r="0" t="0"/>
            <wp:docPr id="5" name="image1.png"/>
            <a:graphic>
              <a:graphicData uri="http://schemas.openxmlformats.org/drawingml/2006/picture">
                <pic:pic>
                  <pic:nvPicPr>
                    <pic:cNvPr id="0" name="image1.png"/>
                    <pic:cNvPicPr preferRelativeResize="0"/>
                  </pic:nvPicPr>
                  <pic:blipFill>
                    <a:blip r:embed="rId8"/>
                    <a:srcRect b="0" l="0" r="0" t="0"/>
                    <a:stretch>
                      <a:fillRect/>
                    </a:stretch>
                  </pic:blipFill>
                  <pic:spPr>
                    <a:xfrm>
                      <a:off x="0" y="0"/>
                      <a:ext cx="4102113" cy="4824413"/>
                    </a:xfrm>
                    <a:prstGeom prst="rect"/>
                    <a:ln/>
                  </pic:spPr>
                </pic:pic>
              </a:graphicData>
            </a:graphic>
          </wp:inline>
        </w:drawing>
      </w:r>
      <w:r w:rsidDel="00000000" w:rsidR="00000000" w:rsidRPr="00000000">
        <w:rPr>
          <w:rtl w:val="0"/>
        </w:rPr>
      </w:r>
    </w:p>
    <w:p w:rsidR="00000000" w:rsidDel="00000000" w:rsidP="00000000" w:rsidRDefault="00000000" w:rsidRPr="00000000" w14:paraId="00000028">
      <w:pPr>
        <w:rPr/>
      </w:pPr>
      <w:r w:rsidDel="00000000" w:rsidR="00000000" w:rsidRPr="00000000">
        <w:rPr>
          <w:b w:val="1"/>
          <w:rtl w:val="0"/>
        </w:rPr>
        <w:t xml:space="preserve">Figure 3 </w:t>
      </w:r>
      <w:r w:rsidDel="00000000" w:rsidR="00000000" w:rsidRPr="00000000">
        <w:rPr>
          <w:rtl w:val="0"/>
        </w:rPr>
        <w:t xml:space="preserve">- a collection of female Cycladic statues. Note the lack of significant detail, with only the hands showing a more delicate and detailed focus. </w:t>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t xml:space="preserve">Not every statue of a man depicts beards, but there does seem to be a trend in the depiction of them, possibly indicating age, or keeping in line with the idea that beards are a mark of intelligence, wisdom and power. The terracotta dolls found within Cyprus are examples of this, many of the male presenting statues have beards or have sharp tapering jawlines similar to how beards are constructed. There seems to be a tradition of beards that lasts for centuries, even as the general shape of the figures change and become more refined, beards remain as significant continuous iconography, this isn’t surprising, considering that artists in the ancient world as a rule tended to conform to tradition, and while this was primarily directed towards Mesopotamia, a degree of this truthfulness is evident within Cyprus as well, especially given the geographical proximity and shared history of the two areas (Bertman 2003 p.214, Seton 1961 p.193). Tatten-Brown argues that the dolls were made as direct substitutions for the worshippers themselves, that no matter the construction method of the individual statues, they were of the same stylistic tradition, and that this was introduced to Cyprus from Syria in the 8th Century BCE (Tatton-Brown 1979 p.86-87). We also see this in Akkad and Sumer, where the appearance of the votives is meant to show continual worship and dedication towards the deity in question (Bertman 2003 p.216-217). If we stick to the idea that beards are a marker of intelligence and wisdom, of course many people would wish to represent themselves as such, and thus many statues are bearded; however, should the artist show a degree of nonconformity as well as introspection, they may wish to represent themselves as beardless out of an act of humility and that they still have much to learn. </w:t>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t xml:space="preserve">Assyrian artwork is endowed heavily with the motifs of beards and animalistic alterations and additions to the human form, this is understandable, given the Sumerian cultural influence upon the Assyrians (Saggs, 1984 p.22). Kramer says of Sumerian art that the earlier sculptors and artists “...tended to be abstract and impressionistic.” and that their artwork showed a substantial amount of “...emotional and spiritual intensity.” (Kramer, 1963, p.99). While Seton says that Assyrian sculpture is filled with “...stylistic vitality…fanciful detail…drawn with great understanding and expression.”  (Seton 1961 p.198). This doesn't necessarily mean the Sumerian figures and idols are lacking in symbolic detail, but hints at the idea that the symbology while in a more reductionist fashion, is not necessarily reduced in the symbolic importance or ability to convey emotions of the figure, the sculptors themselves were less conventionally skilled in the development of sculpture, but nevertheless their artwork still carries their symbology effectively. It is therefore understandable that Sumerian and Assyrian art share common motifs, as the cultural influence in regards to the integration of animal and bearded symbology is self evident when observing the most popular expressions and examples of this art. Assyrian art is also ubiquitous in its integration of anthropozoomorphs/therianthropic figures within its cultural galleries; infamous among these is the Lamassu, whose primary features are that the body is a mix of several animal types, and the head is that of a humans, sporting a grand and significant beard, Sagg notes that the wings are a symbol of divinity, and this could be to why animals were sometimes sacrificed to them, and Oppenheim would summarise its disparate aspects as such: “...personifies in the guise of an external manifestation those essential aspects of individuality which comprise an assemblage of distinct and specific corporeal features.”(Sagg, 1984 p.239, Collins, 2002 p.402, Oppenheim 1977 p.200). Genii’s also tend to be a staple of Assyrian reliefs, these tend to be placed upon high muscular proportioned bodies, possibly using physical strength as a metaphor for intelligence or supernatural powers rather than denoting the physical capabilities of the transmogrified figures, Seton categorises these generally as benevolent (Seton 1961 p.196). </w:t>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b w:val="1"/>
        </w:rPr>
      </w:pPr>
      <w:r w:rsidDel="00000000" w:rsidR="00000000" w:rsidRPr="00000000">
        <w:rPr>
          <w:rtl w:val="0"/>
        </w:rPr>
      </w:r>
    </w:p>
    <w:p w:rsidR="00000000" w:rsidDel="00000000" w:rsidP="00000000" w:rsidRDefault="00000000" w:rsidRPr="00000000" w14:paraId="0000002F">
      <w:pPr>
        <w:rPr>
          <w:b w:val="1"/>
        </w:rPr>
      </w:pPr>
      <w:r w:rsidDel="00000000" w:rsidR="00000000" w:rsidRPr="00000000">
        <w:rPr>
          <w:b w:val="1"/>
        </w:rPr>
        <w:drawing>
          <wp:inline distB="114300" distT="114300" distL="114300" distR="114300">
            <wp:extent cx="4728514" cy="8129588"/>
            <wp:effectExtent b="0" l="0" r="0" t="0"/>
            <wp:docPr id="1" name="image3.png"/>
            <a:graphic>
              <a:graphicData uri="http://schemas.openxmlformats.org/drawingml/2006/picture">
                <pic:pic>
                  <pic:nvPicPr>
                    <pic:cNvPr id="0" name="image3.png"/>
                    <pic:cNvPicPr preferRelativeResize="0"/>
                  </pic:nvPicPr>
                  <pic:blipFill>
                    <a:blip r:embed="rId9"/>
                    <a:srcRect b="0" l="0" r="0" t="0"/>
                    <a:stretch>
                      <a:fillRect/>
                    </a:stretch>
                  </pic:blipFill>
                  <pic:spPr>
                    <a:xfrm>
                      <a:off x="0" y="0"/>
                      <a:ext cx="4728514" cy="8129588"/>
                    </a:xfrm>
                    <a:prstGeom prst="rect"/>
                    <a:ln/>
                  </pic:spPr>
                </pic:pic>
              </a:graphicData>
            </a:graphic>
          </wp:inline>
        </w:drawing>
      </w:r>
      <w:r w:rsidDel="00000000" w:rsidR="00000000" w:rsidRPr="00000000">
        <w:rPr>
          <w:rtl w:val="0"/>
        </w:rPr>
      </w:r>
    </w:p>
    <w:p w:rsidR="00000000" w:rsidDel="00000000" w:rsidP="00000000" w:rsidRDefault="00000000" w:rsidRPr="00000000" w14:paraId="00000030">
      <w:pPr>
        <w:rPr/>
      </w:pPr>
      <w:r w:rsidDel="00000000" w:rsidR="00000000" w:rsidRPr="00000000">
        <w:rPr>
          <w:b w:val="1"/>
          <w:rtl w:val="0"/>
        </w:rPr>
        <w:t xml:space="preserve">Figure 4  </w:t>
      </w:r>
      <w:r w:rsidDel="00000000" w:rsidR="00000000" w:rsidRPr="00000000">
        <w:rPr>
          <w:rtl w:val="0"/>
        </w:rPr>
        <w:t xml:space="preserve">- A Lamassu (specifically one with a lion body) located in the Metropolitan Museum of Art, taken from Nimrud, Northern Iraq. Note the exquisite detailing on the beard and the hair in general. This Lamassu is a combination of a human head, a lions body and wings of what would most likely have been imitating an eagle, all animals with significant symbolic value. </w:t>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rPr/>
      </w:pPr>
      <w:r w:rsidDel="00000000" w:rsidR="00000000" w:rsidRPr="00000000">
        <w:rPr/>
        <w:drawing>
          <wp:inline distB="19050" distT="19050" distL="19050" distR="19050">
            <wp:extent cx="2636910" cy="4462463"/>
            <wp:effectExtent b="0" l="0" r="0" t="0"/>
            <wp:docPr id="4" name="image2.png"/>
            <a:graphic>
              <a:graphicData uri="http://schemas.openxmlformats.org/drawingml/2006/picture">
                <pic:pic>
                  <pic:nvPicPr>
                    <pic:cNvPr id="0" name="image2.png"/>
                    <pic:cNvPicPr preferRelativeResize="0"/>
                  </pic:nvPicPr>
                  <pic:blipFill>
                    <a:blip r:embed="rId10"/>
                    <a:srcRect b="1944" l="4115" r="4626" t="2735"/>
                    <a:stretch>
                      <a:fillRect/>
                    </a:stretch>
                  </pic:blipFill>
                  <pic:spPr>
                    <a:xfrm>
                      <a:off x="0" y="0"/>
                      <a:ext cx="2636910" cy="4462463"/>
                    </a:xfrm>
                    <a:prstGeom prst="rect"/>
                    <a:ln/>
                  </pic:spPr>
                </pic:pic>
              </a:graphicData>
            </a:graphic>
          </wp:inline>
        </w:drawing>
      </w:r>
      <w:r w:rsidDel="00000000" w:rsidR="00000000" w:rsidRPr="00000000">
        <w:rPr/>
        <w:drawing>
          <wp:inline distB="19050" distT="19050" distL="19050" distR="19050">
            <wp:extent cx="2982949" cy="4233863"/>
            <wp:effectExtent b="0" l="0" r="0" t="0"/>
            <wp:docPr id="6" name="image5.png"/>
            <a:graphic>
              <a:graphicData uri="http://schemas.openxmlformats.org/drawingml/2006/picture">
                <pic:pic>
                  <pic:nvPicPr>
                    <pic:cNvPr id="0" name="image5.png"/>
                    <pic:cNvPicPr preferRelativeResize="0"/>
                  </pic:nvPicPr>
                  <pic:blipFill>
                    <a:blip r:embed="rId11"/>
                    <a:srcRect b="5458" l="15265" r="6167" t="5786"/>
                    <a:stretch>
                      <a:fillRect/>
                    </a:stretch>
                  </pic:blipFill>
                  <pic:spPr>
                    <a:xfrm>
                      <a:off x="0" y="0"/>
                      <a:ext cx="2982949" cy="4233863"/>
                    </a:xfrm>
                    <a:prstGeom prst="rect"/>
                    <a:ln/>
                  </pic:spPr>
                </pic:pic>
              </a:graphicData>
            </a:graphic>
          </wp:inline>
        </w:drawing>
      </w:r>
      <w:r w:rsidDel="00000000" w:rsidR="00000000" w:rsidRPr="00000000">
        <w:rPr>
          <w:rtl w:val="0"/>
        </w:rPr>
      </w:r>
    </w:p>
    <w:p w:rsidR="00000000" w:rsidDel="00000000" w:rsidP="00000000" w:rsidRDefault="00000000" w:rsidRPr="00000000" w14:paraId="00000033">
      <w:pPr>
        <w:rPr/>
      </w:pPr>
      <w:r w:rsidDel="00000000" w:rsidR="00000000" w:rsidRPr="00000000">
        <w:rPr>
          <w:b w:val="1"/>
          <w:rtl w:val="0"/>
        </w:rPr>
        <w:t xml:space="preserve">Figure 5 &amp; 6  </w:t>
      </w:r>
      <w:r w:rsidDel="00000000" w:rsidR="00000000" w:rsidRPr="00000000">
        <w:rPr>
          <w:rtl w:val="0"/>
        </w:rPr>
        <w:t xml:space="preserve">- Figure 5 depicts what is usually referred to as a Genii, they are seen with a very similar if not identical human head to the Lamassu but from a two dimensional perspective. The detail is extraordinary across the whole body, particularly the masterful decoration of the crenellations on every feather of the wings. Figure 6 shows us almost the exact same relief as figure 5, with the exception that this one has the head of an eagle instead of a human. The musculature of both is prominent, especially the forearms and the shins. </w:t>
      </w:r>
    </w:p>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rPr/>
      </w:pPr>
      <w:r w:rsidDel="00000000" w:rsidR="00000000" w:rsidRPr="00000000">
        <w:rPr>
          <w:rtl w:val="0"/>
        </w:rPr>
        <w:t xml:space="preserve">In conclusion there is a pattern that emerges throughout Ancient Near Eastern societies, one that shares patterns and motifs with its neighbouring civilisations. Animalistic characteristics found within statues containing anthropomorphic features link these civilisations together, while the meaning behind the introduction of these characteristics has been lost to time, it is possible to postulate that it was an attempt to emphasise greater-than-human elements of deities such as in the case of the Egyptian pantheon; or in other cases, it was possibly used to </w:t>
      </w:r>
      <w:r w:rsidDel="00000000" w:rsidR="00000000" w:rsidRPr="00000000">
        <w:rPr>
          <w:rtl w:val="0"/>
        </w:rPr>
        <w:t xml:space="preserve">demark</w:t>
      </w:r>
      <w:r w:rsidDel="00000000" w:rsidR="00000000" w:rsidRPr="00000000">
        <w:rPr>
          <w:rtl w:val="0"/>
        </w:rPr>
        <w:t xml:space="preserve"> inhuman characteristics of characters in cultural mythos.  One of the reasons behind the melding of different fauna with humans could be to do with an expression of creativity: from an aesthetic perspective it could truly be because its appealing and interesting by breaking the traditional human form and augmenting them with other creatures, it could also have a higher meaning in showing the link between nature and humanity, as humanity begins to change the environment to suit its needs, representations about the importance of nature and its eternal link with us could be exemplified through artwork. I personally favour the perspective that they are primarily aesthetic in nature, however I concede that they are imbued heavily with symbolic communicative motifs as well as most likely holding some religious/cultural significance depending on the animals involved. </w:t>
      </w:r>
    </w:p>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rPr/>
      </w:pPr>
      <w:r w:rsidDel="00000000" w:rsidR="00000000" w:rsidRPr="00000000">
        <w:rPr>
          <w:rtl w:val="0"/>
        </w:rPr>
        <w:t xml:space="preserve">Calling the prevalence of beards and animalistic feature integration into artwork across the Aegean and Ancient Near East an ‘international style’ is, I believe, a valid point to be made. They are prevalent across the majority of ancient societies, in some cases being the predominant public perception of that societies artwork; while this itself can be attributed to many things, such as the quality and intricacy of the work itself, I feel that a significant portion of the interest, especially in anthropozoomorphs/therianthropic artwork, stems from the human interest in the breaking of the artistic depiction of humans. While the depiction of beards as a sign of intelligence or power in British culture has waned, the depiction of humanoid figures with wings similar to the Assyrian and Sumerian Genii’s evokes today still appeals to us. Overall, it is hard to differentiate aesthetics and symbolic communication with each other as I personally believe they are so entwined that it is impossible to talk about one without discussing the other.</w:t>
      </w:r>
      <w:r w:rsidDel="00000000" w:rsidR="00000000" w:rsidRPr="00000000">
        <w:rPr>
          <w:rtl w:val="0"/>
        </w:rPr>
      </w:r>
    </w:p>
    <w:p w:rsidR="00000000" w:rsidDel="00000000" w:rsidP="00000000" w:rsidRDefault="00000000" w:rsidRPr="00000000" w14:paraId="00000038">
      <w:pPr>
        <w:rPr/>
      </w:pPr>
      <w:r w:rsidDel="00000000" w:rsidR="00000000" w:rsidRPr="00000000">
        <w:rPr>
          <w:rtl w:val="0"/>
        </w:rPr>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rPr>
          <w:b w:val="1"/>
        </w:rPr>
      </w:pPr>
      <w:r w:rsidDel="00000000" w:rsidR="00000000" w:rsidRPr="00000000">
        <w:rPr>
          <w:b w:val="1"/>
          <w:rtl w:val="0"/>
        </w:rPr>
        <w:t xml:space="preserve">Sources </w:t>
      </w:r>
    </w:p>
    <w:p w:rsidR="00000000" w:rsidDel="00000000" w:rsidP="00000000" w:rsidRDefault="00000000" w:rsidRPr="00000000" w14:paraId="0000003B">
      <w:pPr>
        <w:rPr/>
      </w:pPr>
      <w:r w:rsidDel="00000000" w:rsidR="00000000" w:rsidRPr="00000000">
        <w:rPr>
          <w:rtl w:val="0"/>
        </w:rPr>
      </w:r>
    </w:p>
    <w:p w:rsidR="00000000" w:rsidDel="00000000" w:rsidP="00000000" w:rsidRDefault="00000000" w:rsidRPr="00000000" w14:paraId="0000003C">
      <w:pPr>
        <w:rPr/>
      </w:pPr>
      <w:r w:rsidDel="00000000" w:rsidR="00000000" w:rsidRPr="00000000">
        <w:rPr>
          <w:rtl w:val="0"/>
        </w:rPr>
        <w:t xml:space="preserve">Attalla, R. E. (2021). </w:t>
      </w:r>
      <w:r w:rsidDel="00000000" w:rsidR="00000000" w:rsidRPr="00000000">
        <w:rPr>
          <w:i w:val="1"/>
          <w:rtl w:val="0"/>
        </w:rPr>
        <w:t xml:space="preserve">Facial hair and beard coverings: Motives for growth and coverage in Ancient Egyptian and Mesopotamian doctrine</w:t>
      </w:r>
      <w:r w:rsidDel="00000000" w:rsidR="00000000" w:rsidRPr="00000000">
        <w:rPr>
          <w:rtl w:val="0"/>
        </w:rPr>
        <w:t xml:space="preserve">. [online] Journal of The General Union of the Arab Archaeologists. &lt;</w:t>
      </w:r>
      <w:hyperlink r:id="rId12">
        <w:r w:rsidDel="00000000" w:rsidR="00000000" w:rsidRPr="00000000">
          <w:rPr>
            <w:color w:val="1155cc"/>
            <w:u w:val="single"/>
            <w:rtl w:val="0"/>
          </w:rPr>
          <w:t xml:space="preserve">https://doaj.org/article/e7013a4b8ee44bfd92f17f1e229c5201</w:t>
        </w:r>
      </w:hyperlink>
      <w:r w:rsidDel="00000000" w:rsidR="00000000" w:rsidRPr="00000000">
        <w:rPr>
          <w:rtl w:val="0"/>
        </w:rPr>
        <w:t xml:space="preserve">&gt; [Accessed 29 Apr. 2024] </w:t>
      </w:r>
    </w:p>
    <w:p w:rsidR="00000000" w:rsidDel="00000000" w:rsidP="00000000" w:rsidRDefault="00000000" w:rsidRPr="00000000" w14:paraId="0000003D">
      <w:pPr>
        <w:rPr/>
      </w:pPr>
      <w:r w:rsidDel="00000000" w:rsidR="00000000" w:rsidRPr="00000000">
        <w:rPr>
          <w:rtl w:val="0"/>
        </w:rPr>
      </w:r>
    </w:p>
    <w:p w:rsidR="00000000" w:rsidDel="00000000" w:rsidP="00000000" w:rsidRDefault="00000000" w:rsidRPr="00000000" w14:paraId="0000003E">
      <w:pPr>
        <w:rPr/>
      </w:pPr>
      <w:r w:rsidDel="00000000" w:rsidR="00000000" w:rsidRPr="00000000">
        <w:rPr>
          <w:rtl w:val="0"/>
        </w:rPr>
        <w:t xml:space="preserve">Bertman, Stephen. (2003)</w:t>
      </w:r>
      <w:r w:rsidDel="00000000" w:rsidR="00000000" w:rsidRPr="00000000">
        <w:rPr>
          <w:i w:val="1"/>
          <w:rtl w:val="0"/>
        </w:rPr>
        <w:t xml:space="preserve"> Handbook to life in ancient Mesopotamia.</w:t>
      </w:r>
      <w:r w:rsidDel="00000000" w:rsidR="00000000" w:rsidRPr="00000000">
        <w:rPr>
          <w:rtl w:val="0"/>
        </w:rPr>
        <w:t xml:space="preserve"> New York: Facts on File.</w:t>
      </w:r>
    </w:p>
    <w:p w:rsidR="00000000" w:rsidDel="00000000" w:rsidP="00000000" w:rsidRDefault="00000000" w:rsidRPr="00000000" w14:paraId="0000003F">
      <w:pPr>
        <w:rPr/>
      </w:pPr>
      <w:r w:rsidDel="00000000" w:rsidR="00000000" w:rsidRPr="00000000">
        <w:rPr>
          <w:rtl w:val="0"/>
        </w:rPr>
      </w:r>
    </w:p>
    <w:p w:rsidR="00000000" w:rsidDel="00000000" w:rsidP="00000000" w:rsidRDefault="00000000" w:rsidRPr="00000000" w14:paraId="00000040">
      <w:pPr>
        <w:rPr/>
      </w:pPr>
      <w:r w:rsidDel="00000000" w:rsidR="00000000" w:rsidRPr="00000000">
        <w:rPr>
          <w:rtl w:val="0"/>
        </w:rPr>
        <w:t xml:space="preserve">Betancourt, P.P. (2007) </w:t>
      </w:r>
      <w:r w:rsidDel="00000000" w:rsidR="00000000" w:rsidRPr="00000000">
        <w:rPr>
          <w:i w:val="1"/>
          <w:rtl w:val="0"/>
        </w:rPr>
        <w:t xml:space="preserve">Introduction to Aegean art</w:t>
      </w:r>
      <w:r w:rsidDel="00000000" w:rsidR="00000000" w:rsidRPr="00000000">
        <w:rPr>
          <w:rtl w:val="0"/>
        </w:rPr>
        <w:t xml:space="preserve">. Philadelphia, Pa: INSTAP Academic Press.</w:t>
      </w:r>
    </w:p>
    <w:p w:rsidR="00000000" w:rsidDel="00000000" w:rsidP="00000000" w:rsidRDefault="00000000" w:rsidRPr="00000000" w14:paraId="00000041">
      <w:pPr>
        <w:rPr/>
      </w:pPr>
      <w:r w:rsidDel="00000000" w:rsidR="00000000" w:rsidRPr="00000000">
        <w:rPr>
          <w:rtl w:val="0"/>
        </w:rPr>
      </w:r>
    </w:p>
    <w:p w:rsidR="00000000" w:rsidDel="00000000" w:rsidP="00000000" w:rsidRDefault="00000000" w:rsidRPr="00000000" w14:paraId="00000042">
      <w:pPr>
        <w:rPr/>
      </w:pPr>
      <w:r w:rsidDel="00000000" w:rsidR="00000000" w:rsidRPr="00000000">
        <w:rPr>
          <w:rtl w:val="0"/>
        </w:rPr>
        <w:t xml:space="preserve">Bornstein, M.H. (1984). </w:t>
      </w:r>
      <w:r w:rsidDel="00000000" w:rsidR="00000000" w:rsidRPr="00000000">
        <w:rPr>
          <w:i w:val="1"/>
          <w:rtl w:val="0"/>
        </w:rPr>
        <w:t xml:space="preserve">Psychology and Its Allied Disciplines.</w:t>
      </w:r>
      <w:r w:rsidDel="00000000" w:rsidR="00000000" w:rsidRPr="00000000">
        <w:rPr>
          <w:rtl w:val="0"/>
        </w:rPr>
        <w:t xml:space="preserve"> [online] Google Books. Psychology Press. Available at: &lt;</w:t>
      </w:r>
      <w:hyperlink r:id="rId13">
        <w:r w:rsidDel="00000000" w:rsidR="00000000" w:rsidRPr="00000000">
          <w:rPr>
            <w:color w:val="1155cc"/>
            <w:u w:val="single"/>
            <w:rtl w:val="0"/>
          </w:rPr>
          <w:t xml:space="preserve">https://books.google.co.uk/books?hl=en&amp;lr=&amp;id=mjSqleCqpuIC&amp;oi=fnd&amp;pg=PA1&amp;dq=psychology+of+iconography+and+art&amp;ots=8sUIV1g9se&amp;sig=kBKqv5vqVp2oxo7b5JDpP5lWppk#v=onepage&amp;q&amp;f=false</w:t>
        </w:r>
      </w:hyperlink>
      <w:r w:rsidDel="00000000" w:rsidR="00000000" w:rsidRPr="00000000">
        <w:rPr>
          <w:rtl w:val="0"/>
        </w:rPr>
        <w:t xml:space="preserve">&gt; [Accessed 18 Apr. 2024]</w:t>
      </w:r>
    </w:p>
    <w:p w:rsidR="00000000" w:rsidDel="00000000" w:rsidP="00000000" w:rsidRDefault="00000000" w:rsidRPr="00000000" w14:paraId="00000043">
      <w:pPr>
        <w:rPr/>
      </w:pPr>
      <w:r w:rsidDel="00000000" w:rsidR="00000000" w:rsidRPr="00000000">
        <w:rPr>
          <w:rtl w:val="0"/>
        </w:rPr>
      </w:r>
    </w:p>
    <w:p w:rsidR="00000000" w:rsidDel="00000000" w:rsidP="00000000" w:rsidRDefault="00000000" w:rsidRPr="00000000" w14:paraId="00000044">
      <w:pPr>
        <w:rPr/>
      </w:pPr>
      <w:r w:rsidDel="00000000" w:rsidR="00000000" w:rsidRPr="00000000">
        <w:rPr>
          <w:rtl w:val="0"/>
        </w:rPr>
        <w:t xml:space="preserve">Collins, B.J., Gilbert, A.S., Gunter, A.C., Houlihan, P.F., Breniquet, C., Root, M.C., Caubet, A., Teeter, E., Et al. (2002) </w:t>
      </w:r>
      <w:r w:rsidDel="00000000" w:rsidR="00000000" w:rsidRPr="00000000">
        <w:rPr>
          <w:i w:val="1"/>
          <w:rtl w:val="0"/>
        </w:rPr>
        <w:t xml:space="preserve">A history of the animal world in the ancient Near East</w:t>
      </w:r>
      <w:r w:rsidDel="00000000" w:rsidR="00000000" w:rsidRPr="00000000">
        <w:rPr>
          <w:rtl w:val="0"/>
        </w:rPr>
        <w:t xml:space="preserve">. 1st ed. Leiden ; Brill.</w:t>
      </w:r>
    </w:p>
    <w:p w:rsidR="00000000" w:rsidDel="00000000" w:rsidP="00000000" w:rsidRDefault="00000000" w:rsidRPr="00000000" w14:paraId="00000045">
      <w:pPr>
        <w:rPr/>
      </w:pPr>
      <w:r w:rsidDel="00000000" w:rsidR="00000000" w:rsidRPr="00000000">
        <w:rPr>
          <w:rtl w:val="0"/>
        </w:rPr>
      </w:r>
    </w:p>
    <w:p w:rsidR="00000000" w:rsidDel="00000000" w:rsidP="00000000" w:rsidRDefault="00000000" w:rsidRPr="00000000" w14:paraId="00000046">
      <w:pPr>
        <w:rPr/>
      </w:pPr>
      <w:r w:rsidDel="00000000" w:rsidR="00000000" w:rsidRPr="00000000">
        <w:rPr>
          <w:rtl w:val="0"/>
        </w:rPr>
        <w:t xml:space="preserve">Collon, D. (1995). </w:t>
      </w:r>
      <w:r w:rsidDel="00000000" w:rsidR="00000000" w:rsidRPr="00000000">
        <w:rPr>
          <w:i w:val="1"/>
          <w:rtl w:val="0"/>
        </w:rPr>
        <w:t xml:space="preserve">Ancient Near Eastern Art </w:t>
      </w:r>
      <w:r w:rsidDel="00000000" w:rsidR="00000000" w:rsidRPr="00000000">
        <w:rPr>
          <w:rtl w:val="0"/>
        </w:rPr>
        <w:t xml:space="preserve">University of California Press</w:t>
      </w:r>
    </w:p>
    <w:p w:rsidR="00000000" w:rsidDel="00000000" w:rsidP="00000000" w:rsidRDefault="00000000" w:rsidRPr="00000000" w14:paraId="00000047">
      <w:pPr>
        <w:rPr/>
      </w:pPr>
      <w:r w:rsidDel="00000000" w:rsidR="00000000" w:rsidRPr="00000000">
        <w:rPr>
          <w:rtl w:val="0"/>
        </w:rPr>
      </w:r>
    </w:p>
    <w:p w:rsidR="00000000" w:rsidDel="00000000" w:rsidP="00000000" w:rsidRDefault="00000000" w:rsidRPr="00000000" w14:paraId="00000048">
      <w:pPr>
        <w:rPr/>
      </w:pPr>
      <w:r w:rsidDel="00000000" w:rsidR="00000000" w:rsidRPr="00000000">
        <w:rPr>
          <w:rtl w:val="0"/>
        </w:rPr>
        <w:t xml:space="preserve">Higgins, Reynold. (1974) </w:t>
      </w:r>
      <w:r w:rsidDel="00000000" w:rsidR="00000000" w:rsidRPr="00000000">
        <w:rPr>
          <w:i w:val="1"/>
          <w:rtl w:val="0"/>
        </w:rPr>
        <w:t xml:space="preserve">Minoan and Mycenaean art</w:t>
      </w:r>
      <w:r w:rsidDel="00000000" w:rsidR="00000000" w:rsidRPr="00000000">
        <w:rPr>
          <w:rtl w:val="0"/>
        </w:rPr>
        <w:t xml:space="preserve">. London: Book Club Associates.</w:t>
      </w:r>
    </w:p>
    <w:p w:rsidR="00000000" w:rsidDel="00000000" w:rsidP="00000000" w:rsidRDefault="00000000" w:rsidRPr="00000000" w14:paraId="00000049">
      <w:pPr>
        <w:rPr/>
      </w:pPr>
      <w:r w:rsidDel="00000000" w:rsidR="00000000" w:rsidRPr="00000000">
        <w:rPr>
          <w:rtl w:val="0"/>
        </w:rPr>
      </w:r>
    </w:p>
    <w:p w:rsidR="00000000" w:rsidDel="00000000" w:rsidP="00000000" w:rsidRDefault="00000000" w:rsidRPr="00000000" w14:paraId="0000004A">
      <w:pPr>
        <w:rPr/>
      </w:pPr>
      <w:r w:rsidDel="00000000" w:rsidR="00000000" w:rsidRPr="00000000">
        <w:rPr>
          <w:rtl w:val="0"/>
        </w:rPr>
        <w:t xml:space="preserve">Karageorghis, V., Peltenburg, E. J., Swiny, S., Tatton-Brown, V. (1979) </w:t>
      </w:r>
      <w:r w:rsidDel="00000000" w:rsidR="00000000" w:rsidRPr="00000000">
        <w:rPr>
          <w:i w:val="1"/>
          <w:rtl w:val="0"/>
        </w:rPr>
        <w:t xml:space="preserve">Cyprus BC : 7000 years of history</w:t>
      </w:r>
      <w:r w:rsidDel="00000000" w:rsidR="00000000" w:rsidRPr="00000000">
        <w:rPr>
          <w:rtl w:val="0"/>
        </w:rPr>
        <w:t xml:space="preserve">. London: British Museum Publications for the Trustees of the British Museum.</w:t>
      </w:r>
    </w:p>
    <w:p w:rsidR="00000000" w:rsidDel="00000000" w:rsidP="00000000" w:rsidRDefault="00000000" w:rsidRPr="00000000" w14:paraId="0000004B">
      <w:pPr>
        <w:rPr/>
      </w:pPr>
      <w:r w:rsidDel="00000000" w:rsidR="00000000" w:rsidRPr="00000000">
        <w:rPr>
          <w:rtl w:val="0"/>
        </w:rPr>
      </w:r>
    </w:p>
    <w:p w:rsidR="00000000" w:rsidDel="00000000" w:rsidP="00000000" w:rsidRDefault="00000000" w:rsidRPr="00000000" w14:paraId="0000004C">
      <w:pPr>
        <w:rPr/>
      </w:pPr>
      <w:r w:rsidDel="00000000" w:rsidR="00000000" w:rsidRPr="00000000">
        <w:rPr>
          <w:rtl w:val="0"/>
        </w:rPr>
        <w:t xml:space="preserve">Kramer, S.N. (1971) </w:t>
      </w:r>
      <w:r w:rsidDel="00000000" w:rsidR="00000000" w:rsidRPr="00000000">
        <w:rPr>
          <w:i w:val="1"/>
          <w:rtl w:val="0"/>
        </w:rPr>
        <w:t xml:space="preserve">The Sumerians : their history, culture, and character. </w:t>
      </w:r>
      <w:r w:rsidDel="00000000" w:rsidR="00000000" w:rsidRPr="00000000">
        <w:rPr>
          <w:rtl w:val="0"/>
        </w:rPr>
        <w:t xml:space="preserve">Pbk. ed. Chicago ; University of Chicago Press.</w:t>
      </w:r>
    </w:p>
    <w:p w:rsidR="00000000" w:rsidDel="00000000" w:rsidP="00000000" w:rsidRDefault="00000000" w:rsidRPr="00000000" w14:paraId="0000004D">
      <w:pPr>
        <w:rPr/>
      </w:pPr>
      <w:r w:rsidDel="00000000" w:rsidR="00000000" w:rsidRPr="00000000">
        <w:rPr>
          <w:rtl w:val="0"/>
        </w:rPr>
      </w:r>
    </w:p>
    <w:p w:rsidR="00000000" w:rsidDel="00000000" w:rsidP="00000000" w:rsidRDefault="00000000" w:rsidRPr="00000000" w14:paraId="0000004E">
      <w:pPr>
        <w:rPr/>
      </w:pPr>
      <w:r w:rsidDel="00000000" w:rsidR="00000000" w:rsidRPr="00000000">
        <w:rPr>
          <w:rtl w:val="0"/>
        </w:rPr>
        <w:t xml:space="preserve">Layton, R. (1991) </w:t>
      </w:r>
      <w:r w:rsidDel="00000000" w:rsidR="00000000" w:rsidRPr="00000000">
        <w:rPr>
          <w:i w:val="1"/>
          <w:rtl w:val="0"/>
        </w:rPr>
        <w:t xml:space="preserve">The anthropology of art.</w:t>
      </w:r>
      <w:r w:rsidDel="00000000" w:rsidR="00000000" w:rsidRPr="00000000">
        <w:rPr>
          <w:rtl w:val="0"/>
        </w:rPr>
        <w:t xml:space="preserve"> 2nd ed. Cambridge: Cambridge University Press.</w:t>
      </w:r>
    </w:p>
    <w:p w:rsidR="00000000" w:rsidDel="00000000" w:rsidP="00000000" w:rsidRDefault="00000000" w:rsidRPr="00000000" w14:paraId="0000004F">
      <w:pPr>
        <w:rPr/>
      </w:pPr>
      <w:r w:rsidDel="00000000" w:rsidR="00000000" w:rsidRPr="00000000">
        <w:rPr>
          <w:rtl w:val="0"/>
        </w:rPr>
      </w:r>
    </w:p>
    <w:p w:rsidR="00000000" w:rsidDel="00000000" w:rsidP="00000000" w:rsidRDefault="00000000" w:rsidRPr="00000000" w14:paraId="00000050">
      <w:pPr>
        <w:rPr/>
      </w:pPr>
      <w:r w:rsidDel="00000000" w:rsidR="00000000" w:rsidRPr="00000000">
        <w:rPr>
          <w:rtl w:val="0"/>
        </w:rPr>
        <w:t xml:space="preserve">Lloyd, Seton. (1961)</w:t>
      </w:r>
      <w:r w:rsidDel="00000000" w:rsidR="00000000" w:rsidRPr="00000000">
        <w:rPr>
          <w:i w:val="1"/>
          <w:rtl w:val="0"/>
        </w:rPr>
        <w:t xml:space="preserve"> The art of the ancient near east.</w:t>
      </w:r>
      <w:r w:rsidDel="00000000" w:rsidR="00000000" w:rsidRPr="00000000">
        <w:rPr>
          <w:rtl w:val="0"/>
        </w:rPr>
        <w:t xml:space="preserve"> London: Thames and Hudson.</w:t>
      </w:r>
    </w:p>
    <w:p w:rsidR="00000000" w:rsidDel="00000000" w:rsidP="00000000" w:rsidRDefault="00000000" w:rsidRPr="00000000" w14:paraId="00000051">
      <w:pPr>
        <w:rPr/>
      </w:pPr>
      <w:r w:rsidDel="00000000" w:rsidR="00000000" w:rsidRPr="00000000">
        <w:rPr>
          <w:rtl w:val="0"/>
        </w:rPr>
      </w:r>
    </w:p>
    <w:p w:rsidR="00000000" w:rsidDel="00000000" w:rsidP="00000000" w:rsidRDefault="00000000" w:rsidRPr="00000000" w14:paraId="00000052">
      <w:pPr>
        <w:rPr/>
      </w:pPr>
      <w:r w:rsidDel="00000000" w:rsidR="00000000" w:rsidRPr="00000000">
        <w:rPr>
          <w:rtl w:val="0"/>
        </w:rPr>
        <w:t xml:space="preserve">Oppenheim, A.L. and Reiner, E. (1977) </w:t>
      </w:r>
      <w:r w:rsidDel="00000000" w:rsidR="00000000" w:rsidRPr="00000000">
        <w:rPr>
          <w:i w:val="1"/>
          <w:rtl w:val="0"/>
        </w:rPr>
        <w:t xml:space="preserve">Ancient Mesopotamia : portrait of a dead civilization.</w:t>
      </w:r>
      <w:r w:rsidDel="00000000" w:rsidR="00000000" w:rsidRPr="00000000">
        <w:rPr>
          <w:rtl w:val="0"/>
        </w:rPr>
        <w:t xml:space="preserve"> Rev. ed. / completed by Erica Reiner. Chicago ; University of Chicago Press.</w:t>
      </w:r>
    </w:p>
    <w:p w:rsidR="00000000" w:rsidDel="00000000" w:rsidP="00000000" w:rsidRDefault="00000000" w:rsidRPr="00000000" w14:paraId="00000053">
      <w:pPr>
        <w:rPr/>
      </w:pPr>
      <w:r w:rsidDel="00000000" w:rsidR="00000000" w:rsidRPr="00000000">
        <w:rPr>
          <w:rtl w:val="0"/>
        </w:rPr>
      </w:r>
    </w:p>
    <w:p w:rsidR="00000000" w:rsidDel="00000000" w:rsidP="00000000" w:rsidRDefault="00000000" w:rsidRPr="00000000" w14:paraId="00000054">
      <w:pPr>
        <w:rPr/>
      </w:pPr>
      <w:r w:rsidDel="00000000" w:rsidR="00000000" w:rsidRPr="00000000">
        <w:rPr>
          <w:rtl w:val="0"/>
        </w:rPr>
        <w:t xml:space="preserve">Preziosi, D., Hitchcock, L. (1999) </w:t>
      </w:r>
      <w:r w:rsidDel="00000000" w:rsidR="00000000" w:rsidRPr="00000000">
        <w:rPr>
          <w:i w:val="1"/>
          <w:rtl w:val="0"/>
        </w:rPr>
        <w:t xml:space="preserve">Aegean art and architecture</w:t>
      </w:r>
      <w:r w:rsidDel="00000000" w:rsidR="00000000" w:rsidRPr="00000000">
        <w:rPr>
          <w:rtl w:val="0"/>
        </w:rPr>
        <w:t xml:space="preserve">. Oxford: Oxford University Press.</w:t>
      </w:r>
    </w:p>
    <w:p w:rsidR="00000000" w:rsidDel="00000000" w:rsidP="00000000" w:rsidRDefault="00000000" w:rsidRPr="00000000" w14:paraId="00000055">
      <w:pPr>
        <w:rPr/>
      </w:pPr>
      <w:r w:rsidDel="00000000" w:rsidR="00000000" w:rsidRPr="00000000">
        <w:rPr>
          <w:rtl w:val="0"/>
        </w:rPr>
      </w:r>
    </w:p>
    <w:p w:rsidR="00000000" w:rsidDel="00000000" w:rsidP="00000000" w:rsidRDefault="00000000" w:rsidRPr="00000000" w14:paraId="00000056">
      <w:pPr>
        <w:rPr/>
      </w:pPr>
      <w:r w:rsidDel="00000000" w:rsidR="00000000" w:rsidRPr="00000000">
        <w:rPr>
          <w:rtl w:val="0"/>
        </w:rPr>
        <w:t xml:space="preserve">Saggs, H.W.F. (1984) </w:t>
      </w:r>
      <w:r w:rsidDel="00000000" w:rsidR="00000000" w:rsidRPr="00000000">
        <w:rPr>
          <w:i w:val="1"/>
          <w:rtl w:val="0"/>
        </w:rPr>
        <w:t xml:space="preserve">The might that was Assyria.</w:t>
      </w:r>
      <w:r w:rsidDel="00000000" w:rsidR="00000000" w:rsidRPr="00000000">
        <w:rPr>
          <w:rtl w:val="0"/>
        </w:rPr>
        <w:t xml:space="preserve"> London: Sidgwick &amp; Jackson.</w:t>
      </w:r>
    </w:p>
    <w:p w:rsidR="00000000" w:rsidDel="00000000" w:rsidP="00000000" w:rsidRDefault="00000000" w:rsidRPr="00000000" w14:paraId="00000057">
      <w:pPr>
        <w:rPr/>
      </w:pPr>
      <w:r w:rsidDel="00000000" w:rsidR="00000000" w:rsidRPr="00000000">
        <w:rPr>
          <w:rtl w:val="0"/>
        </w:rPr>
      </w:r>
    </w:p>
    <w:p w:rsidR="00000000" w:rsidDel="00000000" w:rsidP="00000000" w:rsidRDefault="00000000" w:rsidRPr="00000000" w14:paraId="00000058">
      <w:pPr>
        <w:rPr/>
      </w:pPr>
      <w:r w:rsidDel="00000000" w:rsidR="00000000" w:rsidRPr="00000000">
        <w:rPr>
          <w:rtl w:val="0"/>
        </w:rPr>
        <w:t xml:space="preserve">Tinio, P.P.L. and Gartus, A. (2018).</w:t>
      </w:r>
      <w:r w:rsidDel="00000000" w:rsidR="00000000" w:rsidRPr="00000000">
        <w:rPr>
          <w:i w:val="1"/>
          <w:rtl w:val="0"/>
        </w:rPr>
        <w:t xml:space="preserve"> Chapter 15 - Characterizing the emotional response to art beyond pleasure: Correspondence between the emotional characteristics of artworks and viewers’ emotional responses.</w:t>
      </w:r>
      <w:r w:rsidDel="00000000" w:rsidR="00000000" w:rsidRPr="00000000">
        <w:rPr>
          <w:rtl w:val="0"/>
        </w:rPr>
        <w:t xml:space="preserve"> [online] ScienceDirect. Available at: &lt;</w:t>
      </w:r>
      <w:hyperlink r:id="rId14">
        <w:r w:rsidDel="00000000" w:rsidR="00000000" w:rsidRPr="00000000">
          <w:rPr>
            <w:color w:val="1155cc"/>
            <w:u w:val="single"/>
            <w:rtl w:val="0"/>
          </w:rPr>
          <w:t xml:space="preserve">https://www.sciencedirect.com/science/article/abs/pii/S0079612318300050</w:t>
        </w:r>
      </w:hyperlink>
      <w:r w:rsidDel="00000000" w:rsidR="00000000" w:rsidRPr="00000000">
        <w:rPr>
          <w:rtl w:val="0"/>
        </w:rPr>
        <w:t xml:space="preserve">&gt; [Accessed 18 Apr. 2024]</w:t>
      </w:r>
    </w:p>
    <w:p w:rsidR="00000000" w:rsidDel="00000000" w:rsidP="00000000" w:rsidRDefault="00000000" w:rsidRPr="00000000" w14:paraId="00000059">
      <w:pPr>
        <w:rPr/>
      </w:pPr>
      <w:r w:rsidDel="00000000" w:rsidR="00000000" w:rsidRPr="00000000">
        <w:rPr>
          <w:rtl w:val="0"/>
        </w:rPr>
      </w:r>
    </w:p>
    <w:p w:rsidR="00000000" w:rsidDel="00000000" w:rsidP="00000000" w:rsidRDefault="00000000" w:rsidRPr="00000000" w14:paraId="0000005A">
      <w:pPr>
        <w:rPr/>
      </w:pPr>
      <w:r w:rsidDel="00000000" w:rsidR="00000000" w:rsidRPr="00000000">
        <w:rPr>
          <w:rtl w:val="0"/>
        </w:rPr>
        <w:t xml:space="preserve">Ucko, P.J. (1962) ‘The Interpretation of Prehistoric Anthropomorphic Figurines’ </w:t>
      </w:r>
      <w:r w:rsidDel="00000000" w:rsidR="00000000" w:rsidRPr="00000000">
        <w:rPr>
          <w:i w:val="1"/>
          <w:rtl w:val="0"/>
        </w:rPr>
        <w:t xml:space="preserve">The Journal of the Royal Anthropological Institute of Great Britain and Ireland </w:t>
      </w:r>
      <w:r w:rsidDel="00000000" w:rsidR="00000000" w:rsidRPr="00000000">
        <w:rPr>
          <w:rtl w:val="0"/>
        </w:rPr>
        <w:t xml:space="preserve">Vol.92 no.1 pp.38-54 Available at: &lt;</w:t>
      </w:r>
      <w:hyperlink r:id="rId15">
        <w:r w:rsidDel="00000000" w:rsidR="00000000" w:rsidRPr="00000000">
          <w:rPr>
            <w:color w:val="1155cc"/>
            <w:u w:val="single"/>
            <w:rtl w:val="0"/>
          </w:rPr>
          <w:t xml:space="preserve">https://www.academia.edu/23184133/The_Interpretation_of_Prehistoric_Anthropomorphic_Figurines</w:t>
        </w:r>
      </w:hyperlink>
      <w:r w:rsidDel="00000000" w:rsidR="00000000" w:rsidRPr="00000000">
        <w:rPr>
          <w:rtl w:val="0"/>
        </w:rPr>
        <w:t xml:space="preserve">&gt; [Accessed 11 May 2024] </w:t>
      </w:r>
    </w:p>
    <w:p w:rsidR="00000000" w:rsidDel="00000000" w:rsidP="00000000" w:rsidRDefault="00000000" w:rsidRPr="00000000" w14:paraId="0000005B">
      <w:pPr>
        <w:rPr/>
      </w:pPr>
      <w:r w:rsidDel="00000000" w:rsidR="00000000" w:rsidRPr="00000000">
        <w:rPr>
          <w:rtl w:val="0"/>
        </w:rPr>
      </w:r>
    </w:p>
    <w:p w:rsidR="00000000" w:rsidDel="00000000" w:rsidP="00000000" w:rsidRDefault="00000000" w:rsidRPr="00000000" w14:paraId="0000005C">
      <w:pPr>
        <w:rPr/>
      </w:pPr>
      <w:r w:rsidDel="00000000" w:rsidR="00000000" w:rsidRPr="00000000">
        <w:rPr>
          <w:rtl w:val="0"/>
        </w:rPr>
        <w:t xml:space="preserve">‌Werness, H.B. (2004). </w:t>
      </w:r>
      <w:r w:rsidDel="00000000" w:rsidR="00000000" w:rsidRPr="00000000">
        <w:rPr>
          <w:i w:val="1"/>
          <w:rtl w:val="0"/>
        </w:rPr>
        <w:t xml:space="preserve">The Continuum Encyclopedia of Animal Symbolism in Art.</w:t>
      </w:r>
      <w:r w:rsidDel="00000000" w:rsidR="00000000" w:rsidRPr="00000000">
        <w:rPr>
          <w:rtl w:val="0"/>
        </w:rPr>
        <w:t xml:space="preserve"> [online] Google Books. A&amp;C Black. Available at: &lt;</w:t>
      </w:r>
      <w:hyperlink r:id="rId16">
        <w:r w:rsidDel="00000000" w:rsidR="00000000" w:rsidRPr="00000000">
          <w:rPr>
            <w:color w:val="1155cc"/>
            <w:u w:val="single"/>
            <w:rtl w:val="0"/>
          </w:rPr>
          <w:t xml:space="preserve">https://books.google.co.uk/books?hl=en&amp;lr=&amp;id=fr2rANLrPmoC&amp;oi=fnd&amp;pg=PR1&amp;dq=symbology+within+art+ancient+near+east&amp;ots=epEcVCFCHM&amp;sig=xf3xZNfN9_0SaGyySdbCxQKk2cY&amp;redir_esc=y#v=onepage&amp;q=bronze&amp;f=false</w:t>
        </w:r>
      </w:hyperlink>
      <w:r w:rsidDel="00000000" w:rsidR="00000000" w:rsidRPr="00000000">
        <w:rPr>
          <w:rtl w:val="0"/>
        </w:rPr>
        <w:t xml:space="preserve">&gt; [Accessed 25 Apr. 2024]. </w:t>
      </w:r>
    </w:p>
    <w:p w:rsidR="00000000" w:rsidDel="00000000" w:rsidP="00000000" w:rsidRDefault="00000000" w:rsidRPr="00000000" w14:paraId="0000005D">
      <w:pPr>
        <w:rPr/>
      </w:pPr>
      <w:r w:rsidDel="00000000" w:rsidR="00000000" w:rsidRPr="00000000">
        <w:rPr>
          <w:rtl w:val="0"/>
        </w:rPr>
      </w:r>
    </w:p>
    <w:p w:rsidR="00000000" w:rsidDel="00000000" w:rsidP="00000000" w:rsidRDefault="00000000" w:rsidRPr="00000000" w14:paraId="0000005E">
      <w:pPr>
        <w:rPr/>
      </w:pPr>
      <w:r w:rsidDel="00000000" w:rsidR="00000000" w:rsidRPr="00000000">
        <w:rPr>
          <w:rtl w:val="0"/>
        </w:rPr>
        <w:t xml:space="preserve">Westley, F.R. and Folke, C. (2018). ‘</w:t>
      </w:r>
      <w:r w:rsidDel="00000000" w:rsidR="00000000" w:rsidRPr="00000000">
        <w:rPr>
          <w:rtl w:val="0"/>
        </w:rPr>
        <w:t xml:space="preserve">Iconic images, symbols, and archetypes: their function in art and science</w:t>
      </w:r>
      <w:r w:rsidDel="00000000" w:rsidR="00000000" w:rsidRPr="00000000">
        <w:rPr>
          <w:i w:val="1"/>
          <w:rtl w:val="0"/>
        </w:rPr>
        <w:t xml:space="preserve">.</w:t>
      </w:r>
      <w:r w:rsidDel="00000000" w:rsidR="00000000" w:rsidRPr="00000000">
        <w:rPr>
          <w:rtl w:val="0"/>
        </w:rPr>
        <w:t xml:space="preserve">’</w:t>
      </w:r>
      <w:r w:rsidDel="00000000" w:rsidR="00000000" w:rsidRPr="00000000">
        <w:rPr>
          <w:i w:val="1"/>
          <w:rtl w:val="0"/>
        </w:rPr>
        <w:t xml:space="preserve"> Ecology and Society</w:t>
      </w:r>
      <w:r w:rsidDel="00000000" w:rsidR="00000000" w:rsidRPr="00000000">
        <w:rPr>
          <w:rtl w:val="0"/>
        </w:rPr>
        <w:t xml:space="preserve">, [online] 23(4). Available at: &lt;</w:t>
      </w:r>
      <w:hyperlink r:id="rId17">
        <w:r w:rsidDel="00000000" w:rsidR="00000000" w:rsidRPr="00000000">
          <w:rPr>
            <w:color w:val="1155cc"/>
            <w:u w:val="single"/>
            <w:rtl w:val="0"/>
          </w:rPr>
          <w:t xml:space="preserve">https://www.jstor.org/stable/26796894?seq=1</w:t>
        </w:r>
      </w:hyperlink>
      <w:r w:rsidDel="00000000" w:rsidR="00000000" w:rsidRPr="00000000">
        <w:rPr>
          <w:rtl w:val="0"/>
        </w:rPr>
        <w:t xml:space="preserve">.&gt; [Accessed 05 May 2024] </w:t>
      </w:r>
    </w:p>
    <w:p w:rsidR="00000000" w:rsidDel="00000000" w:rsidP="00000000" w:rsidRDefault="00000000" w:rsidRPr="00000000" w14:paraId="0000005F">
      <w:pPr>
        <w:rPr/>
      </w:pPr>
      <w:r w:rsidDel="00000000" w:rsidR="00000000" w:rsidRPr="00000000">
        <w:rPr>
          <w:rtl w:val="0"/>
        </w:rPr>
      </w:r>
    </w:p>
    <w:p w:rsidR="00000000" w:rsidDel="00000000" w:rsidP="00000000" w:rsidRDefault="00000000" w:rsidRPr="00000000" w14:paraId="00000060">
      <w:pPr>
        <w:rPr/>
      </w:pPr>
      <w:r w:rsidDel="00000000" w:rsidR="00000000" w:rsidRPr="00000000">
        <w:rPr>
          <w:rtl w:val="0"/>
        </w:rPr>
        <w:t xml:space="preserve">Winter, I.J. (2009) ‘Chapter Nineteen. Sex, Rhetoric, And The Public Monument: The Alluring Body Of Naram-Sîn Of Agade’, in </w:t>
      </w:r>
      <w:r w:rsidDel="00000000" w:rsidR="00000000" w:rsidRPr="00000000">
        <w:rPr>
          <w:i w:val="1"/>
          <w:rtl w:val="0"/>
        </w:rPr>
        <w:t xml:space="preserve">On Art in the Ancient Near East, Volume 2 From the Third Millennium BCE</w:t>
      </w:r>
      <w:r w:rsidDel="00000000" w:rsidR="00000000" w:rsidRPr="00000000">
        <w:rPr>
          <w:rtl w:val="0"/>
        </w:rPr>
        <w:t xml:space="preserve">. United States: BRILL, pp. 85–107. Available at: &lt;</w:t>
      </w:r>
      <w:hyperlink r:id="rId18">
        <w:r w:rsidDel="00000000" w:rsidR="00000000" w:rsidRPr="00000000">
          <w:rPr>
            <w:color w:val="1155cc"/>
            <w:u w:val="single"/>
            <w:rtl w:val="0"/>
          </w:rPr>
          <w:t xml:space="preserve">https://doi.org/10.1163/ej.9789004174993.i-542.15</w:t>
        </w:r>
      </w:hyperlink>
      <w:r w:rsidDel="00000000" w:rsidR="00000000" w:rsidRPr="00000000">
        <w:rPr>
          <w:rtl w:val="0"/>
        </w:rPr>
        <w:t xml:space="preserve">.&gt; [Accessed 5 May 2024]</w:t>
      </w:r>
    </w:p>
    <w:p w:rsidR="00000000" w:rsidDel="00000000" w:rsidP="00000000" w:rsidRDefault="00000000" w:rsidRPr="00000000" w14:paraId="00000061">
      <w:pPr>
        <w:rPr/>
      </w:pPr>
      <w:r w:rsidDel="00000000" w:rsidR="00000000" w:rsidRPr="00000000">
        <w:rPr>
          <w:rtl w:val="0"/>
        </w:rPr>
      </w:r>
    </w:p>
    <w:p w:rsidR="00000000" w:rsidDel="00000000" w:rsidP="00000000" w:rsidRDefault="00000000" w:rsidRPr="00000000" w14:paraId="00000062">
      <w:pPr>
        <w:rPr/>
      </w:pPr>
      <w:r w:rsidDel="00000000" w:rsidR="00000000" w:rsidRPr="00000000">
        <w:rPr>
          <w:rtl w:val="0"/>
        </w:rPr>
        <w:t xml:space="preserve">Yener, K. A., Hoffner Jr, H. A., Alexander, R. L., Archi, A., Beckman, G., Haroutunian, H., Van Den Hout, T., Imparati, F., et al. (2002) </w:t>
      </w:r>
      <w:r w:rsidDel="00000000" w:rsidR="00000000" w:rsidRPr="00000000">
        <w:rPr>
          <w:i w:val="1"/>
          <w:rtl w:val="0"/>
        </w:rPr>
        <w:t xml:space="preserve">Recent Developments in Hittite Archaeology and History:Papers in Memory of Hans G. Guterbock </w:t>
      </w:r>
      <w:r w:rsidDel="00000000" w:rsidR="00000000" w:rsidRPr="00000000">
        <w:rPr>
          <w:rtl w:val="0"/>
        </w:rPr>
        <w:t xml:space="preserve">Eisenbrauns </w:t>
      </w:r>
    </w:p>
    <w:p w:rsidR="00000000" w:rsidDel="00000000" w:rsidP="00000000" w:rsidRDefault="00000000" w:rsidRPr="00000000" w14:paraId="00000063">
      <w:pPr>
        <w:rPr/>
      </w:pPr>
      <w:r w:rsidDel="00000000" w:rsidR="00000000" w:rsidRPr="00000000">
        <w:rPr>
          <w:rtl w:val="0"/>
        </w:rPr>
        <w:t xml:space="preserve">‌</w:t>
      </w:r>
    </w:p>
    <w:p w:rsidR="00000000" w:rsidDel="00000000" w:rsidP="00000000" w:rsidRDefault="00000000" w:rsidRPr="00000000" w14:paraId="00000064">
      <w:pPr>
        <w:rPr>
          <w:b w:val="1"/>
        </w:rPr>
      </w:pPr>
      <w:r w:rsidDel="00000000" w:rsidR="00000000" w:rsidRPr="00000000">
        <w:rPr>
          <w:b w:val="1"/>
          <w:rtl w:val="0"/>
        </w:rPr>
        <w:t xml:space="preserve">Picture references </w:t>
      </w:r>
    </w:p>
    <w:p w:rsidR="00000000" w:rsidDel="00000000" w:rsidP="00000000" w:rsidRDefault="00000000" w:rsidRPr="00000000" w14:paraId="00000065">
      <w:pPr>
        <w:rPr>
          <w:b w:val="1"/>
        </w:rPr>
      </w:pPr>
      <w:r w:rsidDel="00000000" w:rsidR="00000000" w:rsidRPr="00000000">
        <w:rPr>
          <w:rtl w:val="0"/>
        </w:rPr>
      </w:r>
    </w:p>
    <w:p w:rsidR="00000000" w:rsidDel="00000000" w:rsidP="00000000" w:rsidRDefault="00000000" w:rsidRPr="00000000" w14:paraId="00000066">
      <w:pPr>
        <w:rPr/>
      </w:pPr>
      <w:r w:rsidDel="00000000" w:rsidR="00000000" w:rsidRPr="00000000">
        <w:rPr>
          <w:b w:val="1"/>
          <w:rtl w:val="0"/>
        </w:rPr>
        <w:t xml:space="preserve">Figure 1 </w:t>
      </w:r>
      <w:r w:rsidDel="00000000" w:rsidR="00000000" w:rsidRPr="00000000">
        <w:rPr>
          <w:rtl w:val="0"/>
        </w:rPr>
        <w:t xml:space="preserve">- Metropolitan Museum of Art (no date) </w:t>
      </w:r>
      <w:r w:rsidDel="00000000" w:rsidR="00000000" w:rsidRPr="00000000">
        <w:rPr>
          <w:i w:val="1"/>
          <w:rtl w:val="0"/>
        </w:rPr>
        <w:t xml:space="preserve">Standing male worship</w:t>
      </w:r>
      <w:r w:rsidDel="00000000" w:rsidR="00000000" w:rsidRPr="00000000">
        <w:rPr>
          <w:rtl w:val="0"/>
        </w:rPr>
        <w:t xml:space="preserve">[</w:t>
      </w:r>
      <w:r w:rsidDel="00000000" w:rsidR="00000000" w:rsidRPr="00000000">
        <w:rPr>
          <w:i w:val="1"/>
          <w:rtl w:val="0"/>
        </w:rPr>
        <w:t xml:space="preserve">p</w:t>
      </w:r>
      <w:r w:rsidDel="00000000" w:rsidR="00000000" w:rsidRPr="00000000">
        <w:rPr>
          <w:rtl w:val="0"/>
        </w:rPr>
        <w:t xml:space="preserve">]</w:t>
      </w:r>
      <w:r w:rsidDel="00000000" w:rsidR="00000000" w:rsidRPr="00000000">
        <w:rPr>
          <w:i w:val="1"/>
          <w:rtl w:val="0"/>
        </w:rPr>
        <w:t xml:space="preserve">er </w:t>
      </w:r>
      <w:r w:rsidDel="00000000" w:rsidR="00000000" w:rsidRPr="00000000">
        <w:rPr>
          <w:rtl w:val="0"/>
        </w:rPr>
        <w:t xml:space="preserve">[photograph] Wikimedia Commons, Wikipedia &lt;</w:t>
      </w:r>
      <w:hyperlink r:id="rId19">
        <w:r w:rsidDel="00000000" w:rsidR="00000000" w:rsidRPr="00000000">
          <w:rPr>
            <w:color w:val="1155cc"/>
            <w:u w:val="single"/>
            <w:rtl w:val="0"/>
          </w:rPr>
          <w:t xml:space="preserve">https://commons.wikimedia.org/wiki/File:Standing_male_worshiper_MET_DT850.jpg</w:t>
        </w:r>
      </w:hyperlink>
      <w:r w:rsidDel="00000000" w:rsidR="00000000" w:rsidRPr="00000000">
        <w:rPr>
          <w:rtl w:val="0"/>
        </w:rPr>
        <w:t xml:space="preserve">&gt; [Accessed 11 May 2024] </w:t>
      </w:r>
    </w:p>
    <w:p w:rsidR="00000000" w:rsidDel="00000000" w:rsidP="00000000" w:rsidRDefault="00000000" w:rsidRPr="00000000" w14:paraId="00000067">
      <w:pPr>
        <w:rPr>
          <w:b w:val="1"/>
        </w:rPr>
      </w:pPr>
      <w:r w:rsidDel="00000000" w:rsidR="00000000" w:rsidRPr="00000000">
        <w:rPr>
          <w:rtl w:val="0"/>
        </w:rPr>
      </w:r>
    </w:p>
    <w:p w:rsidR="00000000" w:rsidDel="00000000" w:rsidP="00000000" w:rsidRDefault="00000000" w:rsidRPr="00000000" w14:paraId="00000068">
      <w:pPr>
        <w:rPr/>
      </w:pPr>
      <w:r w:rsidDel="00000000" w:rsidR="00000000" w:rsidRPr="00000000">
        <w:rPr>
          <w:b w:val="1"/>
          <w:rtl w:val="0"/>
        </w:rPr>
        <w:t xml:space="preserve">Figure 2 </w:t>
      </w:r>
      <w:r w:rsidDel="00000000" w:rsidR="00000000" w:rsidRPr="00000000">
        <w:rPr>
          <w:rtl w:val="0"/>
        </w:rPr>
        <w:t xml:space="preserve">- Dalbéra, J. P. (2002) </w:t>
      </w:r>
      <w:r w:rsidDel="00000000" w:rsidR="00000000" w:rsidRPr="00000000">
        <w:rPr>
          <w:i w:val="1"/>
          <w:rtl w:val="0"/>
        </w:rPr>
        <w:t xml:space="preserve">La tombe de Horemheb (KV.57) (Vallée des Rois Thèbes ouest) </w:t>
      </w:r>
      <w:r w:rsidDel="00000000" w:rsidR="00000000" w:rsidRPr="00000000">
        <w:rPr>
          <w:rtl w:val="0"/>
        </w:rPr>
        <w:t xml:space="preserve">[photograph] Wikimedia Commons, Wikipedia &lt;</w:t>
      </w:r>
      <w:hyperlink r:id="rId20">
        <w:r w:rsidDel="00000000" w:rsidR="00000000" w:rsidRPr="00000000">
          <w:rPr>
            <w:color w:val="1155cc"/>
            <w:u w:val="single"/>
            <w:rtl w:val="0"/>
          </w:rPr>
          <w:t xml:space="preserve">https://commons.wikimedia.org/wiki/File:La_tombe_de_Horemheb_(KV.57)_(Vallée_des_Rois_Thèbes_ouest)_-4.jpg</w:t>
        </w:r>
      </w:hyperlink>
      <w:r w:rsidDel="00000000" w:rsidR="00000000" w:rsidRPr="00000000">
        <w:rPr>
          <w:rtl w:val="0"/>
        </w:rPr>
        <w:t xml:space="preserve">&gt; [Accessed 15 May 2024] </w:t>
      </w:r>
    </w:p>
    <w:p w:rsidR="00000000" w:rsidDel="00000000" w:rsidP="00000000" w:rsidRDefault="00000000" w:rsidRPr="00000000" w14:paraId="00000069">
      <w:pPr>
        <w:rPr/>
      </w:pPr>
      <w:r w:rsidDel="00000000" w:rsidR="00000000" w:rsidRPr="00000000">
        <w:rPr>
          <w:rtl w:val="0"/>
        </w:rPr>
      </w:r>
    </w:p>
    <w:p w:rsidR="00000000" w:rsidDel="00000000" w:rsidP="00000000" w:rsidRDefault="00000000" w:rsidRPr="00000000" w14:paraId="0000006A">
      <w:pPr>
        <w:rPr/>
      </w:pPr>
      <w:r w:rsidDel="00000000" w:rsidR="00000000" w:rsidRPr="00000000">
        <w:rPr>
          <w:b w:val="1"/>
          <w:rtl w:val="0"/>
        </w:rPr>
        <w:t xml:space="preserve">Figure 3 </w:t>
      </w:r>
      <w:r w:rsidDel="00000000" w:rsidR="00000000" w:rsidRPr="00000000">
        <w:rPr>
          <w:rtl w:val="0"/>
        </w:rPr>
        <w:t xml:space="preserve">- Athens Insiders (no date) </w:t>
      </w:r>
      <w:r w:rsidDel="00000000" w:rsidR="00000000" w:rsidRPr="00000000">
        <w:rPr>
          <w:i w:val="1"/>
          <w:rtl w:val="0"/>
        </w:rPr>
        <w:t xml:space="preserve">Variety of Shapes</w:t>
      </w:r>
      <w:r w:rsidDel="00000000" w:rsidR="00000000" w:rsidRPr="00000000">
        <w:rPr>
          <w:rtl w:val="0"/>
        </w:rPr>
        <w:t xml:space="preserve"> Athens Insiders &lt;</w:t>
      </w:r>
      <w:hyperlink r:id="rId21">
        <w:r w:rsidDel="00000000" w:rsidR="00000000" w:rsidRPr="00000000">
          <w:rPr>
            <w:color w:val="1155cc"/>
            <w:u w:val="single"/>
            <w:rtl w:val="0"/>
          </w:rPr>
          <w:t xml:space="preserve">https://www.athensinsiders.com/blog/cycladic-figurines-the-most-evocative-image-of-aegean</w:t>
        </w:r>
      </w:hyperlink>
      <w:r w:rsidDel="00000000" w:rsidR="00000000" w:rsidRPr="00000000">
        <w:rPr>
          <w:rtl w:val="0"/>
        </w:rPr>
        <w:t xml:space="preserve">&gt; [Accessed 19 May 2024] </w:t>
      </w:r>
    </w:p>
    <w:p w:rsidR="00000000" w:rsidDel="00000000" w:rsidP="00000000" w:rsidRDefault="00000000" w:rsidRPr="00000000" w14:paraId="0000006B">
      <w:pPr>
        <w:rPr>
          <w:b w:val="1"/>
        </w:rPr>
      </w:pPr>
      <w:r w:rsidDel="00000000" w:rsidR="00000000" w:rsidRPr="00000000">
        <w:rPr>
          <w:rtl w:val="0"/>
        </w:rPr>
      </w:r>
    </w:p>
    <w:p w:rsidR="00000000" w:rsidDel="00000000" w:rsidP="00000000" w:rsidRDefault="00000000" w:rsidRPr="00000000" w14:paraId="0000006C">
      <w:pPr>
        <w:rPr/>
      </w:pPr>
      <w:r w:rsidDel="00000000" w:rsidR="00000000" w:rsidRPr="00000000">
        <w:rPr>
          <w:b w:val="1"/>
          <w:rtl w:val="0"/>
        </w:rPr>
        <w:t xml:space="preserve">Figure 4 </w:t>
      </w:r>
      <w:r w:rsidDel="00000000" w:rsidR="00000000" w:rsidRPr="00000000">
        <w:rPr>
          <w:rtl w:val="0"/>
        </w:rPr>
        <w:t xml:space="preserve">- Metropolitan Museum of Art (no date) </w:t>
      </w:r>
      <w:r w:rsidDel="00000000" w:rsidR="00000000" w:rsidRPr="00000000">
        <w:rPr>
          <w:i w:val="1"/>
          <w:rtl w:val="0"/>
        </w:rPr>
        <w:t xml:space="preserve">Human-headed winged lion (lamassu) </w:t>
      </w:r>
      <w:r w:rsidDel="00000000" w:rsidR="00000000" w:rsidRPr="00000000">
        <w:rPr>
          <w:rtl w:val="0"/>
        </w:rPr>
        <w:t xml:space="preserve">[photograph] Metropolitan Museum of Art &lt;</w:t>
      </w:r>
      <w:hyperlink r:id="rId22">
        <w:r w:rsidDel="00000000" w:rsidR="00000000" w:rsidRPr="00000000">
          <w:rPr>
            <w:color w:val="1155cc"/>
            <w:u w:val="single"/>
            <w:rtl w:val="0"/>
          </w:rPr>
          <w:t xml:space="preserve">https://www.metmuseum.org/art/collection/search/322609</w:t>
        </w:r>
      </w:hyperlink>
      <w:r w:rsidDel="00000000" w:rsidR="00000000" w:rsidRPr="00000000">
        <w:rPr>
          <w:rtl w:val="0"/>
        </w:rPr>
        <w:t xml:space="preserve">&gt; [Accessed 19 May 2024] </w:t>
      </w:r>
    </w:p>
    <w:p w:rsidR="00000000" w:rsidDel="00000000" w:rsidP="00000000" w:rsidRDefault="00000000" w:rsidRPr="00000000" w14:paraId="0000006D">
      <w:pPr>
        <w:rPr/>
      </w:pPr>
      <w:r w:rsidDel="00000000" w:rsidR="00000000" w:rsidRPr="00000000">
        <w:rPr>
          <w:rtl w:val="0"/>
        </w:rPr>
      </w:r>
    </w:p>
    <w:p w:rsidR="00000000" w:rsidDel="00000000" w:rsidP="00000000" w:rsidRDefault="00000000" w:rsidRPr="00000000" w14:paraId="0000006E">
      <w:pPr>
        <w:rPr/>
      </w:pPr>
      <w:r w:rsidDel="00000000" w:rsidR="00000000" w:rsidRPr="00000000">
        <w:rPr>
          <w:b w:val="1"/>
          <w:rtl w:val="0"/>
        </w:rPr>
        <w:t xml:space="preserve">Figure 5 </w:t>
      </w:r>
      <w:r w:rsidDel="00000000" w:rsidR="00000000" w:rsidRPr="00000000">
        <w:rPr>
          <w:rtl w:val="0"/>
        </w:rPr>
        <w:t xml:space="preserve">- Metropolitan Museum of Art (no date) </w:t>
      </w:r>
      <w:r w:rsidDel="00000000" w:rsidR="00000000" w:rsidRPr="00000000">
        <w:rPr>
          <w:i w:val="1"/>
          <w:rtl w:val="0"/>
        </w:rPr>
        <w:t xml:space="preserve">Relief Panel </w:t>
      </w:r>
      <w:r w:rsidDel="00000000" w:rsidR="00000000" w:rsidRPr="00000000">
        <w:rPr>
          <w:rtl w:val="0"/>
        </w:rPr>
        <w:t xml:space="preserve">[photograph] Metropolitan Museum of Art &lt;</w:t>
      </w:r>
      <w:hyperlink r:id="rId23">
        <w:r w:rsidDel="00000000" w:rsidR="00000000" w:rsidRPr="00000000">
          <w:rPr>
            <w:color w:val="1155cc"/>
            <w:u w:val="single"/>
            <w:rtl w:val="0"/>
          </w:rPr>
          <w:t xml:space="preserve">https://www.metmuseum.org/art/collection/search/322491</w:t>
        </w:r>
      </w:hyperlink>
      <w:r w:rsidDel="00000000" w:rsidR="00000000" w:rsidRPr="00000000">
        <w:rPr>
          <w:rtl w:val="0"/>
        </w:rPr>
        <w:t xml:space="preserve">&gt; [Accessed 18 May 2024] </w:t>
      </w:r>
    </w:p>
    <w:p w:rsidR="00000000" w:rsidDel="00000000" w:rsidP="00000000" w:rsidRDefault="00000000" w:rsidRPr="00000000" w14:paraId="0000006F">
      <w:pPr>
        <w:rPr/>
      </w:pPr>
      <w:r w:rsidDel="00000000" w:rsidR="00000000" w:rsidRPr="00000000">
        <w:rPr>
          <w:rtl w:val="0"/>
        </w:rPr>
      </w:r>
    </w:p>
    <w:p w:rsidR="00000000" w:rsidDel="00000000" w:rsidP="00000000" w:rsidRDefault="00000000" w:rsidRPr="00000000" w14:paraId="00000070">
      <w:pPr>
        <w:rPr/>
      </w:pPr>
      <w:r w:rsidDel="00000000" w:rsidR="00000000" w:rsidRPr="00000000">
        <w:rPr>
          <w:b w:val="1"/>
          <w:rtl w:val="0"/>
        </w:rPr>
        <w:t xml:space="preserve">Figure 6 </w:t>
      </w:r>
      <w:r w:rsidDel="00000000" w:rsidR="00000000" w:rsidRPr="00000000">
        <w:rPr>
          <w:rtl w:val="0"/>
        </w:rPr>
        <w:t xml:space="preserve">- Metropolitan Museum of Art (no date) </w:t>
      </w:r>
      <w:r w:rsidDel="00000000" w:rsidR="00000000" w:rsidRPr="00000000">
        <w:rPr>
          <w:i w:val="1"/>
          <w:rtl w:val="0"/>
        </w:rPr>
        <w:t xml:space="preserve">Relief Panel </w:t>
      </w:r>
      <w:r w:rsidDel="00000000" w:rsidR="00000000" w:rsidRPr="00000000">
        <w:rPr>
          <w:rtl w:val="0"/>
        </w:rPr>
        <w:t xml:space="preserve">[photograph] Metropolitan Museum of Art &lt;</w:t>
      </w:r>
      <w:hyperlink r:id="rId24">
        <w:r w:rsidDel="00000000" w:rsidR="00000000" w:rsidRPr="00000000">
          <w:rPr>
            <w:color w:val="1155cc"/>
            <w:u w:val="single"/>
            <w:rtl w:val="0"/>
          </w:rPr>
          <w:t xml:space="preserve">https://www.metmuseum.org/art/collection/search/322595</w:t>
        </w:r>
      </w:hyperlink>
      <w:r w:rsidDel="00000000" w:rsidR="00000000" w:rsidRPr="00000000">
        <w:rPr>
          <w:rtl w:val="0"/>
        </w:rPr>
        <w:t xml:space="preserve">&gt; [Accessed 18 May 2024] </w:t>
      </w:r>
    </w:p>
    <w:p w:rsidR="00000000" w:rsidDel="00000000" w:rsidP="00000000" w:rsidRDefault="00000000" w:rsidRPr="00000000" w14:paraId="00000071">
      <w:pPr>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hyperlink" Target="https://commons.wikimedia.org/wiki/File:La_tombe_de_Horemheb_(KV.57)_(Vall%C3%A9e_des_Rois_Th%C3%A8bes_ouest)_-4.jpg" TargetMode="External"/><Relationship Id="rId11" Type="http://schemas.openxmlformats.org/officeDocument/2006/relationships/image" Target="media/image5.png"/><Relationship Id="rId22" Type="http://schemas.openxmlformats.org/officeDocument/2006/relationships/hyperlink" Target="https://www.metmuseum.org/art/collection/search/322609" TargetMode="External"/><Relationship Id="rId10" Type="http://schemas.openxmlformats.org/officeDocument/2006/relationships/image" Target="media/image2.png"/><Relationship Id="rId21" Type="http://schemas.openxmlformats.org/officeDocument/2006/relationships/hyperlink" Target="https://www.athensinsiders.com/blog/cycladic-figurines-the-most-evocative-image-of-aegean" TargetMode="External"/><Relationship Id="rId13" Type="http://schemas.openxmlformats.org/officeDocument/2006/relationships/hyperlink" Target="https://books.google.co.uk/books?hl=en&amp;lr=&amp;id=mjSqleCqpuIC&amp;oi=fnd&amp;pg=PA1&amp;dq=psychology+of+iconography+and+art&amp;ots=8sUIV1g9se&amp;sig=kBKqv5vqVp2oxo7b5JDpP5lWppk#v=onepage&amp;q&amp;f=false" TargetMode="External"/><Relationship Id="rId24" Type="http://schemas.openxmlformats.org/officeDocument/2006/relationships/hyperlink" Target="https://www.metmuseum.org/art/collection/search/322595" TargetMode="External"/><Relationship Id="rId12" Type="http://schemas.openxmlformats.org/officeDocument/2006/relationships/hyperlink" Target="https://doaj.org/article/e7013a4b8ee44bfd92f17f1e229c5201" TargetMode="External"/><Relationship Id="rId23" Type="http://schemas.openxmlformats.org/officeDocument/2006/relationships/hyperlink" Target="https://www.metmuseum.org/art/collection/search/322491"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3.png"/><Relationship Id="rId15" Type="http://schemas.openxmlformats.org/officeDocument/2006/relationships/hyperlink" Target="https://www.academia.edu/23184133/The_Interpretation_of_Prehistoric_Anthropomorphic_Figurines" TargetMode="External"/><Relationship Id="rId14" Type="http://schemas.openxmlformats.org/officeDocument/2006/relationships/hyperlink" Target="https://www.sciencedirect.com/science/article/abs/pii/S0079612318300050" TargetMode="External"/><Relationship Id="rId17" Type="http://schemas.openxmlformats.org/officeDocument/2006/relationships/hyperlink" Target="https://www.jstor.org/stable/26796894?seq=1" TargetMode="External"/><Relationship Id="rId16" Type="http://schemas.openxmlformats.org/officeDocument/2006/relationships/hyperlink" Target="https://books.google.co.uk/books?hl=en&amp;lr=&amp;id=fr2rANLrPmoC&amp;oi=fnd&amp;pg=PR1&amp;dq=symbology+within+art+ancient+near+east&amp;ots=epEcVCFCHM&amp;sig=xf3xZNfN9_0SaGyySdbCxQKk2cY&amp;redir_esc=y#v=onepage&amp;q=bronze&amp;f=false" TargetMode="External"/><Relationship Id="rId5" Type="http://schemas.openxmlformats.org/officeDocument/2006/relationships/styles" Target="styles.xml"/><Relationship Id="rId19" Type="http://schemas.openxmlformats.org/officeDocument/2006/relationships/hyperlink" Target="https://commons.wikimedia.org/wiki/File:Standing_male_worshiper_MET_DT850.jpg" TargetMode="External"/><Relationship Id="rId6" Type="http://schemas.openxmlformats.org/officeDocument/2006/relationships/image" Target="media/image4.png"/><Relationship Id="rId18" Type="http://schemas.openxmlformats.org/officeDocument/2006/relationships/hyperlink" Target="https://doi.org/10.1163/ej.9789004174993.i-542.15" TargetMode="External"/><Relationship Id="rId7" Type="http://schemas.openxmlformats.org/officeDocument/2006/relationships/image" Target="media/image6.png"/><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