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C1C1A" w:rsidRDefault="008C1C1A">
      <w:bookmarkStart w:id="0" w:name="_Hlk214461187"/>
    </w:p>
    <w:sdt>
      <w:sdtPr>
        <w:id w:val="-1910754429"/>
        <w:docPartObj>
          <w:docPartGallery w:val="AutoText"/>
        </w:docPartObj>
      </w:sdtPr>
      <w:sdtContent>
        <w:p w:rsidR="008C1C1A" w:rsidRDefault="00000000">
          <w:r>
            <w:rPr>
              <w:noProof/>
            </w:rPr>
            <mc:AlternateContent>
              <mc:Choice Requires="wps">
                <w:drawing>
                  <wp:anchor distT="0" distB="0" distL="114300" distR="114300" simplePos="0" relativeHeight="251667456" behindDoc="0" locked="0" layoutInCell="1" allowOverlap="1">
                    <wp:simplePos x="0" y="0"/>
                    <wp:positionH relativeFrom="margin">
                      <wp:align>center</wp:align>
                    </wp:positionH>
                    <wp:positionV relativeFrom="page">
                      <wp:posOffset>320040</wp:posOffset>
                    </wp:positionV>
                    <wp:extent cx="7205345" cy="4709160"/>
                    <wp:effectExtent l="0" t="0" r="14605" b="15240"/>
                    <wp:wrapNone/>
                    <wp:docPr id="468" name="Rectangle 261"/>
                    <wp:cNvGraphicFramePr/>
                    <a:graphic xmlns:a="http://schemas.openxmlformats.org/drawingml/2006/main">
                      <a:graphicData uri="http://schemas.microsoft.com/office/word/2010/wordprocessingShape">
                        <wps:wsp>
                          <wps:cNvSpPr/>
                          <wps:spPr>
                            <a:xfrm>
                              <a:off x="0" y="0"/>
                              <a:ext cx="7205345" cy="470916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rect id="Rectangle 261" o:spid="_x0000_s1026" o:spt="1" style="position:absolute;left:0pt;margin-top:25.2pt;height:370.8pt;width:567.35pt;mso-position-horizontal:center;mso-position-horizontal-relative:margin;mso-position-vertical-relative:page;z-index:251667456;v-text-anchor:middle;mso-width-relative:page;mso-height-relative:page;" fillcolor="#FFFFFF [3212]" filled="t" stroked="t" coordsize="21600,21600" o:gfxdata="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">
                    <v:fill on="t" focussize="0,0"/>
                    <v:stroke weight="1.25pt" color="#2191C9 [1614]" joinstyle="round"/>
                    <v:imagedata o:title=""/>
                    <o:lock v:ext="edit" aspectratio="f"/>
                  </v:rect>
                </w:pict>
              </mc:Fallback>
            </mc:AlternateContent>
          </w:r>
          <w:r>
            <w:rPr>
              <w:noProof/>
            </w:rPr>
            <mc:AlternateContent>
              <mc:Choice Requires="wps">
                <w:drawing>
                  <wp:anchor distT="0" distB="0" distL="114300" distR="114300" simplePos="0" relativeHeight="251668480" behindDoc="0" locked="0" layoutInCell="1" allowOverlap="1">
                    <wp:simplePos x="0" y="0"/>
                    <wp:positionH relativeFrom="rightMargin">
                      <wp:align>left</wp:align>
                    </wp:positionH>
                    <wp:positionV relativeFrom="page">
                      <wp:posOffset>289560</wp:posOffset>
                    </wp:positionV>
                    <wp:extent cx="737870" cy="1082040"/>
                    <wp:effectExtent l="0" t="0" r="5080" b="3810"/>
                    <wp:wrapNone/>
                    <wp:docPr id="467" name="Rectangle 259"/>
                    <wp:cNvGraphicFramePr/>
                    <a:graphic xmlns:a="http://schemas.openxmlformats.org/drawingml/2006/main">
                      <a:graphicData uri="http://schemas.microsoft.com/office/word/2010/wordprocessingShape">
                        <wps:wsp>
                          <wps:cNvSpPr/>
                          <wps:spPr>
                            <a:xfrm>
                              <a:off x="0" y="0"/>
                              <a:ext cx="737870" cy="108204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C1C1A" w:rsidRDefault="00000000">
                                <w:pPr>
                                  <w:spacing w:before="240"/>
                                  <w:jc w:val="center"/>
                                  <w:rPr>
                                    <w:color w:val="FFFFFF" w:themeColor="background1"/>
                                    <w:lang w:val="en-IN"/>
                                  </w:rPr>
                                </w:pPr>
                                <w:r>
                                  <w:rPr>
                                    <w:color w:val="FFFFFF" w:themeColor="background1"/>
                                    <w:lang w:val="en-IN"/>
                                  </w:rPr>
                                  <w:t>2025</w:t>
                                </w:r>
                              </w:p>
                            </w:txbxContent>
                          </wps:txbx>
                          <wps:bodyPr rot="0" spcFirstLastPara="0" vertOverflow="overflow" horzOverflow="overflow" vert="horz" wrap="square" lIns="182880" tIns="182880" rIns="182880" bIns="365760" numCol="1" spcCol="0" rtlCol="0" fromWordArt="0" anchor="b" anchorCtr="0" forceAA="0" compatLnSpc="1">
                            <a:noAutofit/>
                          </wps:bodyPr>
                        </wps:wsp>
                      </a:graphicData>
                    </a:graphic>
                  </wp:anchor>
                </w:drawing>
              </mc:Choice>
              <mc:Fallback>
                <w:pict>
                  <v:rect id="Rectangle 259" o:spid="_x0000_s1026" style="position:absolute;margin-left:0;margin-top:22.8pt;width:58.1pt;height:85.2pt;z-index:251668480;visibility:visible;mso-wrap-style:square;mso-wrap-distance-left:9pt;mso-wrap-distance-top:0;mso-wrap-distance-right:9pt;mso-wrap-distance-bottom:0;mso-position-horizontal:left;mso-position-horizontal-relative:right-margin-area;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" fillcolor="#17406d [3215]" stroked="f" strokeweight="2pt">
                    <v:textbox inset="14.4pt,14.4pt,14.4pt,28.8pt">
                      <w:txbxContent>
                        <w:p w:rsidR="008C1C1A" w:rsidRDefault="00000000">
                          <w:pPr>
                            <w:spacing w:before="240"/>
                            <w:jc w:val="center"/>
                            <w:rPr>
                              <w:color w:val="FFFFFF" w:themeColor="background1"/>
                              <w:lang w:val="en-IN"/>
                            </w:rPr>
                          </w:pPr>
                          <w:r>
                            <w:rPr>
                              <w:color w:val="FFFFFF" w:themeColor="background1"/>
                              <w:lang w:val="en-IN"/>
                            </w:rPr>
                            <w:t>2025</w:t>
                          </w:r>
                        </w:p>
                      </w:txbxContent>
                    </v:textbox>
                    <w10:wrap anchorx="margin" anchory="page"/>
                  </v:rect>
                </w:pict>
              </mc:Fallback>
            </mc:AlternateContent>
          </w:r>
          <w:r>
            <w:rPr>
              <w:noProof/>
            </w:rPr>
            <mc:AlternateContent>
              <mc:Choice Requires="wps">
                <w:drawing>
                  <wp:anchor distT="0" distB="0" distL="114300" distR="114300" simplePos="0" relativeHeight="251670528"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257"/>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8C1C1A" w:rsidRPr="006833C2" w:rsidRDefault="008C1C1A" w:rsidP="003C6E4B">
                                <w:pPr>
                                  <w:jc w:val="both"/>
                                </w:pPr>
                              </w:p>
                            </w:txbxContent>
                          </wps:txbx>
                          <wps:bodyPr rot="0" spcFirstLastPara="0" vertOverflow="overflow" horzOverflow="overflow" vert="horz" wrap="square" lIns="274320" tIns="45720" rIns="274320" bIns="45720" numCol="1" spcCol="0" rtlCol="0" fromWordArt="0" anchor="ctr" anchorCtr="0" forceAA="0" compatLnSpc="1">
                            <a:noAutofit/>
                          </wps:bodyPr>
                        </wps:wsp>
                      </a:graphicData>
                    </a:graphic>
                    <wp14:sizeRelH relativeFrom="page">
                      <wp14:pctWidth>95000</wp14:pctWidth>
                    </wp14:sizeRelH>
                    <wp14:sizeRelV relativeFrom="page">
                      <wp14:pctHeight>95000</wp14:pctHeight>
                    </wp14:sizeRelV>
                  </wp:anchor>
                </w:drawing>
              </mc:Choice>
              <mc:Fallback>
                <w:pict>
                  <v:rect id="Rectangle 257" o:spid="_x0000_s1027" style="position:absolute;margin-left:0;margin-top:0;width:581.4pt;height:752.4pt;z-index:-25164595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" fillcolor="#c7e2fa [660]" stroked="f" strokeweight="2pt">
                    <v:fill color2="#59a9f2 [1940]" rotate="t" focusposition=".5,.5" focussize="" focus="100%" type="gradientRadial"/>
                    <v:textbox inset="21.6pt,,21.6pt">
                      <w:txbxContent>
                        <w:p w:rsidR="008C1C1A" w:rsidRPr="006833C2" w:rsidRDefault="008C1C1A" w:rsidP="003C6E4B">
                          <w:pPr>
                            <w:jc w:val="both"/>
                          </w:pPr>
                        </w:p>
                      </w:txbxContent>
                    </v:textbox>
                    <w10:wrap anchorx="page" anchory="page"/>
                  </v:rect>
                </w:pict>
              </mc:Fallback>
            </mc:AlternateContent>
          </w:r>
        </w:p>
        <w:p w:rsidR="008C1C1A" w:rsidRDefault="001B54F3">
          <w:r>
            <w:rPr>
              <w:noProof/>
            </w:rPr>
            <mc:AlternateContent>
              <mc:Choice Requires="wps">
                <w:drawing>
                  <wp:anchor distT="0" distB="0" distL="114300" distR="114300" simplePos="0" relativeHeight="251671552" behindDoc="0" locked="0" layoutInCell="1" allowOverlap="1">
                    <wp:simplePos x="0" y="0"/>
                    <wp:positionH relativeFrom="column">
                      <wp:posOffset>-714375</wp:posOffset>
                    </wp:positionH>
                    <wp:positionV relativeFrom="paragraph">
                      <wp:posOffset>4852035</wp:posOffset>
                    </wp:positionV>
                    <wp:extent cx="7155180" cy="1333500"/>
                    <wp:effectExtent l="0" t="0" r="26670" b="19050"/>
                    <wp:wrapThrough wrapText="bothSides">
                      <wp:wrapPolygon edited="0">
                        <wp:start x="0" y="0"/>
                        <wp:lineTo x="0" y="21600"/>
                        <wp:lineTo x="21623" y="21600"/>
                        <wp:lineTo x="21623" y="0"/>
                        <wp:lineTo x="0" y="0"/>
                      </wp:wrapPolygon>
                    </wp:wrapThrough>
                    <wp:docPr id="718381863" name="Text Box 13"/>
                    <wp:cNvGraphicFramePr/>
                    <a:graphic xmlns:a="http://schemas.openxmlformats.org/drawingml/2006/main">
                      <a:graphicData uri="http://schemas.microsoft.com/office/word/2010/wordprocessingShape">
                        <wps:wsp>
                          <wps:cNvSpPr txBox="1"/>
                          <wps:spPr>
                            <a:xfrm>
                              <a:off x="0" y="0"/>
                              <a:ext cx="7155180" cy="1333500"/>
                            </a:xfrm>
                            <a:prstGeom prst="rect">
                              <a:avLst/>
                            </a:prstGeom>
                            <a:ln/>
                          </wps:spPr>
                          <wps:style>
                            <a:lnRef idx="2">
                              <a:schemeClr val="accent2"/>
                            </a:lnRef>
                            <a:fillRef idx="1">
                              <a:schemeClr val="lt1"/>
                            </a:fillRef>
                            <a:effectRef idx="0">
                              <a:schemeClr val="accent2"/>
                            </a:effectRef>
                            <a:fontRef idx="minor">
                              <a:schemeClr val="dk1"/>
                            </a:fontRef>
                          </wps:style>
                          <wps:txbx>
                            <w:txbxContent>
                              <w:p w:rsidR="001B54F3" w:rsidRPr="0065036D" w:rsidRDefault="0065036D" w:rsidP="0065036D">
                                <w:pPr>
                                  <w:jc w:val="both"/>
                                  <w:rPr>
                                    <w:rStyle w:val="IntenseReference"/>
                                    <w:rFonts w:ascii="Times New Roman" w:hAnsi="Times New Roman" w:cs="Times New Roman"/>
                                    <w:sz w:val="32"/>
                                    <w:szCs w:val="32"/>
                                  </w:rPr>
                                </w:pPr>
                                <w:r w:rsidRPr="0065036D">
                                  <w:rPr>
                                    <w:rFonts w:ascii="Times New Roman" w:hAnsi="Times New Roman" w:cs="Times New Roman"/>
                                    <w:b/>
                                    <w:bCs/>
                                    <w:sz w:val="32"/>
                                    <w:szCs w:val="32"/>
                                    <w:lang w:val="en-IN"/>
                                  </w:rPr>
                                  <w:t>Topic</w:t>
                                </w:r>
                                <w:r w:rsidRPr="0065036D">
                                  <w:rPr>
                                    <w:rFonts w:ascii="Times New Roman" w:hAnsi="Times New Roman" w:cs="Times New Roman"/>
                                    <w:sz w:val="32"/>
                                    <w:szCs w:val="32"/>
                                    <w:lang w:val="en-IN"/>
                                  </w:rPr>
                                  <w:t xml:space="preserve">: </w:t>
                                </w:r>
                                <w:r w:rsidRPr="0065036D">
                                  <w:rPr>
                                    <w:rStyle w:val="IntenseReference"/>
                                    <w:rFonts w:ascii="Times New Roman" w:hAnsi="Times New Roman" w:cs="Times New Roman"/>
                                    <w:sz w:val="32"/>
                                    <w:szCs w:val="32"/>
                                  </w:rPr>
                                  <w:t>IMPROVING</w:t>
                                </w:r>
                                <w:r w:rsidR="005C77D0" w:rsidRPr="0065036D">
                                  <w:rPr>
                                    <w:rStyle w:val="IntenseReference"/>
                                    <w:rFonts w:ascii="Times New Roman" w:hAnsi="Times New Roman" w:cs="Times New Roman"/>
                                    <w:sz w:val="32"/>
                                    <w:szCs w:val="32"/>
                                  </w:rPr>
                                  <w:t xml:space="preserve"> </w:t>
                                </w:r>
                                <w:r w:rsidR="001B54F3" w:rsidRPr="0065036D">
                                  <w:rPr>
                                    <w:rStyle w:val="IntenseReference"/>
                                    <w:rFonts w:ascii="Times New Roman" w:hAnsi="Times New Roman" w:cs="Times New Roman"/>
                                    <w:sz w:val="32"/>
                                    <w:szCs w:val="32"/>
                                  </w:rPr>
                                  <w:t xml:space="preserve">SUPPLY CHAIN </w:t>
                                </w:r>
                                <w:r w:rsidRPr="0065036D">
                                  <w:rPr>
                                    <w:rStyle w:val="IntenseReference"/>
                                    <w:rFonts w:ascii="Times New Roman" w:hAnsi="Times New Roman" w:cs="Times New Roman"/>
                                    <w:sz w:val="32"/>
                                    <w:szCs w:val="32"/>
                                  </w:rPr>
                                  <w:t>PERFORMANCE AND</w:t>
                                </w:r>
                                <w:r w:rsidR="003C6E4B" w:rsidRPr="0065036D">
                                  <w:rPr>
                                    <w:rStyle w:val="IntenseReference"/>
                                    <w:rFonts w:ascii="Times New Roman" w:hAnsi="Times New Roman" w:cs="Times New Roman"/>
                                    <w:sz w:val="32"/>
                                    <w:szCs w:val="32"/>
                                  </w:rPr>
                                  <w:t xml:space="preserve"> RESILIENCE MEASURE FOR IMPORTED SOFTWOOD TIMBER IN THE UK</w:t>
                                </w:r>
                                <w:r w:rsidR="005C77D0" w:rsidRPr="0065036D">
                                  <w:rPr>
                                    <w:rStyle w:val="IntenseReference"/>
                                    <w:rFonts w:ascii="Times New Roman" w:hAnsi="Times New Roman" w:cs="Times New Roman"/>
                                    <w:sz w:val="32"/>
                                    <w:szCs w:val="32"/>
                                  </w:rPr>
                                  <w:t>.</w:t>
                                </w:r>
                              </w:p>
                              <w:p w:rsidR="0065036D" w:rsidRDefault="0065036D" w:rsidP="0065036D">
                                <w:pPr>
                                  <w:rPr>
                                    <w:rFonts w:ascii="Times New Roman" w:hAnsi="Times New Roman" w:cs="Times New Roman"/>
                                    <w:sz w:val="32"/>
                                    <w:szCs w:val="32"/>
                                    <w:lang w:val="en-IN"/>
                                  </w:rPr>
                                </w:pPr>
                                <w:r>
                                  <w:rPr>
                                    <w:rFonts w:ascii="Times New Roman" w:hAnsi="Times New Roman" w:cs="Times New Roman"/>
                                    <w:sz w:val="32"/>
                                    <w:szCs w:val="32"/>
                                    <w:lang w:val="en-IN"/>
                                  </w:rPr>
                                  <w:t>MODULE CODE: ACHA 7024</w:t>
                                </w:r>
                              </w:p>
                              <w:p w:rsidR="0065036D" w:rsidRDefault="0065036D" w:rsidP="0065036D">
                                <w:pPr>
                                  <w:rPr>
                                    <w:rFonts w:ascii="Times New Roman" w:hAnsi="Times New Roman" w:cs="Times New Roman"/>
                                    <w:sz w:val="32"/>
                                    <w:szCs w:val="32"/>
                                    <w:lang w:val="en-IN"/>
                                  </w:rPr>
                                </w:pPr>
                                <w:r>
                                  <w:rPr>
                                    <w:rFonts w:ascii="Times New Roman" w:hAnsi="Times New Roman" w:cs="Times New Roman"/>
                                    <w:sz w:val="32"/>
                                    <w:szCs w:val="32"/>
                                    <w:lang w:val="en-IN"/>
                                  </w:rPr>
                                  <w:t>STUDENT ID: 2505418</w:t>
                                </w:r>
                              </w:p>
                              <w:p w:rsidR="0065036D" w:rsidRPr="0065036D" w:rsidRDefault="0065036D" w:rsidP="0065036D">
                                <w:pPr>
                                  <w:rPr>
                                    <w:rFonts w:ascii="Times New Roman" w:hAnsi="Times New Roman" w:cs="Times New Roman"/>
                                    <w:sz w:val="32"/>
                                    <w:szCs w:val="32"/>
                                    <w:lang w:val="en-IN"/>
                                  </w:rPr>
                                </w:pPr>
                              </w:p>
                              <w:p w:rsidR="0065036D" w:rsidRPr="0065036D" w:rsidRDefault="0065036D" w:rsidP="0065036D">
                                <w:pPr>
                                  <w:rPr>
                                    <w:lang w:val="en-I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3" o:spid="_x0000_s1028" type="#_x0000_t202" style="position:absolute;margin-left:-56.25pt;margin-top:382.05pt;width:563.4pt;height:1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" fillcolor="white [3201]" strokecolor="#009dd9 [3205]" strokeweight="2pt">
                    <v:textbox>
                      <w:txbxContent>
                        <w:p w:rsidR="001B54F3" w:rsidRPr="0065036D" w:rsidRDefault="0065036D" w:rsidP="0065036D">
                          <w:pPr>
                            <w:jc w:val="both"/>
                            <w:rPr>
                              <w:rStyle w:val="IntenseReference"/>
                              <w:rFonts w:ascii="Times New Roman" w:hAnsi="Times New Roman" w:cs="Times New Roman"/>
                              <w:sz w:val="32"/>
                              <w:szCs w:val="32"/>
                            </w:rPr>
                          </w:pPr>
                          <w:r w:rsidRPr="0065036D">
                            <w:rPr>
                              <w:rFonts w:ascii="Times New Roman" w:hAnsi="Times New Roman" w:cs="Times New Roman"/>
                              <w:b/>
                              <w:bCs/>
                              <w:sz w:val="32"/>
                              <w:szCs w:val="32"/>
                              <w:lang w:val="en-IN"/>
                            </w:rPr>
                            <w:t>Topic</w:t>
                          </w:r>
                          <w:r w:rsidRPr="0065036D">
                            <w:rPr>
                              <w:rFonts w:ascii="Times New Roman" w:hAnsi="Times New Roman" w:cs="Times New Roman"/>
                              <w:sz w:val="32"/>
                              <w:szCs w:val="32"/>
                              <w:lang w:val="en-IN"/>
                            </w:rPr>
                            <w:t xml:space="preserve">: </w:t>
                          </w:r>
                          <w:r w:rsidRPr="0065036D">
                            <w:rPr>
                              <w:rStyle w:val="IntenseReference"/>
                              <w:rFonts w:ascii="Times New Roman" w:hAnsi="Times New Roman" w:cs="Times New Roman"/>
                              <w:sz w:val="32"/>
                              <w:szCs w:val="32"/>
                            </w:rPr>
                            <w:t>IMPROVING</w:t>
                          </w:r>
                          <w:r w:rsidR="005C77D0" w:rsidRPr="0065036D">
                            <w:rPr>
                              <w:rStyle w:val="IntenseReference"/>
                              <w:rFonts w:ascii="Times New Roman" w:hAnsi="Times New Roman" w:cs="Times New Roman"/>
                              <w:sz w:val="32"/>
                              <w:szCs w:val="32"/>
                            </w:rPr>
                            <w:t xml:space="preserve"> </w:t>
                          </w:r>
                          <w:r w:rsidR="001B54F3" w:rsidRPr="0065036D">
                            <w:rPr>
                              <w:rStyle w:val="IntenseReference"/>
                              <w:rFonts w:ascii="Times New Roman" w:hAnsi="Times New Roman" w:cs="Times New Roman"/>
                              <w:sz w:val="32"/>
                              <w:szCs w:val="32"/>
                            </w:rPr>
                            <w:t xml:space="preserve">SUPPLY CHAIN </w:t>
                          </w:r>
                          <w:r w:rsidRPr="0065036D">
                            <w:rPr>
                              <w:rStyle w:val="IntenseReference"/>
                              <w:rFonts w:ascii="Times New Roman" w:hAnsi="Times New Roman" w:cs="Times New Roman"/>
                              <w:sz w:val="32"/>
                              <w:szCs w:val="32"/>
                            </w:rPr>
                            <w:t>PERFORMANCE AND</w:t>
                          </w:r>
                          <w:r w:rsidR="003C6E4B" w:rsidRPr="0065036D">
                            <w:rPr>
                              <w:rStyle w:val="IntenseReference"/>
                              <w:rFonts w:ascii="Times New Roman" w:hAnsi="Times New Roman" w:cs="Times New Roman"/>
                              <w:sz w:val="32"/>
                              <w:szCs w:val="32"/>
                            </w:rPr>
                            <w:t xml:space="preserve"> RESILIENCE MEASURE FOR IMPORTED SOFTWOOD TIMBER IN THE UK</w:t>
                          </w:r>
                          <w:r w:rsidR="005C77D0" w:rsidRPr="0065036D">
                            <w:rPr>
                              <w:rStyle w:val="IntenseReference"/>
                              <w:rFonts w:ascii="Times New Roman" w:hAnsi="Times New Roman" w:cs="Times New Roman"/>
                              <w:sz w:val="32"/>
                              <w:szCs w:val="32"/>
                            </w:rPr>
                            <w:t>.</w:t>
                          </w:r>
                        </w:p>
                        <w:p w:rsidR="0065036D" w:rsidRDefault="0065036D" w:rsidP="0065036D">
                          <w:pPr>
                            <w:rPr>
                              <w:rFonts w:ascii="Times New Roman" w:hAnsi="Times New Roman" w:cs="Times New Roman"/>
                              <w:sz w:val="32"/>
                              <w:szCs w:val="32"/>
                              <w:lang w:val="en-IN"/>
                            </w:rPr>
                          </w:pPr>
                          <w:r>
                            <w:rPr>
                              <w:rFonts w:ascii="Times New Roman" w:hAnsi="Times New Roman" w:cs="Times New Roman"/>
                              <w:sz w:val="32"/>
                              <w:szCs w:val="32"/>
                              <w:lang w:val="en-IN"/>
                            </w:rPr>
                            <w:t>MODULE CODE: ACHA 7024</w:t>
                          </w:r>
                        </w:p>
                        <w:p w:rsidR="0065036D" w:rsidRDefault="0065036D" w:rsidP="0065036D">
                          <w:pPr>
                            <w:rPr>
                              <w:rFonts w:ascii="Times New Roman" w:hAnsi="Times New Roman" w:cs="Times New Roman"/>
                              <w:sz w:val="32"/>
                              <w:szCs w:val="32"/>
                              <w:lang w:val="en-IN"/>
                            </w:rPr>
                          </w:pPr>
                          <w:r>
                            <w:rPr>
                              <w:rFonts w:ascii="Times New Roman" w:hAnsi="Times New Roman" w:cs="Times New Roman"/>
                              <w:sz w:val="32"/>
                              <w:szCs w:val="32"/>
                              <w:lang w:val="en-IN"/>
                            </w:rPr>
                            <w:t>STUDENT ID: 2505418</w:t>
                          </w:r>
                        </w:p>
                        <w:p w:rsidR="0065036D" w:rsidRPr="0065036D" w:rsidRDefault="0065036D" w:rsidP="0065036D">
                          <w:pPr>
                            <w:rPr>
                              <w:rFonts w:ascii="Times New Roman" w:hAnsi="Times New Roman" w:cs="Times New Roman"/>
                              <w:sz w:val="32"/>
                              <w:szCs w:val="32"/>
                              <w:lang w:val="en-IN"/>
                            </w:rPr>
                          </w:pPr>
                        </w:p>
                        <w:p w:rsidR="0065036D" w:rsidRPr="0065036D" w:rsidRDefault="0065036D" w:rsidP="0065036D">
                          <w:pPr>
                            <w:rPr>
                              <w:lang w:val="en-IN"/>
                            </w:rPr>
                          </w:pPr>
                        </w:p>
                      </w:txbxContent>
                    </v:textbox>
                    <w10:wrap type="through"/>
                  </v:shape>
                </w:pict>
              </mc:Fallback>
            </mc:AlternateContent>
          </w:r>
          <w:r>
            <w:rPr>
              <w:noProof/>
            </w:rPr>
            <mc:AlternateContent>
              <mc:Choice Requires="wps">
                <w:drawing>
                  <wp:anchor distT="0" distB="0" distL="114300" distR="114300" simplePos="0" relativeHeight="251669504" behindDoc="0" locked="0" layoutInCell="1" allowOverlap="1">
                    <wp:simplePos x="0" y="0"/>
                    <wp:positionH relativeFrom="margin">
                      <wp:align>center</wp:align>
                    </wp:positionH>
                    <wp:positionV relativeFrom="page">
                      <wp:posOffset>3423920</wp:posOffset>
                    </wp:positionV>
                    <wp:extent cx="7164070" cy="160020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7164070" cy="1600200"/>
                            </a:xfrm>
                            <a:prstGeom prst="rect">
                              <a:avLst/>
                            </a:prstGeom>
                            <a:noFill/>
                            <a:ln w="6350">
                              <a:noFill/>
                            </a:ln>
                            <a:effectLst/>
                          </wps:spPr>
                          <wps:txbx>
                            <w:txbxContent>
                              <w:sdt>
                                <w:sdtPr>
                                  <w:rPr>
                                    <w:rFonts w:ascii="Times New Roman" w:eastAsiaTheme="majorEastAsia" w:hAnsi="Times New Roman" w:cs="Times New Roman"/>
                                    <w:color w:val="0F6FC6" w:themeColor="accent1"/>
                                    <w:sz w:val="72"/>
                                    <w:szCs w:val="72"/>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8C1C1A" w:rsidRDefault="00000000">
                                    <w:pPr>
                                      <w:spacing w:line="240" w:lineRule="auto"/>
                                      <w:rPr>
                                        <w:rFonts w:asciiTheme="majorHAnsi" w:eastAsiaTheme="majorEastAsia" w:hAnsiTheme="majorHAnsi" w:cstheme="majorBidi"/>
                                        <w:color w:val="0F6FC6" w:themeColor="accent1"/>
                                        <w:sz w:val="72"/>
                                        <w:szCs w:val="144"/>
                                      </w:rPr>
                                    </w:pPr>
                                    <w:r w:rsidRPr="0065036D">
                                      <w:rPr>
                                        <w:rFonts w:ascii="Times New Roman" w:eastAsiaTheme="majorEastAsia" w:hAnsi="Times New Roman" w:cs="Times New Roman"/>
                                        <w:color w:val="0F6FC6" w:themeColor="accent1"/>
                                        <w:sz w:val="72"/>
                                        <w:szCs w:val="72"/>
                                        <w:u w:val="single"/>
                                        <w:lang w:val="en-IN"/>
                                      </w:rPr>
                                      <w:t>PROCUREMENT AND SUPPLY CHAIN MANAGEMENT</w:t>
                                    </w:r>
                                  </w:p>
                                </w:sdtContent>
                              </w:sdt>
                              <w:p w:rsidR="008C1C1A" w:rsidRDefault="008C1C1A">
                                <w:pPr>
                                  <w:rPr>
                                    <w:rFonts w:asciiTheme="majorHAnsi" w:eastAsiaTheme="majorEastAsia" w:hAnsiTheme="majorHAnsi" w:cstheme="majorBidi"/>
                                    <w:color w:val="17406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265" o:spid="_x0000_s1029" type="#_x0000_t202" style="position:absolute;margin-left:0;margin-top:269.6pt;width:564.1pt;height:126pt;z-index:251669504;visibility:visible;mso-wrap-style:squar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" filled="f" stroked="f" strokeweight=".5pt">
                    <v:textbox>
                      <w:txbxContent>
                        <w:sdt>
                          <w:sdtPr>
                            <w:rPr>
                              <w:rFonts w:ascii="Times New Roman" w:eastAsiaTheme="majorEastAsia" w:hAnsi="Times New Roman" w:cs="Times New Roman"/>
                              <w:color w:val="0F6FC6" w:themeColor="accent1"/>
                              <w:sz w:val="72"/>
                              <w:szCs w:val="72"/>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8C1C1A" w:rsidRDefault="00000000">
                              <w:pPr>
                                <w:spacing w:line="240" w:lineRule="auto"/>
                                <w:rPr>
                                  <w:rFonts w:asciiTheme="majorHAnsi" w:eastAsiaTheme="majorEastAsia" w:hAnsiTheme="majorHAnsi" w:cstheme="majorBidi"/>
                                  <w:color w:val="0F6FC6" w:themeColor="accent1"/>
                                  <w:sz w:val="72"/>
                                  <w:szCs w:val="144"/>
                                </w:rPr>
                              </w:pPr>
                              <w:r w:rsidRPr="0065036D">
                                <w:rPr>
                                  <w:rFonts w:ascii="Times New Roman" w:eastAsiaTheme="majorEastAsia" w:hAnsi="Times New Roman" w:cs="Times New Roman"/>
                                  <w:color w:val="0F6FC6" w:themeColor="accent1"/>
                                  <w:sz w:val="72"/>
                                  <w:szCs w:val="72"/>
                                  <w:u w:val="single"/>
                                  <w:lang w:val="en-IN"/>
                                </w:rPr>
                                <w:t>PROCUREMENT AND SUPPLY CHAIN MANAGEMENT</w:t>
                              </w:r>
                            </w:p>
                          </w:sdtContent>
                        </w:sdt>
                        <w:p w:rsidR="008C1C1A" w:rsidRDefault="008C1C1A">
                          <w:pPr>
                            <w:rPr>
                              <w:rFonts w:asciiTheme="majorHAnsi" w:eastAsiaTheme="majorEastAsia" w:hAnsiTheme="majorHAnsi" w:cstheme="majorBidi"/>
                              <w:color w:val="17406D" w:themeColor="text2"/>
                              <w:sz w:val="32"/>
                              <w:szCs w:val="40"/>
                            </w:rPr>
                          </w:pPr>
                        </w:p>
                      </w:txbxContent>
                    </v:textbox>
                    <w10:wrap type="square" anchorx="margin" anchory="page"/>
                  </v:shape>
                </w:pict>
              </mc:Fallback>
            </mc:AlternateContent>
          </w:r>
          <w:r>
            <w:br w:type="page"/>
          </w:r>
        </w:p>
      </w:sdtContent>
    </w:sdt>
    <w:sdt>
      <w:sdtPr>
        <w:rPr>
          <w:rFonts w:asciiTheme="minorHAnsi" w:eastAsiaTheme="minorEastAsia" w:hAnsiTheme="minorHAnsi" w:cstheme="minorBidi"/>
          <w:color w:val="auto"/>
          <w:sz w:val="21"/>
          <w:szCs w:val="21"/>
        </w:rPr>
        <w:id w:val="-1499956247"/>
        <w:docPartObj>
          <w:docPartGallery w:val="Table of Contents"/>
          <w:docPartUnique/>
        </w:docPartObj>
      </w:sdtPr>
      <w:sdtEndPr>
        <w:rPr>
          <w:b/>
          <w:bCs/>
        </w:rPr>
      </w:sdtEndPr>
      <w:sdtContent>
        <w:p w:rsidR="008C1C1A" w:rsidRDefault="00000000">
          <w:pPr>
            <w:pStyle w:val="TOCHeading1"/>
            <w:rPr>
              <w:rFonts w:ascii="Times New Roman" w:hAnsi="Times New Roman" w:cs="Times New Roman"/>
              <w:b/>
              <w:bCs/>
              <w:sz w:val="24"/>
              <w:szCs w:val="24"/>
            </w:rPr>
          </w:pPr>
          <w:r>
            <w:rPr>
              <w:b/>
              <w:bCs/>
            </w:rPr>
            <w:t xml:space="preserve"> </w:t>
          </w:r>
          <w:r>
            <w:rPr>
              <w:rFonts w:ascii="Times New Roman" w:hAnsi="Times New Roman" w:cs="Times New Roman"/>
              <w:b/>
              <w:bCs/>
              <w:sz w:val="32"/>
              <w:szCs w:val="32"/>
            </w:rPr>
            <w:t>Table Of Content</w:t>
          </w:r>
        </w:p>
        <w:p w:rsidR="009012B7" w:rsidRDefault="00000000">
          <w:pPr>
            <w:pStyle w:val="TOC1"/>
            <w:rPr>
              <w:rFonts w:asciiTheme="minorHAnsi" w:hAnsiTheme="minorHAnsi" w:cstheme="minorBidi"/>
              <w:b w:val="0"/>
              <w:bCs w:val="0"/>
              <w:noProof/>
              <w:color w:val="auto"/>
              <w:kern w:val="2"/>
              <w:szCs w:val="24"/>
              <w:lang w:val="en-IN" w:eastAsia="en-IN"/>
              <w14:ligatures w14:val="standardContextual"/>
            </w:rPr>
          </w:pPr>
          <w:r>
            <w:rPr>
              <w:szCs w:val="24"/>
            </w:rPr>
            <w:fldChar w:fldCharType="begin"/>
          </w:r>
          <w:r>
            <w:rPr>
              <w:szCs w:val="24"/>
            </w:rPr>
            <w:instrText xml:space="preserve"> TOC \o "1-3" \h \z \u </w:instrText>
          </w:r>
          <w:r>
            <w:rPr>
              <w:szCs w:val="24"/>
            </w:rPr>
            <w:fldChar w:fldCharType="separate"/>
          </w:r>
          <w:hyperlink w:anchor="_Toc214490708" w:history="1">
            <w:r w:rsidR="009012B7" w:rsidRPr="003A412A">
              <w:rPr>
                <w:rStyle w:val="Hyperlink"/>
                <w:noProof/>
              </w:rPr>
              <w:t>1. INTRODUCTION</w:t>
            </w:r>
            <w:r w:rsidR="009012B7">
              <w:rPr>
                <w:noProof/>
                <w:webHidden/>
              </w:rPr>
              <w:tab/>
            </w:r>
            <w:r w:rsidR="009012B7">
              <w:rPr>
                <w:noProof/>
                <w:webHidden/>
              </w:rPr>
              <w:fldChar w:fldCharType="begin"/>
            </w:r>
            <w:r w:rsidR="009012B7">
              <w:rPr>
                <w:noProof/>
                <w:webHidden/>
              </w:rPr>
              <w:instrText xml:space="preserve"> PAGEREF _Toc214490708 \h </w:instrText>
            </w:r>
            <w:r w:rsidR="009012B7">
              <w:rPr>
                <w:noProof/>
                <w:webHidden/>
              </w:rPr>
            </w:r>
            <w:r w:rsidR="009012B7">
              <w:rPr>
                <w:noProof/>
                <w:webHidden/>
              </w:rPr>
              <w:fldChar w:fldCharType="separate"/>
            </w:r>
            <w:r w:rsidR="009012B7">
              <w:rPr>
                <w:noProof/>
                <w:webHidden/>
              </w:rPr>
              <w:t>2</w:t>
            </w:r>
            <w:r w:rsidR="009012B7">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09" w:history="1">
            <w:r w:rsidRPr="003A412A">
              <w:rPr>
                <w:rStyle w:val="Hyperlink"/>
                <w:noProof/>
              </w:rPr>
              <w:t>1.2 METHODOLOGY OUTLINE</w:t>
            </w:r>
            <w:r>
              <w:rPr>
                <w:noProof/>
                <w:webHidden/>
              </w:rPr>
              <w:tab/>
            </w:r>
            <w:r>
              <w:rPr>
                <w:noProof/>
                <w:webHidden/>
              </w:rPr>
              <w:fldChar w:fldCharType="begin"/>
            </w:r>
            <w:r>
              <w:rPr>
                <w:noProof/>
                <w:webHidden/>
              </w:rPr>
              <w:instrText xml:space="preserve"> PAGEREF _Toc214490709 \h </w:instrText>
            </w:r>
            <w:r>
              <w:rPr>
                <w:noProof/>
                <w:webHidden/>
              </w:rPr>
            </w:r>
            <w:r>
              <w:rPr>
                <w:noProof/>
                <w:webHidden/>
              </w:rPr>
              <w:fldChar w:fldCharType="separate"/>
            </w:r>
            <w:r>
              <w:rPr>
                <w:noProof/>
                <w:webHidden/>
              </w:rPr>
              <w:t>3</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0" w:history="1">
            <w:r w:rsidRPr="003A412A">
              <w:rPr>
                <w:rStyle w:val="Hyperlink"/>
                <w:noProof/>
              </w:rPr>
              <w:t>2. FAILURE MODES AND EFFECTS ANALYSIS</w:t>
            </w:r>
            <w:r>
              <w:rPr>
                <w:noProof/>
                <w:webHidden/>
              </w:rPr>
              <w:tab/>
            </w:r>
            <w:r>
              <w:rPr>
                <w:noProof/>
                <w:webHidden/>
              </w:rPr>
              <w:fldChar w:fldCharType="begin"/>
            </w:r>
            <w:r>
              <w:rPr>
                <w:noProof/>
                <w:webHidden/>
              </w:rPr>
              <w:instrText xml:space="preserve"> PAGEREF _Toc214490710 \h </w:instrText>
            </w:r>
            <w:r>
              <w:rPr>
                <w:noProof/>
                <w:webHidden/>
              </w:rPr>
            </w:r>
            <w:r>
              <w:rPr>
                <w:noProof/>
                <w:webHidden/>
              </w:rPr>
              <w:fldChar w:fldCharType="separate"/>
            </w:r>
            <w:r>
              <w:rPr>
                <w:noProof/>
                <w:webHidden/>
              </w:rPr>
              <w:t>4</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1" w:history="1">
            <w:r w:rsidRPr="003A412A">
              <w:rPr>
                <w:rStyle w:val="Hyperlink"/>
                <w:noProof/>
              </w:rPr>
              <w:t>2.1 MODES AND EFFECTS ANALYSIS RESULT</w:t>
            </w:r>
            <w:r>
              <w:rPr>
                <w:noProof/>
                <w:webHidden/>
              </w:rPr>
              <w:tab/>
            </w:r>
            <w:r>
              <w:rPr>
                <w:noProof/>
                <w:webHidden/>
              </w:rPr>
              <w:fldChar w:fldCharType="begin"/>
            </w:r>
            <w:r>
              <w:rPr>
                <w:noProof/>
                <w:webHidden/>
              </w:rPr>
              <w:instrText xml:space="preserve"> PAGEREF _Toc214490711 \h </w:instrText>
            </w:r>
            <w:r>
              <w:rPr>
                <w:noProof/>
                <w:webHidden/>
              </w:rPr>
            </w:r>
            <w:r>
              <w:rPr>
                <w:noProof/>
                <w:webHidden/>
              </w:rPr>
              <w:fldChar w:fldCharType="separate"/>
            </w:r>
            <w:r>
              <w:rPr>
                <w:noProof/>
                <w:webHidden/>
              </w:rPr>
              <w:t>6</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2" w:history="1">
            <w:r w:rsidRPr="003A412A">
              <w:rPr>
                <w:rStyle w:val="Hyperlink"/>
                <w:noProof/>
              </w:rPr>
              <w:t xml:space="preserve">3.  </w:t>
            </w:r>
            <w:r w:rsidRPr="003A412A">
              <w:rPr>
                <w:rStyle w:val="Hyperlink"/>
                <w:noProof/>
                <w:lang w:val="en-IN"/>
              </w:rPr>
              <w:t>SIX STEPS TO ENHANCE SUPPLY CHAIN RESILIENCE</w:t>
            </w:r>
            <w:r>
              <w:rPr>
                <w:noProof/>
                <w:webHidden/>
              </w:rPr>
              <w:tab/>
            </w:r>
            <w:r>
              <w:rPr>
                <w:noProof/>
                <w:webHidden/>
              </w:rPr>
              <w:fldChar w:fldCharType="begin"/>
            </w:r>
            <w:r>
              <w:rPr>
                <w:noProof/>
                <w:webHidden/>
              </w:rPr>
              <w:instrText xml:space="preserve"> PAGEREF _Toc214490712 \h </w:instrText>
            </w:r>
            <w:r>
              <w:rPr>
                <w:noProof/>
                <w:webHidden/>
              </w:rPr>
            </w:r>
            <w:r>
              <w:rPr>
                <w:noProof/>
                <w:webHidden/>
              </w:rPr>
              <w:fldChar w:fldCharType="separate"/>
            </w:r>
            <w:r>
              <w:rPr>
                <w:noProof/>
                <w:webHidden/>
              </w:rPr>
              <w:t>7</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3" w:history="1">
            <w:r w:rsidRPr="003A412A">
              <w:rPr>
                <w:rStyle w:val="Hyperlink"/>
                <w:noProof/>
              </w:rPr>
              <w:t>3.1 ENSURING ORIGIN TIMBER &amp; VERIFICATION IMPORTED SOFTWOOD TIMBER IN UK</w:t>
            </w:r>
            <w:r>
              <w:rPr>
                <w:noProof/>
                <w:webHidden/>
              </w:rPr>
              <w:tab/>
            </w:r>
            <w:r>
              <w:rPr>
                <w:noProof/>
                <w:webHidden/>
              </w:rPr>
              <w:fldChar w:fldCharType="begin"/>
            </w:r>
            <w:r>
              <w:rPr>
                <w:noProof/>
                <w:webHidden/>
              </w:rPr>
              <w:instrText xml:space="preserve"> PAGEREF _Toc214490713 \h </w:instrText>
            </w:r>
            <w:r>
              <w:rPr>
                <w:noProof/>
                <w:webHidden/>
              </w:rPr>
            </w:r>
            <w:r>
              <w:rPr>
                <w:noProof/>
                <w:webHidden/>
              </w:rPr>
              <w:fldChar w:fldCharType="separate"/>
            </w:r>
            <w:r>
              <w:rPr>
                <w:noProof/>
                <w:webHidden/>
              </w:rPr>
              <w:t>7</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4" w:history="1">
            <w:r w:rsidRPr="003A412A">
              <w:rPr>
                <w:rStyle w:val="Hyperlink"/>
                <w:noProof/>
              </w:rPr>
              <w:t>3.2 IMPROVING PORT EFFICIENCY AND SHIPPING FOR SOFTWOOD TIMBER</w:t>
            </w:r>
            <w:r>
              <w:rPr>
                <w:noProof/>
                <w:webHidden/>
              </w:rPr>
              <w:tab/>
            </w:r>
            <w:r>
              <w:rPr>
                <w:noProof/>
                <w:webHidden/>
              </w:rPr>
              <w:fldChar w:fldCharType="begin"/>
            </w:r>
            <w:r>
              <w:rPr>
                <w:noProof/>
                <w:webHidden/>
              </w:rPr>
              <w:instrText xml:space="preserve"> PAGEREF _Toc214490714 \h </w:instrText>
            </w:r>
            <w:r>
              <w:rPr>
                <w:noProof/>
                <w:webHidden/>
              </w:rPr>
            </w:r>
            <w:r>
              <w:rPr>
                <w:noProof/>
                <w:webHidden/>
              </w:rPr>
              <w:fldChar w:fldCharType="separate"/>
            </w:r>
            <w:r>
              <w:rPr>
                <w:noProof/>
                <w:webHidden/>
              </w:rPr>
              <w:t>8</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5" w:history="1">
            <w:r w:rsidRPr="003A412A">
              <w:rPr>
                <w:rStyle w:val="Hyperlink"/>
                <w:noProof/>
              </w:rPr>
              <w:t>3.3 IMPROVING BIOSECURITY FOR SOFTWOOD TIMBER IMPORTS IN THE UK</w:t>
            </w:r>
            <w:r>
              <w:rPr>
                <w:noProof/>
                <w:webHidden/>
              </w:rPr>
              <w:tab/>
            </w:r>
            <w:r>
              <w:rPr>
                <w:noProof/>
                <w:webHidden/>
              </w:rPr>
              <w:fldChar w:fldCharType="begin"/>
            </w:r>
            <w:r>
              <w:rPr>
                <w:noProof/>
                <w:webHidden/>
              </w:rPr>
              <w:instrText xml:space="preserve"> PAGEREF _Toc214490715 \h </w:instrText>
            </w:r>
            <w:r>
              <w:rPr>
                <w:noProof/>
                <w:webHidden/>
              </w:rPr>
            </w:r>
            <w:r>
              <w:rPr>
                <w:noProof/>
                <w:webHidden/>
              </w:rPr>
              <w:fldChar w:fldCharType="separate"/>
            </w:r>
            <w:r>
              <w:rPr>
                <w:noProof/>
                <w:webHidden/>
              </w:rPr>
              <w:t>8</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6" w:history="1">
            <w:r w:rsidRPr="003A412A">
              <w:rPr>
                <w:rStyle w:val="Hyperlink"/>
                <w:noProof/>
              </w:rPr>
              <w:t>3.4 IMPROVING CUSTOMS CONTROLS FOR SOFTWOOD TIMBER IMPORTS IN THE UK</w:t>
            </w:r>
            <w:r>
              <w:rPr>
                <w:noProof/>
                <w:webHidden/>
              </w:rPr>
              <w:tab/>
            </w:r>
            <w:r>
              <w:rPr>
                <w:noProof/>
                <w:webHidden/>
              </w:rPr>
              <w:fldChar w:fldCharType="begin"/>
            </w:r>
            <w:r>
              <w:rPr>
                <w:noProof/>
                <w:webHidden/>
              </w:rPr>
              <w:instrText xml:space="preserve"> PAGEREF _Toc214490716 \h </w:instrText>
            </w:r>
            <w:r>
              <w:rPr>
                <w:noProof/>
                <w:webHidden/>
              </w:rPr>
            </w:r>
            <w:r>
              <w:rPr>
                <w:noProof/>
                <w:webHidden/>
              </w:rPr>
              <w:fldChar w:fldCharType="separate"/>
            </w:r>
            <w:r>
              <w:rPr>
                <w:noProof/>
                <w:webHidden/>
              </w:rPr>
              <w:t>9</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7" w:history="1">
            <w:r w:rsidRPr="003A412A">
              <w:rPr>
                <w:rStyle w:val="Hyperlink"/>
                <w:noProof/>
              </w:rPr>
              <w:t>3.5 IMPROVING GLOBAL PRICE FLUCTUATION FOR SOFTWOOD TIMBER IMPORTED IN THE UK</w:t>
            </w:r>
            <w:r>
              <w:rPr>
                <w:noProof/>
                <w:webHidden/>
              </w:rPr>
              <w:tab/>
            </w:r>
            <w:r>
              <w:rPr>
                <w:noProof/>
                <w:webHidden/>
              </w:rPr>
              <w:fldChar w:fldCharType="begin"/>
            </w:r>
            <w:r>
              <w:rPr>
                <w:noProof/>
                <w:webHidden/>
              </w:rPr>
              <w:instrText xml:space="preserve"> PAGEREF _Toc214490717 \h </w:instrText>
            </w:r>
            <w:r>
              <w:rPr>
                <w:noProof/>
                <w:webHidden/>
              </w:rPr>
            </w:r>
            <w:r>
              <w:rPr>
                <w:noProof/>
                <w:webHidden/>
              </w:rPr>
              <w:fldChar w:fldCharType="separate"/>
            </w:r>
            <w:r>
              <w:rPr>
                <w:noProof/>
                <w:webHidden/>
              </w:rPr>
              <w:t>10</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8" w:history="1">
            <w:r w:rsidRPr="003A412A">
              <w:rPr>
                <w:rStyle w:val="Hyperlink"/>
                <w:noProof/>
              </w:rPr>
              <w:t>3.6 IMPROVING DISTRIBUTION FOR IMPORTED SOFTWOOD TIMBER IN THE UK</w:t>
            </w:r>
            <w:r>
              <w:rPr>
                <w:noProof/>
                <w:webHidden/>
              </w:rPr>
              <w:tab/>
            </w:r>
            <w:r>
              <w:rPr>
                <w:noProof/>
                <w:webHidden/>
              </w:rPr>
              <w:fldChar w:fldCharType="begin"/>
            </w:r>
            <w:r>
              <w:rPr>
                <w:noProof/>
                <w:webHidden/>
              </w:rPr>
              <w:instrText xml:space="preserve"> PAGEREF _Toc214490718 \h </w:instrText>
            </w:r>
            <w:r>
              <w:rPr>
                <w:noProof/>
                <w:webHidden/>
              </w:rPr>
            </w:r>
            <w:r>
              <w:rPr>
                <w:noProof/>
                <w:webHidden/>
              </w:rPr>
              <w:fldChar w:fldCharType="separate"/>
            </w:r>
            <w:r>
              <w:rPr>
                <w:noProof/>
                <w:webHidden/>
              </w:rPr>
              <w:t>11</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19" w:history="1">
            <w:r w:rsidRPr="003A412A">
              <w:rPr>
                <w:rStyle w:val="Hyperlink"/>
                <w:noProof/>
              </w:rPr>
              <w:t>4. CONCLUSION</w:t>
            </w:r>
            <w:r>
              <w:rPr>
                <w:noProof/>
                <w:webHidden/>
              </w:rPr>
              <w:tab/>
            </w:r>
            <w:r>
              <w:rPr>
                <w:noProof/>
                <w:webHidden/>
              </w:rPr>
              <w:fldChar w:fldCharType="begin"/>
            </w:r>
            <w:r>
              <w:rPr>
                <w:noProof/>
                <w:webHidden/>
              </w:rPr>
              <w:instrText xml:space="preserve"> PAGEREF _Toc214490719 \h </w:instrText>
            </w:r>
            <w:r>
              <w:rPr>
                <w:noProof/>
                <w:webHidden/>
              </w:rPr>
            </w:r>
            <w:r>
              <w:rPr>
                <w:noProof/>
                <w:webHidden/>
              </w:rPr>
              <w:fldChar w:fldCharType="separate"/>
            </w:r>
            <w:r>
              <w:rPr>
                <w:noProof/>
                <w:webHidden/>
              </w:rPr>
              <w:t>12</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20" w:history="1">
            <w:r w:rsidRPr="003A412A">
              <w:rPr>
                <w:rStyle w:val="Hyperlink"/>
                <w:noProof/>
              </w:rPr>
              <w:t>4.1 SUGGESTIONS FOR FURTHER WORK/RESEARCH</w:t>
            </w:r>
            <w:r>
              <w:rPr>
                <w:noProof/>
                <w:webHidden/>
              </w:rPr>
              <w:tab/>
            </w:r>
            <w:r>
              <w:rPr>
                <w:noProof/>
                <w:webHidden/>
              </w:rPr>
              <w:fldChar w:fldCharType="begin"/>
            </w:r>
            <w:r>
              <w:rPr>
                <w:noProof/>
                <w:webHidden/>
              </w:rPr>
              <w:instrText xml:space="preserve"> PAGEREF _Toc214490720 \h </w:instrText>
            </w:r>
            <w:r>
              <w:rPr>
                <w:noProof/>
                <w:webHidden/>
              </w:rPr>
            </w:r>
            <w:r>
              <w:rPr>
                <w:noProof/>
                <w:webHidden/>
              </w:rPr>
              <w:fldChar w:fldCharType="separate"/>
            </w:r>
            <w:r>
              <w:rPr>
                <w:noProof/>
                <w:webHidden/>
              </w:rPr>
              <w:t>12</w:t>
            </w:r>
            <w:r>
              <w:rPr>
                <w:noProof/>
                <w:webHidden/>
              </w:rPr>
              <w:fldChar w:fldCharType="end"/>
            </w:r>
          </w:hyperlink>
        </w:p>
        <w:p w:rsidR="009012B7" w:rsidRDefault="009012B7">
          <w:pPr>
            <w:pStyle w:val="TOC1"/>
            <w:rPr>
              <w:rFonts w:asciiTheme="minorHAnsi" w:hAnsiTheme="minorHAnsi" w:cstheme="minorBidi"/>
              <w:b w:val="0"/>
              <w:bCs w:val="0"/>
              <w:noProof/>
              <w:color w:val="auto"/>
              <w:kern w:val="2"/>
              <w:szCs w:val="24"/>
              <w:lang w:val="en-IN" w:eastAsia="en-IN"/>
              <w14:ligatures w14:val="standardContextual"/>
            </w:rPr>
          </w:pPr>
          <w:hyperlink w:anchor="_Toc214490721" w:history="1">
            <w:r w:rsidRPr="003A412A">
              <w:rPr>
                <w:rStyle w:val="Hyperlink"/>
                <w:noProof/>
              </w:rPr>
              <w:t>5. REFERENCES</w:t>
            </w:r>
            <w:r>
              <w:rPr>
                <w:noProof/>
                <w:webHidden/>
              </w:rPr>
              <w:tab/>
            </w:r>
            <w:r>
              <w:rPr>
                <w:noProof/>
                <w:webHidden/>
              </w:rPr>
              <w:fldChar w:fldCharType="begin"/>
            </w:r>
            <w:r>
              <w:rPr>
                <w:noProof/>
                <w:webHidden/>
              </w:rPr>
              <w:instrText xml:space="preserve"> PAGEREF _Toc214490721 \h </w:instrText>
            </w:r>
            <w:r>
              <w:rPr>
                <w:noProof/>
                <w:webHidden/>
              </w:rPr>
            </w:r>
            <w:r>
              <w:rPr>
                <w:noProof/>
                <w:webHidden/>
              </w:rPr>
              <w:fldChar w:fldCharType="separate"/>
            </w:r>
            <w:r>
              <w:rPr>
                <w:noProof/>
                <w:webHidden/>
              </w:rPr>
              <w:t>14</w:t>
            </w:r>
            <w:r>
              <w:rPr>
                <w:noProof/>
                <w:webHidden/>
              </w:rPr>
              <w:fldChar w:fldCharType="end"/>
            </w:r>
          </w:hyperlink>
        </w:p>
        <w:p w:rsidR="008C1C1A" w:rsidRDefault="00000000">
          <w:r>
            <w:rPr>
              <w:rFonts w:ascii="Times New Roman" w:hAnsi="Times New Roman" w:cs="Times New Roman"/>
              <w:b/>
              <w:bCs/>
              <w:sz w:val="24"/>
              <w:szCs w:val="24"/>
            </w:rPr>
            <w:fldChar w:fldCharType="end"/>
          </w:r>
        </w:p>
      </w:sdtContent>
    </w:sdt>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000000">
      <w:r>
        <w:br w:type="page"/>
      </w:r>
    </w:p>
    <w:p w:rsidR="008C1C1A" w:rsidRDefault="00000000">
      <w:pPr>
        <w:pStyle w:val="Heading1"/>
        <w:rPr>
          <w:rFonts w:ascii="Times New Roman" w:hAnsi="Times New Roman" w:cs="Times New Roman"/>
          <w:b/>
          <w:bCs/>
          <w:sz w:val="32"/>
          <w:szCs w:val="32"/>
        </w:rPr>
      </w:pPr>
      <w:bookmarkStart w:id="1" w:name="_Toc214490708"/>
      <w:r>
        <w:rPr>
          <w:rFonts w:ascii="Times New Roman" w:hAnsi="Times New Roman" w:cs="Times New Roman"/>
          <w:b/>
          <w:bCs/>
          <w:sz w:val="32"/>
          <w:szCs w:val="32"/>
        </w:rPr>
        <w:lastRenderedPageBreak/>
        <w:t>1. INTRODUCTION</w:t>
      </w:r>
      <w:bookmarkEnd w:id="1"/>
    </w:p>
    <w:p w:rsidR="008C1C1A" w:rsidRDefault="008C1C1A">
      <w:pPr>
        <w:pStyle w:val="ListParagraph"/>
        <w:rPr>
          <w:rFonts w:ascii="Times New Roman" w:hAnsi="Times New Roman" w:cs="Times New Roman"/>
          <w:sz w:val="24"/>
          <w:szCs w:val="24"/>
        </w:rPr>
      </w:pPr>
    </w:p>
    <w:p w:rsidR="00E95C5C" w:rsidRDefault="00E95C5C" w:rsidP="00E95C5C">
      <w:pPr>
        <w:spacing w:line="360" w:lineRule="auto"/>
        <w:jc w:val="both"/>
        <w:rPr>
          <w:rFonts w:ascii="Times New Roman" w:hAnsi="Times New Roman" w:cs="Times New Roman"/>
          <w:sz w:val="24"/>
          <w:szCs w:val="24"/>
        </w:rPr>
      </w:pPr>
      <w:r>
        <w:rPr>
          <w:rFonts w:ascii="Times New Roman" w:hAnsi="Times New Roman" w:cs="Times New Roman"/>
          <w:sz w:val="24"/>
          <w:szCs w:val="24"/>
        </w:rPr>
        <w:t>The purpose of this report is to examine the UK building sector reliance on imported structural sawn softwood timber, because domestic forests cannot meet national demand for structural products. This growing dependency has made the supply chain more sensitive to global disruption and risks.</w:t>
      </w:r>
    </w:p>
    <w:p w:rsidR="00E95C5C" w:rsidRDefault="00E95C5C" w:rsidP="00E95C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recent years, the construction sector has faced a number of issues with materials due to the covid-19 situation and other factors such as natural disasters and bad weather condition. Overall, these factors can significantly impact local and global supply chain management. Such issues caused vulnerabilities, price fluctuations, risks include shipping and logistics disruption. This study applies failure mode and effects analysis to critically assess these risks and proposes six targeted steps to enhance the resilience of the international supply chain for UK timber imports. </w:t>
      </w:r>
    </w:p>
    <w:p w:rsidR="00E95C5C" w:rsidRDefault="00E95C5C" w:rsidP="00E95C5C">
      <w:pPr>
        <w:spacing w:line="360" w:lineRule="auto"/>
        <w:jc w:val="both"/>
        <w:rPr>
          <w:rFonts w:ascii="Times New Roman" w:hAnsi="Times New Roman" w:cs="Times New Roman"/>
          <w:sz w:val="24"/>
          <w:szCs w:val="24"/>
        </w:rPr>
      </w:pPr>
      <w:r>
        <w:rPr>
          <w:rFonts w:ascii="Times New Roman" w:hAnsi="Times New Roman" w:cs="Times New Roman"/>
          <w:sz w:val="24"/>
          <w:szCs w:val="24"/>
        </w:rPr>
        <w:t>The trade report show that imported sawn softwood continues to supply a major share of the UK construction need, especially for housing, joinery and infrastructure projects. however, the reliability of this supply is challenges by those issues. The projects are totally dependent on supply chain management and quality of raw materials. Maintaining budget and good quality standards are key of the projects. According (Forest research (2024) shows that UK imports of sawn wood stayed high with several million cubic meters brought in). Timber and panel imports have slightly increased mainly due to the more sawn softwood, plywood and other engineered wood product. (There is also a lot of mislabeling and laundering of sanctioned Russian and Belarusian timber entering Europe.) Other risks include biosecurity threats, pests, and supply changes caused by climate. These issues can make the supply chain less reliable and affect sustainability goals.</w:t>
      </w:r>
    </w:p>
    <w:p w:rsidR="008C1C1A" w:rsidRDefault="008C1C1A" w:rsidP="006833C2">
      <w:pPr>
        <w:spacing w:line="360" w:lineRule="auto"/>
        <w:jc w:val="both"/>
        <w:rPr>
          <w:rFonts w:ascii="Times New Roman" w:hAnsi="Times New Roman" w:cs="Times New Roman"/>
          <w:sz w:val="24"/>
          <w:szCs w:val="24"/>
        </w:rPr>
      </w:pPr>
    </w:p>
    <w:p w:rsidR="008C1C1A" w:rsidRDefault="008C1C1A">
      <w:pPr>
        <w:jc w:val="both"/>
        <w:rPr>
          <w:rFonts w:ascii="Times New Roman" w:hAnsi="Times New Roman" w:cs="Times New Roman"/>
          <w:sz w:val="24"/>
          <w:szCs w:val="24"/>
        </w:rPr>
      </w:pPr>
    </w:p>
    <w:p w:rsidR="008C1C1A" w:rsidRDefault="008C1C1A">
      <w:pPr>
        <w:jc w:val="both"/>
        <w:rPr>
          <w:rFonts w:ascii="Times New Roman" w:hAnsi="Times New Roman" w:cs="Times New Roman"/>
          <w:sz w:val="24"/>
          <w:szCs w:val="24"/>
        </w:rPr>
      </w:pPr>
    </w:p>
    <w:p w:rsidR="008C1C1A" w:rsidRDefault="008C1C1A">
      <w:pPr>
        <w:jc w:val="both"/>
        <w:rPr>
          <w:rFonts w:ascii="Times New Roman" w:hAnsi="Times New Roman" w:cs="Times New Roman"/>
          <w:sz w:val="24"/>
          <w:szCs w:val="24"/>
        </w:rPr>
      </w:pPr>
    </w:p>
    <w:p w:rsidR="008C1C1A" w:rsidRDefault="008C1C1A">
      <w:pPr>
        <w:jc w:val="both"/>
        <w:rPr>
          <w:rFonts w:ascii="Times New Roman" w:hAnsi="Times New Roman" w:cs="Times New Roman"/>
          <w:sz w:val="24"/>
          <w:szCs w:val="24"/>
        </w:rPr>
      </w:pPr>
    </w:p>
    <w:p w:rsidR="008C1C1A" w:rsidRDefault="008C1C1A">
      <w:pPr>
        <w:jc w:val="both"/>
        <w:rPr>
          <w:rFonts w:ascii="Times New Roman" w:hAnsi="Times New Roman" w:cs="Times New Roman"/>
          <w:sz w:val="24"/>
          <w:szCs w:val="24"/>
        </w:rPr>
      </w:pPr>
    </w:p>
    <w:p w:rsidR="008C1C1A" w:rsidRPr="0065036D" w:rsidRDefault="0065036D" w:rsidP="0065036D">
      <w:pPr>
        <w:pStyle w:val="Heading1"/>
        <w:rPr>
          <w:rFonts w:ascii="Times New Roman" w:hAnsi="Times New Roman" w:cs="Times New Roman"/>
          <w:b/>
          <w:bCs/>
          <w:sz w:val="32"/>
          <w:szCs w:val="32"/>
        </w:rPr>
      </w:pPr>
      <w:r>
        <w:lastRenderedPageBreak/>
        <w:t xml:space="preserve"> </w:t>
      </w:r>
      <w:bookmarkStart w:id="2" w:name="_Toc214490709"/>
      <w:r w:rsidRPr="0065036D">
        <w:rPr>
          <w:rFonts w:ascii="Times New Roman" w:hAnsi="Times New Roman" w:cs="Times New Roman"/>
          <w:b/>
          <w:bCs/>
          <w:sz w:val="32"/>
          <w:szCs w:val="32"/>
        </w:rPr>
        <w:t>1.2 METHODOLOGY OUTLINE</w:t>
      </w:r>
      <w:bookmarkEnd w:id="2"/>
    </w:p>
    <w:p w:rsidR="008C1C1A" w:rsidRPr="0065036D" w:rsidRDefault="008C1C1A">
      <w:pPr>
        <w:rPr>
          <w:b/>
          <w:bCs/>
          <w:sz w:val="24"/>
          <w:szCs w:val="24"/>
        </w:rPr>
      </w:pPr>
    </w:p>
    <w:p w:rsidR="008C1C1A" w:rsidRDefault="008C1C1A">
      <w:pPr>
        <w:spacing w:before="120" w:after="200" w:line="264" w:lineRule="auto"/>
      </w:pPr>
    </w:p>
    <w:p w:rsidR="008C1C1A" w:rsidRDefault="00000000">
      <w:pPr>
        <w:spacing w:before="120" w:after="200" w:line="264" w:lineRule="auto"/>
      </w:pPr>
      <w:r>
        <w:rPr>
          <w:noProof/>
        </w:rPr>
        <mc:AlternateContent>
          <mc:Choice Requires="wps">
            <w:drawing>
              <wp:anchor distT="0" distB="0" distL="114300" distR="114300" simplePos="0" relativeHeight="251666432" behindDoc="0" locked="0" layoutInCell="1" allowOverlap="1">
                <wp:simplePos x="0" y="0"/>
                <wp:positionH relativeFrom="margin">
                  <wp:posOffset>208915</wp:posOffset>
                </wp:positionH>
                <wp:positionV relativeFrom="paragraph">
                  <wp:posOffset>297815</wp:posOffset>
                </wp:positionV>
                <wp:extent cx="5248275" cy="487680"/>
                <wp:effectExtent l="0" t="0" r="28575" b="26670"/>
                <wp:wrapNone/>
                <wp:docPr id="1804711395" name="Rectangle 8"/>
                <wp:cNvGraphicFramePr/>
                <a:graphic xmlns:a="http://schemas.openxmlformats.org/drawingml/2006/main">
                  <a:graphicData uri="http://schemas.microsoft.com/office/word/2010/wordprocessingShape">
                    <wps:wsp>
                      <wps:cNvSpPr/>
                      <wps:spPr>
                        <a:xfrm>
                          <a:off x="0" y="0"/>
                          <a:ext cx="5248275" cy="487680"/>
                        </a:xfrm>
                        <a:prstGeom prst="rect">
                          <a:avLst/>
                        </a:prstGeom>
                        <a:solidFill>
                          <a:sysClr val="window" lastClr="FFFFFF"/>
                        </a:solidFill>
                        <a:ln w="25400" cap="flat" cmpd="sng" algn="ctr">
                          <a:solidFill>
                            <a:srgbClr val="1AB39F"/>
                          </a:solidFill>
                          <a:prstDash val="solid"/>
                        </a:ln>
                        <a:effectLst/>
                      </wps:spPr>
                      <wps:txb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FAILURE MODE AND EFFECTS ANALYSIS (F.M.E.A)</w:t>
                            </w:r>
                          </w:p>
                          <w:p w:rsidR="008C1C1A" w:rsidRDefault="008C1C1A">
                            <w:pPr>
                              <w:rPr>
                                <w:lang w:val="en-IN"/>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8" o:spid="_x0000_s1030" style="position:absolute;margin-left:16.45pt;margin-top:23.45pt;width:413.25pt;height:38.4pt;z-index:25166643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" fillcolor="window" strokecolor="#1ab39f" strokeweight="2pt">
                <v:textbo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FAILURE MODE AND EFFECTS ANALYSIS (F.M.E.A)</w:t>
                      </w:r>
                    </w:p>
                    <w:p w:rsidR="008C1C1A" w:rsidRDefault="008C1C1A">
                      <w:pPr>
                        <w:rPr>
                          <w:lang w:val="en-IN"/>
                        </w:rPr>
                      </w:pPr>
                    </w:p>
                  </w:txbxContent>
                </v:textbox>
                <w10:wrap anchorx="margin"/>
              </v:rect>
            </w:pict>
          </mc:Fallback>
        </mc:AlternateContent>
      </w:r>
    </w:p>
    <w:p w:rsidR="008C1C1A" w:rsidRDefault="008C1C1A">
      <w:pPr>
        <w:spacing w:before="120" w:after="200" w:line="264" w:lineRule="auto"/>
      </w:pPr>
    </w:p>
    <w:p w:rsidR="008C1C1A" w:rsidRDefault="008C1C1A"/>
    <w:p w:rsidR="008C1C1A" w:rsidRDefault="00000000">
      <w:r>
        <w:rPr>
          <w:noProof/>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22860</wp:posOffset>
                </wp:positionV>
                <wp:extent cx="188595" cy="260985"/>
                <wp:effectExtent l="19050" t="0" r="20955" b="43815"/>
                <wp:wrapNone/>
                <wp:docPr id="1338378754" name="Arrow: Down 9"/>
                <wp:cNvGraphicFramePr/>
                <a:graphic xmlns:a="http://schemas.openxmlformats.org/drawingml/2006/main">
                  <a:graphicData uri="http://schemas.microsoft.com/office/word/2010/wordprocessingShape">
                    <wps:wsp>
                      <wps:cNvSpPr/>
                      <wps:spPr>
                        <a:xfrm>
                          <a:off x="0" y="0"/>
                          <a:ext cx="188776" cy="26125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Arrow: Down 9" o:spid="_x0000_s1026" o:spt="67" type="#_x0000_t67" style="position:absolute;left:0pt;margin-top:1.8pt;height:20.55pt;width:14.85pt;mso-position-horizontal:center;mso-position-horizontal-relative:margin;z-index:251662336;v-text-anchor:middle;mso-width-relative:page;mso-height-relative:page;" fillcolor="#0F6FC6 [3204]" filled="t" stroked="t" coordsize="21600,21600" o:gfxdata="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" adj="13797,5400">
                <v:fill on="t" focussize="0,0"/>
                <v:stroke weight="2pt" color="#022B52 [3204]" joinstyle="round"/>
                <v:imagedata o:title=""/>
                <o:lock v:ext="edit" aspectratio="f"/>
              </v:shape>
            </w:pict>
          </mc:Fallback>
        </mc:AlternateContent>
      </w:r>
    </w:p>
    <w:p w:rsidR="008C1C1A" w:rsidRDefault="00000000">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245745</wp:posOffset>
                </wp:positionV>
                <wp:extent cx="5191125" cy="563880"/>
                <wp:effectExtent l="0" t="0" r="28575" b="26670"/>
                <wp:wrapNone/>
                <wp:docPr id="1803579187" name="Rectangle 8"/>
                <wp:cNvGraphicFramePr/>
                <a:graphic xmlns:a="http://schemas.openxmlformats.org/drawingml/2006/main">
                  <a:graphicData uri="http://schemas.microsoft.com/office/word/2010/wordprocessingShape">
                    <wps:wsp>
                      <wps:cNvSpPr/>
                      <wps:spPr>
                        <a:xfrm>
                          <a:off x="0" y="0"/>
                          <a:ext cx="5191125" cy="563880"/>
                        </a:xfrm>
                        <a:prstGeom prst="rect">
                          <a:avLst/>
                        </a:prstGeom>
                        <a:solidFill>
                          <a:sysClr val="window" lastClr="FFFFFF"/>
                        </a:solidFill>
                        <a:ln w="25400" cap="flat" cmpd="sng" algn="ctr">
                          <a:solidFill>
                            <a:srgbClr val="1AB39F"/>
                          </a:solidFill>
                          <a:prstDash val="solid"/>
                        </a:ln>
                        <a:effectLst/>
                      </wps:spPr>
                      <wps:txb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SIX STEPS TO ENHANCE SUPPLY CHAIN RESILIENCE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31" style="position:absolute;margin-left:0;margin-top:19.35pt;width:408.75pt;height:44.4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" fillcolor="window" strokecolor="#1ab39f" strokeweight="2pt">
                <v:textbo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SIX STEPS TO ENHANCE SUPPLY CHAIN RESILIENCE</w:t>
                      </w:r>
                    </w:p>
                  </w:txbxContent>
                </v:textbox>
                <w10:wrap anchorx="margin"/>
              </v:rect>
            </w:pict>
          </mc:Fallback>
        </mc:AlternateContent>
      </w:r>
    </w:p>
    <w:p w:rsidR="008C1C1A" w:rsidRDefault="008C1C1A"/>
    <w:p w:rsidR="008C1C1A" w:rsidRDefault="00000000">
      <w:r>
        <w:rPr>
          <w:noProof/>
        </w:rPr>
        <mc:AlternateContent>
          <mc:Choice Requires="wps">
            <w:drawing>
              <wp:anchor distT="0" distB="0" distL="114300" distR="114300" simplePos="0" relativeHeight="251663360" behindDoc="0" locked="0" layoutInCell="1" allowOverlap="1">
                <wp:simplePos x="0" y="0"/>
                <wp:positionH relativeFrom="margin">
                  <wp:posOffset>2778760</wp:posOffset>
                </wp:positionH>
                <wp:positionV relativeFrom="paragraph">
                  <wp:posOffset>243840</wp:posOffset>
                </wp:positionV>
                <wp:extent cx="188595" cy="260985"/>
                <wp:effectExtent l="19050" t="0" r="20955" b="43815"/>
                <wp:wrapNone/>
                <wp:docPr id="1234771597" name="Arrow: Down 9"/>
                <wp:cNvGraphicFramePr/>
                <a:graphic xmlns:a="http://schemas.openxmlformats.org/drawingml/2006/main">
                  <a:graphicData uri="http://schemas.microsoft.com/office/word/2010/wordprocessingShape">
                    <wps:wsp>
                      <wps:cNvSpPr/>
                      <wps:spPr>
                        <a:xfrm>
                          <a:off x="0" y="0"/>
                          <a:ext cx="188776" cy="26125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Arrow: Down 9" o:spid="_x0000_s1026" o:spt="67" type="#_x0000_t67" style="position:absolute;left:0pt;margin-left:218.8pt;margin-top:19.2pt;height:20.55pt;width:14.85pt;mso-position-horizontal-relative:margin;z-index:251663360;v-text-anchor:middle;mso-width-relative:page;mso-height-relative:page;" fillcolor="#0F6FC6 [3204]" filled="t" stroked="t" coordsize="21600,21600" o:gfxdata="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" adj="13797,5400">
                <v:fill on="t" focussize="0,0"/>
                <v:stroke weight="2pt" color="#022B52 [3204]" joinstyle="round"/>
                <v:imagedata o:title=""/>
                <o:lock v:ext="edit" aspectratio="f"/>
              </v:shape>
            </w:pict>
          </mc:Fallback>
        </mc:AlternateContent>
      </w:r>
    </w:p>
    <w:p w:rsidR="008C1C1A" w:rsidRDefault="008C1C1A"/>
    <w:p w:rsidR="008C1C1A" w:rsidRDefault="00000000">
      <w:r>
        <w:rPr>
          <w:noProof/>
        </w:rPr>
        <mc:AlternateContent>
          <mc:Choice Requires="wps">
            <w:drawing>
              <wp:anchor distT="0" distB="0" distL="114300" distR="114300" simplePos="0" relativeHeight="251660288" behindDoc="0" locked="0" layoutInCell="1" allowOverlap="1">
                <wp:simplePos x="0" y="0"/>
                <wp:positionH relativeFrom="margin">
                  <wp:posOffset>285115</wp:posOffset>
                </wp:positionH>
                <wp:positionV relativeFrom="paragraph">
                  <wp:posOffset>106045</wp:posOffset>
                </wp:positionV>
                <wp:extent cx="5172075" cy="472440"/>
                <wp:effectExtent l="0" t="0" r="28575" b="22860"/>
                <wp:wrapNone/>
                <wp:docPr id="341462672" name="Rectangle 8"/>
                <wp:cNvGraphicFramePr/>
                <a:graphic xmlns:a="http://schemas.openxmlformats.org/drawingml/2006/main">
                  <a:graphicData uri="http://schemas.microsoft.com/office/word/2010/wordprocessingShape">
                    <wps:wsp>
                      <wps:cNvSpPr/>
                      <wps:spPr>
                        <a:xfrm>
                          <a:off x="0" y="0"/>
                          <a:ext cx="5172075" cy="472440"/>
                        </a:xfrm>
                        <a:prstGeom prst="rect">
                          <a:avLst/>
                        </a:prstGeom>
                        <a:solidFill>
                          <a:sysClr val="window" lastClr="FFFFFF"/>
                        </a:solidFill>
                        <a:ln w="25400" cap="flat" cmpd="sng" algn="ctr">
                          <a:solidFill>
                            <a:srgbClr val="1AB39F"/>
                          </a:solidFill>
                          <a:prstDash val="solid"/>
                        </a:ln>
                        <a:effectLst/>
                      </wps:spPr>
                      <wps:txb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CONCLUSION AND SUGGESTIONS FOR FURTHER WORK/RESEARCH</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32" style="position:absolute;margin-left:22.45pt;margin-top:8.35pt;width:407.25pt;height:37.2pt;z-index:25166028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" fillcolor="window" strokecolor="#1ab39f" strokeweight="2pt">
                <v:textbo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CONCLUSION AND SUGGESTIONS FOR FURTHER WORK/RESEARCH</w:t>
                      </w:r>
                    </w:p>
                  </w:txbxContent>
                </v:textbox>
                <w10:wrap anchorx="margin"/>
              </v:rect>
            </w:pict>
          </mc:Fallback>
        </mc:AlternateContent>
      </w:r>
    </w:p>
    <w:p w:rsidR="008C1C1A" w:rsidRDefault="008C1C1A"/>
    <w:p w:rsidR="008C1C1A" w:rsidRDefault="00000000">
      <w:r>
        <w:rPr>
          <w:noProof/>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149225</wp:posOffset>
                </wp:positionV>
                <wp:extent cx="188595" cy="260985"/>
                <wp:effectExtent l="19050" t="0" r="20955" b="43815"/>
                <wp:wrapNone/>
                <wp:docPr id="925112021" name="Arrow: Down 9"/>
                <wp:cNvGraphicFramePr/>
                <a:graphic xmlns:a="http://schemas.openxmlformats.org/drawingml/2006/main">
                  <a:graphicData uri="http://schemas.microsoft.com/office/word/2010/wordprocessingShape">
                    <wps:wsp>
                      <wps:cNvSpPr/>
                      <wps:spPr>
                        <a:xfrm>
                          <a:off x="0" y="0"/>
                          <a:ext cx="188776" cy="26125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Arrow: Down 9" o:spid="_x0000_s1026" o:spt="67" type="#_x0000_t67" style="position:absolute;left:0pt;margin-top:11.75pt;height:20.55pt;width:14.85pt;mso-position-horizontal:center;mso-position-horizontal-relative:margin;z-index:251664384;v-text-anchor:middle;mso-width-relative:page;mso-height-relative:page;" fillcolor="#0F6FC6 [3204]" filled="t" stroked="t" coordsize="21600,21600" o:gfxdata="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" adj="13797,5400">
                <v:fill on="t" focussize="0,0"/>
                <v:stroke weight="2pt" color="#022B52 [3204]" joinstyle="round"/>
                <v:imagedata o:title=""/>
                <o:lock v:ext="edit" aspectratio="f"/>
              </v:shape>
            </w:pict>
          </mc:Fallback>
        </mc:AlternateContent>
      </w:r>
    </w:p>
    <w:p w:rsidR="008C1C1A" w:rsidRDefault="00000000">
      <w:r>
        <w:rPr>
          <w:noProof/>
        </w:rPr>
        <mc:AlternateContent>
          <mc:Choice Requires="wps">
            <w:drawing>
              <wp:anchor distT="0" distB="0" distL="114300" distR="114300" simplePos="0" relativeHeight="251661312" behindDoc="0" locked="0" layoutInCell="1" allowOverlap="1">
                <wp:simplePos x="0" y="0"/>
                <wp:positionH relativeFrom="margin">
                  <wp:posOffset>275590</wp:posOffset>
                </wp:positionH>
                <wp:positionV relativeFrom="paragraph">
                  <wp:posOffset>259715</wp:posOffset>
                </wp:positionV>
                <wp:extent cx="5191125" cy="426720"/>
                <wp:effectExtent l="0" t="0" r="28575" b="11430"/>
                <wp:wrapNone/>
                <wp:docPr id="25034928" name="Rectangle 8"/>
                <wp:cNvGraphicFramePr/>
                <a:graphic xmlns:a="http://schemas.openxmlformats.org/drawingml/2006/main">
                  <a:graphicData uri="http://schemas.microsoft.com/office/word/2010/wordprocessingShape">
                    <wps:wsp>
                      <wps:cNvSpPr/>
                      <wps:spPr>
                        <a:xfrm>
                          <a:off x="0" y="0"/>
                          <a:ext cx="5191125" cy="426720"/>
                        </a:xfrm>
                        <a:prstGeom prst="rect">
                          <a:avLst/>
                        </a:prstGeom>
                        <a:solidFill>
                          <a:sysClr val="window" lastClr="FFFFFF"/>
                        </a:solidFill>
                        <a:ln w="25400" cap="flat" cmpd="sng" algn="ctr">
                          <a:solidFill>
                            <a:srgbClr val="1AB39F"/>
                          </a:solidFill>
                          <a:prstDash val="solid"/>
                        </a:ln>
                        <a:effectLst/>
                      </wps:spPr>
                      <wps:txb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REFERENCES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33" style="position:absolute;margin-left:21.7pt;margin-top:20.45pt;width:408.75pt;height:33.6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" fillcolor="window" strokecolor="#1ab39f" strokeweight="2pt">
                <v:textbox>
                  <w:txbxContent>
                    <w:p w:rsidR="008C1C1A" w:rsidRDefault="00000000">
                      <w:pPr>
                        <w:jc w:val="center"/>
                        <w:rPr>
                          <w:rFonts w:ascii="Times New Roman" w:hAnsi="Times New Roman" w:cs="Times New Roman"/>
                          <w:sz w:val="24"/>
                          <w:szCs w:val="24"/>
                          <w:lang w:val="en-IN"/>
                        </w:rPr>
                      </w:pPr>
                      <w:r>
                        <w:rPr>
                          <w:rFonts w:ascii="Times New Roman" w:hAnsi="Times New Roman" w:cs="Times New Roman"/>
                          <w:sz w:val="24"/>
                          <w:szCs w:val="24"/>
                          <w:lang w:val="en-IN"/>
                        </w:rPr>
                        <w:t>REFERENCES</w:t>
                      </w:r>
                    </w:p>
                  </w:txbxContent>
                </v:textbox>
                <w10:wrap anchorx="margin"/>
              </v:rect>
            </w:pict>
          </mc:Fallback>
        </mc:AlternateContent>
      </w:r>
    </w:p>
    <w:p w:rsidR="008C1C1A" w:rsidRDefault="008C1C1A"/>
    <w:p w:rsidR="008C1C1A" w:rsidRDefault="008C1C1A"/>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jc w:val="center"/>
      </w:pPr>
    </w:p>
    <w:p w:rsidR="008C1C1A" w:rsidRDefault="008C1C1A">
      <w:pPr>
        <w:spacing w:line="480" w:lineRule="auto"/>
        <w:rPr>
          <w:rFonts w:asciiTheme="majorHAnsi" w:hAnsiTheme="majorHAnsi" w:cstheme="majorHAnsi"/>
          <w:b/>
          <w:bCs/>
          <w:sz w:val="28"/>
          <w:szCs w:val="28"/>
        </w:rPr>
      </w:pPr>
    </w:p>
    <w:p w:rsidR="008C1C1A" w:rsidRDefault="00000000">
      <w:pPr>
        <w:pStyle w:val="Heading1"/>
        <w:rPr>
          <w:rFonts w:ascii="Times New Roman" w:hAnsi="Times New Roman" w:cs="Times New Roman"/>
          <w:b/>
          <w:bCs/>
          <w:sz w:val="32"/>
          <w:szCs w:val="32"/>
        </w:rPr>
      </w:pPr>
      <w:bookmarkStart w:id="3" w:name="_Toc214490710"/>
      <w:r>
        <w:rPr>
          <w:rFonts w:ascii="Times New Roman" w:hAnsi="Times New Roman" w:cs="Times New Roman"/>
          <w:b/>
          <w:bCs/>
          <w:sz w:val="32"/>
          <w:szCs w:val="32"/>
        </w:rPr>
        <w:lastRenderedPageBreak/>
        <w:t>2. FAILURE MODES AND EFFECTS ANALYSIS</w:t>
      </w:r>
      <w:bookmarkEnd w:id="3"/>
    </w:p>
    <w:tbl>
      <w:tblPr>
        <w:tblStyle w:val="TableGridLight1"/>
        <w:tblpPr w:leftFromText="180" w:rightFromText="180" w:horzAnchor="margin" w:tblpXSpec="center" w:tblpY="1890"/>
        <w:tblW w:w="11457" w:type="dxa"/>
        <w:tblLayout w:type="fixed"/>
        <w:tblLook w:val="04A0" w:firstRow="1" w:lastRow="0" w:firstColumn="1" w:lastColumn="0" w:noHBand="0" w:noVBand="1"/>
      </w:tblPr>
      <w:tblGrid>
        <w:gridCol w:w="1148"/>
        <w:gridCol w:w="1009"/>
        <w:gridCol w:w="1009"/>
        <w:gridCol w:w="289"/>
        <w:gridCol w:w="289"/>
        <w:gridCol w:w="911"/>
        <w:gridCol w:w="243"/>
        <w:gridCol w:w="865"/>
        <w:gridCol w:w="289"/>
        <w:gridCol w:w="284"/>
        <w:gridCol w:w="7"/>
        <w:gridCol w:w="1582"/>
        <w:gridCol w:w="1296"/>
        <w:gridCol w:w="1013"/>
        <w:gridCol w:w="312"/>
        <w:gridCol w:w="312"/>
        <w:gridCol w:w="312"/>
        <w:gridCol w:w="272"/>
        <w:gridCol w:w="15"/>
      </w:tblGrid>
      <w:tr w:rsidR="008C1C1A" w:rsidTr="00965C17">
        <w:trPr>
          <w:trHeight w:val="656"/>
        </w:trPr>
        <w:tc>
          <w:tcPr>
            <w:tcW w:w="10234" w:type="dxa"/>
            <w:gridSpan w:val="14"/>
            <w:tcBorders>
              <w:top w:val="single" w:sz="4" w:space="0" w:color="auto"/>
              <w:left w:val="single" w:sz="4" w:space="0" w:color="auto"/>
              <w:right w:val="single" w:sz="4" w:space="0" w:color="auto"/>
            </w:tcBorders>
          </w:tcPr>
          <w:p w:rsidR="008C1C1A" w:rsidRDefault="00000000" w:rsidP="00965C17">
            <w:pPr>
              <w:spacing w:before="120" w:after="200" w:line="264" w:lineRule="auto"/>
              <w:jc w:val="center"/>
              <w:rPr>
                <w:rFonts w:cstheme="minorHAnsi"/>
                <w:b/>
                <w:bCs/>
              </w:rPr>
            </w:pPr>
            <w:r>
              <w:rPr>
                <w:rFonts w:cstheme="minorHAnsi"/>
                <w:b/>
                <w:bCs/>
              </w:rPr>
              <w:t>POTENTIAL FAILURE MODES &amp; EFFECTS ANALYSIS (PROCESS F.M.E.A)</w:t>
            </w:r>
          </w:p>
        </w:tc>
        <w:tc>
          <w:tcPr>
            <w:tcW w:w="1223" w:type="dxa"/>
            <w:gridSpan w:val="5"/>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FMEA REF:</w:t>
            </w:r>
          </w:p>
        </w:tc>
      </w:tr>
      <w:tr w:rsidR="008C1C1A" w:rsidTr="00965C17">
        <w:trPr>
          <w:trHeight w:val="641"/>
        </w:trPr>
        <w:tc>
          <w:tcPr>
            <w:tcW w:w="6343" w:type="dxa"/>
            <w:gridSpan w:val="11"/>
            <w:tcBorders>
              <w:top w:val="single" w:sz="4" w:space="0" w:color="auto"/>
              <w:left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 xml:space="preserve">TITLE: Risk assessment through FMEA for softwood timber imported in the UK  </w:t>
            </w:r>
          </w:p>
        </w:tc>
        <w:tc>
          <w:tcPr>
            <w:tcW w:w="3891" w:type="dxa"/>
            <w:gridSpan w:val="3"/>
            <w:vMerge w:val="restart"/>
            <w:tcBorders>
              <w:top w:val="single" w:sz="4" w:space="0" w:color="auto"/>
              <w:left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TEAM:</w:t>
            </w:r>
          </w:p>
        </w:tc>
        <w:tc>
          <w:tcPr>
            <w:tcW w:w="1223" w:type="dxa"/>
            <w:gridSpan w:val="5"/>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PAGE:</w:t>
            </w:r>
            <w:r w:rsidR="00255AD2">
              <w:rPr>
                <w:rFonts w:cstheme="minorHAnsi"/>
                <w:sz w:val="16"/>
                <w:szCs w:val="16"/>
              </w:rPr>
              <w:t>02</w:t>
            </w:r>
          </w:p>
        </w:tc>
      </w:tr>
      <w:tr w:rsidR="008C1C1A" w:rsidTr="00965C17">
        <w:trPr>
          <w:trHeight w:val="348"/>
        </w:trPr>
        <w:tc>
          <w:tcPr>
            <w:tcW w:w="1148" w:type="dxa"/>
            <w:tcBorders>
              <w:top w:val="single" w:sz="4" w:space="0" w:color="auto"/>
              <w:left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PROCESS:</w:t>
            </w:r>
          </w:p>
        </w:tc>
        <w:tc>
          <w:tcPr>
            <w:tcW w:w="5195" w:type="dxa"/>
            <w:gridSpan w:val="10"/>
            <w:tcBorders>
              <w:top w:val="single" w:sz="4" w:space="0" w:color="auto"/>
              <w:left w:val="single" w:sz="4" w:space="0" w:color="auto"/>
              <w:bottom w:val="single" w:sz="4" w:space="0" w:color="auto"/>
              <w:right w:val="single" w:sz="4" w:space="0" w:color="auto"/>
            </w:tcBorders>
          </w:tcPr>
          <w:p w:rsidR="008C1C1A" w:rsidRDefault="00251FEC" w:rsidP="00965C17">
            <w:pPr>
              <w:spacing w:before="120" w:after="200" w:line="264" w:lineRule="auto"/>
              <w:rPr>
                <w:rFonts w:cstheme="minorHAnsi"/>
                <w:sz w:val="16"/>
                <w:szCs w:val="16"/>
              </w:rPr>
            </w:pPr>
            <w:r>
              <w:rPr>
                <w:rFonts w:cstheme="minorHAnsi"/>
                <w:sz w:val="16"/>
                <w:szCs w:val="16"/>
              </w:rPr>
              <w:t xml:space="preserve">Identify key of Imported softwood timber in the UK </w:t>
            </w:r>
          </w:p>
        </w:tc>
        <w:tc>
          <w:tcPr>
            <w:tcW w:w="3891" w:type="dxa"/>
            <w:gridSpan w:val="3"/>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1223" w:type="dxa"/>
            <w:gridSpan w:val="5"/>
            <w:tcBorders>
              <w:top w:val="single" w:sz="4" w:space="0" w:color="auto"/>
              <w:left w:val="single" w:sz="4" w:space="0" w:color="auto"/>
              <w:right w:val="single" w:sz="4" w:space="0" w:color="auto"/>
            </w:tcBorders>
          </w:tcPr>
          <w:p w:rsidR="008C1C1A" w:rsidRDefault="00000000" w:rsidP="00965C17">
            <w:pPr>
              <w:spacing w:before="120" w:after="200" w:line="264" w:lineRule="auto"/>
              <w:rPr>
                <w:rFonts w:cstheme="minorHAnsi"/>
                <w:sz w:val="16"/>
                <w:szCs w:val="16"/>
              </w:rPr>
            </w:pPr>
            <w:r>
              <w:rPr>
                <w:rFonts w:cstheme="minorHAnsi"/>
                <w:sz w:val="16"/>
                <w:szCs w:val="16"/>
              </w:rPr>
              <w:t>DATE:</w:t>
            </w:r>
            <w:r w:rsidR="00255AD2">
              <w:rPr>
                <w:rFonts w:cstheme="minorHAnsi"/>
                <w:sz w:val="16"/>
                <w:szCs w:val="16"/>
              </w:rPr>
              <w:t>29-10-25</w:t>
            </w:r>
          </w:p>
        </w:tc>
      </w:tr>
      <w:tr w:rsidR="008C1C1A" w:rsidTr="00965C17">
        <w:trPr>
          <w:trHeight w:val="1129"/>
        </w:trPr>
        <w:tc>
          <w:tcPr>
            <w:tcW w:w="1148"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center"/>
              <w:rPr>
                <w:rFonts w:cstheme="minorHAnsi"/>
                <w:sz w:val="16"/>
                <w:szCs w:val="16"/>
              </w:rPr>
            </w:pPr>
            <w:r>
              <w:rPr>
                <w:rFonts w:cstheme="minorHAnsi"/>
                <w:sz w:val="16"/>
                <w:szCs w:val="16"/>
              </w:rPr>
              <w:t>SUB</w:t>
            </w:r>
          </w:p>
          <w:p w:rsidR="008C1C1A" w:rsidRDefault="00000000" w:rsidP="00965C17">
            <w:pPr>
              <w:spacing w:before="120" w:after="200" w:line="264" w:lineRule="auto"/>
              <w:jc w:val="center"/>
              <w:rPr>
                <w:rFonts w:cstheme="minorHAnsi"/>
                <w:sz w:val="12"/>
                <w:szCs w:val="12"/>
              </w:rPr>
            </w:pPr>
            <w:r>
              <w:rPr>
                <w:rFonts w:cstheme="minorHAnsi"/>
                <w:sz w:val="16"/>
                <w:szCs w:val="16"/>
              </w:rPr>
              <w:t>SYSTEM:</w:t>
            </w:r>
          </w:p>
        </w:tc>
        <w:tc>
          <w:tcPr>
            <w:tcW w:w="5195" w:type="dxa"/>
            <w:gridSpan w:val="10"/>
            <w:tcBorders>
              <w:top w:val="single" w:sz="4" w:space="0" w:color="auto"/>
              <w:left w:val="single" w:sz="4" w:space="0" w:color="auto"/>
              <w:bottom w:val="single" w:sz="4" w:space="0" w:color="auto"/>
              <w:right w:val="single" w:sz="4" w:space="0" w:color="auto"/>
            </w:tcBorders>
          </w:tcPr>
          <w:p w:rsidR="008C1C1A" w:rsidRDefault="00251FEC" w:rsidP="00965C17">
            <w:pPr>
              <w:spacing w:before="120" w:after="200" w:line="264" w:lineRule="auto"/>
              <w:rPr>
                <w:rFonts w:cstheme="minorHAnsi"/>
                <w:sz w:val="16"/>
                <w:szCs w:val="16"/>
              </w:rPr>
            </w:pPr>
            <w:r>
              <w:rPr>
                <w:rFonts w:cstheme="minorHAnsi"/>
                <w:sz w:val="16"/>
                <w:szCs w:val="16"/>
              </w:rPr>
              <w:t xml:space="preserve">Legal logging certification, port congestion, biosecurity, custom </w:t>
            </w:r>
            <w:r w:rsidR="00255AD2">
              <w:rPr>
                <w:rFonts w:cstheme="minorHAnsi"/>
                <w:sz w:val="16"/>
                <w:szCs w:val="16"/>
              </w:rPr>
              <w:t>control, global</w:t>
            </w:r>
            <w:r>
              <w:rPr>
                <w:rFonts w:cstheme="minorHAnsi"/>
                <w:sz w:val="16"/>
                <w:szCs w:val="16"/>
              </w:rPr>
              <w:t xml:space="preserve"> price and distribution.</w:t>
            </w:r>
          </w:p>
        </w:tc>
        <w:tc>
          <w:tcPr>
            <w:tcW w:w="3891" w:type="dxa"/>
            <w:gridSpan w:val="3"/>
            <w:tcBorders>
              <w:top w:val="single" w:sz="4" w:space="0" w:color="auto"/>
              <w:left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1223" w:type="dxa"/>
            <w:gridSpan w:val="5"/>
            <w:tcBorders>
              <w:top w:val="single" w:sz="4" w:space="0" w:color="auto"/>
              <w:left w:val="single" w:sz="4" w:space="0" w:color="auto"/>
              <w:bottom w:val="nil"/>
              <w:right w:val="single" w:sz="4" w:space="0" w:color="auto"/>
            </w:tcBorders>
          </w:tcPr>
          <w:p w:rsidR="008C1C1A" w:rsidRDefault="00000000" w:rsidP="00965C17">
            <w:pPr>
              <w:spacing w:before="120" w:after="200" w:line="264" w:lineRule="auto"/>
              <w:jc w:val="center"/>
              <w:rPr>
                <w:rFonts w:cstheme="minorHAnsi"/>
                <w:sz w:val="16"/>
                <w:szCs w:val="16"/>
              </w:rPr>
            </w:pPr>
            <w:r>
              <w:rPr>
                <w:rFonts w:cstheme="minorHAnsi"/>
                <w:sz w:val="16"/>
                <w:szCs w:val="16"/>
              </w:rPr>
              <w:t>ACTION RESULTS</w:t>
            </w:r>
          </w:p>
        </w:tc>
      </w:tr>
      <w:tr w:rsidR="008C1C1A" w:rsidTr="00965C17">
        <w:trPr>
          <w:gridAfter w:val="1"/>
          <w:wAfter w:w="15" w:type="dxa"/>
          <w:trHeight w:val="375"/>
        </w:trPr>
        <w:tc>
          <w:tcPr>
            <w:tcW w:w="1148" w:type="dxa"/>
            <w:vMerge w:val="restart"/>
            <w:tcBorders>
              <w:top w:val="single" w:sz="4" w:space="0" w:color="auto"/>
              <w:left w:val="single" w:sz="4" w:space="0" w:color="auto"/>
              <w:right w:val="single" w:sz="4" w:space="0" w:color="auto"/>
            </w:tcBorders>
          </w:tcPr>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Function</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Description</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(REF)</w:t>
            </w:r>
          </w:p>
        </w:tc>
        <w:tc>
          <w:tcPr>
            <w:tcW w:w="2307" w:type="dxa"/>
            <w:gridSpan w:val="3"/>
            <w:tcBorders>
              <w:left w:val="single" w:sz="4" w:space="0" w:color="auto"/>
              <w:bottom w:val="single" w:sz="4" w:space="0" w:color="auto"/>
              <w:right w:val="single" w:sz="4" w:space="0" w:color="auto"/>
            </w:tcBorders>
          </w:tcPr>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Potential</w:t>
            </w:r>
          </w:p>
        </w:tc>
        <w:tc>
          <w:tcPr>
            <w:tcW w:w="289" w:type="dxa"/>
            <w:vMerge w:val="restart"/>
            <w:tcBorders>
              <w:left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noProof/>
                <w:sz w:val="16"/>
                <w:szCs w:val="16"/>
              </w:rPr>
              <mc:AlternateContent>
                <mc:Choice Requires="wps">
                  <w:drawing>
                    <wp:anchor distT="0" distB="0" distL="114300" distR="114300" simplePos="0" relativeHeight="251665408" behindDoc="0" locked="0" layoutInCell="1" allowOverlap="1">
                      <wp:simplePos x="0" y="0"/>
                      <wp:positionH relativeFrom="column">
                        <wp:posOffset>-40640</wp:posOffset>
                      </wp:positionH>
                      <wp:positionV relativeFrom="paragraph">
                        <wp:posOffset>204470</wp:posOffset>
                      </wp:positionV>
                      <wp:extent cx="137160" cy="144780"/>
                      <wp:effectExtent l="0" t="0" r="15240" b="26670"/>
                      <wp:wrapNone/>
                      <wp:docPr id="1701082311" name="Isosceles Triangle 10"/>
                      <wp:cNvGraphicFramePr/>
                      <a:graphic xmlns:a="http://schemas.openxmlformats.org/drawingml/2006/main">
                        <a:graphicData uri="http://schemas.microsoft.com/office/word/2010/wordprocessingShape">
                          <wps:wsp>
                            <wps:cNvSpPr/>
                            <wps:spPr>
                              <a:xfrm rot="10800000">
                                <a:off x="0" y="0"/>
                                <a:ext cx="137160" cy="144780"/>
                              </a:xfrm>
                              <a:prstGeom prst="triangle">
                                <a:avLst/>
                              </a:prstGeom>
                              <a:solidFill>
                                <a:schemeClr val="bg1"/>
                              </a:solidFill>
                              <a:ln>
                                <a:solidFill>
                                  <a:srgbClr val="C0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Isosceles Triangle 10" o:spid="_x0000_s1026" o:spt="5" type="#_x0000_t5" style="position:absolute;left:0pt;margin-left:-3.2pt;margin-top:16.1pt;height:11.4pt;width:10.8pt;rotation:11796480f;z-index:251665408;v-text-anchor:middle;mso-width-relative:page;mso-height-relative:page;" fillcolor="#FFFFFF [3212]" filled="t" stroked="t" coordsize="21600,21600" o:gfxdata="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" adj="10800">
                      <v:fill on="t" focussize="0,0"/>
                      <v:stroke weight="2pt" color="#C00000 [3209]" joinstyle="round"/>
                      <v:imagedata o:title=""/>
                      <o:lock v:ext="edit" aspectratio="f"/>
                    </v:shape>
                  </w:pict>
                </mc:Fallback>
              </mc:AlternateContent>
            </w:r>
          </w:p>
          <w:p w:rsidR="008C1C1A" w:rsidRDefault="008C1C1A" w:rsidP="00965C17">
            <w:pPr>
              <w:spacing w:before="120" w:after="200" w:line="264" w:lineRule="auto"/>
              <w:rPr>
                <w:rFonts w:ascii="Times New Roman" w:hAnsi="Times New Roman" w:cs="Times New Roman"/>
                <w:sz w:val="16"/>
                <w:szCs w:val="16"/>
              </w:rPr>
            </w:pPr>
          </w:p>
        </w:tc>
        <w:tc>
          <w:tcPr>
            <w:tcW w:w="911" w:type="dxa"/>
            <w:vMerge w:val="restart"/>
            <w:tcBorders>
              <w:left w:val="single" w:sz="4" w:space="0" w:color="auto"/>
              <w:right w:val="single" w:sz="4" w:space="0" w:color="auto"/>
            </w:tcBorders>
          </w:tcPr>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Potential</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Cause of</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Failure</w:t>
            </w:r>
          </w:p>
        </w:tc>
        <w:tc>
          <w:tcPr>
            <w:tcW w:w="243" w:type="dxa"/>
            <w:vMerge w:val="restart"/>
            <w:tcBorders>
              <w:left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O</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C</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C</w:t>
            </w:r>
          </w:p>
        </w:tc>
        <w:tc>
          <w:tcPr>
            <w:tcW w:w="865" w:type="dxa"/>
            <w:vMerge w:val="restart"/>
            <w:tcBorders>
              <w:left w:val="single" w:sz="4" w:space="0" w:color="auto"/>
              <w:right w:val="single" w:sz="4" w:space="0" w:color="auto"/>
            </w:tcBorders>
          </w:tcPr>
          <w:p w:rsidR="008C1C1A" w:rsidRDefault="008C1C1A" w:rsidP="00965C17">
            <w:pPr>
              <w:spacing w:before="120" w:after="200" w:line="264" w:lineRule="auto"/>
              <w:jc w:val="center"/>
              <w:rPr>
                <w:rFonts w:ascii="Times New Roman" w:hAnsi="Times New Roman" w:cs="Times New Roman"/>
                <w:sz w:val="16"/>
                <w:szCs w:val="16"/>
              </w:rPr>
            </w:pP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Current</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Control</w:t>
            </w:r>
          </w:p>
        </w:tc>
        <w:tc>
          <w:tcPr>
            <w:tcW w:w="289" w:type="dxa"/>
            <w:vMerge w:val="restart"/>
            <w:tcBorders>
              <w:left w:val="single" w:sz="4" w:space="0" w:color="auto"/>
              <w:right w:val="single" w:sz="4" w:space="0" w:color="auto"/>
            </w:tcBorders>
          </w:tcPr>
          <w:p w:rsidR="008C1C1A" w:rsidRDefault="008C1C1A" w:rsidP="00965C17">
            <w:pPr>
              <w:spacing w:before="120" w:after="200" w:line="264" w:lineRule="auto"/>
              <w:jc w:val="center"/>
              <w:rPr>
                <w:rFonts w:ascii="Times New Roman" w:hAnsi="Times New Roman" w:cs="Times New Roman"/>
                <w:sz w:val="16"/>
                <w:szCs w:val="16"/>
              </w:rPr>
            </w:pP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D</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E</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T</w:t>
            </w:r>
          </w:p>
        </w:tc>
        <w:tc>
          <w:tcPr>
            <w:tcW w:w="284" w:type="dxa"/>
            <w:vMerge w:val="restart"/>
            <w:tcBorders>
              <w:left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R</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P</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N</w:t>
            </w:r>
          </w:p>
        </w:tc>
        <w:tc>
          <w:tcPr>
            <w:tcW w:w="1589" w:type="dxa"/>
            <w:gridSpan w:val="2"/>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jc w:val="center"/>
              <w:rPr>
                <w:rFonts w:ascii="Times New Roman" w:hAnsi="Times New Roman" w:cs="Times New Roman"/>
                <w:sz w:val="16"/>
                <w:szCs w:val="16"/>
              </w:rPr>
            </w:pP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Recommended</w:t>
            </w:r>
          </w:p>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Action</w:t>
            </w:r>
          </w:p>
        </w:tc>
        <w:tc>
          <w:tcPr>
            <w:tcW w:w="1296"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Responsibility/</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Target Date</w:t>
            </w:r>
          </w:p>
        </w:tc>
        <w:tc>
          <w:tcPr>
            <w:tcW w:w="1013"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Action taken</w:t>
            </w:r>
          </w:p>
        </w:tc>
        <w:tc>
          <w:tcPr>
            <w:tcW w:w="312"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cstheme="minorHAnsi"/>
                <w:sz w:val="16"/>
                <w:szCs w:val="16"/>
              </w:rPr>
            </w:pPr>
          </w:p>
          <w:p w:rsidR="008C1C1A" w:rsidRDefault="00000000" w:rsidP="00965C17">
            <w:pPr>
              <w:spacing w:before="120" w:after="200" w:line="264" w:lineRule="auto"/>
              <w:rPr>
                <w:rFonts w:cstheme="minorHAnsi"/>
                <w:sz w:val="16"/>
                <w:szCs w:val="16"/>
              </w:rPr>
            </w:pPr>
            <w:r>
              <w:rPr>
                <w:rFonts w:cstheme="minorHAnsi"/>
                <w:sz w:val="16"/>
                <w:szCs w:val="16"/>
              </w:rPr>
              <w:t>S</w:t>
            </w:r>
          </w:p>
          <w:p w:rsidR="008C1C1A" w:rsidRDefault="00000000" w:rsidP="00965C17">
            <w:pPr>
              <w:spacing w:before="120" w:after="200" w:line="264" w:lineRule="auto"/>
              <w:rPr>
                <w:rFonts w:cstheme="minorHAnsi"/>
                <w:sz w:val="16"/>
                <w:szCs w:val="16"/>
              </w:rPr>
            </w:pPr>
            <w:r>
              <w:rPr>
                <w:rFonts w:cstheme="minorHAnsi"/>
                <w:sz w:val="16"/>
                <w:szCs w:val="16"/>
              </w:rPr>
              <w:t>E</w:t>
            </w:r>
          </w:p>
          <w:p w:rsidR="008C1C1A" w:rsidRDefault="00000000" w:rsidP="00965C17">
            <w:pPr>
              <w:spacing w:before="120" w:after="200" w:line="264" w:lineRule="auto"/>
              <w:rPr>
                <w:rFonts w:cstheme="minorHAnsi"/>
                <w:sz w:val="16"/>
                <w:szCs w:val="16"/>
              </w:rPr>
            </w:pPr>
            <w:r>
              <w:rPr>
                <w:rFonts w:cstheme="minorHAnsi"/>
                <w:sz w:val="16"/>
                <w:szCs w:val="16"/>
              </w:rPr>
              <w:t>V</w:t>
            </w:r>
          </w:p>
        </w:tc>
        <w:tc>
          <w:tcPr>
            <w:tcW w:w="312"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cstheme="minorHAnsi"/>
                <w:sz w:val="16"/>
                <w:szCs w:val="16"/>
              </w:rPr>
            </w:pPr>
          </w:p>
          <w:p w:rsidR="008C1C1A" w:rsidRDefault="00000000" w:rsidP="00965C17">
            <w:pPr>
              <w:spacing w:before="120" w:after="200" w:line="264" w:lineRule="auto"/>
              <w:rPr>
                <w:rFonts w:cstheme="minorHAnsi"/>
                <w:sz w:val="16"/>
                <w:szCs w:val="16"/>
              </w:rPr>
            </w:pPr>
            <w:r>
              <w:rPr>
                <w:rFonts w:cstheme="minorHAnsi"/>
                <w:sz w:val="16"/>
                <w:szCs w:val="16"/>
              </w:rPr>
              <w:t>O</w:t>
            </w:r>
          </w:p>
          <w:p w:rsidR="008C1C1A" w:rsidRDefault="00000000" w:rsidP="00965C17">
            <w:pPr>
              <w:spacing w:before="120" w:after="200" w:line="264" w:lineRule="auto"/>
              <w:rPr>
                <w:rFonts w:cstheme="minorHAnsi"/>
                <w:sz w:val="16"/>
                <w:szCs w:val="16"/>
              </w:rPr>
            </w:pPr>
            <w:r>
              <w:rPr>
                <w:rFonts w:cstheme="minorHAnsi"/>
                <w:sz w:val="16"/>
                <w:szCs w:val="16"/>
              </w:rPr>
              <w:t>C</w:t>
            </w:r>
          </w:p>
          <w:p w:rsidR="008C1C1A" w:rsidRDefault="00000000" w:rsidP="00965C17">
            <w:pPr>
              <w:spacing w:before="120" w:after="200" w:line="264" w:lineRule="auto"/>
              <w:rPr>
                <w:rFonts w:cstheme="minorHAnsi"/>
                <w:sz w:val="16"/>
                <w:szCs w:val="16"/>
              </w:rPr>
            </w:pPr>
            <w:r>
              <w:rPr>
                <w:rFonts w:cstheme="minorHAnsi"/>
                <w:sz w:val="16"/>
                <w:szCs w:val="16"/>
              </w:rPr>
              <w:t>C</w:t>
            </w:r>
          </w:p>
        </w:tc>
        <w:tc>
          <w:tcPr>
            <w:tcW w:w="312"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cstheme="minorHAnsi"/>
                <w:sz w:val="16"/>
                <w:szCs w:val="16"/>
              </w:rPr>
            </w:pPr>
          </w:p>
          <w:p w:rsidR="008C1C1A" w:rsidRDefault="00000000" w:rsidP="00965C17">
            <w:pPr>
              <w:spacing w:before="120" w:after="200" w:line="264" w:lineRule="auto"/>
              <w:rPr>
                <w:rFonts w:cstheme="minorHAnsi"/>
                <w:sz w:val="16"/>
                <w:szCs w:val="16"/>
              </w:rPr>
            </w:pPr>
            <w:r>
              <w:rPr>
                <w:rFonts w:cstheme="minorHAnsi"/>
                <w:sz w:val="16"/>
                <w:szCs w:val="16"/>
              </w:rPr>
              <w:t>D</w:t>
            </w:r>
          </w:p>
          <w:p w:rsidR="008C1C1A" w:rsidRDefault="00000000" w:rsidP="00965C17">
            <w:pPr>
              <w:spacing w:before="120" w:after="200" w:line="264" w:lineRule="auto"/>
              <w:rPr>
                <w:rFonts w:cstheme="minorHAnsi"/>
                <w:sz w:val="16"/>
                <w:szCs w:val="16"/>
              </w:rPr>
            </w:pPr>
            <w:r>
              <w:rPr>
                <w:rFonts w:cstheme="minorHAnsi"/>
                <w:sz w:val="16"/>
                <w:szCs w:val="16"/>
              </w:rPr>
              <w:t>E</w:t>
            </w:r>
          </w:p>
          <w:p w:rsidR="008C1C1A" w:rsidRDefault="00000000" w:rsidP="00965C17">
            <w:pPr>
              <w:spacing w:before="120" w:after="200" w:line="264" w:lineRule="auto"/>
              <w:rPr>
                <w:rFonts w:cstheme="minorHAnsi"/>
                <w:sz w:val="16"/>
                <w:szCs w:val="16"/>
              </w:rPr>
            </w:pPr>
            <w:r>
              <w:rPr>
                <w:rFonts w:cstheme="minorHAnsi"/>
                <w:sz w:val="16"/>
                <w:szCs w:val="16"/>
              </w:rPr>
              <w:t>T</w:t>
            </w:r>
          </w:p>
        </w:tc>
        <w:tc>
          <w:tcPr>
            <w:tcW w:w="272" w:type="dxa"/>
            <w:vMerge w:val="restart"/>
            <w:tcBorders>
              <w:top w:val="single" w:sz="4" w:space="0" w:color="auto"/>
              <w:left w:val="single" w:sz="4" w:space="0" w:color="auto"/>
              <w:right w:val="single" w:sz="4" w:space="0" w:color="auto"/>
            </w:tcBorders>
          </w:tcPr>
          <w:p w:rsidR="008C1C1A" w:rsidRDefault="008C1C1A" w:rsidP="00965C17">
            <w:pPr>
              <w:spacing w:before="120" w:after="200" w:line="264" w:lineRule="auto"/>
              <w:rPr>
                <w:rFonts w:cstheme="minorHAnsi"/>
                <w:sz w:val="16"/>
                <w:szCs w:val="16"/>
              </w:rPr>
            </w:pPr>
          </w:p>
          <w:p w:rsidR="008C1C1A" w:rsidRDefault="00000000" w:rsidP="00965C17">
            <w:pPr>
              <w:spacing w:before="120" w:after="200" w:line="264" w:lineRule="auto"/>
              <w:rPr>
                <w:rFonts w:cstheme="minorHAnsi"/>
                <w:sz w:val="16"/>
                <w:szCs w:val="16"/>
              </w:rPr>
            </w:pPr>
            <w:r>
              <w:rPr>
                <w:rFonts w:cstheme="minorHAnsi"/>
                <w:sz w:val="16"/>
                <w:szCs w:val="16"/>
              </w:rPr>
              <w:t>R</w:t>
            </w:r>
          </w:p>
          <w:p w:rsidR="008C1C1A" w:rsidRDefault="00000000" w:rsidP="00965C17">
            <w:pPr>
              <w:spacing w:before="120" w:after="200" w:line="264" w:lineRule="auto"/>
              <w:rPr>
                <w:rFonts w:cstheme="minorHAnsi"/>
                <w:sz w:val="16"/>
                <w:szCs w:val="16"/>
              </w:rPr>
            </w:pPr>
            <w:r>
              <w:rPr>
                <w:rFonts w:cstheme="minorHAnsi"/>
                <w:sz w:val="16"/>
                <w:szCs w:val="16"/>
              </w:rPr>
              <w:t>P</w:t>
            </w:r>
          </w:p>
          <w:p w:rsidR="008C1C1A" w:rsidRDefault="00000000" w:rsidP="00965C17">
            <w:pPr>
              <w:spacing w:before="120" w:after="200" w:line="264" w:lineRule="auto"/>
              <w:rPr>
                <w:rFonts w:cstheme="minorHAnsi"/>
                <w:sz w:val="16"/>
                <w:szCs w:val="16"/>
              </w:rPr>
            </w:pPr>
            <w:r>
              <w:rPr>
                <w:rFonts w:cstheme="minorHAnsi"/>
                <w:sz w:val="16"/>
                <w:szCs w:val="16"/>
              </w:rPr>
              <w:t>N</w:t>
            </w:r>
          </w:p>
        </w:tc>
      </w:tr>
      <w:tr w:rsidR="008C1C1A" w:rsidTr="00965C17">
        <w:trPr>
          <w:gridAfter w:val="1"/>
          <w:wAfter w:w="15" w:type="dxa"/>
          <w:trHeight w:val="1012"/>
        </w:trPr>
        <w:tc>
          <w:tcPr>
            <w:tcW w:w="1148"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jc w:val="center"/>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Failure Mode</w:t>
            </w:r>
          </w:p>
        </w:tc>
        <w:tc>
          <w:tcPr>
            <w:tcW w:w="100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center"/>
              <w:rPr>
                <w:rFonts w:ascii="Times New Roman" w:hAnsi="Times New Roman" w:cs="Times New Roman"/>
                <w:sz w:val="16"/>
                <w:szCs w:val="16"/>
              </w:rPr>
            </w:pPr>
            <w:r>
              <w:rPr>
                <w:rFonts w:ascii="Times New Roman" w:hAnsi="Times New Roman" w:cs="Times New Roman"/>
                <w:sz w:val="16"/>
                <w:szCs w:val="16"/>
              </w:rPr>
              <w:t>Effect   of Failure</w:t>
            </w: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S</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E</w:t>
            </w:r>
          </w:p>
          <w:p w:rsidR="008C1C1A" w:rsidRDefault="00000000" w:rsidP="00965C17">
            <w:pPr>
              <w:spacing w:before="120" w:after="200" w:line="264" w:lineRule="auto"/>
              <w:rPr>
                <w:rFonts w:ascii="Times New Roman" w:hAnsi="Times New Roman" w:cs="Times New Roman"/>
                <w:sz w:val="16"/>
                <w:szCs w:val="16"/>
              </w:rPr>
            </w:pPr>
            <w:r>
              <w:rPr>
                <w:rFonts w:ascii="Times New Roman" w:hAnsi="Times New Roman" w:cs="Times New Roman"/>
                <w:sz w:val="16"/>
                <w:szCs w:val="16"/>
              </w:rPr>
              <w:t>V</w:t>
            </w:r>
          </w:p>
        </w:tc>
        <w:tc>
          <w:tcPr>
            <w:tcW w:w="289"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911"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243"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865"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289"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284"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1589" w:type="dxa"/>
            <w:gridSpan w:val="2"/>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1296"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1013"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ascii="Times New Roman" w:hAnsi="Times New Roman" w:cs="Times New Roman"/>
                <w:sz w:val="16"/>
                <w:szCs w:val="16"/>
              </w:rPr>
            </w:pPr>
          </w:p>
        </w:tc>
        <w:tc>
          <w:tcPr>
            <w:tcW w:w="312"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vMerge/>
            <w:tcBorders>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r w:rsidR="008C1C1A" w:rsidTr="00965C17">
        <w:trPr>
          <w:gridAfter w:val="1"/>
          <w:wAfter w:w="15" w:type="dxa"/>
          <w:trHeight w:val="1582"/>
        </w:trPr>
        <w:tc>
          <w:tcPr>
            <w:tcW w:w="1148"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legal logging certification</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66454F"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Illegal or mis declared </w:t>
            </w:r>
            <w:r w:rsidR="0050645C">
              <w:rPr>
                <w:rFonts w:ascii="Times New Roman" w:hAnsi="Times New Roman" w:cs="Times New Roman"/>
                <w:sz w:val="16"/>
                <w:szCs w:val="16"/>
              </w:rPr>
              <w:t>timber origin</w:t>
            </w: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Legal </w:t>
            </w:r>
            <w:r w:rsidR="00DD1BC4">
              <w:rPr>
                <w:rFonts w:ascii="Times New Roman" w:hAnsi="Times New Roman" w:cs="Times New Roman"/>
                <w:sz w:val="16"/>
                <w:szCs w:val="16"/>
              </w:rPr>
              <w:t>penalties,</w:t>
            </w:r>
          </w:p>
          <w:p w:rsidR="00DD1BC4" w:rsidRDefault="00DD1BC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Shipment seizure, reputational damage.</w:t>
            </w:r>
          </w:p>
          <w:p w:rsidR="00DD1BC4" w:rsidRDefault="00DD1BC4"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9</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911" w:type="dxa"/>
            <w:tcBorders>
              <w:top w:val="single" w:sz="4" w:space="0" w:color="auto"/>
              <w:left w:val="single" w:sz="4" w:space="0" w:color="auto"/>
              <w:bottom w:val="single" w:sz="4" w:space="0" w:color="auto"/>
              <w:right w:val="single" w:sz="4" w:space="0" w:color="auto"/>
            </w:tcBorders>
          </w:tcPr>
          <w:p w:rsidR="008C1C1A" w:rsidRDefault="00544C0F"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Duplicate certificate, weak due diligence, laundering of sanctioned timber</w:t>
            </w:r>
          </w:p>
        </w:tc>
        <w:tc>
          <w:tcPr>
            <w:tcW w:w="243"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8</w:t>
            </w:r>
          </w:p>
        </w:tc>
        <w:tc>
          <w:tcPr>
            <w:tcW w:w="865" w:type="dxa"/>
            <w:tcBorders>
              <w:top w:val="single" w:sz="4" w:space="0" w:color="auto"/>
              <w:left w:val="single" w:sz="4" w:space="0" w:color="auto"/>
              <w:bottom w:val="single" w:sz="4" w:space="0" w:color="auto"/>
              <w:right w:val="single" w:sz="4" w:space="0" w:color="auto"/>
            </w:tcBorders>
          </w:tcPr>
          <w:p w:rsidR="008C1C1A" w:rsidRDefault="00AA3D6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Authorized submission or declaration</w:t>
            </w: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tc>
        <w:tc>
          <w:tcPr>
            <w:tcW w:w="284"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4</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3</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tc>
        <w:tc>
          <w:tcPr>
            <w:tcW w:w="1589" w:type="dxa"/>
            <w:gridSpan w:val="2"/>
            <w:tcBorders>
              <w:top w:val="single" w:sz="4" w:space="0" w:color="auto"/>
              <w:left w:val="single" w:sz="4" w:space="0" w:color="auto"/>
              <w:bottom w:val="single" w:sz="4" w:space="0" w:color="auto"/>
              <w:right w:val="single" w:sz="4" w:space="0" w:color="auto"/>
            </w:tcBorders>
          </w:tcPr>
          <w:p w:rsidR="008C1C1A" w:rsidRDefault="00544C0F"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Implement blockchain or tracking supplier audits, two-way verification with forest authorities.</w:t>
            </w:r>
          </w:p>
        </w:tc>
        <w:tc>
          <w:tcPr>
            <w:tcW w:w="1296" w:type="dxa"/>
            <w:tcBorders>
              <w:top w:val="single" w:sz="4" w:space="0" w:color="auto"/>
              <w:left w:val="single" w:sz="4" w:space="0" w:color="auto"/>
              <w:bottom w:val="single" w:sz="4" w:space="0" w:color="auto"/>
              <w:right w:val="single" w:sz="4" w:space="0" w:color="auto"/>
            </w:tcBorders>
          </w:tcPr>
          <w:p w:rsidR="008C1C1A" w:rsidRDefault="00544C0F"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Procurement team and agreement officer </w:t>
            </w:r>
          </w:p>
          <w:p w:rsidR="00544C0F" w:rsidRDefault="00544C0F" w:rsidP="00965C17">
            <w:pPr>
              <w:spacing w:before="120" w:after="200" w:line="264" w:lineRule="auto"/>
              <w:jc w:val="both"/>
              <w:rPr>
                <w:rFonts w:ascii="Times New Roman" w:hAnsi="Times New Roman" w:cs="Times New Roman"/>
                <w:sz w:val="16"/>
                <w:szCs w:val="16"/>
              </w:rPr>
            </w:pPr>
          </w:p>
        </w:tc>
        <w:tc>
          <w:tcPr>
            <w:tcW w:w="1013"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Notices, criminal action and unlimited fines</w:t>
            </w: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r w:rsidR="008C1C1A" w:rsidTr="00965C17">
        <w:trPr>
          <w:gridAfter w:val="1"/>
          <w:wAfter w:w="15" w:type="dxa"/>
          <w:trHeight w:val="2553"/>
        </w:trPr>
        <w:tc>
          <w:tcPr>
            <w:tcW w:w="1148"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Por</w:t>
            </w:r>
            <w:r w:rsidR="00544C0F">
              <w:rPr>
                <w:rFonts w:ascii="Times New Roman" w:hAnsi="Times New Roman" w:cs="Times New Roman"/>
                <w:sz w:val="16"/>
                <w:szCs w:val="16"/>
              </w:rPr>
              <w:t>t handling/ shipping</w:t>
            </w:r>
          </w:p>
        </w:tc>
        <w:tc>
          <w:tcPr>
            <w:tcW w:w="1009" w:type="dxa"/>
            <w:tcBorders>
              <w:top w:val="single" w:sz="4" w:space="0" w:color="auto"/>
              <w:left w:val="single" w:sz="4" w:space="0" w:color="auto"/>
              <w:bottom w:val="single" w:sz="4" w:space="0" w:color="auto"/>
              <w:right w:val="single" w:sz="4" w:space="0" w:color="auto"/>
            </w:tcBorders>
          </w:tcPr>
          <w:p w:rsidR="008C1C1A" w:rsidRDefault="00544C0F"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Inefficient unloading, port congestion</w:t>
            </w:r>
          </w:p>
        </w:tc>
        <w:tc>
          <w:tcPr>
            <w:tcW w:w="100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Late delivery, increased cost, delay in </w:t>
            </w:r>
            <w:r w:rsidR="00BD5C22">
              <w:rPr>
                <w:rFonts w:ascii="Times New Roman" w:hAnsi="Times New Roman" w:cs="Times New Roman"/>
                <w:sz w:val="16"/>
                <w:szCs w:val="16"/>
              </w:rPr>
              <w:t>project, storage</w:t>
            </w:r>
            <w:r w:rsidR="00544C0F">
              <w:rPr>
                <w:rFonts w:ascii="Times New Roman" w:hAnsi="Times New Roman" w:cs="Times New Roman"/>
                <w:sz w:val="16"/>
                <w:szCs w:val="16"/>
              </w:rPr>
              <w:t xml:space="preserve"> cost increased.</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8</w:t>
            </w: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tc>
        <w:tc>
          <w:tcPr>
            <w:tcW w:w="911"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Global volatility, </w:t>
            </w:r>
            <w:r w:rsidR="00BD5C22">
              <w:rPr>
                <w:rFonts w:ascii="Times New Roman" w:hAnsi="Times New Roman" w:cs="Times New Roman"/>
                <w:sz w:val="16"/>
                <w:szCs w:val="16"/>
              </w:rPr>
              <w:t xml:space="preserve">peak season surges, </w:t>
            </w:r>
            <w:proofErr w:type="spellStart"/>
            <w:r w:rsidR="00BD5C22">
              <w:rPr>
                <w:rFonts w:ascii="Times New Roman" w:hAnsi="Times New Roman" w:cs="Times New Roman"/>
                <w:sz w:val="16"/>
                <w:szCs w:val="16"/>
              </w:rPr>
              <w:t>labour</w:t>
            </w:r>
            <w:proofErr w:type="spellEnd"/>
            <w:r w:rsidR="00BD5C22">
              <w:rPr>
                <w:rFonts w:ascii="Times New Roman" w:hAnsi="Times New Roman" w:cs="Times New Roman"/>
                <w:sz w:val="16"/>
                <w:szCs w:val="16"/>
              </w:rPr>
              <w:t xml:space="preserve"> shortages</w:t>
            </w:r>
          </w:p>
        </w:tc>
        <w:tc>
          <w:tcPr>
            <w:tcW w:w="243"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8C1C1A" w:rsidRDefault="008C1C1A" w:rsidP="00965C17">
            <w:pPr>
              <w:spacing w:before="120" w:after="200" w:line="264" w:lineRule="auto"/>
              <w:jc w:val="both"/>
              <w:rPr>
                <w:rFonts w:ascii="Times New Roman" w:hAnsi="Times New Roman" w:cs="Times New Roman"/>
                <w:sz w:val="16"/>
                <w:szCs w:val="16"/>
              </w:rPr>
            </w:pPr>
          </w:p>
        </w:tc>
        <w:tc>
          <w:tcPr>
            <w:tcW w:w="865"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Carrier </w:t>
            </w:r>
            <w:r w:rsidR="00BD5C22">
              <w:rPr>
                <w:rFonts w:ascii="Times New Roman" w:hAnsi="Times New Roman" w:cs="Times New Roman"/>
                <w:sz w:val="16"/>
                <w:szCs w:val="16"/>
              </w:rPr>
              <w:t>schedules</w:t>
            </w:r>
            <w:r>
              <w:rPr>
                <w:rFonts w:ascii="Times New Roman" w:hAnsi="Times New Roman" w:cs="Times New Roman"/>
                <w:sz w:val="16"/>
                <w:szCs w:val="16"/>
              </w:rPr>
              <w:t>,</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Digital Pre-book </w:t>
            </w: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p w:rsidR="008C1C1A" w:rsidRDefault="008C1C1A" w:rsidP="00965C17">
            <w:pPr>
              <w:spacing w:before="120" w:after="200" w:line="264" w:lineRule="auto"/>
              <w:jc w:val="both"/>
              <w:rPr>
                <w:rFonts w:ascii="Times New Roman" w:hAnsi="Times New Roman" w:cs="Times New Roman"/>
                <w:sz w:val="16"/>
                <w:szCs w:val="16"/>
              </w:rPr>
            </w:pPr>
          </w:p>
        </w:tc>
        <w:tc>
          <w:tcPr>
            <w:tcW w:w="284"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3</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3</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p w:rsidR="008C1C1A" w:rsidRDefault="008C1C1A" w:rsidP="00965C17">
            <w:pPr>
              <w:spacing w:before="120" w:after="200" w:line="264" w:lineRule="auto"/>
              <w:jc w:val="both"/>
              <w:rPr>
                <w:rFonts w:ascii="Times New Roman" w:hAnsi="Times New Roman" w:cs="Times New Roman"/>
                <w:sz w:val="16"/>
                <w:szCs w:val="16"/>
              </w:rPr>
            </w:pPr>
          </w:p>
        </w:tc>
        <w:tc>
          <w:tcPr>
            <w:tcW w:w="1589" w:type="dxa"/>
            <w:gridSpan w:val="2"/>
            <w:tcBorders>
              <w:top w:val="single" w:sz="4" w:space="0" w:color="auto"/>
              <w:left w:val="single" w:sz="4" w:space="0" w:color="auto"/>
              <w:bottom w:val="single" w:sz="4" w:space="0" w:color="auto"/>
              <w:right w:val="single" w:sz="4" w:space="0" w:color="auto"/>
            </w:tcBorders>
          </w:tcPr>
          <w:p w:rsidR="008C1C1A" w:rsidRDefault="00BD5C22"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Digital pre-booking systems berth scheduling and strong bonded buffer hubs, robotics for handling</w:t>
            </w:r>
          </w:p>
        </w:tc>
        <w:tc>
          <w:tcPr>
            <w:tcW w:w="1296"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Work in Shifts, experienced leaders and managers.</w:t>
            </w:r>
          </w:p>
          <w:p w:rsidR="00BD5C22" w:rsidRDefault="00BD5C22" w:rsidP="00965C17">
            <w:pPr>
              <w:spacing w:before="120" w:after="200" w:line="264" w:lineRule="auto"/>
              <w:jc w:val="both"/>
              <w:rPr>
                <w:rFonts w:ascii="Times New Roman" w:hAnsi="Times New Roman" w:cs="Times New Roman"/>
                <w:sz w:val="16"/>
                <w:szCs w:val="16"/>
              </w:rPr>
            </w:pPr>
          </w:p>
        </w:tc>
        <w:tc>
          <w:tcPr>
            <w:tcW w:w="1013"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Pre-slot booking, with time</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Dynamic space management</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Artificial helps automation work</w:t>
            </w: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r w:rsidR="008C1C1A" w:rsidTr="00965C17">
        <w:trPr>
          <w:gridAfter w:val="1"/>
          <w:wAfter w:w="15" w:type="dxa"/>
          <w:trHeight w:val="1906"/>
        </w:trPr>
        <w:tc>
          <w:tcPr>
            <w:tcW w:w="1148"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lastRenderedPageBreak/>
              <w:t>Biosecurity</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BD5C22"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Pest or disease contamination </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BD5C22"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Quarantine, shipment rejection, treatment costs risk to domestic forests.</w:t>
            </w: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BD5C22"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8</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tc>
        <w:tc>
          <w:tcPr>
            <w:tcW w:w="911" w:type="dxa"/>
            <w:tcBorders>
              <w:top w:val="single" w:sz="4" w:space="0" w:color="auto"/>
              <w:left w:val="single" w:sz="4" w:space="0" w:color="auto"/>
              <w:bottom w:val="single" w:sz="4" w:space="0" w:color="auto"/>
              <w:right w:val="single" w:sz="4" w:space="0" w:color="auto"/>
            </w:tcBorders>
          </w:tcPr>
          <w:p w:rsidR="008C1C1A" w:rsidRDefault="00BD5C22"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Inadequate fumigation</w:t>
            </w:r>
            <w:r w:rsidR="00965C17">
              <w:rPr>
                <w:rFonts w:ascii="Times New Roman" w:hAnsi="Times New Roman" w:cs="Times New Roman"/>
                <w:sz w:val="16"/>
                <w:szCs w:val="16"/>
              </w:rPr>
              <w:t>, poor packaging wet storage.</w:t>
            </w:r>
          </w:p>
          <w:p w:rsidR="008C1C1A" w:rsidRDefault="008C1C1A" w:rsidP="00965C17">
            <w:pPr>
              <w:spacing w:before="120" w:after="200" w:line="264" w:lineRule="auto"/>
              <w:jc w:val="both"/>
              <w:rPr>
                <w:rFonts w:ascii="Times New Roman" w:hAnsi="Times New Roman" w:cs="Times New Roman"/>
                <w:sz w:val="16"/>
                <w:szCs w:val="16"/>
              </w:rPr>
            </w:pPr>
          </w:p>
        </w:tc>
        <w:tc>
          <w:tcPr>
            <w:tcW w:w="243" w:type="dxa"/>
            <w:tcBorders>
              <w:top w:val="single" w:sz="4" w:space="0" w:color="auto"/>
              <w:left w:val="single" w:sz="4" w:space="0" w:color="auto"/>
              <w:bottom w:val="single" w:sz="4" w:space="0" w:color="auto"/>
              <w:right w:val="single" w:sz="4" w:space="0" w:color="auto"/>
            </w:tcBorders>
          </w:tcPr>
          <w:p w:rsidR="008C1C1A"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865" w:type="dxa"/>
            <w:tcBorders>
              <w:top w:val="single" w:sz="4" w:space="0" w:color="auto"/>
              <w:left w:val="single" w:sz="4" w:space="0" w:color="auto"/>
              <w:bottom w:val="single" w:sz="4" w:space="0" w:color="auto"/>
              <w:right w:val="single" w:sz="4" w:space="0" w:color="auto"/>
            </w:tcBorders>
          </w:tcPr>
          <w:p w:rsidR="008C1C1A"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Phytosanitary certificates, occasional inspections.</w:t>
            </w: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4" w:type="dxa"/>
            <w:tcBorders>
              <w:top w:val="single" w:sz="4" w:space="0" w:color="auto"/>
              <w:left w:val="single" w:sz="4" w:space="0" w:color="auto"/>
              <w:bottom w:val="single" w:sz="4" w:space="0" w:color="auto"/>
              <w:right w:val="single" w:sz="4" w:space="0" w:color="auto"/>
            </w:tcBorders>
          </w:tcPr>
          <w:p w:rsidR="008C1C1A"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3</w:t>
            </w: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9</w:t>
            </w: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589" w:type="dxa"/>
            <w:gridSpan w:val="2"/>
            <w:tcBorders>
              <w:top w:val="single" w:sz="4" w:space="0" w:color="auto"/>
              <w:left w:val="single" w:sz="4" w:space="0" w:color="auto"/>
              <w:bottom w:val="single" w:sz="4" w:space="0" w:color="auto"/>
              <w:right w:val="single" w:sz="4" w:space="0" w:color="auto"/>
            </w:tcBorders>
          </w:tcPr>
          <w:p w:rsidR="008C1C1A"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Mandatory heat treatment and verified treatment logs, pre shipment lab test, pest free declaration, target inspections on high-risk origins. </w:t>
            </w:r>
          </w:p>
        </w:tc>
        <w:tc>
          <w:tcPr>
            <w:tcW w:w="1296" w:type="dxa"/>
            <w:tcBorders>
              <w:top w:val="single" w:sz="4" w:space="0" w:color="auto"/>
              <w:left w:val="single" w:sz="4" w:space="0" w:color="auto"/>
              <w:bottom w:val="single" w:sz="4" w:space="0" w:color="auto"/>
              <w:right w:val="single" w:sz="4" w:space="0" w:color="auto"/>
            </w:tcBorders>
          </w:tcPr>
          <w:p w:rsidR="008C1C1A"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Quality and compliance, forestry commission liaison</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13"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Scientific testing, validation with marking, pre-treated pest free area</w:t>
            </w: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r w:rsidR="00965C17" w:rsidTr="00965C17">
        <w:trPr>
          <w:gridAfter w:val="1"/>
          <w:wAfter w:w="15" w:type="dxa"/>
          <w:trHeight w:val="3043"/>
        </w:trPr>
        <w:tc>
          <w:tcPr>
            <w:tcW w:w="1148"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Customs clearance </w:t>
            </w:r>
          </w:p>
          <w:p w:rsidR="00965C17" w:rsidRDefault="00965C17"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Quality failure,</w:t>
            </w: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documentation failure,</w:t>
            </w:r>
          </w:p>
          <w:p w:rsidR="00965C17" w:rsidRDefault="00965C17"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Storage charges, moisture exposure, delayed handover to buyers.</w:t>
            </w:r>
          </w:p>
        </w:tc>
        <w:tc>
          <w:tcPr>
            <w:tcW w:w="289"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tc>
        <w:tc>
          <w:tcPr>
            <w:tcW w:w="911"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Human error, outdated </w:t>
            </w:r>
            <w:r w:rsidR="00F24E2D">
              <w:rPr>
                <w:rFonts w:ascii="Times New Roman" w:hAnsi="Times New Roman" w:cs="Times New Roman"/>
                <w:sz w:val="16"/>
                <w:szCs w:val="16"/>
              </w:rPr>
              <w:t>paperwork, inconsistent</w:t>
            </w:r>
            <w:r>
              <w:rPr>
                <w:rFonts w:ascii="Times New Roman" w:hAnsi="Times New Roman" w:cs="Times New Roman"/>
                <w:sz w:val="16"/>
                <w:szCs w:val="16"/>
              </w:rPr>
              <w:t xml:space="preserve"> </w:t>
            </w:r>
            <w:r w:rsidR="00F24E2D">
              <w:rPr>
                <w:rFonts w:ascii="Times New Roman" w:hAnsi="Times New Roman" w:cs="Times New Roman"/>
                <w:sz w:val="16"/>
                <w:szCs w:val="16"/>
              </w:rPr>
              <w:t>licenses</w:t>
            </w:r>
          </w:p>
        </w:tc>
        <w:tc>
          <w:tcPr>
            <w:tcW w:w="243"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tc>
        <w:tc>
          <w:tcPr>
            <w:tcW w:w="865"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Use of</w:t>
            </w:r>
            <w:r w:rsidR="00965C17">
              <w:rPr>
                <w:rFonts w:ascii="Times New Roman" w:hAnsi="Times New Roman" w:cs="Times New Roman"/>
                <w:sz w:val="16"/>
                <w:szCs w:val="16"/>
              </w:rPr>
              <w:t xml:space="preserve"> customs brokers</w:t>
            </w:r>
            <w:r>
              <w:rPr>
                <w:rFonts w:ascii="Times New Roman" w:hAnsi="Times New Roman" w:cs="Times New Roman"/>
                <w:sz w:val="16"/>
                <w:szCs w:val="16"/>
              </w:rPr>
              <w:t>, manual document checks</w:t>
            </w:r>
          </w:p>
        </w:tc>
        <w:tc>
          <w:tcPr>
            <w:tcW w:w="289"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p>
        </w:tc>
        <w:tc>
          <w:tcPr>
            <w:tcW w:w="284"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p w:rsidR="00965C17"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9</w:t>
            </w:r>
          </w:p>
          <w:p w:rsidR="00F24E2D"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4</w:t>
            </w:r>
          </w:p>
          <w:p w:rsidR="00965C17" w:rsidRDefault="00965C17" w:rsidP="00965C17">
            <w:pPr>
              <w:spacing w:before="120" w:after="200" w:line="264" w:lineRule="auto"/>
              <w:jc w:val="both"/>
              <w:rPr>
                <w:rFonts w:ascii="Times New Roman" w:hAnsi="Times New Roman" w:cs="Times New Roman"/>
                <w:sz w:val="16"/>
                <w:szCs w:val="16"/>
              </w:rPr>
            </w:pPr>
          </w:p>
        </w:tc>
        <w:tc>
          <w:tcPr>
            <w:tcW w:w="1589" w:type="dxa"/>
            <w:gridSpan w:val="2"/>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Adopt digital customs</w:t>
            </w:r>
            <w:r w:rsidR="00965C17">
              <w:rPr>
                <w:rFonts w:ascii="Times New Roman" w:hAnsi="Times New Roman" w:cs="Times New Roman"/>
                <w:sz w:val="16"/>
                <w:szCs w:val="16"/>
              </w:rPr>
              <w:t xml:space="preserve"> </w:t>
            </w:r>
            <w:r>
              <w:rPr>
                <w:rFonts w:ascii="Times New Roman" w:hAnsi="Times New Roman" w:cs="Times New Roman"/>
                <w:sz w:val="16"/>
                <w:szCs w:val="16"/>
              </w:rPr>
              <w:t>clearance, automated validation, trusted trader scheme, pre-clearance workflows and training for brokers</w:t>
            </w:r>
          </w:p>
          <w:p w:rsidR="00965C17" w:rsidRDefault="00965C17" w:rsidP="00965C17">
            <w:pPr>
              <w:spacing w:before="120" w:after="200" w:line="264" w:lineRule="auto"/>
              <w:jc w:val="both"/>
              <w:rPr>
                <w:rFonts w:ascii="Times New Roman" w:hAnsi="Times New Roman" w:cs="Times New Roman"/>
                <w:sz w:val="16"/>
                <w:szCs w:val="16"/>
              </w:rPr>
            </w:pPr>
          </w:p>
        </w:tc>
        <w:tc>
          <w:tcPr>
            <w:tcW w:w="1296"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Maintain records for without license </w:t>
            </w:r>
            <w:r w:rsidR="00F24E2D">
              <w:rPr>
                <w:rFonts w:ascii="Times New Roman" w:hAnsi="Times New Roman" w:cs="Times New Roman"/>
                <w:sz w:val="16"/>
                <w:szCs w:val="16"/>
              </w:rPr>
              <w:t>agreements, customs agent, import manager</w:t>
            </w:r>
          </w:p>
          <w:p w:rsidR="00965C17" w:rsidRDefault="00965C17" w:rsidP="00965C17">
            <w:pPr>
              <w:spacing w:before="120" w:after="200" w:line="264" w:lineRule="auto"/>
              <w:jc w:val="both"/>
              <w:rPr>
                <w:rFonts w:ascii="Times New Roman" w:hAnsi="Times New Roman" w:cs="Times New Roman"/>
                <w:sz w:val="16"/>
                <w:szCs w:val="16"/>
              </w:rPr>
            </w:pPr>
          </w:p>
        </w:tc>
        <w:tc>
          <w:tcPr>
            <w:tcW w:w="1013"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ascii="Times New Roman" w:hAnsi="Times New Roman" w:cs="Times New Roman"/>
                <w:sz w:val="16"/>
                <w:szCs w:val="16"/>
              </w:rPr>
            </w:pPr>
          </w:p>
          <w:p w:rsidR="00965C17" w:rsidRDefault="00965C17"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illegal timber declined to accept, seized or penalties</w:t>
            </w:r>
          </w:p>
        </w:tc>
        <w:tc>
          <w:tcPr>
            <w:tcW w:w="312"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jc w:val="both"/>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965C17" w:rsidRDefault="00965C17" w:rsidP="00965C17">
            <w:pPr>
              <w:spacing w:before="120" w:after="200" w:line="264" w:lineRule="auto"/>
              <w:rPr>
                <w:rFonts w:cstheme="minorHAnsi"/>
                <w:sz w:val="16"/>
                <w:szCs w:val="16"/>
              </w:rPr>
            </w:pPr>
          </w:p>
        </w:tc>
      </w:tr>
      <w:tr w:rsidR="008C1C1A" w:rsidTr="00965C17">
        <w:trPr>
          <w:gridAfter w:val="1"/>
          <w:wAfter w:w="15" w:type="dxa"/>
          <w:trHeight w:val="2243"/>
        </w:trPr>
        <w:tc>
          <w:tcPr>
            <w:tcW w:w="1148"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915B0C" w:rsidRDefault="00915B0C"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Market price </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767A74" w:rsidRDefault="00767A74" w:rsidP="00965C17">
            <w:pPr>
              <w:spacing w:before="120" w:after="200" w:line="264" w:lineRule="auto"/>
              <w:jc w:val="both"/>
              <w:rPr>
                <w:rFonts w:ascii="Times New Roman" w:hAnsi="Times New Roman" w:cs="Times New Roman"/>
                <w:sz w:val="16"/>
                <w:szCs w:val="16"/>
              </w:rPr>
            </w:pPr>
          </w:p>
          <w:p w:rsidR="00767A74" w:rsidRDefault="00767A74" w:rsidP="00965C17">
            <w:pPr>
              <w:spacing w:before="120" w:after="200" w:line="264" w:lineRule="auto"/>
              <w:jc w:val="both"/>
              <w:rPr>
                <w:rFonts w:ascii="Times New Roman" w:hAnsi="Times New Roman" w:cs="Times New Roman"/>
                <w:sz w:val="16"/>
                <w:szCs w:val="16"/>
              </w:rPr>
            </w:pPr>
          </w:p>
          <w:p w:rsidR="008C1C1A" w:rsidRDefault="00F24E2D"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Global price volatility/ currency exposure</w:t>
            </w: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767A74" w:rsidRDefault="00767A74"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Contract disputes, cost overruns, inventory shortages</w:t>
            </w: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9</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w:t>
            </w:r>
          </w:p>
        </w:tc>
        <w:tc>
          <w:tcPr>
            <w:tcW w:w="911"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Materials Collect and holding in yard, </w:t>
            </w:r>
            <w:proofErr w:type="spellStart"/>
            <w:r w:rsidR="00767A74">
              <w:rPr>
                <w:rFonts w:ascii="Times New Roman" w:hAnsi="Times New Roman" w:cs="Times New Roman"/>
                <w:sz w:val="16"/>
                <w:szCs w:val="16"/>
              </w:rPr>
              <w:t>Fx</w:t>
            </w:r>
            <w:proofErr w:type="spellEnd"/>
            <w:r w:rsidR="00767A74">
              <w:rPr>
                <w:rFonts w:ascii="Times New Roman" w:hAnsi="Times New Roman" w:cs="Times New Roman"/>
                <w:sz w:val="16"/>
                <w:szCs w:val="16"/>
              </w:rPr>
              <w:t xml:space="preserve"> swings, tariffs</w:t>
            </w:r>
          </w:p>
          <w:p w:rsidR="008C1C1A" w:rsidRDefault="008C1C1A" w:rsidP="00965C17">
            <w:pPr>
              <w:spacing w:before="120" w:after="200" w:line="264" w:lineRule="auto"/>
              <w:jc w:val="both"/>
              <w:rPr>
                <w:rFonts w:ascii="Times New Roman" w:hAnsi="Times New Roman" w:cs="Times New Roman"/>
                <w:sz w:val="16"/>
                <w:szCs w:val="16"/>
              </w:rPr>
            </w:pPr>
          </w:p>
        </w:tc>
        <w:tc>
          <w:tcPr>
            <w:tcW w:w="243"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865"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767A74"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Short-term contracts and spot purchases</w:t>
            </w: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767A74" w:rsidRDefault="00767A74"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4</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4"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p w:rsidR="00767A74"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5</w:t>
            </w:r>
          </w:p>
          <w:p w:rsidR="00767A74"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p w:rsidR="008C1C1A" w:rsidRDefault="008C1C1A" w:rsidP="00965C17">
            <w:pPr>
              <w:spacing w:before="120" w:after="200" w:line="264" w:lineRule="auto"/>
              <w:jc w:val="both"/>
              <w:rPr>
                <w:rFonts w:ascii="Times New Roman" w:hAnsi="Times New Roman" w:cs="Times New Roman"/>
                <w:sz w:val="16"/>
                <w:szCs w:val="16"/>
              </w:rPr>
            </w:pPr>
          </w:p>
        </w:tc>
        <w:tc>
          <w:tcPr>
            <w:tcW w:w="1589" w:type="dxa"/>
            <w:gridSpan w:val="2"/>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Long term contract with fixed price, </w:t>
            </w:r>
            <w:r w:rsidR="00767A74">
              <w:rPr>
                <w:rFonts w:ascii="Times New Roman" w:hAnsi="Times New Roman" w:cs="Times New Roman"/>
                <w:sz w:val="16"/>
                <w:szCs w:val="16"/>
              </w:rPr>
              <w:t>currency hedging, diversified sourcing across regions, buffer inventory strategy</w:t>
            </w:r>
          </w:p>
          <w:p w:rsidR="008C1C1A" w:rsidRDefault="008C1C1A" w:rsidP="00965C17">
            <w:pPr>
              <w:spacing w:before="120" w:after="200" w:line="264" w:lineRule="auto"/>
              <w:jc w:val="both"/>
              <w:rPr>
                <w:rFonts w:ascii="Times New Roman" w:hAnsi="Times New Roman" w:cs="Times New Roman"/>
                <w:sz w:val="16"/>
                <w:szCs w:val="16"/>
              </w:rPr>
            </w:pPr>
          </w:p>
        </w:tc>
        <w:tc>
          <w:tcPr>
            <w:tcW w:w="1296"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Finance manager. Procurement lead.</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1013"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capital management, risk management</w:t>
            </w:r>
          </w:p>
          <w:p w:rsidR="008C1C1A" w:rsidRDefault="008C1C1A" w:rsidP="00965C17">
            <w:pPr>
              <w:spacing w:before="120" w:after="200" w:line="264" w:lineRule="auto"/>
              <w:jc w:val="both"/>
              <w:rPr>
                <w:rFonts w:ascii="Times New Roman" w:hAnsi="Times New Roman" w:cs="Times New Roman"/>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r w:rsidR="008C1C1A" w:rsidTr="00965C17">
        <w:trPr>
          <w:gridAfter w:val="1"/>
          <w:wAfter w:w="15" w:type="dxa"/>
          <w:trHeight w:val="2991"/>
        </w:trPr>
        <w:tc>
          <w:tcPr>
            <w:tcW w:w="1148"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 xml:space="preserve">Logistics </w:t>
            </w: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Driver shortages, capacity constraints, misrouting</w:t>
            </w:r>
          </w:p>
          <w:p w:rsidR="008C1C1A" w:rsidRDefault="008C1C1A" w:rsidP="00965C17">
            <w:pPr>
              <w:spacing w:before="120" w:after="200" w:line="264" w:lineRule="auto"/>
              <w:jc w:val="both"/>
              <w:rPr>
                <w:rFonts w:ascii="Times New Roman" w:hAnsi="Times New Roman" w:cs="Times New Roman"/>
                <w:sz w:val="16"/>
                <w:szCs w:val="16"/>
              </w:rPr>
            </w:pPr>
          </w:p>
        </w:tc>
        <w:tc>
          <w:tcPr>
            <w:tcW w:w="100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767A74"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Missed site deliveries, higher transport costs, product damage</w:t>
            </w: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7</w:t>
            </w: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tc>
        <w:tc>
          <w:tcPr>
            <w:tcW w:w="911"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915B0C"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Local congestion, single-carrier relance</w:t>
            </w:r>
          </w:p>
          <w:p w:rsidR="008C1C1A" w:rsidRDefault="008C1C1A" w:rsidP="00965C17">
            <w:pPr>
              <w:spacing w:before="120" w:after="200" w:line="264" w:lineRule="auto"/>
              <w:jc w:val="both"/>
              <w:rPr>
                <w:rFonts w:ascii="Times New Roman" w:hAnsi="Times New Roman" w:cs="Times New Roman"/>
                <w:sz w:val="16"/>
                <w:szCs w:val="16"/>
              </w:rPr>
            </w:pPr>
          </w:p>
        </w:tc>
        <w:tc>
          <w:tcPr>
            <w:tcW w:w="243"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p w:rsidR="008C1C1A" w:rsidRDefault="008C1C1A" w:rsidP="00965C17">
            <w:pPr>
              <w:spacing w:before="120" w:after="200" w:line="264" w:lineRule="auto"/>
              <w:jc w:val="both"/>
              <w:rPr>
                <w:rFonts w:ascii="Times New Roman" w:hAnsi="Times New Roman" w:cs="Times New Roman"/>
                <w:sz w:val="16"/>
                <w:szCs w:val="16"/>
              </w:rPr>
            </w:pPr>
          </w:p>
        </w:tc>
        <w:tc>
          <w:tcPr>
            <w:tcW w:w="865"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915B0C"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Third-party haulers, pre hoc route planning</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9"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6</w:t>
            </w:r>
          </w:p>
          <w:p w:rsidR="008C1C1A" w:rsidRDefault="008C1C1A" w:rsidP="00965C17">
            <w:pPr>
              <w:spacing w:before="120" w:after="200" w:line="264" w:lineRule="auto"/>
              <w:jc w:val="both"/>
              <w:rPr>
                <w:rFonts w:ascii="Times New Roman" w:hAnsi="Times New Roman" w:cs="Times New Roman"/>
                <w:sz w:val="16"/>
                <w:szCs w:val="16"/>
              </w:rPr>
            </w:pPr>
          </w:p>
          <w:p w:rsidR="008C1C1A" w:rsidRDefault="008C1C1A" w:rsidP="00965C17">
            <w:pPr>
              <w:spacing w:before="120" w:after="200" w:line="264" w:lineRule="auto"/>
              <w:jc w:val="both"/>
              <w:rPr>
                <w:rFonts w:ascii="Times New Roman" w:hAnsi="Times New Roman" w:cs="Times New Roman"/>
                <w:sz w:val="16"/>
                <w:szCs w:val="16"/>
              </w:rPr>
            </w:pPr>
          </w:p>
        </w:tc>
        <w:tc>
          <w:tcPr>
            <w:tcW w:w="284"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5</w:t>
            </w: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2</w:t>
            </w:r>
          </w:p>
        </w:tc>
        <w:tc>
          <w:tcPr>
            <w:tcW w:w="1589" w:type="dxa"/>
            <w:gridSpan w:val="2"/>
            <w:tcBorders>
              <w:top w:val="single" w:sz="4" w:space="0" w:color="auto"/>
              <w:left w:val="single" w:sz="4" w:space="0" w:color="auto"/>
              <w:bottom w:val="single" w:sz="4" w:space="0" w:color="auto"/>
              <w:right w:val="single" w:sz="4" w:space="0" w:color="auto"/>
            </w:tcBorders>
          </w:tcPr>
          <w:p w:rsidR="00F16BA0" w:rsidRDefault="00F16BA0" w:rsidP="00965C17">
            <w:pPr>
              <w:spacing w:before="120" w:after="200" w:line="264" w:lineRule="auto"/>
              <w:jc w:val="both"/>
              <w:rPr>
                <w:rFonts w:ascii="Times New Roman" w:hAnsi="Times New Roman" w:cs="Times New Roman"/>
                <w:sz w:val="16"/>
                <w:szCs w:val="16"/>
              </w:rPr>
            </w:pPr>
          </w:p>
          <w:p w:rsidR="008C1C1A" w:rsidRDefault="00915B0C" w:rsidP="00965C17">
            <w:pPr>
              <w:spacing w:before="120" w:after="200" w:line="264" w:lineRule="auto"/>
              <w:jc w:val="both"/>
              <w:rPr>
                <w:rFonts w:ascii="Times New Roman" w:hAnsi="Times New Roman" w:cs="Times New Roman"/>
                <w:sz w:val="16"/>
                <w:szCs w:val="16"/>
              </w:rPr>
            </w:pPr>
            <w:proofErr w:type="spellStart"/>
            <w:r>
              <w:rPr>
                <w:rFonts w:ascii="Times New Roman" w:hAnsi="Times New Roman" w:cs="Times New Roman"/>
                <w:sz w:val="16"/>
                <w:szCs w:val="16"/>
              </w:rPr>
              <w:t>Gps</w:t>
            </w:r>
            <w:proofErr w:type="spellEnd"/>
            <w:r>
              <w:rPr>
                <w:rFonts w:ascii="Times New Roman" w:hAnsi="Times New Roman" w:cs="Times New Roman"/>
                <w:sz w:val="16"/>
                <w:szCs w:val="16"/>
              </w:rPr>
              <w:t xml:space="preserve"> fleet monitoring, route optimization, collaborative transport sharing, multimodal (rail) for long haul, scheduled delivery windows </w:t>
            </w:r>
          </w:p>
        </w:tc>
        <w:tc>
          <w:tcPr>
            <w:tcW w:w="1296"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Live tracking</w:t>
            </w:r>
            <w:r w:rsidR="00915B0C">
              <w:rPr>
                <w:rFonts w:ascii="Times New Roman" w:hAnsi="Times New Roman" w:cs="Times New Roman"/>
                <w:sz w:val="16"/>
                <w:szCs w:val="16"/>
              </w:rPr>
              <w:t>, logistics manager, regional distribution leads</w:t>
            </w:r>
          </w:p>
        </w:tc>
        <w:tc>
          <w:tcPr>
            <w:tcW w:w="1013"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ascii="Times New Roman" w:hAnsi="Times New Roman" w:cs="Times New Roman"/>
                <w:sz w:val="16"/>
                <w:szCs w:val="16"/>
              </w:rPr>
            </w:pPr>
          </w:p>
          <w:p w:rsidR="008C1C1A" w:rsidRDefault="00000000" w:rsidP="00965C17">
            <w:pPr>
              <w:spacing w:before="120" w:after="200" w:line="264" w:lineRule="auto"/>
              <w:jc w:val="both"/>
              <w:rPr>
                <w:rFonts w:ascii="Times New Roman" w:hAnsi="Times New Roman" w:cs="Times New Roman"/>
                <w:sz w:val="16"/>
                <w:szCs w:val="16"/>
              </w:rPr>
            </w:pPr>
            <w:r>
              <w:rPr>
                <w:rFonts w:ascii="Times New Roman" w:hAnsi="Times New Roman" w:cs="Times New Roman"/>
                <w:sz w:val="16"/>
                <w:szCs w:val="16"/>
              </w:rPr>
              <w:t>agreed routes, regional transport groups, goods transport guidance</w:t>
            </w: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jc w:val="both"/>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31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c>
          <w:tcPr>
            <w:tcW w:w="272" w:type="dxa"/>
            <w:tcBorders>
              <w:top w:val="single" w:sz="4" w:space="0" w:color="auto"/>
              <w:left w:val="single" w:sz="4" w:space="0" w:color="auto"/>
              <w:bottom w:val="single" w:sz="4" w:space="0" w:color="auto"/>
              <w:right w:val="single" w:sz="4" w:space="0" w:color="auto"/>
            </w:tcBorders>
          </w:tcPr>
          <w:p w:rsidR="008C1C1A" w:rsidRDefault="008C1C1A" w:rsidP="00965C17">
            <w:pPr>
              <w:spacing w:before="120" w:after="200" w:line="264" w:lineRule="auto"/>
              <w:rPr>
                <w:rFonts w:cstheme="minorHAnsi"/>
                <w:sz w:val="16"/>
                <w:szCs w:val="16"/>
              </w:rPr>
            </w:pPr>
          </w:p>
        </w:tc>
      </w:tr>
    </w:tbl>
    <w:p w:rsidR="008C1C1A" w:rsidRDefault="008C1C1A">
      <w:pPr>
        <w:spacing w:before="120" w:after="200" w:line="264" w:lineRule="auto"/>
        <w:rPr>
          <w:rFonts w:cstheme="minorHAnsi"/>
          <w:b/>
          <w:bCs/>
          <w:sz w:val="16"/>
          <w:szCs w:val="16"/>
        </w:rPr>
      </w:pPr>
    </w:p>
    <w:p w:rsidR="00FC0446" w:rsidRDefault="00FC0446">
      <w:pPr>
        <w:spacing w:after="0" w:line="240" w:lineRule="auto"/>
        <w:rPr>
          <w:rFonts w:asciiTheme="majorHAnsi" w:hAnsiTheme="majorHAnsi" w:cstheme="majorHAnsi"/>
          <w:sz w:val="24"/>
          <w:szCs w:val="24"/>
        </w:rPr>
      </w:pPr>
      <w:r>
        <w:rPr>
          <w:rFonts w:asciiTheme="majorHAnsi" w:hAnsiTheme="majorHAnsi" w:cstheme="majorHAnsi"/>
          <w:sz w:val="24"/>
          <w:szCs w:val="24"/>
        </w:rPr>
        <w:br w:type="page"/>
      </w:r>
    </w:p>
    <w:p w:rsidR="008C1C1A" w:rsidRDefault="008C1C1A">
      <w:pPr>
        <w:spacing w:before="120" w:after="200" w:line="264" w:lineRule="auto"/>
        <w:jc w:val="both"/>
        <w:rPr>
          <w:rFonts w:asciiTheme="majorHAnsi" w:hAnsiTheme="majorHAnsi" w:cstheme="majorHAnsi"/>
          <w:sz w:val="24"/>
          <w:szCs w:val="24"/>
        </w:rPr>
      </w:pPr>
    </w:p>
    <w:p w:rsidR="008C1C1A" w:rsidRPr="00FC0446" w:rsidRDefault="00000000" w:rsidP="00F13993">
      <w:pPr>
        <w:pStyle w:val="Heading1"/>
        <w:rPr>
          <w:rFonts w:ascii="Times New Roman" w:hAnsi="Times New Roman" w:cs="Times New Roman"/>
          <w:b/>
          <w:bCs/>
          <w:sz w:val="24"/>
          <w:szCs w:val="24"/>
        </w:rPr>
      </w:pPr>
      <w:bookmarkStart w:id="4" w:name="_Toc214490711"/>
      <w:r w:rsidRPr="00FC0446">
        <w:rPr>
          <w:rFonts w:ascii="Times New Roman" w:hAnsi="Times New Roman" w:cs="Times New Roman"/>
          <w:b/>
          <w:bCs/>
          <w:sz w:val="24"/>
          <w:szCs w:val="24"/>
        </w:rPr>
        <w:t>2.1 MODES AND EFFECTS ANALYSIS RESULT</w:t>
      </w:r>
      <w:bookmarkEnd w:id="4"/>
    </w:p>
    <w:p w:rsidR="00956322" w:rsidRPr="00FC0446" w:rsidRDefault="00290C6C" w:rsidP="00F37754">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FMEA showed that the most serious problem in the UK timber supply chain is the risk of illegal or wrongly declared wood entering the market. If this happens, companies can face legal action, environmental criticism and serious reputational loss. Medium level risks were linked to delays in transport, especially when natural disasters or slow adminis</w:t>
      </w:r>
      <w:r w:rsidR="00F37754">
        <w:rPr>
          <w:rFonts w:ascii="Times New Roman" w:hAnsi="Times New Roman" w:cs="Times New Roman"/>
          <w:sz w:val="24"/>
          <w:szCs w:val="24"/>
        </w:rPr>
        <w:t xml:space="preserve">trative processes affect shipping. Low risks mostly involved small paperwork mistakes or miscommunication between suppliers. Using digital tracking tools like blockchain, barcodes and live certificate checks, can helps reduce this problem. Regular audits and strong supplier relationships also support better compliance and traceability. Overall taking these proactive steps makes the supply chain more reliable and supports responsible sourcing. </w:t>
      </w:r>
      <w:r w:rsidR="00956322" w:rsidRPr="00FC0446">
        <w:rPr>
          <w:rFonts w:ascii="Times New Roman" w:hAnsi="Times New Roman" w:cs="Times New Roman"/>
          <w:sz w:val="24"/>
          <w:szCs w:val="24"/>
        </w:rPr>
        <w:br w:type="page"/>
      </w:r>
    </w:p>
    <w:p w:rsidR="008C1C1A" w:rsidRDefault="00000000">
      <w:pPr>
        <w:pStyle w:val="Heading1"/>
        <w:rPr>
          <w:rFonts w:ascii="Times New Roman" w:hAnsi="Times New Roman" w:cs="Times New Roman"/>
          <w:b/>
          <w:bCs/>
          <w:sz w:val="32"/>
          <w:szCs w:val="32"/>
          <w:lang w:val="en-GB"/>
        </w:rPr>
      </w:pPr>
      <w:bookmarkStart w:id="5" w:name="_Toc214490712"/>
      <w:r>
        <w:rPr>
          <w:rFonts w:ascii="Times New Roman" w:hAnsi="Times New Roman" w:cs="Times New Roman"/>
          <w:b/>
          <w:bCs/>
          <w:sz w:val="32"/>
          <w:szCs w:val="32"/>
        </w:rPr>
        <w:lastRenderedPageBreak/>
        <w:t xml:space="preserve">3.  </w:t>
      </w:r>
      <w:r>
        <w:rPr>
          <w:rFonts w:ascii="Times New Roman" w:hAnsi="Times New Roman" w:cs="Times New Roman"/>
          <w:b/>
          <w:bCs/>
          <w:sz w:val="32"/>
          <w:szCs w:val="32"/>
          <w:lang w:val="en-IN"/>
        </w:rPr>
        <w:t>SIX STEPS TO ENHANCE SUPPLY CHAIN RESILIENCE</w:t>
      </w:r>
      <w:bookmarkEnd w:id="5"/>
    </w:p>
    <w:p w:rsidR="008C1C1A" w:rsidRDefault="008C1C1A">
      <w:pPr>
        <w:spacing w:before="120" w:after="200" w:line="264" w:lineRule="auto"/>
        <w:rPr>
          <w:rFonts w:ascii="Times New Roman" w:hAnsi="Times New Roman" w:cs="Times New Roman"/>
          <w:b/>
          <w:bCs/>
          <w:sz w:val="24"/>
          <w:szCs w:val="24"/>
          <w:u w:val="single"/>
        </w:rPr>
      </w:pPr>
    </w:p>
    <w:p w:rsidR="008C1C1A" w:rsidRDefault="00000000">
      <w:pPr>
        <w:pStyle w:val="Heading1"/>
        <w:rPr>
          <w:rFonts w:ascii="Times New Roman" w:hAnsi="Times New Roman" w:cs="Times New Roman"/>
          <w:b/>
          <w:bCs/>
          <w:sz w:val="24"/>
          <w:szCs w:val="24"/>
        </w:rPr>
      </w:pPr>
      <w:bookmarkStart w:id="6" w:name="_Toc214490713"/>
      <w:r>
        <w:rPr>
          <w:rFonts w:ascii="Times New Roman" w:hAnsi="Times New Roman" w:cs="Times New Roman"/>
          <w:b/>
          <w:bCs/>
          <w:sz w:val="24"/>
          <w:szCs w:val="24"/>
        </w:rPr>
        <w:t>3.1</w:t>
      </w:r>
      <w:r w:rsidR="005E5911">
        <w:rPr>
          <w:rFonts w:ascii="Times New Roman" w:hAnsi="Times New Roman" w:cs="Times New Roman"/>
          <w:b/>
          <w:bCs/>
          <w:sz w:val="24"/>
          <w:szCs w:val="24"/>
        </w:rPr>
        <w:t xml:space="preserve"> </w:t>
      </w:r>
      <w:r w:rsidR="005E5911" w:rsidRPr="005E5911">
        <w:rPr>
          <w:rFonts w:ascii="Times New Roman" w:hAnsi="Times New Roman" w:cs="Times New Roman"/>
          <w:b/>
          <w:bCs/>
          <w:sz w:val="24"/>
          <w:szCs w:val="24"/>
        </w:rPr>
        <w:t>ENSURING ORIGIN TIMBER &amp; VERIFICATION IMPORTED SOFTWOOD TIMBER</w:t>
      </w:r>
      <w:r w:rsidR="009E528B">
        <w:rPr>
          <w:rFonts w:ascii="Times New Roman" w:hAnsi="Times New Roman" w:cs="Times New Roman"/>
          <w:b/>
          <w:bCs/>
          <w:sz w:val="24"/>
          <w:szCs w:val="24"/>
        </w:rPr>
        <w:t xml:space="preserve"> IN UK</w:t>
      </w:r>
      <w:bookmarkEnd w:id="6"/>
    </w:p>
    <w:p w:rsidR="00E95C5C" w:rsidRDefault="00E95C5C" w:rsidP="00E95C5C">
      <w:pPr>
        <w:spacing w:line="360" w:lineRule="auto"/>
        <w:jc w:val="both"/>
        <w:rPr>
          <w:rFonts w:ascii="Times New Roman" w:hAnsi="Times New Roman" w:cs="Times New Roman"/>
          <w:sz w:val="24"/>
          <w:szCs w:val="24"/>
        </w:rPr>
      </w:pPr>
      <w:bookmarkStart w:id="7" w:name="_Hlk213879625"/>
      <w:r>
        <w:rPr>
          <w:rFonts w:ascii="Times New Roman" w:hAnsi="Times New Roman" w:cs="Times New Roman"/>
          <w:sz w:val="24"/>
          <w:szCs w:val="24"/>
        </w:rPr>
        <w:t xml:space="preserve">The Legal verification of timber origin is one the most important steps to strengthen the supply chain. The FMEA show that unverified documents and corruption pose the greatest risk to imported softwood in the UK. The construction industry depends heavily on imported timber any failure to check the source can lead to problems such as mislabeled, laundered or illegally harvested wood. Ignoring these checks can result in serious consequences under UK law including criminal charges, unlimited fines or even suspension of business operation, which can damage a company reputation permanently and for reduce these risks, international supply chain should use advanced digital tracking tools. Methods like blockchain, barcoding and live tracing systems connected to government ids can follow timber from the forest to the UK entry point, so greatly lower the chances of document fraud. This transparent end to end monitoring ensures that all imported softwood meet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timber regulations. These types of systems companies move from relying on reactive audits to maintaining ongoing verifiable checks, safeguarding both legality and quality throughout the supply chain. </w:t>
      </w:r>
    </w:p>
    <w:p w:rsidR="00E95C5C" w:rsidRDefault="00E95C5C" w:rsidP="00E95C5C">
      <w:pPr>
        <w:spacing w:line="360" w:lineRule="auto"/>
        <w:jc w:val="both"/>
        <w:rPr>
          <w:rFonts w:ascii="Times New Roman" w:hAnsi="Times New Roman" w:cs="Times New Roman"/>
          <w:sz w:val="24"/>
          <w:szCs w:val="24"/>
        </w:rPr>
      </w:pPr>
    </w:p>
    <w:p w:rsidR="00E95C5C" w:rsidRDefault="00E95C5C" w:rsidP="00E95C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International supply chains and procurement must comply with global regulations, While the supply chain remains intact, there have been cases where timber was illegally supplied to the UK, such as {(in November 2024, one yacht company was fined by the </w:t>
      </w:r>
      <w:r w:rsidR="00F37754">
        <w:rPr>
          <w:rFonts w:ascii="Times New Roman" w:hAnsi="Times New Roman" w:cs="Times New Roman"/>
          <w:sz w:val="24"/>
          <w:szCs w:val="24"/>
        </w:rPr>
        <w:t>UK</w:t>
      </w:r>
      <w:r>
        <w:rPr>
          <w:rFonts w:ascii="Times New Roman" w:hAnsi="Times New Roman" w:cs="Times New Roman"/>
          <w:sz w:val="24"/>
          <w:szCs w:val="24"/>
        </w:rPr>
        <w:t xml:space="preserve"> government due to breaching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timber regulations. The main reason was the company failure to meet its due diligence and obligation regarding timber imported during 2021-22, as well as teak from Myanmar and Africa and oak from Europe. Sunseeker was ordered to pay a fine of 240,000 in addition to prosecution costs(gov.uk</w:t>
      </w:r>
      <w:r>
        <w:rPr>
          <w:rFonts w:ascii="Times New Roman" w:hAnsi="Times New Roman" w:cs="Times New Roman"/>
          <w:b/>
          <w:bCs/>
          <w:sz w:val="24"/>
          <w:szCs w:val="24"/>
        </w:rPr>
        <w:t xml:space="preserve">). </w:t>
      </w:r>
      <w:r>
        <w:rPr>
          <w:rFonts w:ascii="Times New Roman" w:hAnsi="Times New Roman" w:cs="Times New Roman"/>
          <w:sz w:val="24"/>
          <w:szCs w:val="24"/>
        </w:rPr>
        <w:t xml:space="preserve">A similar case recent case emerged this year during the Russia-Ukraine war. Some timber products imported into </w:t>
      </w:r>
      <w:r w:rsidR="00F37754">
        <w:rPr>
          <w:rFonts w:ascii="Times New Roman" w:hAnsi="Times New Roman" w:cs="Times New Roman"/>
          <w:sz w:val="24"/>
          <w:szCs w:val="24"/>
        </w:rPr>
        <w:t>UK</w:t>
      </w:r>
      <w:r>
        <w:rPr>
          <w:rFonts w:ascii="Times New Roman" w:hAnsi="Times New Roman" w:cs="Times New Roman"/>
          <w:sz w:val="24"/>
          <w:szCs w:val="24"/>
        </w:rPr>
        <w:t xml:space="preserve"> were found, after carefully inspection they got half of the shipments that did not match their declared country of origin or the wood certification. (gov.uk)}, also Scandinavia, the Baltic and north America are priority sources regions where, most of the softwood timber imported in to the </w:t>
      </w:r>
      <w:r w:rsidR="00F37754">
        <w:rPr>
          <w:rFonts w:ascii="Times New Roman" w:hAnsi="Times New Roman" w:cs="Times New Roman"/>
          <w:sz w:val="24"/>
          <w:szCs w:val="24"/>
        </w:rPr>
        <w:t>UK</w:t>
      </w:r>
      <w:r>
        <w:rPr>
          <w:rFonts w:ascii="Times New Roman" w:hAnsi="Times New Roman" w:cs="Times New Roman"/>
          <w:sz w:val="24"/>
          <w:szCs w:val="24"/>
        </w:rPr>
        <w:t xml:space="preserve">. </w:t>
      </w:r>
    </w:p>
    <w:bookmarkEnd w:id="7"/>
    <w:p w:rsidR="00E95C5C" w:rsidRDefault="00E95C5C" w:rsidP="00E95C5C">
      <w:pPr>
        <w:spacing w:before="120" w:after="200" w:line="264" w:lineRule="auto"/>
        <w:jc w:val="both"/>
        <w:rPr>
          <w:rFonts w:ascii="Times New Roman" w:hAnsi="Times New Roman" w:cs="Times New Roman"/>
          <w:sz w:val="24"/>
          <w:szCs w:val="24"/>
        </w:rPr>
      </w:pPr>
    </w:p>
    <w:p w:rsidR="008C1C1A" w:rsidRDefault="008C1C1A">
      <w:pPr>
        <w:spacing w:before="120" w:after="200" w:line="264" w:lineRule="auto"/>
        <w:jc w:val="both"/>
        <w:rPr>
          <w:rFonts w:ascii="Times New Roman" w:hAnsi="Times New Roman" w:cs="Times New Roman"/>
          <w:sz w:val="24"/>
          <w:szCs w:val="24"/>
        </w:rPr>
      </w:pPr>
    </w:p>
    <w:p w:rsidR="008C1C1A" w:rsidRDefault="00000000">
      <w:pPr>
        <w:pStyle w:val="Heading1"/>
        <w:rPr>
          <w:sz w:val="24"/>
          <w:szCs w:val="24"/>
        </w:rPr>
      </w:pPr>
      <w:bookmarkStart w:id="8" w:name="_Toc214490714"/>
      <w:r>
        <w:rPr>
          <w:sz w:val="24"/>
          <w:szCs w:val="24"/>
        </w:rPr>
        <w:lastRenderedPageBreak/>
        <w:t xml:space="preserve">3.2 </w:t>
      </w:r>
      <w:r w:rsidR="008158CD">
        <w:rPr>
          <w:rFonts w:ascii="Times New Roman" w:hAnsi="Times New Roman" w:cs="Times New Roman"/>
          <w:b/>
          <w:bCs/>
          <w:sz w:val="24"/>
          <w:szCs w:val="24"/>
        </w:rPr>
        <w:t>IMPROVING PORT EFFICIENCY AND SHIPPING FOR SOFTWOOD TIMBER</w:t>
      </w:r>
      <w:bookmarkEnd w:id="8"/>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Port congestion received high RPN scores in the FMEA because it directly affects delivery times, increased costs and slow down construction projects that depend on timely softwood timber supply. Congestion often occurs during seasonal demand peaks, especially when shipments arrive from Sweden, Latvia and Finland during winter or period of global disruption. When ports such as Felixstowe, tilbury or Southampton struggle with capacity.</w:t>
      </w:r>
    </w:p>
    <w:p w:rsidR="005E5911" w:rsidRP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improve resilience, importers and logistics providers need to adopt more advanced port and shipping management system. One effective method is using digital pre-booking platforms that allocate unloading slots before the vessel arrives. Another useful approach is installing automated equipment, such as robotic forklift and digital scanning to speed up the handling of containerized timber. Regional buffer warehouse is also important strategy. These warehouses   hold key timber sizes close to major construction areas, shipping lines and port operators is essential as well. For instance, companies can set flexible contracts that allow changes in shipment timing based on real-time port </w:t>
      </w:r>
      <w:r w:rsidR="00F37754">
        <w:rPr>
          <w:rFonts w:ascii="Times New Roman" w:hAnsi="Times New Roman" w:cs="Times New Roman"/>
          <w:sz w:val="24"/>
          <w:szCs w:val="24"/>
        </w:rPr>
        <w:t>conditions. Together</w:t>
      </w:r>
      <w:r>
        <w:rPr>
          <w:rFonts w:ascii="Times New Roman" w:hAnsi="Times New Roman" w:cs="Times New Roman"/>
          <w:sz w:val="24"/>
          <w:szCs w:val="24"/>
        </w:rPr>
        <w:t>, these improvements help reduce delays, lower operating costs and support smoother supply chain performance during period of uncertainty. Improved port efficiency also ensures that imported timber reaches distributors and construction sites without unnecessary disruption</w:t>
      </w:r>
    </w:p>
    <w:p w:rsidR="008C1C1A" w:rsidRDefault="00000000">
      <w:pPr>
        <w:pStyle w:val="Heading1"/>
        <w:rPr>
          <w:rFonts w:ascii="Times New Roman" w:hAnsi="Times New Roman" w:cs="Times New Roman"/>
          <w:b/>
          <w:bCs/>
          <w:sz w:val="24"/>
          <w:szCs w:val="24"/>
        </w:rPr>
      </w:pPr>
      <w:bookmarkStart w:id="9" w:name="_Toc214490715"/>
      <w:r>
        <w:rPr>
          <w:rFonts w:ascii="Times New Roman" w:hAnsi="Times New Roman" w:cs="Times New Roman"/>
          <w:b/>
          <w:bCs/>
          <w:sz w:val="24"/>
          <w:szCs w:val="24"/>
        </w:rPr>
        <w:t>3.3 IMPROVING BIOSECURITY FOR SOFTWOOD TIMBER IMPORTS IN THE UK</w:t>
      </w:r>
      <w:bookmarkEnd w:id="9"/>
    </w:p>
    <w:p w:rsidR="008C1C1A" w:rsidRDefault="008C1C1A">
      <w:pPr>
        <w:spacing w:before="120" w:after="200" w:line="264" w:lineRule="auto"/>
        <w:jc w:val="both"/>
        <w:rPr>
          <w:rFonts w:ascii="Times New Roman" w:hAnsi="Times New Roman" w:cs="Times New Roman"/>
          <w:sz w:val="24"/>
          <w:szCs w:val="24"/>
        </w:rPr>
      </w:pP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Biosecurity risks in the FMEA table show second high </w:t>
      </w:r>
      <w:proofErr w:type="spellStart"/>
      <w:r>
        <w:rPr>
          <w:rFonts w:ascii="Times New Roman" w:hAnsi="Times New Roman" w:cs="Times New Roman"/>
          <w:sz w:val="24"/>
          <w:szCs w:val="24"/>
        </w:rPr>
        <w:t>Rpn</w:t>
      </w:r>
      <w:proofErr w:type="spellEnd"/>
      <w:r>
        <w:rPr>
          <w:rFonts w:ascii="Times New Roman" w:hAnsi="Times New Roman" w:cs="Times New Roman"/>
          <w:sz w:val="24"/>
          <w:szCs w:val="24"/>
        </w:rPr>
        <w:t xml:space="preserve"> scored because such pest as bark beetle or fungal diseases cause environmental and supply chain threats. The imported softwood timber can carry pests if it is not treated correctly, Biosecurity is a key concern in the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softwood timber supply chain due to the risk of pests and disease entering through imports. Therefore, Softwood timber imports play a crucial role in the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construction and manufacturing industries, because the lack of resources. Especially the most of the supplies are   coming from regions   such as Sweden, Latia, Finland, Scandinavia and the Baltic region. Poor fumigation, wet storage condition and incorrect packaging increase the possibility of contamination. When this occurs the UK authorities must quarantine or reject entire shipment, causing delays and financial losses for importers.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Improving resilience and stronger biosecurity control measures are needed at both the exporting and importing stages. Exporters should follow internationally recognized treatment methods like, heat-treatment protocols that reach required temperatures for specific time periods. Pre-shipment testing by accredited laboratories can also confirm that timber meets required phytosanitary standards. The Uk border, inspection officers from the forestry commission and animal and plant health agency check timber for sign of pests. Proper training staff in pest identification, using moisture-controlled storage areas and ensuring clear labeling of timber species also support better biosecurity. Strengthening co-operation between exporters, port authorities and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regulators helps limit contamination risks and improves the reliability of softwood timber entering the country.</w:t>
      </w:r>
    </w:p>
    <w:p w:rsidR="008C1C1A" w:rsidRDefault="008C1C1A">
      <w:pPr>
        <w:spacing w:before="120" w:after="200" w:line="264" w:lineRule="auto"/>
        <w:jc w:val="both"/>
        <w:rPr>
          <w:rFonts w:ascii="Times New Roman" w:hAnsi="Times New Roman" w:cs="Times New Roman"/>
          <w:sz w:val="24"/>
          <w:szCs w:val="24"/>
        </w:rPr>
      </w:pPr>
    </w:p>
    <w:p w:rsidR="008C1C1A" w:rsidRDefault="00000000">
      <w:pPr>
        <w:pStyle w:val="Heading1"/>
        <w:rPr>
          <w:rFonts w:ascii="Times New Roman" w:hAnsi="Times New Roman" w:cs="Times New Roman"/>
          <w:b/>
          <w:bCs/>
          <w:sz w:val="24"/>
          <w:szCs w:val="24"/>
        </w:rPr>
      </w:pPr>
      <w:bookmarkStart w:id="10" w:name="_Toc214490716"/>
      <w:r>
        <w:rPr>
          <w:rFonts w:ascii="Times New Roman" w:hAnsi="Times New Roman" w:cs="Times New Roman"/>
          <w:b/>
          <w:bCs/>
          <w:sz w:val="24"/>
          <w:szCs w:val="24"/>
        </w:rPr>
        <w:t>3.4 IMPROVING CUSTOMS CONTROLS FOR SOFTWOOD TIMBER IMPORTS IN THE UK</w:t>
      </w:r>
      <w:bookmarkEnd w:id="10"/>
    </w:p>
    <w:p w:rsidR="008C1C1A" w:rsidRDefault="008C1C1A">
      <w:pPr>
        <w:spacing w:before="120" w:after="200" w:line="264" w:lineRule="auto"/>
        <w:rPr>
          <w:rFonts w:ascii="Times New Roman" w:hAnsi="Times New Roman" w:cs="Times New Roman"/>
          <w:b/>
          <w:bCs/>
          <w:sz w:val="24"/>
          <w:szCs w:val="24"/>
        </w:rPr>
      </w:pP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Customs clearance delays can significantly disrupt the flow of softwood timber into the UK. The FMEA table shows delays occurs due to documentation errors, outdated manual processes and inconsistencies in licenses or certificates, when paperwork is incorrect or incomplete, timber may remain in port storage areas for several days. This not only increases costs but also exposes the timber to moisture damage, which can reduce its structural quality.</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Digitalizing customs control processes is a key step to improving resilience. Importers can reduce delays by submitting digital documents before the shipment arrives at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ports. This approach, known as pre-clearance, allows customs officers to review the information in advance and flag any issues early. Some importers are already using in electronic submissions an automated validation tool. These tools help check whether pest certificates, origin documents or products codes meet UK regulatory requirements.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The UK government also offers trusted trader schemes, which allow companies to move goods more quickly through ports. The importers must demonstrate strong compliance records, transparent documentation and secure supply chain controls. Timber companies that meet these criteria can benefit from faster clearance, reducing the risk of delays. Regular staff training is another important measure. Customs documentation rules change frequently and errors often come from outdated knowledge rather than intentional mistakes. Investing in training helps </w:t>
      </w:r>
      <w:r>
        <w:rPr>
          <w:rFonts w:ascii="Times New Roman" w:hAnsi="Times New Roman" w:cs="Times New Roman"/>
          <w:sz w:val="24"/>
          <w:szCs w:val="24"/>
        </w:rPr>
        <w:lastRenderedPageBreak/>
        <w:t xml:space="preserve">reduce avoidable delays and supports smoothers supply chain operation. Overall digital customs systems improve visibility, accuracy and efficiency, ensuring that imported softwood timber flows into UK without unnecessary disruptions  </w:t>
      </w:r>
    </w:p>
    <w:p w:rsidR="008C1C1A" w:rsidRDefault="008C1C1A">
      <w:pPr>
        <w:spacing w:before="120" w:after="200" w:line="264" w:lineRule="auto"/>
        <w:jc w:val="both"/>
        <w:rPr>
          <w:rFonts w:ascii="Times New Roman" w:hAnsi="Times New Roman" w:cs="Times New Roman"/>
          <w:sz w:val="24"/>
          <w:szCs w:val="24"/>
        </w:rPr>
      </w:pPr>
    </w:p>
    <w:p w:rsidR="008C1C1A" w:rsidRDefault="00000000">
      <w:pPr>
        <w:pStyle w:val="Heading1"/>
        <w:rPr>
          <w:rFonts w:ascii="Times New Roman" w:hAnsi="Times New Roman" w:cs="Times New Roman"/>
          <w:b/>
          <w:bCs/>
          <w:sz w:val="24"/>
          <w:szCs w:val="24"/>
        </w:rPr>
      </w:pPr>
      <w:bookmarkStart w:id="11" w:name="_Toc214490717"/>
      <w:r>
        <w:rPr>
          <w:rFonts w:ascii="Times New Roman" w:hAnsi="Times New Roman" w:cs="Times New Roman"/>
          <w:b/>
          <w:bCs/>
          <w:sz w:val="24"/>
          <w:szCs w:val="24"/>
        </w:rPr>
        <w:t>3.5 IMPROVING GLOBAL PRICE FLUCTUATION FOR SOFTWOOD TIMBER IMPORTED IN THE UK</w:t>
      </w:r>
      <w:bookmarkEnd w:id="11"/>
    </w:p>
    <w:p w:rsidR="008C1C1A" w:rsidRDefault="008C1C1A">
      <w:pPr>
        <w:spacing w:before="120" w:after="200" w:line="264" w:lineRule="auto"/>
        <w:jc w:val="both"/>
        <w:rPr>
          <w:rFonts w:ascii="Times New Roman" w:hAnsi="Times New Roman" w:cs="Times New Roman"/>
          <w:sz w:val="24"/>
          <w:szCs w:val="24"/>
        </w:rPr>
      </w:pP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Global softwood timber prices have been highly unstable in recent years, especially during the covid-19 recovery period and the Russia-Ukraine conflict. These fluctuations affect UK importers because most softwood timber is priced in foreign currencies and influenced by global supply and demand. In the FMEA, price volatility was identified as a significant financial risk that can lead to contract disputes, higher project costs and inventory shortages.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most effective ways to reduce this risk is by negotiating long-term supplier contracts. These agreements lock-term supplier contracts. These agreement lock prices for several months or even up to a year, protecting buyers from sudden spikes in global markets. For instance, large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 xml:space="preserve"> importers such as BSW Timber and MKM building supplies often use fixed-term agreement with Scandinavian sawmills to stabilize prices. This practice helps maintain predictable costs for construction projects.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useful approach is diversifying sourcing regions. Relying on only one country makes the supply chain vulnerable when that region experiences disruption. Importers can reduce risk by purchasing timber from several countries across Europe and north America. Financial tools, such as currency hedging, can also protect companies from exchange-rate changes. Accurate demand forecasting is also essential. Digital planning systems can analyses past consumption patterns and predict future requirements, helping importers maintain appropriate stock levels. This reduces the need for emergency purchasing during high-price periods. Overall, reducing exposure to price volatility strengthens resilience by following companies to </w:t>
      </w:r>
      <w:proofErr w:type="spellStart"/>
      <w:r>
        <w:rPr>
          <w:rFonts w:ascii="Times New Roman" w:hAnsi="Times New Roman" w:cs="Times New Roman"/>
          <w:sz w:val="24"/>
          <w:szCs w:val="24"/>
        </w:rPr>
        <w:t>mange</w:t>
      </w:r>
      <w:proofErr w:type="spellEnd"/>
      <w:r>
        <w:rPr>
          <w:rFonts w:ascii="Times New Roman" w:hAnsi="Times New Roman" w:cs="Times New Roman"/>
          <w:sz w:val="24"/>
          <w:szCs w:val="24"/>
        </w:rPr>
        <w:t xml:space="preserve"> budgets more effectively and support stable long-term supply.</w:t>
      </w:r>
    </w:p>
    <w:p w:rsidR="008C1C1A" w:rsidRDefault="008C1C1A">
      <w:pPr>
        <w:spacing w:before="120" w:after="200" w:line="264" w:lineRule="auto"/>
        <w:jc w:val="both"/>
        <w:rPr>
          <w:rFonts w:ascii="Times New Roman" w:hAnsi="Times New Roman" w:cs="Times New Roman"/>
          <w:b/>
          <w:bCs/>
          <w:sz w:val="24"/>
          <w:szCs w:val="24"/>
        </w:rPr>
      </w:pPr>
    </w:p>
    <w:p w:rsidR="008C1C1A" w:rsidRDefault="008C1C1A">
      <w:pPr>
        <w:spacing w:before="120" w:after="200" w:line="264" w:lineRule="auto"/>
        <w:jc w:val="both"/>
        <w:rPr>
          <w:rFonts w:ascii="Times New Roman" w:hAnsi="Times New Roman" w:cs="Times New Roman"/>
          <w:b/>
          <w:bCs/>
          <w:sz w:val="24"/>
          <w:szCs w:val="24"/>
        </w:rPr>
      </w:pPr>
    </w:p>
    <w:p w:rsidR="008C1C1A" w:rsidRDefault="00000000">
      <w:pPr>
        <w:pStyle w:val="Heading1"/>
        <w:rPr>
          <w:rFonts w:ascii="Times New Roman" w:hAnsi="Times New Roman" w:cs="Times New Roman"/>
          <w:b/>
          <w:bCs/>
          <w:sz w:val="24"/>
          <w:szCs w:val="24"/>
        </w:rPr>
      </w:pPr>
      <w:bookmarkStart w:id="12" w:name="_Toc214490718"/>
      <w:r>
        <w:rPr>
          <w:rFonts w:ascii="Times New Roman" w:hAnsi="Times New Roman" w:cs="Times New Roman"/>
          <w:b/>
          <w:bCs/>
          <w:sz w:val="24"/>
          <w:szCs w:val="24"/>
        </w:rPr>
        <w:lastRenderedPageBreak/>
        <w:t>3.6 IMPROVING DISTRIBUTION FOR IMPORTED SOFTWOOD TIMBER IN THE UK</w:t>
      </w:r>
      <w:bookmarkEnd w:id="12"/>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Inland distribution was identified as a major risk area in the FMEA, but it remains an important part of the supply chain resilience. Once softwood timber arrives in UK ports, it must be transported to regional warehouses, timber merchants and construction sites. Delays during this stage can disturb project timelines, increase transport costs, other Challenges include driver shortages, high fuel costs, vehicle capacity limits and routing errors.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Improving resilience, importers and logistics partners can invest in modern fleet management system. For example, GPS-based tracking tool allow companies to monitor vehicle location in real time and adjust routes when traffic or road restrictions occurs. Some Uk logistics companies now use smart planning software that automatically selects the fastest or most fuel-efficient route. Collaborating transport schemes also help several timber distributions in Scotland and Northen England share transport resources to reduce empty return journey and maximize vehicle utilization. Using multimodal transport such as combining rail and road is method that can reduce congestion and low environmental impact for long-distance movements.</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The Strong communication between drivers, warehouses and construction sites is essential. Scheduled delivery windows help avoid delays on busy building sites. Distributors should also keep better records of product specifications to prevent incorrect deliveries, which often cause rework and additional transport costs. Using technology, improving coordination and flexible transport arrangements companies can significantly reduce inland delivery risks. These improvements support timely timber distribution and strengthen the overall resilience of the UK softwood supply chain.</w:t>
      </w:r>
    </w:p>
    <w:p w:rsidR="008C1C1A" w:rsidRDefault="008C1C1A">
      <w:pPr>
        <w:spacing w:before="120" w:after="200" w:line="264" w:lineRule="auto"/>
        <w:jc w:val="both"/>
        <w:rPr>
          <w:rFonts w:ascii="Times New Roman" w:hAnsi="Times New Roman" w:cs="Times New Roman"/>
          <w:sz w:val="24"/>
          <w:szCs w:val="24"/>
        </w:rPr>
      </w:pPr>
    </w:p>
    <w:p w:rsidR="008C1C1A" w:rsidRDefault="00000000">
      <w:pPr>
        <w:spacing w:before="120" w:after="200" w:line="264" w:lineRule="auto"/>
        <w:rPr>
          <w:rFonts w:ascii="Times New Roman" w:hAnsi="Times New Roman" w:cs="Times New Roman"/>
          <w:sz w:val="24"/>
          <w:szCs w:val="24"/>
        </w:rPr>
      </w:pPr>
      <w:r>
        <w:rPr>
          <w:rFonts w:ascii="Times New Roman" w:hAnsi="Times New Roman" w:cs="Times New Roman"/>
          <w:sz w:val="24"/>
          <w:szCs w:val="24"/>
        </w:rPr>
        <w:br w:type="page"/>
      </w:r>
    </w:p>
    <w:p w:rsidR="008C1C1A" w:rsidRDefault="008C1C1A">
      <w:pPr>
        <w:spacing w:before="120" w:after="200" w:line="264" w:lineRule="auto"/>
        <w:jc w:val="both"/>
        <w:rPr>
          <w:rFonts w:ascii="Times New Roman" w:hAnsi="Times New Roman" w:cs="Times New Roman"/>
          <w:sz w:val="24"/>
          <w:szCs w:val="24"/>
        </w:rPr>
      </w:pPr>
    </w:p>
    <w:p w:rsidR="008C1C1A" w:rsidRDefault="00000000">
      <w:pPr>
        <w:pStyle w:val="Heading1"/>
        <w:rPr>
          <w:rFonts w:ascii="Times New Roman" w:hAnsi="Times New Roman" w:cs="Times New Roman"/>
          <w:sz w:val="32"/>
          <w:szCs w:val="32"/>
        </w:rPr>
      </w:pPr>
      <w:bookmarkStart w:id="13" w:name="_Toc214490719"/>
      <w:r>
        <w:rPr>
          <w:rFonts w:ascii="Times New Roman" w:hAnsi="Times New Roman" w:cs="Times New Roman"/>
          <w:sz w:val="32"/>
          <w:szCs w:val="32"/>
        </w:rPr>
        <w:t>4. CONCLUSION</w:t>
      </w:r>
      <w:bookmarkEnd w:id="13"/>
    </w:p>
    <w:p w:rsidR="008C1C1A" w:rsidRDefault="008C1C1A">
      <w:pPr>
        <w:spacing w:before="120" w:after="200" w:line="264" w:lineRule="auto"/>
        <w:jc w:val="both"/>
        <w:rPr>
          <w:rFonts w:ascii="Times New Roman" w:hAnsi="Times New Roman" w:cs="Times New Roman"/>
          <w:b/>
          <w:bCs/>
          <w:sz w:val="24"/>
          <w:szCs w:val="24"/>
        </w:rPr>
      </w:pPr>
    </w:p>
    <w:p w:rsidR="007B297D" w:rsidRDefault="007B297D"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This report shows at how resilient the UK imported softwood timber supply chain is by using an FMEA approach. The results show that the system is exposed to several connected risks, such as illegal or wrong declared timber, congestion at ports, biosecurity issues, customs delays, global price changes and problems with inland transport. Out of this, legality checks, biosecurity risks and port performance received the highest RPN scores, which means they need the quickest action.</w:t>
      </w:r>
    </w:p>
    <w:p w:rsidR="007B297D" w:rsidRDefault="007B297D"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The report suggests six resilience strategies to deal with these challenges. Strengthening the process of verifying timber origin helps stop illegal wood from entering the UK and supports compliance with national regulations. Improving port operation can reduce long queues</w:t>
      </w:r>
      <w:r w:rsidR="006E3B7B">
        <w:rPr>
          <w:rFonts w:ascii="Times New Roman" w:hAnsi="Times New Roman" w:cs="Times New Roman"/>
          <w:sz w:val="24"/>
          <w:szCs w:val="24"/>
        </w:rPr>
        <w:t xml:space="preserve"> and keep goods moving more smoothly. Good biosecurity controls protect imported shipment and local forests. Digital customs procedures help cut down paperwork mistakes, while financial measures support stability during global price swings. Finally improving inland distribution ensures that timber reaches construction sites on time and without losing quality. </w:t>
      </w: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Overall, improving resilience requires a combination of digital technologies, stronger partnerships with international suppliers and continuous operational improvements. By adopting these strategies, the Uk timber industry can better respond to global uncertainties and maintain a stable for the construction sector</w:t>
      </w:r>
    </w:p>
    <w:p w:rsidR="00E95C5C" w:rsidRDefault="00E95C5C" w:rsidP="00E95C5C">
      <w:pPr>
        <w:spacing w:before="120" w:after="200" w:line="360" w:lineRule="auto"/>
        <w:jc w:val="both"/>
        <w:rPr>
          <w:rFonts w:ascii="Times New Roman" w:hAnsi="Times New Roman" w:cs="Times New Roman"/>
          <w:sz w:val="24"/>
          <w:szCs w:val="24"/>
        </w:rPr>
      </w:pPr>
    </w:p>
    <w:p w:rsidR="00E95C5C" w:rsidRPr="00FC0446" w:rsidRDefault="00E95C5C" w:rsidP="00F13993">
      <w:pPr>
        <w:pStyle w:val="Heading1"/>
        <w:rPr>
          <w:rFonts w:ascii="Times New Roman" w:hAnsi="Times New Roman" w:cs="Times New Roman"/>
          <w:sz w:val="32"/>
          <w:szCs w:val="32"/>
        </w:rPr>
      </w:pPr>
      <w:bookmarkStart w:id="14" w:name="_Toc214490720"/>
      <w:r w:rsidRPr="00FC0446">
        <w:rPr>
          <w:rFonts w:ascii="Times New Roman" w:hAnsi="Times New Roman" w:cs="Times New Roman"/>
          <w:sz w:val="32"/>
          <w:szCs w:val="32"/>
        </w:rPr>
        <w:t>4.1 SUGGESTIONS FOR FURTHER WORK/RESEARCH</w:t>
      </w:r>
      <w:bookmarkEnd w:id="14"/>
    </w:p>
    <w:p w:rsidR="00E95C5C" w:rsidRDefault="00E95C5C" w:rsidP="00E95C5C">
      <w:pPr>
        <w:spacing w:before="120" w:after="200" w:line="360" w:lineRule="auto"/>
        <w:jc w:val="both"/>
        <w:rPr>
          <w:rFonts w:ascii="Times New Roman" w:hAnsi="Times New Roman" w:cs="Times New Roman"/>
          <w:sz w:val="24"/>
          <w:szCs w:val="24"/>
        </w:rPr>
      </w:pPr>
    </w:p>
    <w:p w:rsidR="00E95C5C" w:rsidRDefault="00E95C5C" w:rsidP="00E95C5C">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The strengthen the resilience framework presented in this report, several areas require deeper quantitative and practical work.</w:t>
      </w:r>
    </w:p>
    <w:p w:rsidR="00E95C5C" w:rsidRPr="00AD607D" w:rsidRDefault="00E95C5C" w:rsidP="00E95C5C">
      <w:pPr>
        <w:pStyle w:val="ListParagraph"/>
        <w:spacing w:before="120" w:after="200" w:line="360" w:lineRule="auto"/>
        <w:jc w:val="both"/>
        <w:rPr>
          <w:rFonts w:ascii="Times New Roman" w:hAnsi="Times New Roman" w:cs="Times New Roman"/>
          <w:b/>
          <w:bCs/>
          <w:sz w:val="24"/>
          <w:szCs w:val="24"/>
        </w:rPr>
      </w:pPr>
    </w:p>
    <w:p w:rsidR="00E95C5C" w:rsidRDefault="00E95C5C" w:rsidP="00E95C5C">
      <w:pPr>
        <w:spacing w:before="120" w:after="200" w:line="360" w:lineRule="auto"/>
        <w:ind w:left="360"/>
        <w:jc w:val="both"/>
        <w:rPr>
          <w:rFonts w:ascii="Times New Roman" w:hAnsi="Times New Roman" w:cs="Times New Roman"/>
          <w:b/>
          <w:bCs/>
          <w:sz w:val="24"/>
          <w:szCs w:val="24"/>
        </w:rPr>
      </w:pPr>
    </w:p>
    <w:p w:rsidR="00E95C5C" w:rsidRDefault="00E95C5C" w:rsidP="00E95C5C">
      <w:pPr>
        <w:spacing w:before="120" w:after="200" w:line="360" w:lineRule="auto"/>
        <w:ind w:left="360"/>
        <w:jc w:val="both"/>
        <w:rPr>
          <w:rFonts w:ascii="Times New Roman" w:hAnsi="Times New Roman" w:cs="Times New Roman"/>
          <w:b/>
          <w:bCs/>
          <w:sz w:val="24"/>
          <w:szCs w:val="24"/>
        </w:rPr>
      </w:pPr>
    </w:p>
    <w:p w:rsidR="00E95C5C" w:rsidRPr="00AD607D" w:rsidRDefault="00E95C5C" w:rsidP="00E95C5C">
      <w:pPr>
        <w:pStyle w:val="ListParagraph"/>
        <w:numPr>
          <w:ilvl w:val="0"/>
          <w:numId w:val="4"/>
        </w:numPr>
        <w:spacing w:before="120" w:after="200" w:line="360" w:lineRule="auto"/>
        <w:jc w:val="both"/>
        <w:rPr>
          <w:rFonts w:ascii="Times New Roman" w:hAnsi="Times New Roman" w:cs="Times New Roman"/>
          <w:b/>
          <w:bCs/>
          <w:sz w:val="24"/>
          <w:szCs w:val="24"/>
        </w:rPr>
      </w:pPr>
      <w:r w:rsidRPr="00AD607D">
        <w:rPr>
          <w:rFonts w:ascii="Times New Roman" w:hAnsi="Times New Roman" w:cs="Times New Roman"/>
          <w:b/>
          <w:bCs/>
          <w:sz w:val="24"/>
          <w:szCs w:val="24"/>
        </w:rPr>
        <w:t>Cost- benefit analysis of digital verification</w:t>
      </w:r>
    </w:p>
    <w:p w:rsidR="00E95C5C" w:rsidRDefault="00E95C5C" w:rsidP="00E95C5C">
      <w:pPr>
        <w:pStyle w:val="ListParagraph"/>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Future studies should calculate the financial return for UK importers adopting blockchain-based origin verification, technology investment costs and saving from avoiding UKTR non-compliance penalties and shipment seizures.</w:t>
      </w:r>
    </w:p>
    <w:p w:rsidR="00E95C5C" w:rsidRDefault="00E95C5C" w:rsidP="00E95C5C">
      <w:pPr>
        <w:pStyle w:val="ListParagraph"/>
        <w:spacing w:before="120" w:after="200" w:line="360" w:lineRule="auto"/>
        <w:jc w:val="both"/>
        <w:rPr>
          <w:rFonts w:ascii="Times New Roman" w:hAnsi="Times New Roman" w:cs="Times New Roman"/>
          <w:sz w:val="24"/>
          <w:szCs w:val="24"/>
        </w:rPr>
      </w:pPr>
    </w:p>
    <w:p w:rsidR="00E95C5C" w:rsidRPr="00AD607D" w:rsidRDefault="00E95C5C" w:rsidP="00E95C5C">
      <w:pPr>
        <w:pStyle w:val="ListParagraph"/>
        <w:numPr>
          <w:ilvl w:val="0"/>
          <w:numId w:val="4"/>
        </w:numPr>
        <w:spacing w:before="120" w:after="200" w:line="360" w:lineRule="auto"/>
        <w:jc w:val="both"/>
        <w:rPr>
          <w:rFonts w:ascii="Times New Roman" w:hAnsi="Times New Roman" w:cs="Times New Roman"/>
          <w:b/>
          <w:bCs/>
          <w:sz w:val="24"/>
          <w:szCs w:val="24"/>
        </w:rPr>
      </w:pPr>
      <w:r w:rsidRPr="00AD607D">
        <w:rPr>
          <w:rFonts w:ascii="Times New Roman" w:hAnsi="Times New Roman" w:cs="Times New Roman"/>
          <w:b/>
          <w:bCs/>
          <w:sz w:val="24"/>
          <w:szCs w:val="24"/>
        </w:rPr>
        <w:t>Modelling financial hedging strategies</w:t>
      </w:r>
    </w:p>
    <w:p w:rsidR="00E95C5C" w:rsidRDefault="00E95C5C" w:rsidP="00E95C5C">
      <w:pPr>
        <w:pStyle w:val="ListParagraph"/>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Developing a predictive model that compares long-term fixed price contracts with short-term spot purchases would help importers manage global price volatility </w:t>
      </w:r>
    </w:p>
    <w:p w:rsidR="00E95C5C" w:rsidRDefault="00E95C5C" w:rsidP="00E95C5C">
      <w:pPr>
        <w:pStyle w:val="ListParagraph"/>
        <w:spacing w:before="120" w:after="200" w:line="360" w:lineRule="auto"/>
        <w:jc w:val="both"/>
        <w:rPr>
          <w:rFonts w:ascii="Times New Roman" w:hAnsi="Times New Roman" w:cs="Times New Roman"/>
          <w:sz w:val="24"/>
          <w:szCs w:val="24"/>
        </w:rPr>
      </w:pPr>
    </w:p>
    <w:p w:rsidR="00E95C5C" w:rsidRPr="00AD607D" w:rsidRDefault="00E95C5C" w:rsidP="00E95C5C">
      <w:pPr>
        <w:pStyle w:val="ListParagraph"/>
        <w:numPr>
          <w:ilvl w:val="0"/>
          <w:numId w:val="4"/>
        </w:numPr>
        <w:spacing w:before="120" w:after="200" w:line="360" w:lineRule="auto"/>
        <w:jc w:val="both"/>
        <w:rPr>
          <w:rFonts w:ascii="Times New Roman" w:hAnsi="Times New Roman" w:cs="Times New Roman"/>
          <w:b/>
          <w:bCs/>
          <w:sz w:val="24"/>
          <w:szCs w:val="24"/>
        </w:rPr>
      </w:pPr>
      <w:r w:rsidRPr="00AD607D">
        <w:rPr>
          <w:rFonts w:ascii="Times New Roman" w:hAnsi="Times New Roman" w:cs="Times New Roman"/>
          <w:b/>
          <w:bCs/>
          <w:sz w:val="24"/>
          <w:szCs w:val="24"/>
        </w:rPr>
        <w:t>Advanced biosecurity pilot testing</w:t>
      </w:r>
    </w:p>
    <w:p w:rsidR="00E95C5C" w:rsidRDefault="00E95C5C" w:rsidP="00E95C5C">
      <w:pPr>
        <w:pStyle w:val="ListParagraph"/>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Pilot study evaluating computerize scanning and rapid detection tools at major ports such as tilbury or Felixstowe could determine their accuracy, speed and potential role in strengthening national biosecurity checks.</w:t>
      </w:r>
    </w:p>
    <w:p w:rsidR="00E95C5C" w:rsidRDefault="00E95C5C" w:rsidP="00E95C5C">
      <w:pPr>
        <w:pStyle w:val="ListParagraph"/>
        <w:spacing w:before="120" w:after="200" w:line="360" w:lineRule="auto"/>
        <w:jc w:val="both"/>
        <w:rPr>
          <w:rFonts w:ascii="Times New Roman" w:hAnsi="Times New Roman" w:cs="Times New Roman"/>
          <w:sz w:val="24"/>
          <w:szCs w:val="24"/>
        </w:rPr>
      </w:pPr>
    </w:p>
    <w:p w:rsidR="00E95C5C" w:rsidRPr="00AD607D" w:rsidRDefault="00E95C5C" w:rsidP="00E95C5C">
      <w:pPr>
        <w:pStyle w:val="ListParagraph"/>
        <w:spacing w:before="120" w:after="200" w:line="360" w:lineRule="auto"/>
        <w:jc w:val="both"/>
        <w:rPr>
          <w:rFonts w:ascii="Times New Roman" w:hAnsi="Times New Roman" w:cs="Times New Roman"/>
          <w:sz w:val="24"/>
          <w:szCs w:val="24"/>
        </w:rPr>
      </w:pPr>
    </w:p>
    <w:p w:rsidR="00E95C5C" w:rsidRDefault="00E95C5C" w:rsidP="00E95C5C">
      <w:pPr>
        <w:spacing w:before="120" w:after="200" w:line="360" w:lineRule="auto"/>
        <w:jc w:val="both"/>
        <w:rPr>
          <w:rFonts w:ascii="Times New Roman" w:hAnsi="Times New Roman" w:cs="Times New Roman"/>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8C1C1A" w:rsidRDefault="008C1C1A">
      <w:pPr>
        <w:spacing w:before="120" w:after="200" w:line="264" w:lineRule="auto"/>
        <w:jc w:val="both"/>
        <w:rPr>
          <w:rFonts w:asciiTheme="majorHAnsi" w:hAnsiTheme="majorHAnsi" w:cstheme="majorHAnsi"/>
          <w:b/>
          <w:bCs/>
          <w:sz w:val="24"/>
          <w:szCs w:val="24"/>
        </w:rPr>
      </w:pPr>
    </w:p>
    <w:p w:rsidR="00936398" w:rsidRDefault="00936398">
      <w:pPr>
        <w:spacing w:after="0" w:line="240" w:lineRule="auto"/>
        <w:rPr>
          <w:rFonts w:asciiTheme="majorHAnsi" w:hAnsiTheme="majorHAnsi" w:cstheme="majorHAnsi"/>
          <w:b/>
          <w:bCs/>
          <w:sz w:val="24"/>
          <w:szCs w:val="24"/>
        </w:rPr>
      </w:pPr>
      <w:r>
        <w:rPr>
          <w:rFonts w:asciiTheme="majorHAnsi" w:hAnsiTheme="majorHAnsi" w:cstheme="majorHAnsi"/>
          <w:b/>
          <w:bCs/>
          <w:sz w:val="24"/>
          <w:szCs w:val="24"/>
        </w:rPr>
        <w:br w:type="page"/>
      </w:r>
    </w:p>
    <w:p w:rsidR="008C1C1A" w:rsidRDefault="00000000">
      <w:pPr>
        <w:pStyle w:val="Heading1"/>
        <w:rPr>
          <w:rFonts w:ascii="Times New Roman" w:hAnsi="Times New Roman" w:cs="Times New Roman"/>
          <w:b/>
          <w:bCs/>
          <w:sz w:val="32"/>
          <w:szCs w:val="32"/>
        </w:rPr>
      </w:pPr>
      <w:bookmarkStart w:id="15" w:name="_Toc214490721"/>
      <w:r>
        <w:rPr>
          <w:rFonts w:ascii="Times New Roman" w:hAnsi="Times New Roman" w:cs="Times New Roman"/>
          <w:b/>
          <w:bCs/>
          <w:sz w:val="32"/>
          <w:szCs w:val="32"/>
        </w:rPr>
        <w:lastRenderedPageBreak/>
        <w:t>5. REFERENCES</w:t>
      </w:r>
      <w:bookmarkEnd w:id="15"/>
    </w:p>
    <w:p w:rsidR="00E95C5C" w:rsidRPr="0099460F" w:rsidRDefault="00E95C5C" w:rsidP="0099460F">
      <w:pPr>
        <w:pStyle w:val="ListParagraph"/>
        <w:numPr>
          <w:ilvl w:val="0"/>
          <w:numId w:val="3"/>
        </w:numPr>
        <w:jc w:val="both"/>
        <w:rPr>
          <w:rFonts w:ascii="Times New Roman" w:hAnsi="Times New Roman" w:cs="Times New Roman"/>
          <w:sz w:val="24"/>
          <w:szCs w:val="24"/>
        </w:rPr>
      </w:pPr>
      <w:r w:rsidRPr="0099460F">
        <w:rPr>
          <w:rFonts w:ascii="Times New Roman" w:hAnsi="Times New Roman" w:cs="Times New Roman"/>
          <w:sz w:val="24"/>
          <w:szCs w:val="24"/>
        </w:rPr>
        <w:t>Choi, Thomas Y., and others, 'Supply Chain Management: Solving the World’s Most Pressing Problems', in Thomas Y. Choi, and others (eds), </w:t>
      </w:r>
      <w:r w:rsidRPr="0099460F">
        <w:rPr>
          <w:rFonts w:ascii="Times New Roman" w:hAnsi="Times New Roman" w:cs="Times New Roman"/>
          <w:i/>
          <w:iCs/>
          <w:sz w:val="24"/>
          <w:szCs w:val="24"/>
        </w:rPr>
        <w:t>The Oxford Handbook of Supply Chain Management</w:t>
      </w:r>
      <w:r w:rsidRPr="0099460F">
        <w:rPr>
          <w:rFonts w:ascii="Times New Roman" w:hAnsi="Times New Roman" w:cs="Times New Roman"/>
          <w:sz w:val="24"/>
          <w:szCs w:val="24"/>
        </w:rPr>
        <w:t xml:space="preserve"> (2021; online </w:t>
      </w:r>
      <w:proofErr w:type="spellStart"/>
      <w:r w:rsidRPr="0099460F">
        <w:rPr>
          <w:rFonts w:ascii="Times New Roman" w:hAnsi="Times New Roman" w:cs="Times New Roman"/>
          <w:sz w:val="24"/>
          <w:szCs w:val="24"/>
        </w:rPr>
        <w:t>edn</w:t>
      </w:r>
      <w:proofErr w:type="spellEnd"/>
      <w:r w:rsidRPr="0099460F">
        <w:rPr>
          <w:rFonts w:ascii="Times New Roman" w:hAnsi="Times New Roman" w:cs="Times New Roman"/>
          <w:sz w:val="24"/>
          <w:szCs w:val="24"/>
        </w:rPr>
        <w:t>, Oxford Academic, 6 Aug. 2020), </w:t>
      </w:r>
      <w:hyperlink r:id="rId9" w:history="1">
        <w:r w:rsidRPr="0099460F">
          <w:rPr>
            <w:rStyle w:val="Hyperlink"/>
            <w:rFonts w:ascii="Times New Roman" w:hAnsi="Times New Roman" w:cs="Times New Roman"/>
            <w:color w:val="17406D" w:themeColor="text2"/>
            <w:sz w:val="24"/>
            <w:szCs w:val="24"/>
          </w:rPr>
          <w:t>https://doi.org/10.1093/oxfordhb/9780190066727.013.40</w:t>
        </w:r>
      </w:hyperlink>
      <w:r w:rsidRPr="0099460F">
        <w:rPr>
          <w:rFonts w:ascii="Times New Roman" w:hAnsi="Times New Roman" w:cs="Times New Roman"/>
          <w:sz w:val="24"/>
          <w:szCs w:val="24"/>
        </w:rPr>
        <w:t>, (Accessed 18 October 2025).</w:t>
      </w:r>
    </w:p>
    <w:p w:rsidR="00B30F7E" w:rsidRPr="0099460F" w:rsidRDefault="00B30F7E" w:rsidP="0099460F">
      <w:pPr>
        <w:pStyle w:val="ListParagraph"/>
        <w:ind w:left="360"/>
        <w:jc w:val="both"/>
        <w:rPr>
          <w:rFonts w:ascii="Times New Roman" w:hAnsi="Times New Roman" w:cs="Times New Roman"/>
          <w:sz w:val="24"/>
          <w:szCs w:val="24"/>
        </w:rPr>
      </w:pPr>
    </w:p>
    <w:p w:rsidR="008C1C1A" w:rsidRPr="0099460F" w:rsidRDefault="00397B56" w:rsidP="0099460F">
      <w:pPr>
        <w:pStyle w:val="ListParagraph"/>
        <w:numPr>
          <w:ilvl w:val="0"/>
          <w:numId w:val="3"/>
        </w:numPr>
        <w:spacing w:line="240" w:lineRule="auto"/>
        <w:jc w:val="both"/>
        <w:rPr>
          <w:rFonts w:ascii="Times New Roman" w:hAnsi="Times New Roman" w:cs="Times New Roman"/>
          <w:sz w:val="24"/>
          <w:szCs w:val="24"/>
        </w:rPr>
      </w:pPr>
      <w:r w:rsidRPr="0099460F">
        <w:rPr>
          <w:rFonts w:ascii="Times New Roman" w:hAnsi="Times New Roman" w:cs="Times New Roman"/>
          <w:sz w:val="24"/>
          <w:szCs w:val="24"/>
        </w:rPr>
        <w:t xml:space="preserve">Forest Research (2024) </w:t>
      </w:r>
      <w:r w:rsidRPr="0099460F">
        <w:rPr>
          <w:rFonts w:ascii="Times New Roman" w:hAnsi="Times New Roman" w:cs="Times New Roman"/>
          <w:i/>
          <w:iCs/>
          <w:sz w:val="24"/>
          <w:szCs w:val="24"/>
        </w:rPr>
        <w:t>Timber Statistics: UK Timber Imports and Exports 2023</w:t>
      </w:r>
      <w:r w:rsidRPr="0099460F">
        <w:rPr>
          <w:rFonts w:ascii="Times New Roman" w:hAnsi="Times New Roman" w:cs="Times New Roman"/>
          <w:sz w:val="24"/>
          <w:szCs w:val="24"/>
        </w:rPr>
        <w:t xml:space="preserve">. Available at: </w:t>
      </w:r>
      <w:hyperlink r:id="rId10" w:tgtFrame="_new" w:history="1">
        <w:r w:rsidRPr="0099460F">
          <w:rPr>
            <w:rStyle w:val="Hyperlink"/>
            <w:rFonts w:ascii="Times New Roman" w:hAnsi="Times New Roman" w:cs="Times New Roman"/>
            <w:color w:val="112F51" w:themeColor="text2" w:themeShade="BF"/>
            <w:sz w:val="24"/>
            <w:szCs w:val="24"/>
          </w:rPr>
          <w:t>https://www.forestresearch.gov.uk/tools-and-resources/statistics/</w:t>
        </w:r>
      </w:hyperlink>
      <w:r w:rsidRPr="0099460F">
        <w:rPr>
          <w:rFonts w:ascii="Times New Roman" w:hAnsi="Times New Roman" w:cs="Times New Roman"/>
          <w:sz w:val="24"/>
          <w:szCs w:val="24"/>
        </w:rPr>
        <w:t xml:space="preserve"> (Accessed:</w:t>
      </w:r>
      <w:r w:rsidR="009012B7">
        <w:rPr>
          <w:rFonts w:ascii="Times New Roman" w:hAnsi="Times New Roman" w:cs="Times New Roman"/>
          <w:sz w:val="24"/>
          <w:szCs w:val="24"/>
        </w:rPr>
        <w:t xml:space="preserve"> 20 October </w:t>
      </w:r>
      <w:r w:rsidRPr="0099460F">
        <w:rPr>
          <w:rFonts w:ascii="Times New Roman" w:hAnsi="Times New Roman" w:cs="Times New Roman"/>
          <w:sz w:val="24"/>
          <w:szCs w:val="24"/>
        </w:rPr>
        <w:t>2025).</w:t>
      </w:r>
    </w:p>
    <w:p w:rsidR="00B30F7E" w:rsidRPr="0099460F" w:rsidRDefault="00B30F7E" w:rsidP="0099460F">
      <w:pPr>
        <w:pStyle w:val="ListParagraph"/>
        <w:spacing w:line="240" w:lineRule="auto"/>
        <w:jc w:val="both"/>
        <w:rPr>
          <w:rFonts w:ascii="Times New Roman" w:hAnsi="Times New Roman" w:cs="Times New Roman"/>
          <w:sz w:val="24"/>
          <w:szCs w:val="24"/>
        </w:rPr>
      </w:pPr>
    </w:p>
    <w:p w:rsidR="00936398" w:rsidRPr="0099460F" w:rsidRDefault="00B30F7E" w:rsidP="0099460F">
      <w:pPr>
        <w:pStyle w:val="NormalWeb"/>
        <w:numPr>
          <w:ilvl w:val="0"/>
          <w:numId w:val="3"/>
        </w:numPr>
        <w:spacing w:line="240" w:lineRule="auto"/>
        <w:jc w:val="both"/>
        <w:rPr>
          <w:rFonts w:ascii="Times New Roman" w:hAnsi="Times New Roman" w:cs="Times New Roman"/>
        </w:rPr>
      </w:pPr>
      <w:r w:rsidRPr="0099460F">
        <w:rPr>
          <w:rFonts w:ascii="Times New Roman" w:hAnsi="Times New Roman" w:cs="Times New Roman"/>
        </w:rPr>
        <w:t xml:space="preserve">Chatham House (2023) </w:t>
      </w:r>
      <w:r w:rsidRPr="0099460F">
        <w:rPr>
          <w:rStyle w:val="Emphasis"/>
          <w:rFonts w:ascii="Times New Roman" w:hAnsi="Times New Roman" w:cs="Times New Roman"/>
        </w:rPr>
        <w:t>Illegal timber trade: risk pathways into Europe</w:t>
      </w:r>
      <w:r w:rsidRPr="0099460F">
        <w:rPr>
          <w:rFonts w:ascii="Times New Roman" w:hAnsi="Times New Roman" w:cs="Times New Roman"/>
        </w:rPr>
        <w:t xml:space="preserve">. Available at: </w:t>
      </w:r>
      <w:hyperlink r:id="rId11" w:tgtFrame="_new" w:history="1">
        <w:r w:rsidRPr="0099460F">
          <w:rPr>
            <w:rStyle w:val="Hyperlink"/>
            <w:rFonts w:ascii="Times New Roman" w:hAnsi="Times New Roman" w:cs="Times New Roman"/>
          </w:rPr>
          <w:t>https://www.chathamhouse.org</w:t>
        </w:r>
      </w:hyperlink>
      <w:r w:rsidRPr="0099460F">
        <w:rPr>
          <w:rFonts w:ascii="Times New Roman" w:hAnsi="Times New Roman" w:cs="Times New Roman"/>
        </w:rPr>
        <w:t xml:space="preserve"> (Accessed: </w:t>
      </w:r>
      <w:r w:rsidR="009012B7">
        <w:rPr>
          <w:rFonts w:ascii="Times New Roman" w:hAnsi="Times New Roman" w:cs="Times New Roman"/>
        </w:rPr>
        <w:t>20 October</w:t>
      </w:r>
      <w:r w:rsidRPr="0099460F">
        <w:rPr>
          <w:rFonts w:ascii="Times New Roman" w:hAnsi="Times New Roman" w:cs="Times New Roman"/>
        </w:rPr>
        <w:t xml:space="preserve"> 2025).</w:t>
      </w:r>
    </w:p>
    <w:p w:rsidR="00936398" w:rsidRPr="0099460F" w:rsidRDefault="00936398" w:rsidP="0099460F">
      <w:pPr>
        <w:pStyle w:val="NormalWeb"/>
        <w:spacing w:line="240" w:lineRule="auto"/>
        <w:jc w:val="both"/>
        <w:rPr>
          <w:rFonts w:ascii="Times New Roman" w:hAnsi="Times New Roman" w:cs="Times New Roman"/>
        </w:rPr>
      </w:pPr>
    </w:p>
    <w:p w:rsidR="008C1C1A" w:rsidRPr="0099460F" w:rsidRDefault="00B30F7E" w:rsidP="0099460F">
      <w:pPr>
        <w:pStyle w:val="NormalWeb"/>
        <w:numPr>
          <w:ilvl w:val="0"/>
          <w:numId w:val="3"/>
        </w:numPr>
        <w:spacing w:line="240" w:lineRule="auto"/>
        <w:jc w:val="both"/>
        <w:rPr>
          <w:rFonts w:ascii="Times New Roman" w:hAnsi="Times New Roman" w:cs="Times New Roman"/>
        </w:rPr>
      </w:pPr>
      <w:r w:rsidRPr="0099460F">
        <w:rPr>
          <w:rFonts w:ascii="Times New Roman" w:hAnsi="Times New Roman" w:cs="Times New Roman"/>
        </w:rPr>
        <w:t xml:space="preserve">Port of Felixstowe (2024) </w:t>
      </w:r>
      <w:r w:rsidRPr="0099460F">
        <w:rPr>
          <w:rStyle w:val="Emphasis"/>
          <w:rFonts w:ascii="Times New Roman" w:hAnsi="Times New Roman" w:cs="Times New Roman"/>
        </w:rPr>
        <w:t>Operational capacity and performance update</w:t>
      </w:r>
      <w:r w:rsidRPr="0099460F">
        <w:rPr>
          <w:rFonts w:ascii="Times New Roman" w:hAnsi="Times New Roman" w:cs="Times New Roman"/>
        </w:rPr>
        <w:t xml:space="preserve">. Available at: </w:t>
      </w:r>
      <w:hyperlink r:id="rId12" w:tgtFrame="_new" w:history="1">
        <w:r w:rsidRPr="0099460F">
          <w:rPr>
            <w:rStyle w:val="Hyperlink"/>
            <w:rFonts w:ascii="Times New Roman" w:hAnsi="Times New Roman" w:cs="Times New Roman"/>
          </w:rPr>
          <w:t>https://www.portoffelixstowe.co.uk</w:t>
        </w:r>
      </w:hyperlink>
      <w:r w:rsidRPr="0099460F">
        <w:rPr>
          <w:rFonts w:ascii="Times New Roman" w:hAnsi="Times New Roman" w:cs="Times New Roman"/>
        </w:rPr>
        <w:t xml:space="preserve"> (Accessed: </w:t>
      </w:r>
      <w:r w:rsidR="009012B7">
        <w:rPr>
          <w:rFonts w:ascii="Times New Roman" w:hAnsi="Times New Roman" w:cs="Times New Roman"/>
        </w:rPr>
        <w:t>22 October</w:t>
      </w:r>
      <w:r w:rsidRPr="0099460F">
        <w:rPr>
          <w:rFonts w:ascii="Times New Roman" w:hAnsi="Times New Roman" w:cs="Times New Roman"/>
        </w:rPr>
        <w:t xml:space="preserve"> 2025).</w:t>
      </w:r>
      <w:bookmarkEnd w:id="0"/>
    </w:p>
    <w:p w:rsidR="00936398" w:rsidRPr="0099460F" w:rsidRDefault="00936398" w:rsidP="0099460F">
      <w:pPr>
        <w:pStyle w:val="ListParagraph"/>
        <w:jc w:val="both"/>
        <w:rPr>
          <w:rFonts w:ascii="Times New Roman" w:hAnsi="Times New Roman" w:cs="Times New Roman"/>
        </w:rPr>
      </w:pPr>
    </w:p>
    <w:p w:rsidR="00936398" w:rsidRPr="0099460F" w:rsidRDefault="00936398" w:rsidP="0099460F">
      <w:pPr>
        <w:pStyle w:val="NormalWeb"/>
        <w:numPr>
          <w:ilvl w:val="0"/>
          <w:numId w:val="3"/>
        </w:numPr>
        <w:spacing w:line="240" w:lineRule="auto"/>
        <w:jc w:val="both"/>
        <w:rPr>
          <w:rFonts w:ascii="Times New Roman" w:hAnsi="Times New Roman" w:cs="Times New Roman"/>
        </w:rPr>
      </w:pPr>
      <w:r w:rsidRPr="0099460F">
        <w:rPr>
          <w:rFonts w:ascii="Times New Roman" w:hAnsi="Times New Roman" w:cs="Times New Roman"/>
          <w:lang w:val="en-US"/>
        </w:rPr>
        <w:t xml:space="preserve">Animal and Plant Health Agency (2024) </w:t>
      </w:r>
      <w:r w:rsidRPr="0099460F">
        <w:rPr>
          <w:rFonts w:ascii="Times New Roman" w:hAnsi="Times New Roman" w:cs="Times New Roman"/>
          <w:i/>
          <w:iCs/>
          <w:lang w:val="en-US"/>
        </w:rPr>
        <w:t>Plant health import requirements</w:t>
      </w:r>
      <w:r w:rsidRPr="0099460F">
        <w:rPr>
          <w:rFonts w:ascii="Times New Roman" w:hAnsi="Times New Roman" w:cs="Times New Roman"/>
          <w:lang w:val="en-US"/>
        </w:rPr>
        <w:t xml:space="preserve">. Available at: </w:t>
      </w:r>
      <w:r w:rsidRPr="0099460F">
        <w:rPr>
          <w:rFonts w:ascii="Times New Roman" w:hAnsi="Times New Roman" w:cs="Times New Roman"/>
          <w:color w:val="104864" w:themeColor="background2" w:themeShade="40"/>
          <w:u w:val="single"/>
          <w:lang w:val="en-US"/>
        </w:rPr>
        <w:t>https://www.gov.uk/guidance</w:t>
      </w:r>
      <w:r w:rsidRPr="0099460F">
        <w:rPr>
          <w:rFonts w:ascii="Times New Roman" w:hAnsi="Times New Roman" w:cs="Times New Roman"/>
          <w:color w:val="104864" w:themeColor="background2" w:themeShade="40"/>
          <w:lang w:val="en-US"/>
        </w:rPr>
        <w:t xml:space="preserve"> </w:t>
      </w:r>
      <w:r w:rsidRPr="0099460F">
        <w:rPr>
          <w:rFonts w:ascii="Times New Roman" w:hAnsi="Times New Roman" w:cs="Times New Roman"/>
          <w:lang w:val="en-US"/>
        </w:rPr>
        <w:t xml:space="preserve">(Accessed: </w:t>
      </w:r>
      <w:r w:rsidR="009012B7">
        <w:rPr>
          <w:rFonts w:ascii="Times New Roman" w:hAnsi="Times New Roman" w:cs="Times New Roman"/>
          <w:lang w:val="en-US"/>
        </w:rPr>
        <w:t xml:space="preserve">24 October </w:t>
      </w:r>
      <w:r w:rsidRPr="0099460F">
        <w:rPr>
          <w:rFonts w:ascii="Times New Roman" w:hAnsi="Times New Roman" w:cs="Times New Roman"/>
          <w:lang w:val="en-US"/>
        </w:rPr>
        <w:t xml:space="preserve"> 2025).</w:t>
      </w:r>
    </w:p>
    <w:p w:rsidR="00936398" w:rsidRPr="0099460F" w:rsidRDefault="00936398" w:rsidP="0099460F">
      <w:pPr>
        <w:pStyle w:val="ListParagraph"/>
        <w:jc w:val="both"/>
        <w:rPr>
          <w:rFonts w:ascii="Times New Roman" w:hAnsi="Times New Roman" w:cs="Times New Roman"/>
        </w:rPr>
      </w:pPr>
    </w:p>
    <w:p w:rsidR="00936398" w:rsidRPr="0099460F" w:rsidRDefault="00936398" w:rsidP="0099460F">
      <w:pPr>
        <w:pStyle w:val="NormalWeb"/>
        <w:numPr>
          <w:ilvl w:val="0"/>
          <w:numId w:val="3"/>
        </w:numPr>
        <w:jc w:val="both"/>
        <w:rPr>
          <w:rFonts w:ascii="Times New Roman" w:hAnsi="Times New Roman" w:cs="Times New Roman"/>
        </w:rPr>
      </w:pPr>
      <w:r w:rsidRPr="00936398">
        <w:rPr>
          <w:rFonts w:ascii="Times New Roman" w:hAnsi="Times New Roman" w:cs="Times New Roman"/>
        </w:rPr>
        <w:t xml:space="preserve">UK Government (2024a) </w:t>
      </w:r>
      <w:r w:rsidRPr="00936398">
        <w:rPr>
          <w:rFonts w:ascii="Times New Roman" w:hAnsi="Times New Roman" w:cs="Times New Roman"/>
          <w:i/>
          <w:iCs/>
        </w:rPr>
        <w:t>Timber regulation enforcement: company fined for due diligence failure</w:t>
      </w:r>
      <w:r w:rsidRPr="00936398">
        <w:rPr>
          <w:rFonts w:ascii="Times New Roman" w:hAnsi="Times New Roman" w:cs="Times New Roman"/>
        </w:rPr>
        <w:t>. Available at</w:t>
      </w:r>
      <w:r w:rsidRPr="00936398">
        <w:rPr>
          <w:rFonts w:ascii="Times New Roman" w:hAnsi="Times New Roman" w:cs="Times New Roman"/>
          <w:color w:val="104864" w:themeColor="background2" w:themeShade="40"/>
          <w:u w:val="single"/>
        </w:rPr>
        <w:t>: https://www.gov.uk/government/news</w:t>
      </w:r>
      <w:r w:rsidRPr="00936398">
        <w:rPr>
          <w:rFonts w:ascii="Times New Roman" w:hAnsi="Times New Roman" w:cs="Times New Roman"/>
          <w:color w:val="104864" w:themeColor="background2" w:themeShade="40"/>
        </w:rPr>
        <w:t xml:space="preserve"> </w:t>
      </w:r>
      <w:r w:rsidRPr="00936398">
        <w:rPr>
          <w:rFonts w:ascii="Times New Roman" w:hAnsi="Times New Roman" w:cs="Times New Roman"/>
        </w:rPr>
        <w:t xml:space="preserve">(Accessed: </w:t>
      </w:r>
      <w:r w:rsidR="009012B7">
        <w:rPr>
          <w:rFonts w:ascii="Times New Roman" w:hAnsi="Times New Roman" w:cs="Times New Roman"/>
        </w:rPr>
        <w:t>25</w:t>
      </w:r>
      <w:r w:rsidRPr="00936398">
        <w:rPr>
          <w:rFonts w:ascii="Times New Roman" w:hAnsi="Times New Roman" w:cs="Times New Roman"/>
        </w:rPr>
        <w:t xml:space="preserve"> </w:t>
      </w:r>
      <w:r w:rsidR="009012B7">
        <w:rPr>
          <w:rFonts w:ascii="Times New Roman" w:hAnsi="Times New Roman" w:cs="Times New Roman"/>
        </w:rPr>
        <w:t>Octo</w:t>
      </w:r>
      <w:r w:rsidRPr="00936398">
        <w:rPr>
          <w:rFonts w:ascii="Times New Roman" w:hAnsi="Times New Roman" w:cs="Times New Roman"/>
        </w:rPr>
        <w:t>ber 2025).</w:t>
      </w:r>
    </w:p>
    <w:p w:rsidR="00936398" w:rsidRPr="00936398" w:rsidRDefault="00936398" w:rsidP="0099460F">
      <w:pPr>
        <w:pStyle w:val="NormalWeb"/>
        <w:jc w:val="both"/>
        <w:rPr>
          <w:rFonts w:ascii="Times New Roman" w:hAnsi="Times New Roman" w:cs="Times New Roman"/>
        </w:rPr>
      </w:pPr>
    </w:p>
    <w:p w:rsidR="00936398" w:rsidRPr="0099460F" w:rsidRDefault="00936398" w:rsidP="0099460F">
      <w:pPr>
        <w:pStyle w:val="NormalWeb"/>
        <w:numPr>
          <w:ilvl w:val="0"/>
          <w:numId w:val="3"/>
        </w:numPr>
        <w:jc w:val="both"/>
        <w:rPr>
          <w:rFonts w:ascii="Times New Roman" w:hAnsi="Times New Roman" w:cs="Times New Roman"/>
        </w:rPr>
      </w:pPr>
      <w:r w:rsidRPr="00936398">
        <w:rPr>
          <w:rFonts w:ascii="Times New Roman" w:hAnsi="Times New Roman" w:cs="Times New Roman"/>
        </w:rPr>
        <w:t xml:space="preserve">UK Government (2024b) </w:t>
      </w:r>
      <w:r w:rsidRPr="00936398">
        <w:rPr>
          <w:rFonts w:ascii="Times New Roman" w:hAnsi="Times New Roman" w:cs="Times New Roman"/>
          <w:i/>
          <w:iCs/>
        </w:rPr>
        <w:t>Timber import inspections and sanctions update</w:t>
      </w:r>
      <w:r w:rsidRPr="00936398">
        <w:rPr>
          <w:rFonts w:ascii="Times New Roman" w:hAnsi="Times New Roman" w:cs="Times New Roman"/>
        </w:rPr>
        <w:t xml:space="preserve">. Available at: </w:t>
      </w:r>
      <w:r w:rsidRPr="00936398">
        <w:rPr>
          <w:rFonts w:ascii="Times New Roman" w:hAnsi="Times New Roman" w:cs="Times New Roman"/>
          <w:color w:val="104864" w:themeColor="background2" w:themeShade="40"/>
          <w:u w:val="single"/>
        </w:rPr>
        <w:t>https://www.gov.uk/government/publications</w:t>
      </w:r>
      <w:r w:rsidRPr="00936398">
        <w:rPr>
          <w:rFonts w:ascii="Times New Roman" w:hAnsi="Times New Roman" w:cs="Times New Roman"/>
          <w:color w:val="104864" w:themeColor="background2" w:themeShade="40"/>
        </w:rPr>
        <w:t xml:space="preserve"> </w:t>
      </w:r>
      <w:r w:rsidRPr="00936398">
        <w:rPr>
          <w:rFonts w:ascii="Times New Roman" w:hAnsi="Times New Roman" w:cs="Times New Roman"/>
        </w:rPr>
        <w:t xml:space="preserve">(Accessed: </w:t>
      </w:r>
      <w:r w:rsidR="009012B7">
        <w:rPr>
          <w:rFonts w:ascii="Times New Roman" w:hAnsi="Times New Roman" w:cs="Times New Roman"/>
        </w:rPr>
        <w:t>25 Octo</w:t>
      </w:r>
      <w:r w:rsidRPr="00936398">
        <w:rPr>
          <w:rFonts w:ascii="Times New Roman" w:hAnsi="Times New Roman" w:cs="Times New Roman"/>
        </w:rPr>
        <w:t>ber 2025).</w:t>
      </w:r>
    </w:p>
    <w:p w:rsidR="00936398" w:rsidRPr="00936398" w:rsidRDefault="00936398" w:rsidP="0099460F">
      <w:pPr>
        <w:pStyle w:val="NormalWeb"/>
        <w:jc w:val="both"/>
        <w:rPr>
          <w:rFonts w:ascii="Times New Roman" w:hAnsi="Times New Roman" w:cs="Times New Roman"/>
        </w:rPr>
      </w:pPr>
    </w:p>
    <w:p w:rsidR="00936398" w:rsidRPr="0099460F" w:rsidRDefault="00936398" w:rsidP="0099460F">
      <w:pPr>
        <w:pStyle w:val="NormalWeb"/>
        <w:numPr>
          <w:ilvl w:val="0"/>
          <w:numId w:val="3"/>
        </w:numPr>
        <w:jc w:val="both"/>
        <w:rPr>
          <w:rFonts w:ascii="Times New Roman" w:hAnsi="Times New Roman" w:cs="Times New Roman"/>
        </w:rPr>
      </w:pPr>
      <w:r w:rsidRPr="00936398">
        <w:rPr>
          <w:rFonts w:ascii="Times New Roman" w:hAnsi="Times New Roman" w:cs="Times New Roman"/>
        </w:rPr>
        <w:t xml:space="preserve">Timber Development UK (2024) </w:t>
      </w:r>
      <w:r w:rsidRPr="00936398">
        <w:rPr>
          <w:rFonts w:ascii="Times New Roman" w:hAnsi="Times New Roman" w:cs="Times New Roman"/>
          <w:i/>
          <w:iCs/>
        </w:rPr>
        <w:t>UK Softwood Market Report</w:t>
      </w:r>
      <w:r w:rsidRPr="00936398">
        <w:rPr>
          <w:rFonts w:ascii="Times New Roman" w:hAnsi="Times New Roman" w:cs="Times New Roman"/>
        </w:rPr>
        <w:t xml:space="preserve">. Available at: </w:t>
      </w:r>
      <w:r w:rsidRPr="00936398">
        <w:rPr>
          <w:rFonts w:ascii="Times New Roman" w:hAnsi="Times New Roman" w:cs="Times New Roman"/>
          <w:color w:val="104864" w:themeColor="background2" w:themeShade="40"/>
          <w:u w:val="single"/>
        </w:rPr>
        <w:t>https://www.timberdevelopment.uk</w:t>
      </w:r>
      <w:r w:rsidRPr="00936398">
        <w:rPr>
          <w:rFonts w:ascii="Times New Roman" w:hAnsi="Times New Roman" w:cs="Times New Roman"/>
          <w:color w:val="104864" w:themeColor="background2" w:themeShade="40"/>
        </w:rPr>
        <w:t xml:space="preserve"> </w:t>
      </w:r>
      <w:r w:rsidRPr="00936398">
        <w:rPr>
          <w:rFonts w:ascii="Times New Roman" w:hAnsi="Times New Roman" w:cs="Times New Roman"/>
        </w:rPr>
        <w:t xml:space="preserve">(Accessed: </w:t>
      </w:r>
      <w:r w:rsidR="009012B7">
        <w:rPr>
          <w:rFonts w:ascii="Times New Roman" w:hAnsi="Times New Roman" w:cs="Times New Roman"/>
        </w:rPr>
        <w:t>28 Octo</w:t>
      </w:r>
      <w:r w:rsidRPr="00936398">
        <w:rPr>
          <w:rFonts w:ascii="Times New Roman" w:hAnsi="Times New Roman" w:cs="Times New Roman"/>
        </w:rPr>
        <w:t>ber 2025).</w:t>
      </w:r>
    </w:p>
    <w:p w:rsidR="00936398" w:rsidRPr="00936398" w:rsidRDefault="00936398" w:rsidP="0099460F">
      <w:pPr>
        <w:pStyle w:val="NormalWeb"/>
        <w:jc w:val="both"/>
        <w:rPr>
          <w:rFonts w:ascii="Times New Roman" w:hAnsi="Times New Roman" w:cs="Times New Roman"/>
        </w:rPr>
      </w:pPr>
    </w:p>
    <w:p w:rsidR="00936398" w:rsidRPr="00936398" w:rsidRDefault="00936398" w:rsidP="0099460F">
      <w:pPr>
        <w:pStyle w:val="NormalWeb"/>
        <w:numPr>
          <w:ilvl w:val="0"/>
          <w:numId w:val="3"/>
        </w:numPr>
        <w:jc w:val="both"/>
        <w:rPr>
          <w:rFonts w:ascii="Times New Roman" w:hAnsi="Times New Roman" w:cs="Times New Roman"/>
        </w:rPr>
      </w:pPr>
      <w:r w:rsidRPr="00936398">
        <w:rPr>
          <w:rFonts w:ascii="Times New Roman" w:hAnsi="Times New Roman" w:cs="Times New Roman"/>
        </w:rPr>
        <w:t xml:space="preserve">European Commission (2023) </w:t>
      </w:r>
      <w:r w:rsidRPr="00936398">
        <w:rPr>
          <w:rFonts w:ascii="Times New Roman" w:hAnsi="Times New Roman" w:cs="Times New Roman"/>
          <w:i/>
          <w:iCs/>
        </w:rPr>
        <w:t>EU timber regulation and due diligence guidance</w:t>
      </w:r>
      <w:r w:rsidRPr="00936398">
        <w:rPr>
          <w:rFonts w:ascii="Times New Roman" w:hAnsi="Times New Roman" w:cs="Times New Roman"/>
        </w:rPr>
        <w:t>. Available at</w:t>
      </w:r>
      <w:r w:rsidRPr="00936398">
        <w:rPr>
          <w:rFonts w:ascii="Times New Roman" w:hAnsi="Times New Roman" w:cs="Times New Roman"/>
          <w:color w:val="104864" w:themeColor="background2" w:themeShade="40"/>
          <w:u w:val="single"/>
        </w:rPr>
        <w:t>: https://environment.ec.europa.eu</w:t>
      </w:r>
      <w:r w:rsidRPr="00936398">
        <w:rPr>
          <w:rFonts w:ascii="Times New Roman" w:hAnsi="Times New Roman" w:cs="Times New Roman"/>
          <w:color w:val="104864" w:themeColor="background2" w:themeShade="40"/>
        </w:rPr>
        <w:t xml:space="preserve"> </w:t>
      </w:r>
      <w:r w:rsidRPr="00936398">
        <w:rPr>
          <w:rFonts w:ascii="Times New Roman" w:hAnsi="Times New Roman" w:cs="Times New Roman"/>
        </w:rPr>
        <w:t xml:space="preserve">(Accessed: </w:t>
      </w:r>
      <w:r w:rsidR="009012B7">
        <w:rPr>
          <w:rFonts w:ascii="Times New Roman" w:hAnsi="Times New Roman" w:cs="Times New Roman"/>
        </w:rPr>
        <w:t>2</w:t>
      </w:r>
      <w:r w:rsidRPr="00936398">
        <w:rPr>
          <w:rFonts w:ascii="Times New Roman" w:hAnsi="Times New Roman" w:cs="Times New Roman"/>
        </w:rPr>
        <w:t xml:space="preserve">9 </w:t>
      </w:r>
      <w:r w:rsidR="009012B7">
        <w:rPr>
          <w:rFonts w:ascii="Times New Roman" w:hAnsi="Times New Roman" w:cs="Times New Roman"/>
        </w:rPr>
        <w:t>Octo</w:t>
      </w:r>
      <w:r w:rsidRPr="00936398">
        <w:rPr>
          <w:rFonts w:ascii="Times New Roman" w:hAnsi="Times New Roman" w:cs="Times New Roman"/>
        </w:rPr>
        <w:t>ber 2025).</w:t>
      </w:r>
    </w:p>
    <w:p w:rsidR="00A229B3" w:rsidRDefault="0099460F" w:rsidP="0098623B">
      <w:pPr>
        <w:pStyle w:val="NormalWeb"/>
        <w:numPr>
          <w:ilvl w:val="0"/>
          <w:numId w:val="3"/>
        </w:numPr>
        <w:jc w:val="both"/>
        <w:rPr>
          <w:rFonts w:ascii="Times New Roman" w:hAnsi="Times New Roman" w:cs="Times New Roman"/>
        </w:rPr>
      </w:pPr>
      <w:r w:rsidRPr="0099460F">
        <w:rPr>
          <w:rFonts w:ascii="Times New Roman" w:hAnsi="Times New Roman" w:cs="Times New Roman"/>
        </w:rPr>
        <w:lastRenderedPageBreak/>
        <w:t xml:space="preserve">Timber Development UK (2024) </w:t>
      </w:r>
      <w:r w:rsidRPr="0099460F">
        <w:rPr>
          <w:rStyle w:val="Emphasis"/>
          <w:rFonts w:ascii="Times New Roman" w:hAnsi="Times New Roman" w:cs="Times New Roman"/>
        </w:rPr>
        <w:t>Softwood Import Trends and Market Report</w:t>
      </w:r>
      <w:r w:rsidRPr="0099460F">
        <w:rPr>
          <w:rFonts w:ascii="Times New Roman" w:hAnsi="Times New Roman" w:cs="Times New Roman"/>
        </w:rPr>
        <w:t xml:space="preserve">. Available at: </w:t>
      </w:r>
      <w:r w:rsidRPr="0099460F">
        <w:rPr>
          <w:rFonts w:ascii="Times New Roman" w:hAnsi="Times New Roman" w:cs="Times New Roman"/>
          <w:color w:val="104864" w:themeColor="background2" w:themeShade="40"/>
          <w:u w:val="single"/>
        </w:rPr>
        <w:t>https://www.timberdevelopment.uk</w:t>
      </w:r>
      <w:r w:rsidRPr="0099460F">
        <w:rPr>
          <w:rFonts w:ascii="Times New Roman" w:hAnsi="Times New Roman" w:cs="Times New Roman"/>
          <w:color w:val="104864" w:themeColor="background2" w:themeShade="40"/>
        </w:rPr>
        <w:t xml:space="preserve"> </w:t>
      </w:r>
      <w:r w:rsidRPr="0099460F">
        <w:rPr>
          <w:rFonts w:ascii="Times New Roman" w:hAnsi="Times New Roman" w:cs="Times New Roman"/>
        </w:rPr>
        <w:t xml:space="preserve">(Accessed: </w:t>
      </w:r>
      <w:r w:rsidR="009012B7">
        <w:rPr>
          <w:rFonts w:ascii="Times New Roman" w:hAnsi="Times New Roman" w:cs="Times New Roman"/>
        </w:rPr>
        <w:t>29 Octo</w:t>
      </w:r>
      <w:r w:rsidRPr="0099460F">
        <w:rPr>
          <w:rFonts w:ascii="Times New Roman" w:hAnsi="Times New Roman" w:cs="Times New Roman"/>
        </w:rPr>
        <w:t>ber 2025).</w:t>
      </w:r>
    </w:p>
    <w:p w:rsidR="00A229B3" w:rsidRDefault="00A229B3" w:rsidP="0098623B">
      <w:pPr>
        <w:pStyle w:val="NormalWeb"/>
        <w:jc w:val="both"/>
        <w:rPr>
          <w:rFonts w:ascii="Times New Roman" w:hAnsi="Times New Roman" w:cs="Times New Roman"/>
        </w:rPr>
      </w:pPr>
    </w:p>
    <w:p w:rsidR="0098623B" w:rsidRDefault="00A229B3" w:rsidP="0098623B">
      <w:pPr>
        <w:pStyle w:val="NormalWeb"/>
        <w:numPr>
          <w:ilvl w:val="0"/>
          <w:numId w:val="3"/>
        </w:numPr>
        <w:jc w:val="both"/>
        <w:rPr>
          <w:rFonts w:ascii="Times New Roman" w:hAnsi="Times New Roman" w:cs="Times New Roman"/>
        </w:rPr>
      </w:pPr>
      <w:r w:rsidRPr="00A229B3">
        <w:rPr>
          <w:rFonts w:ascii="Times New Roman" w:hAnsi="Times New Roman" w:cs="Times New Roman"/>
          <w:lang w:val="en-US"/>
        </w:rPr>
        <w:t xml:space="preserve">Timber Development UK (2024) </w:t>
      </w:r>
      <w:r w:rsidRPr="00A229B3">
        <w:rPr>
          <w:rFonts w:ascii="Times New Roman" w:hAnsi="Times New Roman" w:cs="Times New Roman"/>
          <w:i/>
          <w:iCs/>
          <w:lang w:val="en-US"/>
        </w:rPr>
        <w:t>UK Timber Market Statistics and Supply Chain Trends</w:t>
      </w:r>
      <w:r w:rsidRPr="00A229B3">
        <w:rPr>
          <w:rFonts w:ascii="Times New Roman" w:hAnsi="Times New Roman" w:cs="Times New Roman"/>
          <w:lang w:val="en-US"/>
        </w:rPr>
        <w:t xml:space="preserve">. </w:t>
      </w:r>
      <w:r w:rsidR="0098623B" w:rsidRPr="00A229B3">
        <w:rPr>
          <w:rFonts w:ascii="Times New Roman" w:hAnsi="Times New Roman" w:cs="Times New Roman"/>
          <w:lang w:val="en-US"/>
        </w:rPr>
        <w:t>Available</w:t>
      </w:r>
      <w:r w:rsidR="0098623B">
        <w:rPr>
          <w:rFonts w:ascii="Times New Roman" w:hAnsi="Times New Roman" w:cs="Times New Roman"/>
          <w:lang w:val="en-US"/>
        </w:rPr>
        <w:t xml:space="preserve">: </w:t>
      </w:r>
      <w:hyperlink r:id="rId13" w:history="1">
        <w:r w:rsidR="0098623B" w:rsidRPr="004A2236">
          <w:rPr>
            <w:rStyle w:val="Hyperlink"/>
            <w:rFonts w:ascii="Times New Roman" w:hAnsi="Times New Roman" w:cs="Times New Roman"/>
            <w:color w:val="023336" w:themeColor="accent3" w:themeShade="40"/>
            <w:lang w:val="en-US"/>
          </w:rPr>
          <w:t>https://timberdevelopment.uk</w:t>
        </w:r>
      </w:hyperlink>
      <w:r w:rsidRPr="00A229B3">
        <w:rPr>
          <w:rFonts w:ascii="Times New Roman" w:hAnsi="Times New Roman" w:cs="Times New Roman"/>
          <w:lang w:val="en-US"/>
        </w:rPr>
        <w:t xml:space="preserve"> (Accessed: </w:t>
      </w:r>
      <w:r w:rsidR="009012B7">
        <w:rPr>
          <w:rFonts w:ascii="Times New Roman" w:hAnsi="Times New Roman" w:cs="Times New Roman"/>
          <w:lang w:val="en-US"/>
        </w:rPr>
        <w:t>03</w:t>
      </w:r>
      <w:r w:rsidRPr="00A229B3">
        <w:rPr>
          <w:rFonts w:ascii="Times New Roman" w:hAnsi="Times New Roman" w:cs="Times New Roman"/>
          <w:lang w:val="en-US"/>
        </w:rPr>
        <w:t xml:space="preserve"> November 2025).</w:t>
      </w:r>
    </w:p>
    <w:p w:rsidR="00AD552E" w:rsidRDefault="00AD552E" w:rsidP="00AD552E">
      <w:pPr>
        <w:pStyle w:val="ListParagraph"/>
        <w:rPr>
          <w:rFonts w:ascii="Times New Roman" w:hAnsi="Times New Roman" w:cs="Times New Roman"/>
        </w:rPr>
      </w:pPr>
    </w:p>
    <w:p w:rsidR="00AD552E" w:rsidRPr="00AD552E" w:rsidRDefault="00AD552E" w:rsidP="00AD552E">
      <w:pPr>
        <w:pStyle w:val="NormalWeb"/>
        <w:numPr>
          <w:ilvl w:val="0"/>
          <w:numId w:val="3"/>
        </w:numPr>
        <w:jc w:val="both"/>
        <w:rPr>
          <w:rFonts w:ascii="Times New Roman" w:hAnsi="Times New Roman" w:cs="Times New Roman"/>
        </w:rPr>
      </w:pPr>
      <w:r w:rsidRPr="00AD552E">
        <w:rPr>
          <w:rFonts w:ascii="Times New Roman" w:hAnsi="Times New Roman" w:cs="Times New Roman"/>
          <w:lang w:val="en-US"/>
        </w:rPr>
        <w:t xml:space="preserve">Office for National Statistics (ONS) 2023, </w:t>
      </w:r>
      <w:r w:rsidRPr="00AD552E">
        <w:rPr>
          <w:rFonts w:ascii="Times New Roman" w:hAnsi="Times New Roman" w:cs="Times New Roman"/>
          <w:i/>
          <w:iCs/>
          <w:lang w:val="en-US"/>
        </w:rPr>
        <w:t>Materials Price Index: Timber and Construction Inputs</w:t>
      </w:r>
      <w:r w:rsidRPr="00AD552E">
        <w:rPr>
          <w:rFonts w:ascii="Times New Roman" w:hAnsi="Times New Roman" w:cs="Times New Roman"/>
          <w:lang w:val="en-US"/>
        </w:rPr>
        <w:t>, ONS, London.</w:t>
      </w:r>
      <w:r w:rsidRPr="00AD552E">
        <w:rPr>
          <w:rFonts w:ascii="Times New Roman" w:hAnsi="Times New Roman" w:cs="Times New Roman"/>
          <w:lang w:val="en-US"/>
        </w:rPr>
        <w:br/>
        <w:t xml:space="preserve">Available at: </w:t>
      </w:r>
      <w:hyperlink r:id="rId14" w:tgtFrame="_new" w:history="1">
        <w:r w:rsidRPr="00AD552E">
          <w:rPr>
            <w:rStyle w:val="Hyperlink"/>
            <w:rFonts w:ascii="Times New Roman" w:hAnsi="Times New Roman" w:cs="Times New Roman"/>
            <w:color w:val="104864" w:themeColor="background2" w:themeShade="40"/>
            <w:lang w:val="en-US"/>
          </w:rPr>
          <w:t>https://www.ons.gov.uk/economy/inflationandpriceindices</w:t>
        </w:r>
      </w:hyperlink>
      <w:r w:rsidRPr="00AD552E">
        <w:rPr>
          <w:rFonts w:ascii="Times New Roman" w:hAnsi="Times New Roman" w:cs="Times New Roman"/>
          <w:lang w:val="en-US"/>
        </w:rPr>
        <w:t xml:space="preserve"> </w:t>
      </w:r>
      <w:r w:rsidRPr="00AD552E">
        <w:rPr>
          <w:rFonts w:ascii="Times New Roman" w:hAnsi="Times New Roman" w:cs="Times New Roman"/>
          <w:i/>
          <w:iCs/>
          <w:lang w:val="en-US"/>
        </w:rPr>
        <w:t xml:space="preserve">(Accessed: </w:t>
      </w:r>
      <w:r>
        <w:rPr>
          <w:rFonts w:ascii="Times New Roman" w:hAnsi="Times New Roman" w:cs="Times New Roman"/>
          <w:i/>
          <w:iCs/>
          <w:lang w:val="en-US"/>
        </w:rPr>
        <w:t>04</w:t>
      </w:r>
      <w:r w:rsidRPr="00AD552E">
        <w:rPr>
          <w:rFonts w:ascii="Times New Roman" w:hAnsi="Times New Roman" w:cs="Times New Roman"/>
          <w:i/>
          <w:iCs/>
          <w:lang w:val="en-US"/>
        </w:rPr>
        <w:t xml:space="preserve"> November 2025).</w:t>
      </w:r>
    </w:p>
    <w:p w:rsidR="00AD552E" w:rsidRPr="00AD552E" w:rsidRDefault="00AD552E" w:rsidP="00AD552E">
      <w:pPr>
        <w:pStyle w:val="NormalWeb"/>
        <w:jc w:val="both"/>
        <w:rPr>
          <w:rFonts w:ascii="Times New Roman" w:hAnsi="Times New Roman" w:cs="Times New Roman"/>
        </w:rPr>
      </w:pPr>
    </w:p>
    <w:p w:rsidR="00A229B3" w:rsidRPr="0098623B" w:rsidRDefault="0098623B" w:rsidP="0098623B">
      <w:pPr>
        <w:pStyle w:val="NormalWeb"/>
        <w:numPr>
          <w:ilvl w:val="0"/>
          <w:numId w:val="3"/>
        </w:numPr>
        <w:jc w:val="both"/>
        <w:rPr>
          <w:rFonts w:ascii="Times New Roman" w:hAnsi="Times New Roman" w:cs="Times New Roman"/>
        </w:rPr>
      </w:pPr>
      <w:r w:rsidRPr="0098623B">
        <w:rPr>
          <w:rFonts w:ascii="Times New Roman" w:hAnsi="Times New Roman" w:cs="Times New Roman"/>
          <w:lang w:val="en-US"/>
        </w:rPr>
        <w:t xml:space="preserve">Department for Business &amp; Trade (2024) </w:t>
      </w:r>
      <w:r w:rsidRPr="0098623B">
        <w:rPr>
          <w:rFonts w:ascii="Times New Roman" w:hAnsi="Times New Roman" w:cs="Times New Roman"/>
          <w:i/>
          <w:iCs/>
          <w:lang w:val="en-US"/>
        </w:rPr>
        <w:t>UK Border Target Operating Model: Import Requirements</w:t>
      </w:r>
      <w:r w:rsidRPr="0098623B">
        <w:rPr>
          <w:rFonts w:ascii="Times New Roman" w:hAnsi="Times New Roman" w:cs="Times New Roman"/>
          <w:lang w:val="en-US"/>
        </w:rPr>
        <w:t>. Available at:</w:t>
      </w:r>
      <w:r w:rsidRPr="0098623B">
        <w:rPr>
          <w:rFonts w:ascii="Times New Roman" w:hAnsi="Times New Roman" w:cs="Times New Roman"/>
          <w:lang w:val="en-US"/>
        </w:rPr>
        <w:br/>
      </w:r>
      <w:hyperlink r:id="rId15" w:tgtFrame="_new" w:history="1">
        <w:r w:rsidRPr="0098623B">
          <w:rPr>
            <w:rStyle w:val="Hyperlink"/>
            <w:rFonts w:ascii="Times New Roman" w:hAnsi="Times New Roman" w:cs="Times New Roman"/>
            <w:color w:val="104864" w:themeColor="background2" w:themeShade="40"/>
            <w:lang w:val="en-US"/>
          </w:rPr>
          <w:t>https://www.gov.uk/government/publications/the-border-target-operating-model-august-2023</w:t>
        </w:r>
      </w:hyperlink>
      <w:r w:rsidRPr="0098623B">
        <w:rPr>
          <w:rFonts w:ascii="Times New Roman" w:hAnsi="Times New Roman" w:cs="Times New Roman"/>
          <w:color w:val="104864" w:themeColor="background2" w:themeShade="40"/>
          <w:lang w:val="en-US"/>
        </w:rPr>
        <w:t xml:space="preserve"> </w:t>
      </w:r>
      <w:r w:rsidRPr="0098623B">
        <w:rPr>
          <w:rFonts w:ascii="Times New Roman" w:hAnsi="Times New Roman" w:cs="Times New Roman"/>
          <w:lang w:val="en-US"/>
        </w:rPr>
        <w:t xml:space="preserve">(Accessed: </w:t>
      </w:r>
      <w:r w:rsidR="009012B7">
        <w:rPr>
          <w:rFonts w:ascii="Times New Roman" w:hAnsi="Times New Roman" w:cs="Times New Roman"/>
          <w:lang w:val="en-US"/>
        </w:rPr>
        <w:t>05</w:t>
      </w:r>
      <w:r w:rsidRPr="0098623B">
        <w:rPr>
          <w:rFonts w:ascii="Times New Roman" w:hAnsi="Times New Roman" w:cs="Times New Roman"/>
          <w:lang w:val="en-US"/>
        </w:rPr>
        <w:t xml:space="preserve"> November 2025).</w:t>
      </w:r>
    </w:p>
    <w:p w:rsidR="0098623B" w:rsidRDefault="0098623B" w:rsidP="0098623B">
      <w:pPr>
        <w:pStyle w:val="ListParagraph"/>
        <w:jc w:val="both"/>
        <w:rPr>
          <w:rFonts w:ascii="Times New Roman" w:hAnsi="Times New Roman" w:cs="Times New Roman"/>
        </w:rPr>
      </w:pPr>
    </w:p>
    <w:p w:rsidR="0098623B" w:rsidRPr="00AD552E" w:rsidRDefault="0098623B" w:rsidP="0098623B">
      <w:pPr>
        <w:pStyle w:val="NormalWeb"/>
        <w:numPr>
          <w:ilvl w:val="0"/>
          <w:numId w:val="3"/>
        </w:numPr>
        <w:jc w:val="both"/>
        <w:rPr>
          <w:rFonts w:ascii="Times New Roman" w:hAnsi="Times New Roman" w:cs="Times New Roman"/>
        </w:rPr>
      </w:pPr>
      <w:r w:rsidRPr="0098623B">
        <w:rPr>
          <w:rFonts w:ascii="Times New Roman" w:hAnsi="Times New Roman" w:cs="Times New Roman"/>
          <w:lang w:val="en-US"/>
        </w:rPr>
        <w:t xml:space="preserve">Department for Transport (2024) </w:t>
      </w:r>
      <w:r w:rsidRPr="0098623B">
        <w:rPr>
          <w:rFonts w:ascii="Times New Roman" w:hAnsi="Times New Roman" w:cs="Times New Roman"/>
          <w:i/>
          <w:iCs/>
          <w:lang w:val="en-US"/>
        </w:rPr>
        <w:t>Future of Freight: Logistics and Transport Efficiency Report</w:t>
      </w:r>
      <w:r w:rsidRPr="0098623B">
        <w:rPr>
          <w:rFonts w:ascii="Times New Roman" w:hAnsi="Times New Roman" w:cs="Times New Roman"/>
          <w:lang w:val="en-US"/>
        </w:rPr>
        <w:t>. Available at:</w:t>
      </w:r>
      <w:r w:rsidRPr="0098623B">
        <w:rPr>
          <w:rFonts w:ascii="Times New Roman" w:hAnsi="Times New Roman" w:cs="Times New Roman"/>
          <w:lang w:val="en-US"/>
        </w:rPr>
        <w:br/>
      </w:r>
      <w:r w:rsidRPr="0098623B">
        <w:rPr>
          <w:rFonts w:ascii="Times New Roman" w:hAnsi="Times New Roman" w:cs="Times New Roman"/>
          <w:color w:val="104864" w:themeColor="background2" w:themeShade="40"/>
          <w:u w:val="single"/>
          <w:lang w:val="en-US"/>
        </w:rPr>
        <w:t>https://www.gov.uk/government/publications/future-of-freight</w:t>
      </w:r>
      <w:r w:rsidRPr="0098623B">
        <w:rPr>
          <w:rFonts w:ascii="Times New Roman" w:hAnsi="Times New Roman" w:cs="Times New Roman"/>
          <w:color w:val="104864" w:themeColor="background2" w:themeShade="40"/>
          <w:lang w:val="en-US"/>
        </w:rPr>
        <w:t xml:space="preserve"> </w:t>
      </w:r>
      <w:r w:rsidRPr="0098623B">
        <w:rPr>
          <w:rFonts w:ascii="Times New Roman" w:hAnsi="Times New Roman" w:cs="Times New Roman"/>
          <w:lang w:val="en-US"/>
        </w:rPr>
        <w:t xml:space="preserve">(Accessed: </w:t>
      </w:r>
      <w:r w:rsidR="009012B7">
        <w:rPr>
          <w:rFonts w:ascii="Times New Roman" w:hAnsi="Times New Roman" w:cs="Times New Roman"/>
          <w:lang w:val="en-US"/>
        </w:rPr>
        <w:t>07</w:t>
      </w:r>
      <w:r w:rsidRPr="0098623B">
        <w:rPr>
          <w:rFonts w:ascii="Times New Roman" w:hAnsi="Times New Roman" w:cs="Times New Roman"/>
          <w:lang w:val="en-US"/>
        </w:rPr>
        <w:t xml:space="preserve"> November 2025).</w:t>
      </w:r>
    </w:p>
    <w:p w:rsidR="00AD552E" w:rsidRPr="00AD552E" w:rsidRDefault="00AD552E" w:rsidP="00AD552E">
      <w:pPr>
        <w:pStyle w:val="NormalWeb"/>
        <w:jc w:val="both"/>
        <w:rPr>
          <w:rFonts w:ascii="Times New Roman" w:hAnsi="Times New Roman" w:cs="Times New Roman"/>
        </w:rPr>
      </w:pPr>
    </w:p>
    <w:p w:rsidR="00AD552E" w:rsidRPr="00AD552E" w:rsidRDefault="00AD552E" w:rsidP="00AD552E">
      <w:pPr>
        <w:pStyle w:val="NormalWeb"/>
        <w:numPr>
          <w:ilvl w:val="0"/>
          <w:numId w:val="3"/>
        </w:numPr>
        <w:jc w:val="both"/>
        <w:rPr>
          <w:rFonts w:ascii="Times New Roman" w:hAnsi="Times New Roman" w:cs="Times New Roman"/>
        </w:rPr>
      </w:pPr>
      <w:r w:rsidRPr="00AD552E">
        <w:rPr>
          <w:rFonts w:ascii="Times New Roman" w:hAnsi="Times New Roman" w:cs="Times New Roman"/>
          <w:lang w:val="en-US"/>
        </w:rPr>
        <w:t xml:space="preserve">Department for Business and Trade (DBT) 2023, </w:t>
      </w:r>
      <w:r w:rsidRPr="00AD552E">
        <w:rPr>
          <w:rFonts w:ascii="Times New Roman" w:hAnsi="Times New Roman" w:cs="Times New Roman"/>
          <w:i/>
          <w:iCs/>
          <w:lang w:val="en-US"/>
        </w:rPr>
        <w:t>UK Timber Market Report 2023</w:t>
      </w:r>
      <w:r w:rsidRPr="00AD552E">
        <w:rPr>
          <w:rFonts w:ascii="Times New Roman" w:hAnsi="Times New Roman" w:cs="Times New Roman"/>
          <w:lang w:val="en-US"/>
        </w:rPr>
        <w:t>, UK Government, London.</w:t>
      </w:r>
      <w:r w:rsidRPr="00AD552E">
        <w:rPr>
          <w:rFonts w:ascii="Times New Roman" w:hAnsi="Times New Roman" w:cs="Times New Roman"/>
          <w:lang w:val="en-US"/>
        </w:rPr>
        <w:br/>
        <w:t>Available at</w:t>
      </w:r>
      <w:r w:rsidRPr="00AD552E">
        <w:rPr>
          <w:rFonts w:ascii="Times New Roman" w:hAnsi="Times New Roman" w:cs="Times New Roman"/>
          <w:color w:val="104864" w:themeColor="background2" w:themeShade="40"/>
          <w:u w:val="single"/>
          <w:lang w:val="en-US"/>
        </w:rPr>
        <w:t>: https://www.gov.uk/government/statistics/timber-statistics</w:t>
      </w:r>
      <w:r w:rsidRPr="00AD552E">
        <w:rPr>
          <w:rFonts w:ascii="Times New Roman" w:hAnsi="Times New Roman" w:cs="Times New Roman"/>
          <w:lang w:val="en-US"/>
        </w:rPr>
        <w:t xml:space="preserve"> </w:t>
      </w:r>
      <w:r w:rsidRPr="00AD552E">
        <w:rPr>
          <w:rFonts w:ascii="Times New Roman" w:hAnsi="Times New Roman" w:cs="Times New Roman"/>
          <w:i/>
          <w:iCs/>
          <w:lang w:val="en-US"/>
        </w:rPr>
        <w:t xml:space="preserve">(Accessed: </w:t>
      </w:r>
      <w:r>
        <w:rPr>
          <w:rFonts w:ascii="Times New Roman" w:hAnsi="Times New Roman" w:cs="Times New Roman"/>
          <w:i/>
          <w:iCs/>
          <w:lang w:val="en-US"/>
        </w:rPr>
        <w:t>1</w:t>
      </w:r>
      <w:r w:rsidRPr="00AD552E">
        <w:rPr>
          <w:rFonts w:ascii="Times New Roman" w:hAnsi="Times New Roman" w:cs="Times New Roman"/>
          <w:i/>
          <w:iCs/>
          <w:lang w:val="en-US"/>
        </w:rPr>
        <w:t>0 November 2025).</w:t>
      </w:r>
    </w:p>
    <w:sectPr w:rsidR="00AD552E" w:rsidRPr="00AD552E">
      <w:headerReference w:type="default" r:id="rId16"/>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F1325" w:rsidRDefault="003F1325">
      <w:pPr>
        <w:spacing w:line="240" w:lineRule="auto"/>
      </w:pPr>
      <w:r>
        <w:separator/>
      </w:r>
    </w:p>
  </w:endnote>
  <w:endnote w:type="continuationSeparator" w:id="0">
    <w:p w:rsidR="003F1325" w:rsidRDefault="003F13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82108"/>
      <w:docPartObj>
        <w:docPartGallery w:val="AutoText"/>
      </w:docPartObj>
    </w:sdtPr>
    <w:sdtContent>
      <w:p w:rsidR="008C1C1A" w:rsidRDefault="00000000">
        <w:pPr>
          <w:pStyle w:val="Footer"/>
        </w:pPr>
        <w:r>
          <w:fldChar w:fldCharType="begin"/>
        </w:r>
        <w:r>
          <w:instrText xml:space="preserve"> PAGE   \* MERGEFORMAT </w:instrText>
        </w:r>
        <w:r>
          <w:fldChar w:fldCharType="separate"/>
        </w:r>
        <w:r>
          <w:t>2</w:t>
        </w:r>
        <w:r>
          <w:fldChar w:fldCharType="end"/>
        </w:r>
      </w:p>
    </w:sdtContent>
  </w:sdt>
  <w:p w:rsidR="008C1C1A" w:rsidRDefault="008C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F1325" w:rsidRDefault="003F1325">
      <w:pPr>
        <w:spacing w:after="0"/>
      </w:pPr>
      <w:r>
        <w:separator/>
      </w:r>
    </w:p>
  </w:footnote>
  <w:footnote w:type="continuationSeparator" w:id="0">
    <w:p w:rsidR="003F1325" w:rsidRDefault="003F132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C1C1A" w:rsidRDefault="00000000">
    <w:pPr>
      <w:pStyle w:val="Header"/>
      <w:jc w:val="right"/>
    </w:pPr>
    <w:r>
      <w:t xml:space="preserve">                                                   ACHA 7024 - 2505418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566233D2"/>
    <w:multiLevelType w:val="multilevel"/>
    <w:tmpl w:val="566233D2"/>
    <w:lvl w:ilvl="0">
      <w:start w:val="1"/>
      <w:numFmt w:val="decimal"/>
      <w:lvlText w:val="%1."/>
      <w:lvlJc w:val="left"/>
      <w:pPr>
        <w:ind w:left="360" w:hanging="360"/>
      </w:pPr>
      <w:rPr>
        <w:b w:val="0"/>
        <w:bCs w:val="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 w15:restartNumberingAfterBreak="0">
    <w:nsid w:val="5A36145A"/>
    <w:multiLevelType w:val="hybridMultilevel"/>
    <w:tmpl w:val="3CFAB0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6618969">
    <w:abstractNumId w:val="1"/>
  </w:num>
  <w:num w:numId="2" w16cid:durableId="1717587785">
    <w:abstractNumId w:val="0"/>
  </w:num>
  <w:num w:numId="3" w16cid:durableId="1818913764">
    <w:abstractNumId w:val="2"/>
  </w:num>
  <w:num w:numId="4" w16cid:durableId="16070326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531"/>
    <w:rsid w:val="00001E23"/>
    <w:rsid w:val="00007984"/>
    <w:rsid w:val="00014357"/>
    <w:rsid w:val="00014F72"/>
    <w:rsid w:val="0001532D"/>
    <w:rsid w:val="00020D77"/>
    <w:rsid w:val="00026F27"/>
    <w:rsid w:val="00043D2D"/>
    <w:rsid w:val="0004657C"/>
    <w:rsid w:val="0005054D"/>
    <w:rsid w:val="00052F5D"/>
    <w:rsid w:val="000621EB"/>
    <w:rsid w:val="0008592B"/>
    <w:rsid w:val="00092484"/>
    <w:rsid w:val="000A20B4"/>
    <w:rsid w:val="000A4704"/>
    <w:rsid w:val="000A7363"/>
    <w:rsid w:val="000B7126"/>
    <w:rsid w:val="000D2E4B"/>
    <w:rsid w:val="000E0DB8"/>
    <w:rsid w:val="000F3066"/>
    <w:rsid w:val="001101BA"/>
    <w:rsid w:val="001156E3"/>
    <w:rsid w:val="0011664A"/>
    <w:rsid w:val="00121A33"/>
    <w:rsid w:val="00144166"/>
    <w:rsid w:val="001460A4"/>
    <w:rsid w:val="00164E8B"/>
    <w:rsid w:val="001847BE"/>
    <w:rsid w:val="00184AD9"/>
    <w:rsid w:val="001B54F3"/>
    <w:rsid w:val="001D04C4"/>
    <w:rsid w:val="001F65E4"/>
    <w:rsid w:val="00202273"/>
    <w:rsid w:val="00202809"/>
    <w:rsid w:val="0021235B"/>
    <w:rsid w:val="00216412"/>
    <w:rsid w:val="00245271"/>
    <w:rsid w:val="00245818"/>
    <w:rsid w:val="00245C95"/>
    <w:rsid w:val="00251FEC"/>
    <w:rsid w:val="002554CD"/>
    <w:rsid w:val="00255AD2"/>
    <w:rsid w:val="00255AFD"/>
    <w:rsid w:val="00255B91"/>
    <w:rsid w:val="00265133"/>
    <w:rsid w:val="00275078"/>
    <w:rsid w:val="0027628E"/>
    <w:rsid w:val="00276509"/>
    <w:rsid w:val="00290C6C"/>
    <w:rsid w:val="00293B83"/>
    <w:rsid w:val="00294D25"/>
    <w:rsid w:val="002B0476"/>
    <w:rsid w:val="002B0DD2"/>
    <w:rsid w:val="002B4294"/>
    <w:rsid w:val="002B49AC"/>
    <w:rsid w:val="002C6335"/>
    <w:rsid w:val="002C6E43"/>
    <w:rsid w:val="002D1EA6"/>
    <w:rsid w:val="002D4AF3"/>
    <w:rsid w:val="002D51C4"/>
    <w:rsid w:val="002D6FAF"/>
    <w:rsid w:val="002E2542"/>
    <w:rsid w:val="002E62CD"/>
    <w:rsid w:val="002F3F16"/>
    <w:rsid w:val="002F5617"/>
    <w:rsid w:val="003148E8"/>
    <w:rsid w:val="00333D0D"/>
    <w:rsid w:val="00346EDE"/>
    <w:rsid w:val="0036385D"/>
    <w:rsid w:val="003831EA"/>
    <w:rsid w:val="003857D3"/>
    <w:rsid w:val="00391818"/>
    <w:rsid w:val="00397B56"/>
    <w:rsid w:val="003A16C4"/>
    <w:rsid w:val="003A3D6F"/>
    <w:rsid w:val="003B688B"/>
    <w:rsid w:val="003C54CF"/>
    <w:rsid w:val="003C6E4B"/>
    <w:rsid w:val="003D3406"/>
    <w:rsid w:val="003D48A4"/>
    <w:rsid w:val="003D5655"/>
    <w:rsid w:val="003E59B9"/>
    <w:rsid w:val="003E6E7D"/>
    <w:rsid w:val="003F1325"/>
    <w:rsid w:val="003F667A"/>
    <w:rsid w:val="00401F44"/>
    <w:rsid w:val="00407E92"/>
    <w:rsid w:val="00416F00"/>
    <w:rsid w:val="0042003D"/>
    <w:rsid w:val="00422EBC"/>
    <w:rsid w:val="00442B4B"/>
    <w:rsid w:val="00444527"/>
    <w:rsid w:val="00446171"/>
    <w:rsid w:val="0045693D"/>
    <w:rsid w:val="0046446C"/>
    <w:rsid w:val="00465547"/>
    <w:rsid w:val="0047493A"/>
    <w:rsid w:val="00480077"/>
    <w:rsid w:val="004904DA"/>
    <w:rsid w:val="004A0B3B"/>
    <w:rsid w:val="004B1EE3"/>
    <w:rsid w:val="004B2397"/>
    <w:rsid w:val="004B3A91"/>
    <w:rsid w:val="004B6E9A"/>
    <w:rsid w:val="004C049F"/>
    <w:rsid w:val="004C640A"/>
    <w:rsid w:val="004E167C"/>
    <w:rsid w:val="004F44B2"/>
    <w:rsid w:val="005000E2"/>
    <w:rsid w:val="0050645C"/>
    <w:rsid w:val="00512C96"/>
    <w:rsid w:val="00515A88"/>
    <w:rsid w:val="00536F91"/>
    <w:rsid w:val="00544C0F"/>
    <w:rsid w:val="0055362B"/>
    <w:rsid w:val="00555862"/>
    <w:rsid w:val="005604BE"/>
    <w:rsid w:val="00561C7F"/>
    <w:rsid w:val="00571584"/>
    <w:rsid w:val="0057511C"/>
    <w:rsid w:val="005862C9"/>
    <w:rsid w:val="005A3621"/>
    <w:rsid w:val="005C77D0"/>
    <w:rsid w:val="005E5911"/>
    <w:rsid w:val="005E61B1"/>
    <w:rsid w:val="005E6DC0"/>
    <w:rsid w:val="005F5981"/>
    <w:rsid w:val="00605FCF"/>
    <w:rsid w:val="00611511"/>
    <w:rsid w:val="006176B9"/>
    <w:rsid w:val="00626A31"/>
    <w:rsid w:val="00631CBB"/>
    <w:rsid w:val="00634DF4"/>
    <w:rsid w:val="006456CD"/>
    <w:rsid w:val="00646659"/>
    <w:rsid w:val="006472F4"/>
    <w:rsid w:val="0065036D"/>
    <w:rsid w:val="0065037D"/>
    <w:rsid w:val="006539C2"/>
    <w:rsid w:val="0066454F"/>
    <w:rsid w:val="00667384"/>
    <w:rsid w:val="006833C2"/>
    <w:rsid w:val="006963D5"/>
    <w:rsid w:val="006A3CE7"/>
    <w:rsid w:val="006B09D8"/>
    <w:rsid w:val="006B2EDF"/>
    <w:rsid w:val="006B3650"/>
    <w:rsid w:val="006B5373"/>
    <w:rsid w:val="006B78D1"/>
    <w:rsid w:val="006C0FAD"/>
    <w:rsid w:val="006D295D"/>
    <w:rsid w:val="006E0630"/>
    <w:rsid w:val="006E0AB9"/>
    <w:rsid w:val="006E3B7B"/>
    <w:rsid w:val="006E48DF"/>
    <w:rsid w:val="006F0B22"/>
    <w:rsid w:val="006F41EB"/>
    <w:rsid w:val="00702608"/>
    <w:rsid w:val="0070704A"/>
    <w:rsid w:val="007145CF"/>
    <w:rsid w:val="00715909"/>
    <w:rsid w:val="00767A74"/>
    <w:rsid w:val="0077604C"/>
    <w:rsid w:val="0077730D"/>
    <w:rsid w:val="00791F71"/>
    <w:rsid w:val="00796166"/>
    <w:rsid w:val="00796C2B"/>
    <w:rsid w:val="007B0B2F"/>
    <w:rsid w:val="007B20ED"/>
    <w:rsid w:val="007B297D"/>
    <w:rsid w:val="007E560F"/>
    <w:rsid w:val="007E705C"/>
    <w:rsid w:val="008158CD"/>
    <w:rsid w:val="008159D5"/>
    <w:rsid w:val="008275CC"/>
    <w:rsid w:val="00845701"/>
    <w:rsid w:val="00864FB2"/>
    <w:rsid w:val="0087201D"/>
    <w:rsid w:val="008824C7"/>
    <w:rsid w:val="008A709A"/>
    <w:rsid w:val="008C1C1A"/>
    <w:rsid w:val="008D0D78"/>
    <w:rsid w:val="008D766D"/>
    <w:rsid w:val="008E20AE"/>
    <w:rsid w:val="008E46B4"/>
    <w:rsid w:val="009012B7"/>
    <w:rsid w:val="0090285A"/>
    <w:rsid w:val="00915B0C"/>
    <w:rsid w:val="00916690"/>
    <w:rsid w:val="0092042A"/>
    <w:rsid w:val="0093083E"/>
    <w:rsid w:val="00936398"/>
    <w:rsid w:val="00944A97"/>
    <w:rsid w:val="0094609F"/>
    <w:rsid w:val="00955301"/>
    <w:rsid w:val="00956322"/>
    <w:rsid w:val="0096442E"/>
    <w:rsid w:val="0096506C"/>
    <w:rsid w:val="00965C17"/>
    <w:rsid w:val="00980384"/>
    <w:rsid w:val="00983501"/>
    <w:rsid w:val="00984E7B"/>
    <w:rsid w:val="0098623B"/>
    <w:rsid w:val="0098635B"/>
    <w:rsid w:val="00986939"/>
    <w:rsid w:val="00993468"/>
    <w:rsid w:val="0099460F"/>
    <w:rsid w:val="009A23EF"/>
    <w:rsid w:val="009A2607"/>
    <w:rsid w:val="009A2A89"/>
    <w:rsid w:val="009B1294"/>
    <w:rsid w:val="009D0723"/>
    <w:rsid w:val="009D3789"/>
    <w:rsid w:val="009D56F7"/>
    <w:rsid w:val="009E528B"/>
    <w:rsid w:val="009F7FF2"/>
    <w:rsid w:val="00A06140"/>
    <w:rsid w:val="00A229B3"/>
    <w:rsid w:val="00A2692C"/>
    <w:rsid w:val="00A314A6"/>
    <w:rsid w:val="00A45ECD"/>
    <w:rsid w:val="00A46161"/>
    <w:rsid w:val="00A5157B"/>
    <w:rsid w:val="00A64713"/>
    <w:rsid w:val="00A7692F"/>
    <w:rsid w:val="00A77B95"/>
    <w:rsid w:val="00A83708"/>
    <w:rsid w:val="00AA083E"/>
    <w:rsid w:val="00AA3C3C"/>
    <w:rsid w:val="00AA3D60"/>
    <w:rsid w:val="00AB1810"/>
    <w:rsid w:val="00AB5524"/>
    <w:rsid w:val="00AD552E"/>
    <w:rsid w:val="00AF0D35"/>
    <w:rsid w:val="00B16B81"/>
    <w:rsid w:val="00B16EB6"/>
    <w:rsid w:val="00B200C9"/>
    <w:rsid w:val="00B24767"/>
    <w:rsid w:val="00B24A49"/>
    <w:rsid w:val="00B30F7E"/>
    <w:rsid w:val="00B36D91"/>
    <w:rsid w:val="00B4136F"/>
    <w:rsid w:val="00B421BF"/>
    <w:rsid w:val="00B46B7B"/>
    <w:rsid w:val="00B53E12"/>
    <w:rsid w:val="00B648DB"/>
    <w:rsid w:val="00B66195"/>
    <w:rsid w:val="00B701A7"/>
    <w:rsid w:val="00B734D0"/>
    <w:rsid w:val="00BA08B5"/>
    <w:rsid w:val="00BA20AA"/>
    <w:rsid w:val="00BC555D"/>
    <w:rsid w:val="00BD2EF6"/>
    <w:rsid w:val="00BD5AAD"/>
    <w:rsid w:val="00BD5C22"/>
    <w:rsid w:val="00BF4357"/>
    <w:rsid w:val="00C12853"/>
    <w:rsid w:val="00C12C91"/>
    <w:rsid w:val="00C1422D"/>
    <w:rsid w:val="00C16DDC"/>
    <w:rsid w:val="00C23531"/>
    <w:rsid w:val="00C572EF"/>
    <w:rsid w:val="00C621E0"/>
    <w:rsid w:val="00C6243A"/>
    <w:rsid w:val="00C6554A"/>
    <w:rsid w:val="00C836D3"/>
    <w:rsid w:val="00C84FB1"/>
    <w:rsid w:val="00CA1B42"/>
    <w:rsid w:val="00CA235D"/>
    <w:rsid w:val="00CA7512"/>
    <w:rsid w:val="00CC1A85"/>
    <w:rsid w:val="00CD3D72"/>
    <w:rsid w:val="00CD7B3F"/>
    <w:rsid w:val="00CF2971"/>
    <w:rsid w:val="00CF647B"/>
    <w:rsid w:val="00D1204A"/>
    <w:rsid w:val="00D13778"/>
    <w:rsid w:val="00D44259"/>
    <w:rsid w:val="00D47EE9"/>
    <w:rsid w:val="00D568F3"/>
    <w:rsid w:val="00D60343"/>
    <w:rsid w:val="00D6619D"/>
    <w:rsid w:val="00D6710C"/>
    <w:rsid w:val="00D80FE0"/>
    <w:rsid w:val="00D83215"/>
    <w:rsid w:val="00D903E5"/>
    <w:rsid w:val="00D93EDF"/>
    <w:rsid w:val="00DB016E"/>
    <w:rsid w:val="00DC0B2A"/>
    <w:rsid w:val="00DC6081"/>
    <w:rsid w:val="00DD114B"/>
    <w:rsid w:val="00DD1BC4"/>
    <w:rsid w:val="00DD3D79"/>
    <w:rsid w:val="00E00056"/>
    <w:rsid w:val="00E077D3"/>
    <w:rsid w:val="00E10B6C"/>
    <w:rsid w:val="00E1216D"/>
    <w:rsid w:val="00E1447D"/>
    <w:rsid w:val="00E2376A"/>
    <w:rsid w:val="00E26EC1"/>
    <w:rsid w:val="00E336B7"/>
    <w:rsid w:val="00E36A62"/>
    <w:rsid w:val="00E42C14"/>
    <w:rsid w:val="00E62229"/>
    <w:rsid w:val="00E773C3"/>
    <w:rsid w:val="00E8700F"/>
    <w:rsid w:val="00E95C5C"/>
    <w:rsid w:val="00EA13DE"/>
    <w:rsid w:val="00EC4041"/>
    <w:rsid w:val="00EC5561"/>
    <w:rsid w:val="00ED7C44"/>
    <w:rsid w:val="00EE2503"/>
    <w:rsid w:val="00EE56D0"/>
    <w:rsid w:val="00F03A96"/>
    <w:rsid w:val="00F1288E"/>
    <w:rsid w:val="00F13993"/>
    <w:rsid w:val="00F16BA0"/>
    <w:rsid w:val="00F24E2D"/>
    <w:rsid w:val="00F36775"/>
    <w:rsid w:val="00F37754"/>
    <w:rsid w:val="00F54504"/>
    <w:rsid w:val="00F66BD9"/>
    <w:rsid w:val="00F71CE9"/>
    <w:rsid w:val="00F941A0"/>
    <w:rsid w:val="00FB7149"/>
    <w:rsid w:val="00FC0446"/>
    <w:rsid w:val="00FC1001"/>
    <w:rsid w:val="00FC2164"/>
    <w:rsid w:val="00FC7917"/>
    <w:rsid w:val="00FE2E45"/>
    <w:rsid w:val="00FE6B37"/>
    <w:rsid w:val="00FF6AED"/>
    <w:rsid w:val="30924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0AE2E91E"/>
  <w15:docId w15:val="{2D6A9771-2539-44DA-9DA8-FC6908390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qFormat="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uiPriority="10" w:unhideWhenUsed="1" w:qFormat="1"/>
    <w:lsdException w:name="List Number"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qFormat="1"/>
    <w:lsdException w:name="Block Text" w:semiHidden="1" w:unhideWhenUsed="1" w:qFormat="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qFormat="1"/>
    <w:lsdException w:name="HTML Preformatted" w:semiHidden="1" w:unhideWhenUsed="1"/>
    <w:lsdException w:name="HTML Sample" w:semiHidden="1" w:unhideWhenUsed="1"/>
    <w:lsdException w:name="HTML Typewriter" w:semiHidden="1" w:unhideWhenUsed="1" w:qFormat="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1"/>
      <w:szCs w:val="21"/>
      <w:lang w:val="en-US" w:eastAsia="en-US"/>
    </w:rPr>
  </w:style>
  <w:style w:type="paragraph" w:styleId="Heading1">
    <w:name w:val="heading 1"/>
    <w:basedOn w:val="Normal"/>
    <w:next w:val="Normal"/>
    <w:link w:val="Heading1Char"/>
    <w:uiPriority w:val="9"/>
    <w:qFormat/>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Cs w:val="18"/>
    </w:rPr>
  </w:style>
  <w:style w:type="paragraph" w:styleId="BlockText">
    <w:name w:val="Block Text"/>
    <w:basedOn w:val="Normal"/>
    <w:uiPriority w:val="99"/>
    <w:semiHidden/>
    <w:unhideWhenUsed/>
    <w:qFormat/>
    <w:pPr>
      <w:pBdr>
        <w:top w:val="single" w:sz="2" w:space="10" w:color="0B5294" w:themeColor="accent1" w:themeShade="BF"/>
        <w:left w:val="single" w:sz="2" w:space="10" w:color="0B5294" w:themeColor="accent1" w:themeShade="BF"/>
        <w:bottom w:val="single" w:sz="2" w:space="10" w:color="0B5294" w:themeColor="accent1" w:themeShade="BF"/>
        <w:right w:val="single" w:sz="2" w:space="10" w:color="0B5294" w:themeColor="accent1" w:themeShade="BF"/>
      </w:pBdr>
      <w:ind w:left="1152" w:right="1152"/>
    </w:pPr>
    <w:rPr>
      <w:i/>
      <w:iCs/>
      <w:color w:val="0B5294" w:themeColor="accent1" w:themeShade="BF"/>
    </w:rPr>
  </w:style>
  <w:style w:type="paragraph" w:styleId="BodyText3">
    <w:name w:val="Body Text 3"/>
    <w:basedOn w:val="Normal"/>
    <w:link w:val="BodyText3Char"/>
    <w:uiPriority w:val="99"/>
    <w:semiHidden/>
    <w:unhideWhenUsed/>
    <w:qFormat/>
    <w:pPr>
      <w:spacing w:after="120"/>
    </w:pPr>
    <w:rPr>
      <w:szCs w:val="16"/>
    </w:rPr>
  </w:style>
  <w:style w:type="paragraph" w:styleId="BodyTextIndent3">
    <w:name w:val="Body Text Indent 3"/>
    <w:basedOn w:val="Normal"/>
    <w:link w:val="BodyTextIndent3Char"/>
    <w:uiPriority w:val="99"/>
    <w:semiHidden/>
    <w:unhideWhenUsed/>
    <w:qFormat/>
    <w:pPr>
      <w:spacing w:after="120"/>
      <w:ind w:left="360"/>
    </w:pPr>
    <w:rPr>
      <w:szCs w:val="16"/>
    </w:rPr>
  </w:style>
  <w:style w:type="paragraph" w:styleId="Caption">
    <w:name w:val="caption"/>
    <w:basedOn w:val="Normal"/>
    <w:next w:val="Normal"/>
    <w:uiPriority w:val="35"/>
    <w:semiHidden/>
    <w:unhideWhenUsed/>
    <w:qFormat/>
    <w:pPr>
      <w:spacing w:line="240" w:lineRule="auto"/>
    </w:pPr>
    <w:rPr>
      <w:b/>
      <w:bCs/>
      <w:color w:val="404040" w:themeColor="text1" w:themeTint="BF"/>
      <w:sz w:val="16"/>
      <w:szCs w:val="16"/>
    </w:rPr>
  </w:style>
  <w:style w:type="character" w:styleId="CommentReference">
    <w:name w:val="annotation reference"/>
    <w:basedOn w:val="DefaultParagraphFont"/>
    <w:uiPriority w:val="99"/>
    <w:semiHidden/>
    <w:unhideWhenUsed/>
    <w:rPr>
      <w:sz w:val="22"/>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paragraph" w:styleId="DocumentMap">
    <w:name w:val="Document Map"/>
    <w:basedOn w:val="Normal"/>
    <w:link w:val="DocumentMapChar"/>
    <w:uiPriority w:val="99"/>
    <w:semiHidden/>
    <w:unhideWhenUsed/>
    <w:qFormat/>
    <w:rPr>
      <w:rFonts w:ascii="Segoe UI" w:hAnsi="Segoe UI" w:cs="Segoe UI"/>
      <w:szCs w:val="16"/>
    </w:rPr>
  </w:style>
  <w:style w:type="character" w:styleId="Emphasis">
    <w:name w:val="Emphasis"/>
    <w:basedOn w:val="DefaultParagraphFont"/>
    <w:uiPriority w:val="20"/>
    <w:qFormat/>
    <w:rPr>
      <w:i/>
      <w:iCs/>
      <w:color w:val="000000" w:themeColor="text1"/>
    </w:rPr>
  </w:style>
  <w:style w:type="paragraph" w:styleId="EndnoteText">
    <w:name w:val="endnote text"/>
    <w:basedOn w:val="Normal"/>
    <w:link w:val="EndnoteTextChar"/>
    <w:uiPriority w:val="99"/>
    <w:semiHidden/>
    <w:unhideWhenUsed/>
    <w:qFormat/>
  </w:style>
  <w:style w:type="paragraph" w:styleId="EnvelopeReturn">
    <w:name w:val="envelope return"/>
    <w:basedOn w:val="Normal"/>
    <w:uiPriority w:val="99"/>
    <w:semiHidden/>
    <w:unhideWhenUsed/>
    <w:qFormat/>
    <w:rPr>
      <w:rFonts w:asciiTheme="majorHAnsi" w:eastAsiaTheme="majorEastAsia" w:hAnsiTheme="majorHAnsi" w:cstheme="majorBidi"/>
    </w:rPr>
  </w:style>
  <w:style w:type="character" w:styleId="FollowedHyperlink">
    <w:name w:val="FollowedHyperlink"/>
    <w:basedOn w:val="DefaultParagraphFont"/>
    <w:uiPriority w:val="99"/>
    <w:semiHidden/>
    <w:unhideWhenUsed/>
    <w:qFormat/>
    <w:rPr>
      <w:color w:val="0B5294" w:themeColor="accent1" w:themeShade="BF"/>
      <w:u w:val="single"/>
    </w:rPr>
  </w:style>
  <w:style w:type="paragraph" w:styleId="Footer">
    <w:name w:val="footer"/>
    <w:basedOn w:val="Normal"/>
    <w:link w:val="FooterChar"/>
    <w:uiPriority w:val="99"/>
    <w:unhideWhenUsed/>
    <w:qFormat/>
    <w:pPr>
      <w:jc w:val="right"/>
    </w:pPr>
    <w:rPr>
      <w:caps/>
    </w:rPr>
  </w:style>
  <w:style w:type="paragraph" w:styleId="FootnoteText">
    <w:name w:val="footnote text"/>
    <w:basedOn w:val="Normal"/>
    <w:link w:val="FootnoteTextChar"/>
    <w:uiPriority w:val="99"/>
    <w:semiHidden/>
    <w:unhideWhenUsed/>
  </w:style>
  <w:style w:type="paragraph" w:styleId="Header">
    <w:name w:val="header"/>
    <w:basedOn w:val="Normal"/>
    <w:link w:val="HeaderChar"/>
    <w:uiPriority w:val="99"/>
    <w:unhideWhenUsed/>
    <w:qFormat/>
  </w:style>
  <w:style w:type="character" w:styleId="HTMLCode">
    <w:name w:val="HTML Code"/>
    <w:basedOn w:val="DefaultParagraphFont"/>
    <w:uiPriority w:val="99"/>
    <w:semiHidden/>
    <w:unhideWhenUsed/>
    <w:rPr>
      <w:rFonts w:ascii="Consolas" w:hAnsi="Consolas"/>
      <w:sz w:val="22"/>
      <w:szCs w:val="20"/>
    </w:rPr>
  </w:style>
  <w:style w:type="character" w:styleId="HTMLKeyboard">
    <w:name w:val="HTML Keyboard"/>
    <w:basedOn w:val="DefaultParagraphFont"/>
    <w:uiPriority w:val="99"/>
    <w:semiHidden/>
    <w:unhideWhenUsed/>
    <w:qFormat/>
    <w:rPr>
      <w:rFonts w:ascii="Consolas" w:hAnsi="Consolas"/>
      <w:sz w:val="22"/>
      <w:szCs w:val="20"/>
    </w:rPr>
  </w:style>
  <w:style w:type="paragraph" w:styleId="HTMLPreformatted">
    <w:name w:val="HTML Preformatted"/>
    <w:basedOn w:val="Normal"/>
    <w:link w:val="HTMLPreformattedChar"/>
    <w:uiPriority w:val="99"/>
    <w:semiHidden/>
    <w:unhideWhenUsed/>
    <w:rPr>
      <w:rFonts w:ascii="Consolas" w:hAnsi="Consolas"/>
    </w:rPr>
  </w:style>
  <w:style w:type="character" w:styleId="HTMLTypewriter">
    <w:name w:val="HTML Typewriter"/>
    <w:basedOn w:val="DefaultParagraphFont"/>
    <w:uiPriority w:val="99"/>
    <w:semiHidden/>
    <w:unhideWhenUsed/>
    <w:qFormat/>
    <w:rPr>
      <w:rFonts w:ascii="Consolas" w:hAnsi="Consolas"/>
      <w:sz w:val="22"/>
      <w:szCs w:val="20"/>
    </w:rPr>
  </w:style>
  <w:style w:type="character" w:styleId="Hyperlink">
    <w:name w:val="Hyperlink"/>
    <w:basedOn w:val="DefaultParagraphFont"/>
    <w:uiPriority w:val="99"/>
    <w:unhideWhenUsed/>
    <w:qFormat/>
    <w:rPr>
      <w:color w:val="05676C" w:themeColor="accent3" w:themeShade="80"/>
      <w:u w:val="single"/>
    </w:rPr>
  </w:style>
  <w:style w:type="paragraph" w:styleId="ListBullet">
    <w:name w:val="List Bullet"/>
    <w:basedOn w:val="Normal"/>
    <w:uiPriority w:val="10"/>
    <w:unhideWhenUsed/>
    <w:qFormat/>
    <w:pPr>
      <w:numPr>
        <w:numId w:val="1"/>
      </w:numPr>
    </w:pPr>
  </w:style>
  <w:style w:type="paragraph" w:styleId="ListNumber">
    <w:name w:val="List Number"/>
    <w:basedOn w:val="Normal"/>
    <w:uiPriority w:val="11"/>
    <w:unhideWhenUsed/>
    <w:qFormat/>
    <w:pPr>
      <w:numPr>
        <w:numId w:val="2"/>
      </w:numPr>
      <w:contextualSpacing/>
    </w:pPr>
  </w:style>
  <w:style w:type="paragraph" w:styleId="MacroText">
    <w:name w:val="macro"/>
    <w:link w:val="MacroTextChar"/>
    <w:uiPriority w:val="99"/>
    <w:semiHidden/>
    <w:unhideWhenUsed/>
    <w:qFormat/>
    <w:pPr>
      <w:tabs>
        <w:tab w:val="left" w:pos="480"/>
        <w:tab w:val="left" w:pos="960"/>
        <w:tab w:val="left" w:pos="1440"/>
        <w:tab w:val="left" w:pos="1920"/>
        <w:tab w:val="left" w:pos="2400"/>
        <w:tab w:val="left" w:pos="2880"/>
        <w:tab w:val="left" w:pos="3360"/>
        <w:tab w:val="left" w:pos="3840"/>
        <w:tab w:val="left" w:pos="4320"/>
      </w:tabs>
      <w:spacing w:line="278" w:lineRule="auto"/>
    </w:pPr>
    <w:rPr>
      <w:rFonts w:ascii="Consolas" w:hAnsi="Consolas"/>
      <w:sz w:val="21"/>
      <w:lang w:val="en-US" w:eastAsia="en-US"/>
    </w:rPr>
  </w:style>
  <w:style w:type="paragraph" w:styleId="NormalWeb">
    <w:name w:val="Normal (Web)"/>
    <w:basedOn w:val="Normal"/>
    <w:uiPriority w:val="99"/>
    <w:unhideWhenUsed/>
    <w:pPr>
      <w:spacing w:before="100" w:beforeAutospacing="1" w:after="100" w:afterAutospacing="1"/>
    </w:pPr>
    <w:rPr>
      <w:sz w:val="24"/>
      <w:szCs w:val="24"/>
      <w:lang w:val="en-IN" w:eastAsia="en-IN"/>
    </w:rPr>
  </w:style>
  <w:style w:type="paragraph" w:styleId="PlainText">
    <w:name w:val="Plain Text"/>
    <w:basedOn w:val="Normal"/>
    <w:link w:val="PlainTextChar"/>
    <w:uiPriority w:val="99"/>
    <w:semiHidden/>
    <w:unhideWhenUsed/>
    <w:qFormat/>
    <w:rPr>
      <w:rFonts w:ascii="Consolas" w:hAnsi="Consola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240"/>
    </w:pPr>
    <w:rPr>
      <w:caps/>
      <w:color w:val="404040" w:themeColor="text1" w:themeTint="BF"/>
      <w:spacing w:val="20"/>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qFormat/>
    <w:pPr>
      <w:tabs>
        <w:tab w:val="right" w:leader="dot" w:pos="9016"/>
      </w:tabs>
      <w:spacing w:after="100" w:line="259" w:lineRule="auto"/>
    </w:pPr>
    <w:rPr>
      <w:rFonts w:ascii="Times New Roman" w:hAnsi="Times New Roman" w:cs="Times New Roman"/>
      <w:b/>
      <w:bCs/>
      <w:color w:val="000000" w:themeColor="text1"/>
      <w:sz w:val="24"/>
      <w:szCs w:val="22"/>
    </w:rPr>
  </w:style>
  <w:style w:type="paragraph" w:styleId="TOC2">
    <w:name w:val="toc 2"/>
    <w:basedOn w:val="Normal"/>
    <w:next w:val="Normal"/>
    <w:autoRedefine/>
    <w:uiPriority w:val="39"/>
    <w:unhideWhenUsed/>
    <w:qFormat/>
    <w:pPr>
      <w:spacing w:after="100" w:line="259" w:lineRule="auto"/>
      <w:ind w:left="220"/>
    </w:pPr>
    <w:rPr>
      <w:sz w:val="22"/>
      <w:szCs w:val="22"/>
    </w:rPr>
  </w:style>
  <w:style w:type="paragraph" w:styleId="TOC3">
    <w:name w:val="toc 3"/>
    <w:basedOn w:val="Normal"/>
    <w:next w:val="Normal"/>
    <w:autoRedefine/>
    <w:uiPriority w:val="39"/>
    <w:unhideWhenUsed/>
    <w:pPr>
      <w:spacing w:after="100" w:line="259" w:lineRule="auto"/>
      <w:ind w:left="440"/>
    </w:pPr>
    <w:rPr>
      <w:sz w:val="22"/>
      <w:szCs w:val="22"/>
    </w:rPr>
  </w:style>
  <w:style w:type="paragraph" w:styleId="TOC4">
    <w:name w:val="toc 4"/>
    <w:basedOn w:val="Normal"/>
    <w:next w:val="Normal"/>
    <w:autoRedefine/>
    <w:uiPriority w:val="39"/>
    <w:unhideWhenUsed/>
    <w:qFormat/>
    <w:pPr>
      <w:spacing w:after="100"/>
      <w:ind w:left="6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09DD9" w:themeColor="accent2"/>
      <w:sz w:val="36"/>
      <w:szCs w:val="36"/>
    </w:rPr>
  </w:style>
  <w:style w:type="paragraph" w:customStyle="1" w:styleId="ContactInfo">
    <w:name w:val="Contact Info"/>
    <w:basedOn w:val="Normal"/>
    <w:uiPriority w:val="4"/>
    <w:qFormat/>
    <w:pPr>
      <w:spacing w:after="0"/>
      <w:jc w:val="center"/>
    </w:pPr>
  </w:style>
  <w:style w:type="character" w:customStyle="1" w:styleId="TitleChar">
    <w:name w:val="Title Char"/>
    <w:basedOn w:val="DefaultParagraphFont"/>
    <w:link w:val="Title"/>
    <w:uiPriority w:val="10"/>
    <w:qFormat/>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qFormat/>
    <w:rPr>
      <w:caps/>
      <w:color w:val="404040" w:themeColor="text1" w:themeTint="BF"/>
      <w:spacing w:val="20"/>
      <w:sz w:val="28"/>
      <w:szCs w:val="28"/>
    </w:rPr>
  </w:style>
  <w:style w:type="character" w:customStyle="1" w:styleId="FooterChar">
    <w:name w:val="Footer Char"/>
    <w:basedOn w:val="DefaultParagraphFont"/>
    <w:link w:val="Footer"/>
    <w:uiPriority w:val="99"/>
    <w:qFormat/>
    <w:rPr>
      <w:caps/>
    </w:rPr>
  </w:style>
  <w:style w:type="paragraph" w:customStyle="1" w:styleId="Photo">
    <w:name w:val="Photo"/>
    <w:basedOn w:val="Normal"/>
    <w:uiPriority w:val="1"/>
    <w:qFormat/>
    <w:pPr>
      <w:spacing w:after="0" w:line="240" w:lineRule="auto"/>
      <w:jc w:val="center"/>
    </w:pPr>
  </w:style>
  <w:style w:type="character" w:customStyle="1" w:styleId="HeaderChar">
    <w:name w:val="Header Char"/>
    <w:basedOn w:val="DefaultParagraphFont"/>
    <w:link w:val="Header"/>
    <w:uiPriority w:val="99"/>
    <w:qFormat/>
    <w:rPr>
      <w:color w:val="595959" w:themeColor="text1" w:themeTint="A6"/>
      <w:sz w:val="20"/>
      <w:szCs w:val="20"/>
      <w:lang w:eastAsia="ja-JP"/>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075A2" w:themeColor="accent2" w:themeShade="BF"/>
      <w:sz w:val="32"/>
      <w:szCs w:val="3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004E6C" w:themeColor="accent2" w:themeShade="80"/>
      <w:sz w:val="22"/>
      <w:szCs w:val="22"/>
    </w:rPr>
  </w:style>
  <w:style w:type="character" w:customStyle="1" w:styleId="IntenseEmphasis1">
    <w:name w:val="Intense Emphasis1"/>
    <w:basedOn w:val="DefaultParagraphFont"/>
    <w:uiPriority w:val="21"/>
    <w:qFormat/>
    <w:rPr>
      <w:b/>
      <w:bCs/>
      <w:i/>
      <w:iCs/>
      <w:color w:val="009DD9" w:themeColor="accent2"/>
    </w:rPr>
  </w:style>
  <w:style w:type="paragraph" w:styleId="IntenseQuote">
    <w:name w:val="Intense Quote"/>
    <w:basedOn w:val="Normal"/>
    <w:next w:val="Normal"/>
    <w:link w:val="IntenseQuoteChar"/>
    <w:uiPriority w:val="30"/>
    <w:qFormat/>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qFormat/>
    <w:rPr>
      <w:rFonts w:asciiTheme="majorHAnsi" w:eastAsiaTheme="majorEastAsia" w:hAnsiTheme="majorHAnsi" w:cstheme="majorBidi"/>
      <w:sz w:val="24"/>
      <w:szCs w:val="24"/>
    </w:rPr>
  </w:style>
  <w:style w:type="character" w:customStyle="1" w:styleId="IntenseReference1">
    <w:name w:val="Intense Reference1"/>
    <w:basedOn w:val="DefaultParagraphFont"/>
    <w:uiPriority w:val="32"/>
    <w:qFormat/>
    <w:rPr>
      <w:b/>
      <w:bCs/>
      <w:smallCaps/>
      <w:color w:val="auto"/>
      <w:spacing w:val="0"/>
      <w:u w:val="single"/>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character" w:customStyle="1" w:styleId="BodyText3Char">
    <w:name w:val="Body Text 3 Char"/>
    <w:basedOn w:val="DefaultParagraphFont"/>
    <w:link w:val="BodyText3"/>
    <w:uiPriority w:val="99"/>
    <w:semiHidden/>
    <w:qFormat/>
    <w:rPr>
      <w:szCs w:val="16"/>
    </w:rPr>
  </w:style>
  <w:style w:type="character" w:customStyle="1" w:styleId="BodyTextIndent3Char">
    <w:name w:val="Body Text Indent 3 Char"/>
    <w:basedOn w:val="DefaultParagraphFont"/>
    <w:link w:val="BodyTextIndent3"/>
    <w:uiPriority w:val="99"/>
    <w:semiHidden/>
    <w:rPr>
      <w:szCs w:val="16"/>
    </w:rPr>
  </w:style>
  <w:style w:type="character" w:customStyle="1" w:styleId="CommentTextChar">
    <w:name w:val="Comment Text Char"/>
    <w:basedOn w:val="DefaultParagraphFont"/>
    <w:link w:val="CommentText"/>
    <w:uiPriority w:val="99"/>
    <w:semiHidden/>
    <w:qFormat/>
    <w:rPr>
      <w:szCs w:val="20"/>
    </w:rPr>
  </w:style>
  <w:style w:type="character" w:customStyle="1" w:styleId="CommentSubjectChar">
    <w:name w:val="Comment Subject Char"/>
    <w:basedOn w:val="CommentTextChar"/>
    <w:link w:val="CommentSubject"/>
    <w:uiPriority w:val="99"/>
    <w:semiHidden/>
    <w:rPr>
      <w:b/>
      <w:bCs/>
      <w:szCs w:val="20"/>
    </w:rPr>
  </w:style>
  <w:style w:type="character" w:customStyle="1" w:styleId="DocumentMapChar">
    <w:name w:val="Document Map Char"/>
    <w:basedOn w:val="DefaultParagraphFont"/>
    <w:link w:val="DocumentMap"/>
    <w:uiPriority w:val="99"/>
    <w:semiHidden/>
    <w:qFormat/>
    <w:rPr>
      <w:rFonts w:ascii="Segoe UI" w:hAnsi="Segoe UI" w:cs="Segoe UI"/>
      <w:szCs w:val="16"/>
    </w:rPr>
  </w:style>
  <w:style w:type="character" w:customStyle="1" w:styleId="EndnoteTextChar">
    <w:name w:val="Endnote Text Char"/>
    <w:basedOn w:val="DefaultParagraphFont"/>
    <w:link w:val="EndnoteText"/>
    <w:uiPriority w:val="99"/>
    <w:semiHidden/>
    <w:rPr>
      <w:szCs w:val="20"/>
    </w:rPr>
  </w:style>
  <w:style w:type="character" w:customStyle="1" w:styleId="FootnoteTextChar">
    <w:name w:val="Footnote Text Char"/>
    <w:basedOn w:val="DefaultParagraphFont"/>
    <w:link w:val="FootnoteText"/>
    <w:uiPriority w:val="99"/>
    <w:semiHidden/>
    <w:rPr>
      <w:szCs w:val="20"/>
    </w:rPr>
  </w:style>
  <w:style w:type="character" w:customStyle="1" w:styleId="HTMLPreformattedChar">
    <w:name w:val="HTML Preformatted Char"/>
    <w:basedOn w:val="DefaultParagraphFont"/>
    <w:link w:val="HTMLPreformatted"/>
    <w:uiPriority w:val="99"/>
    <w:semiHidden/>
    <w:rPr>
      <w:rFonts w:ascii="Consolas" w:hAnsi="Consolas"/>
      <w:szCs w:val="20"/>
    </w:rPr>
  </w:style>
  <w:style w:type="character" w:customStyle="1" w:styleId="MacroTextChar">
    <w:name w:val="Macro Text Char"/>
    <w:basedOn w:val="DefaultParagraphFont"/>
    <w:link w:val="MacroText"/>
    <w:uiPriority w:val="99"/>
    <w:semiHidden/>
    <w:rPr>
      <w:rFonts w:ascii="Consolas" w:hAnsi="Consolas"/>
      <w:szCs w:val="20"/>
    </w:rPr>
  </w:style>
  <w:style w:type="character" w:styleId="PlaceholderText">
    <w:name w:val="Placeholder Text"/>
    <w:basedOn w:val="DefaultParagraphFont"/>
    <w:uiPriority w:val="99"/>
    <w:semiHidden/>
    <w:rPr>
      <w:color w:val="595959" w:themeColor="text1" w:themeTint="A6"/>
    </w:rPr>
  </w:style>
  <w:style w:type="character" w:customStyle="1" w:styleId="PlainTextChar">
    <w:name w:val="Plain Text Char"/>
    <w:basedOn w:val="DefaultParagraphFont"/>
    <w:link w:val="PlainText"/>
    <w:uiPriority w:val="99"/>
    <w:semiHidden/>
    <w:rPr>
      <w:rFonts w:ascii="Consolas" w:hAnsi="Consolas"/>
      <w:szCs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color w:val="004E6C" w:themeColor="accent2" w:themeShade="80"/>
      <w:sz w:val="22"/>
      <w:szCs w:val="22"/>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E6C" w:themeColor="accent2"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004E6C" w:themeColor="accent2" w:themeShade="80"/>
      <w:sz w:val="28"/>
      <w:szCs w:val="28"/>
    </w:rPr>
  </w:style>
  <w:style w:type="paragraph" w:styleId="NoSpacing">
    <w:name w:val="No Spacing"/>
    <w:link w:val="NoSpacingChar"/>
    <w:uiPriority w:val="1"/>
    <w:qFormat/>
    <w:rPr>
      <w:sz w:val="21"/>
      <w:szCs w:val="21"/>
      <w:lang w:val="en-US" w:eastAsia="en-US"/>
    </w:rPr>
  </w:style>
  <w:style w:type="character" w:customStyle="1" w:styleId="NoSpacingChar">
    <w:name w:val="No Spacing Char"/>
    <w:basedOn w:val="DefaultParagraphFont"/>
    <w:link w:val="NoSpacing"/>
    <w:uiPriority w:val="1"/>
  </w:style>
  <w:style w:type="paragraph" w:customStyle="1" w:styleId="TOCHeading1">
    <w:name w:val="TOC Heading1"/>
    <w:basedOn w:val="Heading1"/>
    <w:next w:val="Normal"/>
    <w:uiPriority w:val="39"/>
    <w:unhideWhenUsed/>
    <w:qFormat/>
    <w:pPr>
      <w:outlineLvl w:val="9"/>
    </w:p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s-1">
    <w:name w:val="ms-1"/>
    <w:basedOn w:val="DefaultParagraphFont"/>
  </w:style>
  <w:style w:type="character" w:customStyle="1" w:styleId="max-w-15ch">
    <w:name w:val="max-w-[15ch]"/>
    <w:basedOn w:val="DefaultParagraphFont"/>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75A2" w:themeColor="accent2" w:themeShade="BF"/>
      <w:sz w:val="24"/>
      <w:szCs w:val="24"/>
    </w:rPr>
  </w:style>
  <w:style w:type="paragraph" w:styleId="Quote">
    <w:name w:val="Quote"/>
    <w:basedOn w:val="Normal"/>
    <w:next w:val="Normal"/>
    <w:link w:val="QuoteChar"/>
    <w:uiPriority w:val="29"/>
    <w:qFormat/>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Pr>
      <w:rFonts w:asciiTheme="majorHAnsi" w:eastAsiaTheme="majorEastAsia" w:hAnsiTheme="majorHAnsi" w:cstheme="majorBidi"/>
      <w:color w:val="000000" w:themeColor="text1"/>
      <w:sz w:val="24"/>
      <w:szCs w:val="24"/>
    </w:rPr>
  </w:style>
  <w:style w:type="character" w:customStyle="1" w:styleId="SubtleEmphasis1">
    <w:name w:val="Subtle Emphasis1"/>
    <w:basedOn w:val="DefaultParagraphFont"/>
    <w:uiPriority w:val="19"/>
    <w:qFormat/>
    <w:rPr>
      <w:i/>
      <w:iCs/>
      <w:color w:val="595959" w:themeColor="text1" w:themeTint="A6"/>
    </w:rPr>
  </w:style>
  <w:style w:type="character" w:customStyle="1" w:styleId="SubtleReference1">
    <w:name w:val="Subtle Reference1"/>
    <w:basedOn w:val="DefaultParagraphFont"/>
    <w:uiPriority w:val="31"/>
    <w:qFormat/>
    <w:rPr>
      <w:smallCaps/>
      <w:color w:val="404040" w:themeColor="text1" w:themeTint="BF"/>
      <w:spacing w:val="0"/>
      <w:u w:val="single" w:color="7F7F7F" w:themeColor="text1" w:themeTint="80"/>
    </w:rPr>
  </w:style>
  <w:style w:type="character" w:customStyle="1" w:styleId="BookTitle1">
    <w:name w:val="Book Title1"/>
    <w:basedOn w:val="DefaultParagraphFont"/>
    <w:uiPriority w:val="33"/>
    <w:qFormat/>
    <w:rPr>
      <w:b/>
      <w:bCs/>
      <w:smallCaps/>
      <w:spacing w:val="0"/>
    </w:rPr>
  </w:style>
  <w:style w:type="character" w:styleId="IntenseReference">
    <w:name w:val="Intense Reference"/>
    <w:basedOn w:val="DefaultParagraphFont"/>
    <w:uiPriority w:val="32"/>
    <w:qFormat/>
    <w:rsid w:val="0065036D"/>
    <w:rPr>
      <w:b/>
      <w:bCs/>
      <w:smallCaps/>
      <w:color w:val="0F6FC6" w:themeColor="accent1"/>
      <w:spacing w:val="5"/>
    </w:rPr>
  </w:style>
  <w:style w:type="character" w:styleId="UnresolvedMention">
    <w:name w:val="Unresolved Mention"/>
    <w:basedOn w:val="DefaultParagraphFont"/>
    <w:uiPriority w:val="99"/>
    <w:semiHidden/>
    <w:unhideWhenUsed/>
    <w:rsid w:val="00397B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imberdevelopment.u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portoffelixstowe.co.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hathamhouse.org" TargetMode="External"/><Relationship Id="rId5" Type="http://schemas.openxmlformats.org/officeDocument/2006/relationships/settings" Target="settings.xml"/><Relationship Id="rId15" Type="http://schemas.openxmlformats.org/officeDocument/2006/relationships/hyperlink" Target="https://www.gov.uk/government/publications/the-border-target-operating-model-august-2023" TargetMode="External"/><Relationship Id="rId10" Type="http://schemas.openxmlformats.org/officeDocument/2006/relationships/hyperlink" Target="https://www.forestresearch.gov.uk/tools-and-resources/statistics/"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doi.org/10.1093/oxfordhb/9780190066727.013.40" TargetMode="External"/><Relationship Id="rId14" Type="http://schemas.openxmlformats.org/officeDocument/2006/relationships/hyperlink" Target="https://www.ons.gov.uk/economy/inflationandpriceindic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ith\AppData\Local\Microsoft\Office\16.0\DTS\en-IN%7bD1F10799-B91D-4A69-84E1-6BA391CAE48E%7d\%7bF5E1DF9D-64DF-4E59-AE6E-AA3C4BD101F3%7dtf02835058_win32.dotx" TargetMode="External"/></Relationships>
</file>

<file path=word/theme/theme1.xml><?xml version="1.0" encoding="utf-8"?>
<a:theme xmlns:a="http://schemas.openxmlformats.org/drawingml/2006/main" name="Theme1">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5D8DDC2-2359-44CA-9932-621E5D10C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{F5E1DF9D-64DF-4E59-AE6E-AA3C4BD101F3}tf02835058_win32</Template>
  <TotalTime>3234</TotalTime>
  <Pages>16</Pages>
  <Words>3681</Words>
  <Characters>20982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PROCUREMENT AND SUPPLY CHAIN MANAGEMENT</vt:lpstr>
    </vt:vector>
  </TitlesOfParts>
  <Company/>
  <LinksUpToDate>false</LinksUpToDate>
  <CharactersWithSpaces>24614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AND SUPPLY CHAIN MANAGEMENT</dc:title>
  <dc:creator>smit prajapati</dc:creator>
  <cp:lastModifiedBy>smeet prajapati</cp:lastModifiedBy>
  <cp:revision>53</cp:revision>
  <dcterms:created xsi:type="dcterms:W3CDTF">2025-11-02T13:11:00Z</dcterms:created>
  <dcterms:modified xsi:type="dcterms:W3CDTF">2025-11-19T23:39:00Z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3acc4e80-e362-4644-9993-57396c9bf3c4</vt:lpwstr>
  </property>
  <property fmtid="{D5CDD505-2E9C-101B-9397-08002B2CF9AE}" pid="3" name="KSOProductBuildVer">
    <vt:lpwstr>1033-12.2.0.23155</vt:lpwstr>
  </property>
  <property fmtid="{D5CDD505-2E9C-101B-9397-08002B2CF9AE}" pid="4" name="ICV">
    <vt:lpwstr>740236C6497645CAB868DC70041ADB25_12</vt:lpwstr>
  </property>
</Properties>
</file>