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1EC0F" w14:textId="77777777" w:rsidR="00EC6B51" w:rsidRDefault="00EC6B51" w:rsidP="00EC6B51">
      <w:pPr>
        <w:widowControl w:val="0"/>
        <w:jc w:val="center"/>
        <w:rPr>
          <w:sz w:val="32"/>
          <w:szCs w:val="32"/>
          <w14:ligatures w14:val="none"/>
        </w:rPr>
      </w:pPr>
      <w:r>
        <w:rPr>
          <w:sz w:val="32"/>
          <w:szCs w:val="32"/>
          <w14:ligatures w14:val="none"/>
        </w:rPr>
        <w:t>Introduction:</w:t>
      </w:r>
    </w:p>
    <w:p w14:paraId="4CB9CD7F" w14:textId="77777777" w:rsidR="00EC6B51" w:rsidRDefault="00EC6B51" w:rsidP="00EC6B51">
      <w:pPr>
        <w:widowControl w:val="0"/>
        <w:rPr>
          <w:sz w:val="28"/>
          <w:szCs w:val="28"/>
          <w14:ligatures w14:val="none"/>
        </w:rPr>
      </w:pPr>
      <w:r>
        <w:rPr>
          <w:sz w:val="28"/>
          <w:szCs w:val="28"/>
          <w14:ligatures w14:val="none"/>
        </w:rPr>
        <w:t xml:space="preserve">Manching is one of the largest </w:t>
      </w:r>
      <w:proofErr w:type="gramStart"/>
      <w:r>
        <w:rPr>
          <w:i/>
          <w:iCs/>
          <w:sz w:val="28"/>
          <w:szCs w:val="28"/>
          <w14:ligatures w14:val="none"/>
        </w:rPr>
        <w:t>oppidum</w:t>
      </w:r>
      <w:proofErr w:type="gramEnd"/>
      <w:r>
        <w:rPr>
          <w:sz w:val="28"/>
          <w:szCs w:val="28"/>
          <w14:ligatures w14:val="none"/>
        </w:rPr>
        <w:t xml:space="preserve"> in Europe and one of the most researched Celtic </w:t>
      </w:r>
      <w:r>
        <w:rPr>
          <w:i/>
          <w:iCs/>
          <w:sz w:val="28"/>
          <w:szCs w:val="28"/>
          <w14:ligatures w14:val="none"/>
        </w:rPr>
        <w:t>oppida</w:t>
      </w:r>
      <w:r>
        <w:rPr>
          <w:sz w:val="28"/>
          <w:szCs w:val="28"/>
          <w14:ligatures w14:val="none"/>
        </w:rPr>
        <w:t xml:space="preserve"> (H. Wendling, 2013, p.132). The </w:t>
      </w:r>
      <w:r>
        <w:rPr>
          <w:i/>
          <w:iCs/>
          <w:sz w:val="28"/>
          <w:szCs w:val="28"/>
          <w14:ligatures w14:val="none"/>
        </w:rPr>
        <w:t>oppidum</w:t>
      </w:r>
      <w:r>
        <w:rPr>
          <w:sz w:val="28"/>
          <w:szCs w:val="28"/>
          <w14:ligatures w14:val="none"/>
        </w:rPr>
        <w:t xml:space="preserve"> of Manching </w:t>
      </w:r>
      <w:proofErr w:type="gramStart"/>
      <w:r>
        <w:rPr>
          <w:sz w:val="28"/>
          <w:szCs w:val="28"/>
          <w14:ligatures w14:val="none"/>
        </w:rPr>
        <w:t>is located in</w:t>
      </w:r>
      <w:proofErr w:type="gramEnd"/>
      <w:r>
        <w:rPr>
          <w:sz w:val="28"/>
          <w:szCs w:val="28"/>
          <w14:ligatures w14:val="none"/>
        </w:rPr>
        <w:t xml:space="preserve"> south Bavaria, Germany, east of the current town of Manching (K. </w:t>
      </w:r>
      <w:proofErr w:type="spellStart"/>
      <w:r>
        <w:rPr>
          <w:sz w:val="28"/>
          <w:szCs w:val="28"/>
          <w14:ligatures w14:val="none"/>
        </w:rPr>
        <w:t>Vandemoortele</w:t>
      </w:r>
      <w:proofErr w:type="spellEnd"/>
      <w:r>
        <w:rPr>
          <w:sz w:val="28"/>
          <w:szCs w:val="28"/>
          <w14:ligatures w14:val="none"/>
        </w:rPr>
        <w:t xml:space="preserve">, 2011, p. 82). It is situated where the river </w:t>
      </w:r>
      <w:proofErr w:type="spellStart"/>
      <w:r>
        <w:rPr>
          <w:sz w:val="28"/>
          <w:szCs w:val="28"/>
          <w14:ligatures w14:val="none"/>
        </w:rPr>
        <w:t>Paar</w:t>
      </w:r>
      <w:proofErr w:type="spellEnd"/>
      <w:r>
        <w:rPr>
          <w:sz w:val="28"/>
          <w:szCs w:val="28"/>
          <w14:ligatures w14:val="none"/>
        </w:rPr>
        <w:t xml:space="preserve">, meets the Danube (S. Sievers, 2002, p.943). Manching is not the original name of the </w:t>
      </w:r>
      <w:r>
        <w:rPr>
          <w:i/>
          <w:iCs/>
          <w:sz w:val="28"/>
          <w:szCs w:val="28"/>
          <w14:ligatures w14:val="none"/>
        </w:rPr>
        <w:t>oppidum</w:t>
      </w:r>
      <w:r>
        <w:rPr>
          <w:sz w:val="28"/>
          <w:szCs w:val="28"/>
          <w14:ligatures w14:val="none"/>
        </w:rPr>
        <w:t xml:space="preserve">, it is named after the current town as the original name is unknown (K. </w:t>
      </w:r>
      <w:proofErr w:type="spellStart"/>
      <w:r>
        <w:rPr>
          <w:sz w:val="28"/>
          <w:szCs w:val="28"/>
          <w14:ligatures w14:val="none"/>
        </w:rPr>
        <w:t>Vandemoortele</w:t>
      </w:r>
      <w:proofErr w:type="spellEnd"/>
      <w:r>
        <w:rPr>
          <w:sz w:val="28"/>
          <w:szCs w:val="28"/>
          <w14:ligatures w14:val="none"/>
        </w:rPr>
        <w:t xml:space="preserve">, 2011, p. 82). </w:t>
      </w:r>
    </w:p>
    <w:p w14:paraId="0F0D5702" w14:textId="77777777" w:rsidR="00EC6B51" w:rsidRDefault="00EC6B51" w:rsidP="00EC6B51">
      <w:pPr>
        <w:widowControl w:val="0"/>
        <w:rPr>
          <w:sz w:val="28"/>
          <w:szCs w:val="28"/>
          <w14:ligatures w14:val="none"/>
        </w:rPr>
      </w:pPr>
      <w:r>
        <w:rPr>
          <w:sz w:val="28"/>
          <w:szCs w:val="28"/>
          <w14:ligatures w14:val="none"/>
        </w:rPr>
        <w:t xml:space="preserve">The first person to interpret Manching as an </w:t>
      </w:r>
      <w:r>
        <w:rPr>
          <w:i/>
          <w:iCs/>
          <w:sz w:val="28"/>
          <w:szCs w:val="28"/>
          <w14:ligatures w14:val="none"/>
        </w:rPr>
        <w:t>oppidum</w:t>
      </w:r>
      <w:r>
        <w:rPr>
          <w:sz w:val="28"/>
          <w:szCs w:val="28"/>
          <w14:ligatures w14:val="none"/>
        </w:rPr>
        <w:t xml:space="preserve"> was Officer Arnold (K. </w:t>
      </w:r>
      <w:proofErr w:type="spellStart"/>
      <w:r>
        <w:rPr>
          <w:sz w:val="28"/>
          <w:szCs w:val="28"/>
          <w14:ligatures w14:val="none"/>
        </w:rPr>
        <w:t>Vandemoortele</w:t>
      </w:r>
      <w:proofErr w:type="spellEnd"/>
      <w:r>
        <w:rPr>
          <w:sz w:val="28"/>
          <w:szCs w:val="28"/>
          <w14:ligatures w14:val="none"/>
        </w:rPr>
        <w:t xml:space="preserve">, 2011, p. 84). Between 1892 and 1893 Fink excavated the rampart and an area presumed to be the gates and streets and the cemetery (K. </w:t>
      </w:r>
      <w:proofErr w:type="spellStart"/>
      <w:r>
        <w:rPr>
          <w:sz w:val="28"/>
          <w:szCs w:val="28"/>
          <w14:ligatures w14:val="none"/>
        </w:rPr>
        <w:t>Vandemoortele</w:t>
      </w:r>
      <w:proofErr w:type="spellEnd"/>
      <w:r>
        <w:rPr>
          <w:sz w:val="28"/>
          <w:szCs w:val="28"/>
          <w14:ligatures w14:val="none"/>
        </w:rPr>
        <w:t xml:space="preserve">, 2011, p.84). This was continued by </w:t>
      </w:r>
      <w:proofErr w:type="spellStart"/>
      <w:r>
        <w:rPr>
          <w:sz w:val="28"/>
          <w:szCs w:val="28"/>
          <w14:ligatures w14:val="none"/>
        </w:rPr>
        <w:t>Birkner</w:t>
      </w:r>
      <w:proofErr w:type="spellEnd"/>
      <w:r>
        <w:rPr>
          <w:sz w:val="28"/>
          <w:szCs w:val="28"/>
          <w14:ligatures w14:val="none"/>
        </w:rPr>
        <w:t xml:space="preserve"> and Weber between 1902 and 1903 (K. </w:t>
      </w:r>
      <w:proofErr w:type="spellStart"/>
      <w:r>
        <w:rPr>
          <w:sz w:val="28"/>
          <w:szCs w:val="28"/>
          <w14:ligatures w14:val="none"/>
        </w:rPr>
        <w:t>Vandemoortele</w:t>
      </w:r>
      <w:proofErr w:type="spellEnd"/>
      <w:r>
        <w:rPr>
          <w:sz w:val="28"/>
          <w:szCs w:val="28"/>
          <w14:ligatures w14:val="none"/>
        </w:rPr>
        <w:t>, 2011, p.84). Manching has yielded critical information about Celtic urbanisation and society (H. Wendling, 2014, p.137).</w:t>
      </w:r>
    </w:p>
    <w:p w14:paraId="0DCFA15A" w14:textId="77777777" w:rsidR="00EC6B51" w:rsidRDefault="00EC6B51" w:rsidP="00EC6B51">
      <w:pPr>
        <w:spacing w:after="160" w:line="256" w:lineRule="auto"/>
        <w:rPr>
          <w:sz w:val="28"/>
          <w:szCs w:val="28"/>
          <w14:ligatures w14:val="none"/>
        </w:rPr>
      </w:pPr>
      <w:r>
        <w:rPr>
          <w:sz w:val="28"/>
          <w:szCs w:val="28"/>
          <w14:ligatures w14:val="none"/>
        </w:rPr>
        <w:t xml:space="preserve">Much of the recent excavations have been carried out due to the threat of the site being destroyed by settlement expansion (H. Wendling, 2014, p.137). </w:t>
      </w:r>
    </w:p>
    <w:p w14:paraId="716DA0F4" w14:textId="77777777" w:rsidR="00EC6B51" w:rsidRDefault="00EC6B51" w:rsidP="00EC6B51">
      <w:pPr>
        <w:widowControl w:val="0"/>
        <w:rPr>
          <w14:ligatures w14:val="none"/>
        </w:rPr>
      </w:pPr>
      <w:r>
        <w:rPr>
          <w14:ligatures w14:val="none"/>
        </w:rPr>
        <w:t> </w:t>
      </w:r>
    </w:p>
    <w:p w14:paraId="4D6BA62A" w14:textId="77777777" w:rsidR="00EC6B51" w:rsidRDefault="00EC6B51" w:rsidP="00EC6B51">
      <w:pPr>
        <w:widowControl w:val="0"/>
        <w:rPr>
          <w:sz w:val="28"/>
          <w:szCs w:val="28"/>
          <w14:ligatures w14:val="none"/>
        </w:rPr>
      </w:pPr>
      <w:r>
        <w:rPr>
          <w:sz w:val="28"/>
          <w:szCs w:val="28"/>
          <w14:ligatures w14:val="none"/>
        </w:rPr>
        <w:t xml:space="preserve">Water is necessary for the survival of settlements and Manching is in an ideal place for access to clean water as there were </w:t>
      </w:r>
      <w:proofErr w:type="gramStart"/>
      <w:r>
        <w:rPr>
          <w:sz w:val="28"/>
          <w:szCs w:val="28"/>
          <w14:ligatures w14:val="none"/>
        </w:rPr>
        <w:t>a number of</w:t>
      </w:r>
      <w:proofErr w:type="gramEnd"/>
      <w:r>
        <w:rPr>
          <w:sz w:val="28"/>
          <w:szCs w:val="28"/>
          <w14:ligatures w14:val="none"/>
        </w:rPr>
        <w:t xml:space="preserve"> springs that could be used, one of which is still used in modern Manching today (K. </w:t>
      </w:r>
      <w:proofErr w:type="spellStart"/>
      <w:r>
        <w:rPr>
          <w:sz w:val="28"/>
          <w:szCs w:val="28"/>
          <w14:ligatures w14:val="none"/>
        </w:rPr>
        <w:t>Vandemoortele</w:t>
      </w:r>
      <w:proofErr w:type="spellEnd"/>
      <w:r>
        <w:rPr>
          <w:sz w:val="28"/>
          <w:szCs w:val="28"/>
          <w14:ligatures w14:val="none"/>
        </w:rPr>
        <w:t>, 2011, p. 88).</w:t>
      </w:r>
    </w:p>
    <w:p w14:paraId="35D269F5" w14:textId="77777777" w:rsidR="00EC6B51" w:rsidRDefault="00EC6B51" w:rsidP="00EC6B51">
      <w:pPr>
        <w:widowControl w:val="0"/>
        <w:rPr>
          <w:sz w:val="28"/>
          <w:szCs w:val="28"/>
          <w14:ligatures w14:val="none"/>
        </w:rPr>
      </w:pPr>
      <w:r>
        <w:rPr>
          <w:sz w:val="28"/>
          <w:szCs w:val="28"/>
          <w14:ligatures w14:val="none"/>
        </w:rPr>
        <w:t xml:space="preserve">Sievers states that the land surrounding Manching can be used for agriculture as specific types of grain that thrive in a wet environment such as barley and spelt are found in the </w:t>
      </w:r>
      <w:r>
        <w:rPr>
          <w:i/>
          <w:iCs/>
          <w:sz w:val="28"/>
          <w:szCs w:val="28"/>
          <w14:ligatures w14:val="none"/>
        </w:rPr>
        <w:t>oppidum</w:t>
      </w:r>
      <w:r>
        <w:rPr>
          <w:sz w:val="28"/>
          <w:szCs w:val="28"/>
          <w14:ligatures w14:val="none"/>
        </w:rPr>
        <w:t xml:space="preserve"> (S. Sievers, 2003, p.19). Although, the soil is poor in nutrients which suggests that agriculture was not the main motive for the foundation of a settlement in this area (K. </w:t>
      </w:r>
      <w:proofErr w:type="spellStart"/>
      <w:r>
        <w:rPr>
          <w:sz w:val="28"/>
          <w:szCs w:val="28"/>
          <w14:ligatures w14:val="none"/>
        </w:rPr>
        <w:t>Vandemoortele</w:t>
      </w:r>
      <w:proofErr w:type="spellEnd"/>
      <w:r>
        <w:rPr>
          <w:sz w:val="28"/>
          <w:szCs w:val="28"/>
          <w14:ligatures w14:val="none"/>
        </w:rPr>
        <w:t>, 2011, p. 88).</w:t>
      </w:r>
    </w:p>
    <w:p w14:paraId="6437A788" w14:textId="77777777" w:rsidR="00EC6B51" w:rsidRDefault="00EC6B51" w:rsidP="00EC6B51">
      <w:pPr>
        <w:spacing w:after="160" w:line="256" w:lineRule="auto"/>
        <w:rPr>
          <w:sz w:val="28"/>
          <w:szCs w:val="28"/>
          <w14:ligatures w14:val="none"/>
        </w:rPr>
      </w:pPr>
      <w:r>
        <w:rPr>
          <w:sz w:val="28"/>
          <w:szCs w:val="28"/>
          <w14:ligatures w14:val="none"/>
        </w:rPr>
        <w:t xml:space="preserve">Manching is located near iron ores which may have been a reason for creating the </w:t>
      </w:r>
      <w:r>
        <w:rPr>
          <w:i/>
          <w:iCs/>
          <w:sz w:val="28"/>
          <w:szCs w:val="28"/>
          <w14:ligatures w14:val="none"/>
        </w:rPr>
        <w:t>oppidum</w:t>
      </w:r>
      <w:r>
        <w:rPr>
          <w:sz w:val="28"/>
          <w:szCs w:val="28"/>
          <w14:ligatures w14:val="none"/>
        </w:rPr>
        <w:t xml:space="preserve"> and the growth of it (S. Sievers, 2003, p. 76). Bog iron has been found in the </w:t>
      </w:r>
      <w:proofErr w:type="spellStart"/>
      <w:r>
        <w:rPr>
          <w:sz w:val="28"/>
          <w:szCs w:val="28"/>
          <w14:ligatures w14:val="none"/>
        </w:rPr>
        <w:t>Feilen</w:t>
      </w:r>
      <w:proofErr w:type="spellEnd"/>
      <w:r>
        <w:rPr>
          <w:sz w:val="28"/>
          <w:szCs w:val="28"/>
          <w14:ligatures w14:val="none"/>
        </w:rPr>
        <w:t xml:space="preserve"> moors and the Danube moors near Manching that date back to the </w:t>
      </w:r>
      <w:r>
        <w:rPr>
          <w:i/>
          <w:iCs/>
          <w:sz w:val="28"/>
          <w:szCs w:val="28"/>
          <w14:ligatures w14:val="none"/>
        </w:rPr>
        <w:t>oppidum</w:t>
      </w:r>
      <w:r>
        <w:rPr>
          <w:sz w:val="28"/>
          <w:szCs w:val="28"/>
          <w14:ligatures w14:val="none"/>
        </w:rPr>
        <w:t xml:space="preserve"> (K. </w:t>
      </w:r>
      <w:proofErr w:type="spellStart"/>
      <w:r>
        <w:rPr>
          <w:sz w:val="28"/>
          <w:szCs w:val="28"/>
          <w14:ligatures w14:val="none"/>
        </w:rPr>
        <w:t>Vandemoortele</w:t>
      </w:r>
      <w:proofErr w:type="spellEnd"/>
      <w:r>
        <w:rPr>
          <w:sz w:val="28"/>
          <w:szCs w:val="28"/>
          <w14:ligatures w14:val="none"/>
        </w:rPr>
        <w:t xml:space="preserve">, 2011, p. 89). Jacoby has suggested that iron was smelted within the </w:t>
      </w:r>
      <w:r>
        <w:rPr>
          <w:i/>
          <w:iCs/>
          <w:sz w:val="28"/>
          <w:szCs w:val="28"/>
          <w14:ligatures w14:val="none"/>
        </w:rPr>
        <w:t>oppidum</w:t>
      </w:r>
      <w:r>
        <w:rPr>
          <w:sz w:val="28"/>
          <w:szCs w:val="28"/>
          <w14:ligatures w14:val="none"/>
        </w:rPr>
        <w:t xml:space="preserve"> area on a small scale (K. </w:t>
      </w:r>
      <w:proofErr w:type="spellStart"/>
      <w:r>
        <w:rPr>
          <w:sz w:val="28"/>
          <w:szCs w:val="28"/>
          <w14:ligatures w14:val="none"/>
        </w:rPr>
        <w:t>Vandemoortele</w:t>
      </w:r>
      <w:proofErr w:type="spellEnd"/>
      <w:r>
        <w:rPr>
          <w:sz w:val="28"/>
          <w:szCs w:val="28"/>
          <w14:ligatures w14:val="none"/>
        </w:rPr>
        <w:t xml:space="preserve">, 2011, p. 89). However, Kramer and Schubert have argued that </w:t>
      </w:r>
      <w:r>
        <w:rPr>
          <w:sz w:val="28"/>
          <w:szCs w:val="28"/>
          <w14:ligatures w14:val="none"/>
        </w:rPr>
        <w:lastRenderedPageBreak/>
        <w:t xml:space="preserve">the bog iron had ran out by the time of the </w:t>
      </w:r>
      <w:r>
        <w:rPr>
          <w:i/>
          <w:iCs/>
          <w:sz w:val="28"/>
          <w:szCs w:val="28"/>
          <w14:ligatures w14:val="none"/>
        </w:rPr>
        <w:t>oppidum</w:t>
      </w:r>
      <w:r>
        <w:rPr>
          <w:sz w:val="28"/>
          <w:szCs w:val="28"/>
          <w14:ligatures w14:val="none"/>
        </w:rPr>
        <w:t xml:space="preserve"> (K. </w:t>
      </w:r>
      <w:proofErr w:type="spellStart"/>
      <w:r>
        <w:rPr>
          <w:sz w:val="28"/>
          <w:szCs w:val="28"/>
          <w14:ligatures w14:val="none"/>
        </w:rPr>
        <w:t>Vandemoortele</w:t>
      </w:r>
      <w:proofErr w:type="spellEnd"/>
      <w:r>
        <w:rPr>
          <w:sz w:val="28"/>
          <w:szCs w:val="28"/>
          <w14:ligatures w14:val="none"/>
        </w:rPr>
        <w:t xml:space="preserve">, 2011, p. 89). These iron ores would have contributed to the wealth and prosperity of Manching (H. Wendling 2014, p. 138). </w:t>
      </w:r>
    </w:p>
    <w:p w14:paraId="4622E9D7" w14:textId="77777777" w:rsidR="00EC6B51" w:rsidRDefault="00EC6B51" w:rsidP="00EC6B51">
      <w:pPr>
        <w:widowControl w:val="0"/>
        <w:rPr>
          <w14:ligatures w14:val="none"/>
        </w:rPr>
      </w:pPr>
      <w:r>
        <w:rPr>
          <w14:ligatures w14:val="none"/>
        </w:rPr>
        <w:t> </w:t>
      </w:r>
    </w:p>
    <w:p w14:paraId="6A1836E9" w14:textId="77777777" w:rsidR="00EC6B51" w:rsidRDefault="00EC6B51" w:rsidP="00EC6B51">
      <w:pPr>
        <w:widowControl w:val="0"/>
        <w:rPr>
          <w:sz w:val="28"/>
          <w:szCs w:val="28"/>
          <w14:ligatures w14:val="none"/>
        </w:rPr>
      </w:pPr>
      <w:r>
        <w:rPr>
          <w:sz w:val="28"/>
          <w:szCs w:val="28"/>
          <w14:ligatures w14:val="none"/>
        </w:rPr>
        <w:t xml:space="preserve">During excavations constructions were uncovered flanked by trenches (S Sievers, 2002, p. 943). This included building of unknown function such as storage pits, commercial buildings and longhouses (S. Sievers, 2002, p. 944). </w:t>
      </w:r>
    </w:p>
    <w:p w14:paraId="3DFF73DE" w14:textId="77777777" w:rsidR="00EC6B51" w:rsidRDefault="00EC6B51" w:rsidP="00EC6B51">
      <w:pPr>
        <w:widowControl w:val="0"/>
        <w:rPr>
          <w:sz w:val="28"/>
          <w:szCs w:val="28"/>
          <w14:ligatures w14:val="none"/>
        </w:rPr>
      </w:pPr>
      <w:r>
        <w:rPr>
          <w:sz w:val="28"/>
          <w:szCs w:val="28"/>
          <w14:ligatures w14:val="none"/>
        </w:rPr>
        <w:t xml:space="preserve">Archaeological remains at Manching have not suffered much erosion except in places near the river </w:t>
      </w:r>
      <w:proofErr w:type="spellStart"/>
      <w:r>
        <w:rPr>
          <w:sz w:val="28"/>
          <w:szCs w:val="28"/>
          <w14:ligatures w14:val="none"/>
        </w:rPr>
        <w:t>Paar</w:t>
      </w:r>
      <w:proofErr w:type="spellEnd"/>
      <w:r>
        <w:rPr>
          <w:sz w:val="28"/>
          <w:szCs w:val="28"/>
          <w14:ligatures w14:val="none"/>
        </w:rPr>
        <w:t xml:space="preserve"> as the settlement is on a flat plain (K. </w:t>
      </w:r>
      <w:proofErr w:type="spellStart"/>
      <w:r>
        <w:rPr>
          <w:sz w:val="28"/>
          <w:szCs w:val="28"/>
          <w14:ligatures w14:val="none"/>
        </w:rPr>
        <w:t>Vandemoortele</w:t>
      </w:r>
      <w:proofErr w:type="spellEnd"/>
      <w:r>
        <w:rPr>
          <w:sz w:val="28"/>
          <w:szCs w:val="28"/>
          <w14:ligatures w14:val="none"/>
        </w:rPr>
        <w:t xml:space="preserve">, 2011, p. 84). Although Manching is on a plain, unlike most </w:t>
      </w:r>
      <w:r>
        <w:rPr>
          <w:i/>
          <w:iCs/>
          <w:sz w:val="28"/>
          <w:szCs w:val="28"/>
          <w14:ligatures w14:val="none"/>
        </w:rPr>
        <w:t>oppidum</w:t>
      </w:r>
      <w:r>
        <w:rPr>
          <w:sz w:val="28"/>
          <w:szCs w:val="28"/>
          <w14:ligatures w14:val="none"/>
        </w:rPr>
        <w:t xml:space="preserve">, as it is surrounded by moors and the rivers (K. </w:t>
      </w:r>
      <w:proofErr w:type="spellStart"/>
      <w:r>
        <w:rPr>
          <w:sz w:val="28"/>
          <w:szCs w:val="28"/>
          <w14:ligatures w14:val="none"/>
        </w:rPr>
        <w:t>Vandemoortele</w:t>
      </w:r>
      <w:proofErr w:type="spellEnd"/>
      <w:r>
        <w:rPr>
          <w:sz w:val="28"/>
          <w:szCs w:val="28"/>
          <w14:ligatures w14:val="none"/>
        </w:rPr>
        <w:t xml:space="preserve">, 2011, p. 97). </w:t>
      </w:r>
    </w:p>
    <w:p w14:paraId="0C0CE2B8" w14:textId="77777777" w:rsidR="00EC6B51" w:rsidRDefault="00EC6B51" w:rsidP="00EC6B51">
      <w:pPr>
        <w:widowControl w:val="0"/>
        <w:rPr>
          <w:sz w:val="28"/>
          <w:szCs w:val="28"/>
          <w14:ligatures w14:val="none"/>
        </w:rPr>
      </w:pPr>
      <w:r>
        <w:rPr>
          <w:sz w:val="28"/>
          <w:szCs w:val="28"/>
          <w14:ligatures w14:val="none"/>
        </w:rPr>
        <w:t xml:space="preserve">Due to differences in culture layers across the plain stratigraphy studies are minimal and are mostly concentrated on ditches and pits (K. </w:t>
      </w:r>
      <w:proofErr w:type="spellStart"/>
      <w:r>
        <w:rPr>
          <w:sz w:val="28"/>
          <w:szCs w:val="28"/>
          <w14:ligatures w14:val="none"/>
        </w:rPr>
        <w:t>Vandemoortele</w:t>
      </w:r>
      <w:proofErr w:type="spellEnd"/>
      <w:r>
        <w:rPr>
          <w:sz w:val="28"/>
          <w:szCs w:val="28"/>
          <w14:ligatures w14:val="none"/>
        </w:rPr>
        <w:t xml:space="preserve">, 2011, p. 84). </w:t>
      </w:r>
    </w:p>
    <w:p w14:paraId="656262DD" w14:textId="77777777" w:rsidR="00EC6B51" w:rsidRDefault="00EC6B51" w:rsidP="00EC6B51">
      <w:pPr>
        <w:widowControl w:val="0"/>
        <w:rPr>
          <w:sz w:val="28"/>
          <w:szCs w:val="28"/>
          <w14:ligatures w14:val="none"/>
        </w:rPr>
      </w:pPr>
      <w:r>
        <w:rPr>
          <w:sz w:val="28"/>
          <w:szCs w:val="28"/>
          <w14:ligatures w14:val="none"/>
        </w:rPr>
        <w:t xml:space="preserve">The geographical positioning of Manching at the confluence of the </w:t>
      </w:r>
      <w:proofErr w:type="spellStart"/>
      <w:r>
        <w:rPr>
          <w:sz w:val="28"/>
          <w:szCs w:val="28"/>
          <w14:ligatures w14:val="none"/>
        </w:rPr>
        <w:t>Paar</w:t>
      </w:r>
      <w:proofErr w:type="spellEnd"/>
      <w:r>
        <w:rPr>
          <w:sz w:val="28"/>
          <w:szCs w:val="28"/>
          <w14:ligatures w14:val="none"/>
        </w:rPr>
        <w:t xml:space="preserve"> and Danube allowed for economic growth (S. Sievers, 2002, p. 943).  This suggests that Manching played a prominent role in trade and communication between the east and west of the Celtic world (H. Wendling, 2014, p. 197). A town wall was constructed from wood and stone during the second century BC (S. Sievers, 2002, p. 943). The </w:t>
      </w:r>
      <w:r>
        <w:rPr>
          <w:i/>
          <w:iCs/>
          <w:sz w:val="28"/>
          <w:szCs w:val="28"/>
          <w14:ligatures w14:val="none"/>
        </w:rPr>
        <w:t>oppidum</w:t>
      </w:r>
      <w:r>
        <w:rPr>
          <w:sz w:val="28"/>
          <w:szCs w:val="28"/>
          <w14:ligatures w14:val="none"/>
        </w:rPr>
        <w:t xml:space="preserve"> had about seven kilometres of ramparts that enclosed an area of 380 ha (K. </w:t>
      </w:r>
      <w:proofErr w:type="spellStart"/>
      <w:r>
        <w:rPr>
          <w:sz w:val="28"/>
          <w:szCs w:val="28"/>
          <w14:ligatures w14:val="none"/>
        </w:rPr>
        <w:t>Vandemoortele</w:t>
      </w:r>
      <w:proofErr w:type="spellEnd"/>
      <w:r>
        <w:rPr>
          <w:sz w:val="28"/>
          <w:szCs w:val="28"/>
          <w14:ligatures w14:val="none"/>
        </w:rPr>
        <w:t>, 20111, p. 84).</w:t>
      </w:r>
    </w:p>
    <w:p w14:paraId="0A77B711" w14:textId="77777777" w:rsidR="00EC6B51" w:rsidRDefault="00EC6B51" w:rsidP="00EC6B51">
      <w:pPr>
        <w:widowControl w:val="0"/>
        <w:rPr>
          <w14:ligatures w14:val="none"/>
        </w:rPr>
      </w:pPr>
      <w:r>
        <w:rPr>
          <w14:ligatures w14:val="none"/>
        </w:rPr>
        <w:t> </w:t>
      </w:r>
    </w:p>
    <w:p w14:paraId="7E8F34E0" w14:textId="77777777" w:rsidR="00EC6B51" w:rsidRDefault="00EC6B51" w:rsidP="00EC6B51">
      <w:pPr>
        <w:widowControl w:val="0"/>
        <w:rPr>
          <w:sz w:val="32"/>
          <w:szCs w:val="32"/>
          <w14:ligatures w14:val="none"/>
        </w:rPr>
      </w:pPr>
      <w:r>
        <w:rPr>
          <w:sz w:val="32"/>
          <w:szCs w:val="32"/>
          <w14:ligatures w14:val="none"/>
        </w:rPr>
        <w:t xml:space="preserve">The river runs through the north of Manching and contains old meanders which can be used to suggest a Celtic harbour and landing place (S. Sievers, 2002, p. 9343).The ‘harbour’ would have been used to unload amphorae, wine and fish sauce, as tine fish bones from the Mediterranean have been found near the south of the settlement (S. Sievers, 2002, p. 944). This suggests that there was imports and long-distance trade connections that linked them with the Mediterranean (S. Sievers, 2002, p. 944 and </w:t>
      </w:r>
      <w:proofErr w:type="spellStart"/>
      <w:r>
        <w:rPr>
          <w:sz w:val="32"/>
          <w:szCs w:val="32"/>
          <w14:ligatures w14:val="none"/>
        </w:rPr>
        <w:t>Gebhard</w:t>
      </w:r>
      <w:proofErr w:type="spellEnd"/>
      <w:r>
        <w:rPr>
          <w:sz w:val="32"/>
          <w:szCs w:val="32"/>
          <w14:ligatures w14:val="none"/>
        </w:rPr>
        <w:t xml:space="preserve"> et al., 2004, p. 199). The role of </w:t>
      </w:r>
      <w:r>
        <w:rPr>
          <w:sz w:val="32"/>
          <w:szCs w:val="32"/>
          <w14:ligatures w14:val="none"/>
        </w:rPr>
        <w:lastRenderedPageBreak/>
        <w:t xml:space="preserve">Munching in trade and communication would have helped in the establishment of the </w:t>
      </w:r>
      <w:r>
        <w:rPr>
          <w:i/>
          <w:iCs/>
          <w:sz w:val="32"/>
          <w:szCs w:val="32"/>
          <w14:ligatures w14:val="none"/>
        </w:rPr>
        <w:t>oppidum</w:t>
      </w:r>
      <w:r>
        <w:rPr>
          <w:sz w:val="32"/>
          <w:szCs w:val="32"/>
          <w14:ligatures w14:val="none"/>
        </w:rPr>
        <w:t xml:space="preserve"> and its evolution (H. Wendling, 2014, p. 137)</w:t>
      </w:r>
    </w:p>
    <w:p w14:paraId="56EC74AD" w14:textId="77777777" w:rsidR="00EC6B51" w:rsidRDefault="00EC6B51" w:rsidP="00EC6B51">
      <w:pPr>
        <w:spacing w:after="160" w:line="256" w:lineRule="auto"/>
        <w:rPr>
          <w:sz w:val="32"/>
          <w:szCs w:val="32"/>
          <w14:ligatures w14:val="none"/>
        </w:rPr>
      </w:pPr>
      <w:r>
        <w:rPr>
          <w:sz w:val="32"/>
          <w:szCs w:val="32"/>
          <w14:ligatures w14:val="none"/>
        </w:rPr>
        <w:t>Archaeological evidence shows that valuable goods such as glass and jewellery were transported over large distance in the Celtic world and that gold coins were used as a currency for this distance trade (</w:t>
      </w:r>
      <w:proofErr w:type="spellStart"/>
      <w:r>
        <w:rPr>
          <w:sz w:val="32"/>
          <w:szCs w:val="32"/>
          <w14:ligatures w14:val="none"/>
        </w:rPr>
        <w:t>Gebhard</w:t>
      </w:r>
      <w:proofErr w:type="spellEnd"/>
      <w:r>
        <w:rPr>
          <w:sz w:val="32"/>
          <w:szCs w:val="32"/>
          <w14:ligatures w14:val="none"/>
        </w:rPr>
        <w:t xml:space="preserve"> et al 2004 p.212).</w:t>
      </w:r>
    </w:p>
    <w:p w14:paraId="0F1E7DDB" w14:textId="77777777" w:rsidR="00EC6B51" w:rsidRDefault="00EC6B51" w:rsidP="00EC6B51">
      <w:pPr>
        <w:spacing w:after="160" w:line="256" w:lineRule="auto"/>
        <w:jc w:val="center"/>
        <w:rPr>
          <w:sz w:val="36"/>
          <w:szCs w:val="36"/>
          <w14:ligatures w14:val="none"/>
        </w:rPr>
      </w:pPr>
      <w:r>
        <w:rPr>
          <w14:ligatures w14:val="none"/>
        </w:rPr>
        <w:t> </w:t>
      </w:r>
      <w:r>
        <w:rPr>
          <w:sz w:val="36"/>
          <w:szCs w:val="36"/>
          <w14:ligatures w14:val="none"/>
        </w:rPr>
        <w:t xml:space="preserve">An </w:t>
      </w:r>
      <w:r>
        <w:rPr>
          <w:i/>
          <w:iCs/>
          <w:sz w:val="36"/>
          <w:szCs w:val="36"/>
          <w14:ligatures w14:val="none"/>
        </w:rPr>
        <w:t>oppidum</w:t>
      </w:r>
      <w:r>
        <w:rPr>
          <w:sz w:val="36"/>
          <w:szCs w:val="36"/>
          <w14:ligatures w14:val="none"/>
        </w:rPr>
        <w:t xml:space="preserve"> is typically defined as a place for production and trade, chronologically it is situated in the Late La </w:t>
      </w:r>
      <w:proofErr w:type="spellStart"/>
      <w:r>
        <w:rPr>
          <w:sz w:val="36"/>
          <w:szCs w:val="36"/>
          <w14:ligatures w14:val="none"/>
        </w:rPr>
        <w:t>Tene</w:t>
      </w:r>
      <w:proofErr w:type="spellEnd"/>
      <w:r>
        <w:rPr>
          <w:sz w:val="36"/>
          <w:szCs w:val="36"/>
          <w14:ligatures w14:val="none"/>
        </w:rPr>
        <w:t xml:space="preserve"> period and between Slovakia and Britain geographically (K. </w:t>
      </w:r>
      <w:proofErr w:type="spellStart"/>
      <w:r>
        <w:rPr>
          <w:sz w:val="36"/>
          <w:szCs w:val="36"/>
          <w14:ligatures w14:val="none"/>
        </w:rPr>
        <w:t>Vandemoortele</w:t>
      </w:r>
      <w:proofErr w:type="spellEnd"/>
      <w:r>
        <w:rPr>
          <w:sz w:val="36"/>
          <w:szCs w:val="36"/>
          <w14:ligatures w14:val="none"/>
        </w:rPr>
        <w:t>, 2011 p. 4).</w:t>
      </w:r>
    </w:p>
    <w:p w14:paraId="1FCEEE09" w14:textId="77777777" w:rsidR="00EC6B51" w:rsidRDefault="00EC6B51" w:rsidP="00EC6B51">
      <w:pPr>
        <w:widowControl w:val="0"/>
        <w:rPr>
          <w14:ligatures w14:val="none"/>
        </w:rPr>
      </w:pPr>
      <w:r>
        <w:rPr>
          <w14:ligatures w14:val="none"/>
        </w:rPr>
        <w:t> </w:t>
      </w:r>
    </w:p>
    <w:p w14:paraId="5C398779" w14:textId="77777777" w:rsidR="00EC6B51" w:rsidRDefault="00EC6B51" w:rsidP="00EC6B51">
      <w:pPr>
        <w:widowControl w:val="0"/>
        <w:jc w:val="center"/>
        <w:rPr>
          <w:sz w:val="32"/>
          <w:szCs w:val="32"/>
          <w14:ligatures w14:val="none"/>
        </w:rPr>
      </w:pPr>
      <w:r>
        <w:rPr>
          <w:sz w:val="32"/>
          <w:szCs w:val="32"/>
          <w14:ligatures w14:val="none"/>
        </w:rPr>
        <w:t>Social Aspects:</w:t>
      </w:r>
    </w:p>
    <w:p w14:paraId="260F2645" w14:textId="77777777" w:rsidR="00EC6B51" w:rsidRDefault="00EC6B51" w:rsidP="00EC6B51">
      <w:pPr>
        <w:spacing w:after="160" w:line="256" w:lineRule="auto"/>
        <w:rPr>
          <w:sz w:val="28"/>
          <w:szCs w:val="28"/>
          <w14:ligatures w14:val="none"/>
        </w:rPr>
      </w:pPr>
      <w:r>
        <w:rPr>
          <w:sz w:val="28"/>
          <w:szCs w:val="28"/>
          <w14:ligatures w14:val="none"/>
        </w:rPr>
        <w:t xml:space="preserve">It has been suggested by scholars that religious thoughts and practices were essential in the establishment and growth of communities in the late La </w:t>
      </w:r>
      <w:proofErr w:type="spellStart"/>
      <w:r>
        <w:rPr>
          <w:sz w:val="28"/>
          <w:szCs w:val="28"/>
          <w14:ligatures w14:val="none"/>
        </w:rPr>
        <w:t>Tene</w:t>
      </w:r>
      <w:proofErr w:type="spellEnd"/>
      <w:r>
        <w:rPr>
          <w:sz w:val="28"/>
          <w:szCs w:val="28"/>
          <w14:ligatures w14:val="none"/>
        </w:rPr>
        <w:t xml:space="preserve"> period (H. Wendling, 2013, p. 138). Access to the elaborate sanctuaries was limited to specific social groups and the pits appear to be more private than communal (H. Wendling, 2013, p. 138). These are important distinctions of the social differentiations in settlement organization and can be compared with Manching and other Iron Age Celtic settlements (H. Wendling, 2013, p. 138). </w:t>
      </w:r>
    </w:p>
    <w:p w14:paraId="2E3BDB77" w14:textId="77777777" w:rsidR="00EC6B51" w:rsidRDefault="00EC6B51" w:rsidP="00EC6B51">
      <w:pPr>
        <w:spacing w:after="160" w:line="256" w:lineRule="auto"/>
        <w:rPr>
          <w:sz w:val="28"/>
          <w:szCs w:val="28"/>
          <w14:ligatures w14:val="none"/>
        </w:rPr>
      </w:pPr>
      <w:r>
        <w:rPr>
          <w:sz w:val="28"/>
          <w:szCs w:val="28"/>
          <w14:ligatures w14:val="none"/>
        </w:rPr>
        <w:t>Close to Manching there are three “</w:t>
      </w:r>
      <w:proofErr w:type="spellStart"/>
      <w:r>
        <w:rPr>
          <w:sz w:val="28"/>
          <w:szCs w:val="28"/>
          <w14:ligatures w14:val="none"/>
        </w:rPr>
        <w:t>Viereckschanzen</w:t>
      </w:r>
      <w:proofErr w:type="spellEnd"/>
      <w:r>
        <w:rPr>
          <w:sz w:val="28"/>
          <w:szCs w:val="28"/>
          <w14:ligatures w14:val="none"/>
        </w:rPr>
        <w:t>” that have not been sufficiently explored and it has been suggested that they may hold extensive evidence on social and economic interactions happening in that area (H. Wendling, 2014, p.147)</w:t>
      </w:r>
    </w:p>
    <w:p w14:paraId="495F3920" w14:textId="77777777" w:rsidR="00EC6B51" w:rsidRDefault="00EC6B51" w:rsidP="00EC6B51">
      <w:pPr>
        <w:widowControl w:val="0"/>
        <w:rPr>
          <w14:ligatures w14:val="none"/>
        </w:rPr>
      </w:pPr>
      <w:r>
        <w:rPr>
          <w14:ligatures w14:val="none"/>
        </w:rPr>
        <w:t> </w:t>
      </w:r>
    </w:p>
    <w:p w14:paraId="1AE221E7" w14:textId="77777777" w:rsidR="00EC6B51" w:rsidRDefault="00EC6B51" w:rsidP="00EC6B51">
      <w:pPr>
        <w:widowControl w:val="0"/>
        <w:rPr>
          <w:sz w:val="28"/>
          <w:szCs w:val="28"/>
          <w14:ligatures w14:val="none"/>
        </w:rPr>
      </w:pPr>
      <w:r>
        <w:rPr>
          <w:sz w:val="28"/>
          <w:szCs w:val="28"/>
          <w14:ligatures w14:val="none"/>
        </w:rPr>
        <w:t>During excavations at Manching between 1996 and 1999, a small bronze hippocampus and a horses’ hoof carved from antler horn were discovered (S. Sievers, 2002, p. 944). Sievers states that these goods are suggestive of a person belonging to an elite societal structure who was active within a religious community when compared to structures found in ‘</w:t>
      </w:r>
      <w:proofErr w:type="spellStart"/>
      <w:r>
        <w:rPr>
          <w:i/>
          <w:iCs/>
          <w:sz w:val="28"/>
          <w:szCs w:val="28"/>
          <w14:ligatures w14:val="none"/>
        </w:rPr>
        <w:t>Viereckschanzen</w:t>
      </w:r>
      <w:proofErr w:type="spellEnd"/>
      <w:r>
        <w:rPr>
          <w:i/>
          <w:iCs/>
          <w:sz w:val="28"/>
          <w:szCs w:val="28"/>
          <w14:ligatures w14:val="none"/>
        </w:rPr>
        <w:t>’</w:t>
      </w:r>
      <w:r>
        <w:rPr>
          <w:sz w:val="28"/>
          <w:szCs w:val="28"/>
          <w14:ligatures w14:val="none"/>
        </w:rPr>
        <w:t xml:space="preserve"> (S. Sievers, 2002, p. 944).</w:t>
      </w:r>
    </w:p>
    <w:p w14:paraId="703B6445" w14:textId="77777777" w:rsidR="00EC6B51" w:rsidRDefault="00EC6B51" w:rsidP="00EC6B51">
      <w:pPr>
        <w:spacing w:after="160" w:line="256" w:lineRule="auto"/>
        <w:rPr>
          <w:sz w:val="28"/>
          <w:szCs w:val="28"/>
          <w14:ligatures w14:val="none"/>
        </w:rPr>
      </w:pPr>
      <w:r>
        <w:rPr>
          <w:sz w:val="28"/>
          <w:szCs w:val="28"/>
          <w14:ligatures w14:val="none"/>
        </w:rPr>
        <w:lastRenderedPageBreak/>
        <w:t xml:space="preserve">There are collections of prestige goods that have been found such as glass dishes and special weapons including daggers and fragments of chain mail (S. Sievers, 2002, p. 944). These weapons may have been used by equites (S. Sievers, 2002, p. 944). There was also a lead weight discovered weighing 62 g with a divine bust (S. Sievers, 2002, p. 944). </w:t>
      </w:r>
    </w:p>
    <w:p w14:paraId="3182A49A" w14:textId="77777777" w:rsidR="00EC6B51" w:rsidRDefault="00EC6B51" w:rsidP="00EC6B51">
      <w:pPr>
        <w:spacing w:after="160" w:line="256" w:lineRule="auto"/>
        <w:rPr>
          <w:sz w:val="28"/>
          <w:szCs w:val="28"/>
          <w14:ligatures w14:val="none"/>
        </w:rPr>
      </w:pPr>
      <w:r>
        <w:rPr>
          <w:sz w:val="28"/>
          <w:szCs w:val="28"/>
          <w14:ligatures w14:val="none"/>
        </w:rPr>
        <w:t xml:space="preserve">Archaeological evidence of precious items and coin hoards suggests that in times of conflict there was social and political instability (H. Wendling, 2014, p. 139). </w:t>
      </w:r>
    </w:p>
    <w:p w14:paraId="7BF17365" w14:textId="77777777" w:rsidR="00EC6B51" w:rsidRDefault="00EC6B51" w:rsidP="00EC6B51">
      <w:pPr>
        <w:widowControl w:val="0"/>
        <w:rPr>
          <w14:ligatures w14:val="none"/>
        </w:rPr>
      </w:pPr>
      <w:r>
        <w:rPr>
          <w14:ligatures w14:val="none"/>
        </w:rPr>
        <w:t> </w:t>
      </w:r>
    </w:p>
    <w:p w14:paraId="0DCF54E5" w14:textId="77777777" w:rsidR="00EC6B51" w:rsidRDefault="00EC6B51" w:rsidP="00EC6B51">
      <w:pPr>
        <w:widowControl w:val="0"/>
        <w:rPr>
          <w:sz w:val="28"/>
          <w:szCs w:val="28"/>
          <w14:ligatures w14:val="none"/>
        </w:rPr>
      </w:pPr>
      <w:r>
        <w:rPr>
          <w:sz w:val="28"/>
          <w:szCs w:val="28"/>
          <w14:ligatures w14:val="none"/>
        </w:rPr>
        <w:t xml:space="preserve">Manching is different from other </w:t>
      </w:r>
      <w:r>
        <w:rPr>
          <w:i/>
          <w:iCs/>
          <w:sz w:val="28"/>
          <w:szCs w:val="28"/>
          <w14:ligatures w14:val="none"/>
        </w:rPr>
        <w:t>oppidum</w:t>
      </w:r>
      <w:r>
        <w:rPr>
          <w:sz w:val="28"/>
          <w:szCs w:val="28"/>
          <w14:ligatures w14:val="none"/>
        </w:rPr>
        <w:t xml:space="preserve"> as the economy was not sustained purely from agriculture and stock; rather, Manching had specialised production of pottery, bronze, iron, glass jewellery and coins (H. Wendling 2014, p. 139). Wendling states that this is a transformation from into a “new economic environment” from the farming and cattle breeding that was previously the main way of life for ‘Celtic’ peoples (H. Wendling, 2013, p. 136). </w:t>
      </w:r>
    </w:p>
    <w:p w14:paraId="65F881FF" w14:textId="77777777" w:rsidR="00EC6B51" w:rsidRDefault="00EC6B51" w:rsidP="00EC6B51">
      <w:pPr>
        <w:spacing w:after="160" w:line="256" w:lineRule="auto"/>
        <w:rPr>
          <w:sz w:val="28"/>
          <w:szCs w:val="28"/>
          <w14:ligatures w14:val="none"/>
        </w:rPr>
      </w:pPr>
      <w:r>
        <w:rPr>
          <w:sz w:val="28"/>
          <w:szCs w:val="28"/>
          <w14:ligatures w14:val="none"/>
        </w:rPr>
        <w:t xml:space="preserve">Wendling suggests that similarities between ‘Celtic’ settlements at the time of Manching suggest a common origin (H. Wendling, 2013, p. 136). The rectangular walls have been interpreted at “urban dependencies of a persistent rural elite” (H. Wendling, 2013, p.136). This evidence has been used to suggests an origin of “agricultural aristocracy” and the wealth of these large </w:t>
      </w:r>
      <w:r>
        <w:rPr>
          <w:i/>
          <w:iCs/>
          <w:sz w:val="28"/>
          <w:szCs w:val="28"/>
          <w14:ligatures w14:val="none"/>
        </w:rPr>
        <w:t>oppida</w:t>
      </w:r>
      <w:r>
        <w:rPr>
          <w:sz w:val="28"/>
          <w:szCs w:val="28"/>
          <w14:ligatures w14:val="none"/>
        </w:rPr>
        <w:t xml:space="preserve"> (H. Wendling, 2013, p. 136). </w:t>
      </w:r>
    </w:p>
    <w:p w14:paraId="09A0054E" w14:textId="77777777" w:rsidR="00EC6B51" w:rsidRDefault="00EC6B51" w:rsidP="00EC6B51">
      <w:pPr>
        <w:widowControl w:val="0"/>
        <w:rPr>
          <w14:ligatures w14:val="none"/>
        </w:rPr>
      </w:pPr>
      <w:r>
        <w:rPr>
          <w14:ligatures w14:val="none"/>
        </w:rPr>
        <w:t> </w:t>
      </w:r>
    </w:p>
    <w:p w14:paraId="726C866B" w14:textId="77777777" w:rsidR="00EC6B51" w:rsidRDefault="00EC6B51" w:rsidP="00EC6B51">
      <w:r>
        <w:t xml:space="preserve">Schubert 1995: F. Schubert, </w:t>
      </w:r>
      <w:proofErr w:type="spellStart"/>
      <w:r>
        <w:t>Keltische</w:t>
      </w:r>
      <w:proofErr w:type="spellEnd"/>
      <w:r>
        <w:t xml:space="preserve"> </w:t>
      </w:r>
      <w:proofErr w:type="spellStart"/>
      <w:r>
        <w:t>Umgangstempel</w:t>
      </w:r>
      <w:proofErr w:type="spellEnd"/>
      <w:r>
        <w:t xml:space="preserve"> von Ingolstadt-</w:t>
      </w:r>
      <w:proofErr w:type="spellStart"/>
      <w:r>
        <w:t>Zuchering</w:t>
      </w:r>
      <w:proofErr w:type="spellEnd"/>
      <w:r>
        <w:t xml:space="preserve">? In: K.-H. </w:t>
      </w:r>
      <w:proofErr w:type="spellStart"/>
      <w:r>
        <w:t>Riederer</w:t>
      </w:r>
      <w:proofErr w:type="spellEnd"/>
      <w:r>
        <w:t xml:space="preserve">/A. </w:t>
      </w:r>
      <w:proofErr w:type="spellStart"/>
      <w:r>
        <w:t>Tillmann</w:t>
      </w:r>
      <w:proofErr w:type="spellEnd"/>
      <w:r>
        <w:t xml:space="preserve"> (eds.), </w:t>
      </w:r>
      <w:proofErr w:type="spellStart"/>
      <w:r>
        <w:t>Archäologie</w:t>
      </w:r>
      <w:proofErr w:type="spellEnd"/>
      <w:r>
        <w:t xml:space="preserve"> um Ingolstadt. Die </w:t>
      </w:r>
      <w:proofErr w:type="spellStart"/>
      <w:r>
        <w:t>archäologischen</w:t>
      </w:r>
      <w:proofErr w:type="spellEnd"/>
      <w:r>
        <w:t xml:space="preserve"> </w:t>
      </w:r>
      <w:proofErr w:type="spellStart"/>
      <w:r>
        <w:t>Untersuchungen</w:t>
      </w:r>
      <w:proofErr w:type="spellEnd"/>
      <w:r>
        <w:t xml:space="preserve"> </w:t>
      </w:r>
      <w:proofErr w:type="spellStart"/>
      <w:r>
        <w:t>beim</w:t>
      </w:r>
      <w:proofErr w:type="spellEnd"/>
      <w:r>
        <w:t xml:space="preserve"> </w:t>
      </w:r>
      <w:proofErr w:type="spellStart"/>
      <w:r>
        <w:t>Bau</w:t>
      </w:r>
      <w:proofErr w:type="spellEnd"/>
      <w:r>
        <w:t xml:space="preserve"> der B16 und der </w:t>
      </w:r>
      <w:proofErr w:type="spellStart"/>
      <w:r>
        <w:t>Bahnverlegung</w:t>
      </w:r>
      <w:proofErr w:type="spellEnd"/>
      <w:r>
        <w:t xml:space="preserve"> (</w:t>
      </w:r>
      <w:proofErr w:type="spellStart"/>
      <w:r>
        <w:t>Kipfenberg</w:t>
      </w:r>
      <w:proofErr w:type="spellEnd"/>
      <w:r>
        <w:t xml:space="preserve"> 1995) 127–185.</w:t>
      </w:r>
    </w:p>
    <w:p w14:paraId="486DB9EC" w14:textId="77777777" w:rsidR="00EC6B51" w:rsidRDefault="00EC6B51" w:rsidP="00EC6B51">
      <w:r>
        <w:t xml:space="preserve">Sievers 2007: S. Sievers, Manching. Die </w:t>
      </w:r>
      <w:proofErr w:type="spellStart"/>
      <w:r>
        <w:t>Keltenstadt</w:t>
      </w:r>
      <w:proofErr w:type="spellEnd"/>
      <w:r>
        <w:t xml:space="preserve">. Führer arch. </w:t>
      </w:r>
      <w:proofErr w:type="spellStart"/>
      <w:r>
        <w:t>Denkmäler</w:t>
      </w:r>
      <w:proofErr w:type="spellEnd"/>
      <w:r>
        <w:t xml:space="preserve"> Bayern. </w:t>
      </w:r>
      <w:proofErr w:type="spellStart"/>
      <w:r>
        <w:t>Oberbayern</w:t>
      </w:r>
      <w:proofErr w:type="spellEnd"/>
      <w:r>
        <w:t xml:space="preserve"> 3 (Stuttgart 2 2007). </w:t>
      </w:r>
    </w:p>
    <w:p w14:paraId="348260BC" w14:textId="77777777" w:rsidR="00EC6B51" w:rsidRDefault="00EC6B51" w:rsidP="00EC6B51">
      <w:r>
        <w:t xml:space="preserve">Sievers, S. 2003. Manching - Die </w:t>
      </w:r>
      <w:proofErr w:type="spellStart"/>
      <w:r>
        <w:t>Keltenstadt</w:t>
      </w:r>
      <w:proofErr w:type="spellEnd"/>
      <w:r>
        <w:t>. (</w:t>
      </w:r>
      <w:proofErr w:type="spellStart"/>
      <w:r>
        <w:t>Fiihrer</w:t>
      </w:r>
      <w:proofErr w:type="spellEnd"/>
      <w:r>
        <w:t xml:space="preserve"> </w:t>
      </w:r>
      <w:proofErr w:type="spellStart"/>
      <w:r>
        <w:t>zu</w:t>
      </w:r>
      <w:proofErr w:type="spellEnd"/>
      <w:r>
        <w:t xml:space="preserve"> </w:t>
      </w:r>
      <w:proofErr w:type="spellStart"/>
      <w:r>
        <w:t>archaologischen</w:t>
      </w:r>
      <w:proofErr w:type="spellEnd"/>
      <w:r>
        <w:t xml:space="preserve"> </w:t>
      </w:r>
      <w:proofErr w:type="spellStart"/>
      <w:r>
        <w:t>Denkmalem</w:t>
      </w:r>
      <w:proofErr w:type="spellEnd"/>
      <w:r>
        <w:t xml:space="preserve"> in </w:t>
      </w:r>
      <w:proofErr w:type="spellStart"/>
      <w:r>
        <w:t>Bayem</w:t>
      </w:r>
      <w:proofErr w:type="spellEnd"/>
      <w:r>
        <w:t xml:space="preserve">. </w:t>
      </w:r>
      <w:proofErr w:type="spellStart"/>
      <w:r>
        <w:t>Oberbayem</w:t>
      </w:r>
      <w:proofErr w:type="spellEnd"/>
      <w:r>
        <w:t xml:space="preserve"> 3). Stuttgart: Konrad </w:t>
      </w:r>
      <w:proofErr w:type="spellStart"/>
      <w:r>
        <w:t>Theiss</w:t>
      </w:r>
      <w:proofErr w:type="spellEnd"/>
      <w:r>
        <w:t xml:space="preserve"> Verlag.</w:t>
      </w:r>
    </w:p>
    <w:p w14:paraId="08C5E983" w14:textId="77777777" w:rsidR="00EC6B51" w:rsidRDefault="00EC6B51" w:rsidP="00EC6B51">
      <w:r>
        <w:t xml:space="preserve">Jacobi 1974: G. Jacobi, </w:t>
      </w:r>
      <w:proofErr w:type="spellStart"/>
      <w:r>
        <w:t>Werkzeug</w:t>
      </w:r>
      <w:proofErr w:type="spellEnd"/>
      <w:r>
        <w:t xml:space="preserve"> und </w:t>
      </w:r>
      <w:proofErr w:type="spellStart"/>
      <w:r>
        <w:t>Gerät</w:t>
      </w:r>
      <w:proofErr w:type="spellEnd"/>
      <w:r>
        <w:t xml:space="preserve"> </w:t>
      </w:r>
      <w:proofErr w:type="spellStart"/>
      <w:r>
        <w:t>aus</w:t>
      </w:r>
      <w:proofErr w:type="spellEnd"/>
      <w:r>
        <w:t xml:space="preserve"> </w:t>
      </w:r>
      <w:proofErr w:type="spellStart"/>
      <w:r>
        <w:t>dem</w:t>
      </w:r>
      <w:proofErr w:type="spellEnd"/>
      <w:r>
        <w:t xml:space="preserve"> Oppidum von Manching. </w:t>
      </w:r>
      <w:proofErr w:type="spellStart"/>
      <w:r>
        <w:t>Ausgr</w:t>
      </w:r>
      <w:proofErr w:type="spellEnd"/>
      <w:r>
        <w:t>. Manching 5 (Wiesbaden 1974).</w:t>
      </w:r>
    </w:p>
    <w:p w14:paraId="2B9BF892" w14:textId="77777777" w:rsidR="00EC6B51" w:rsidRDefault="00EC6B51" w:rsidP="00EC6B51">
      <w:pPr>
        <w:rPr>
          <w:sz w:val="24"/>
        </w:rPr>
      </w:pPr>
    </w:p>
    <w:p w14:paraId="199BB270" w14:textId="77777777" w:rsidR="00EC6B51" w:rsidRPr="007331B7" w:rsidRDefault="00EC6B51" w:rsidP="00EC6B51">
      <w:pPr>
        <w:pStyle w:val="Bibliography"/>
        <w:rPr>
          <w:sz w:val="24"/>
        </w:rPr>
      </w:pPr>
      <w:r>
        <w:fldChar w:fldCharType="begin"/>
      </w:r>
      <w:r>
        <w:instrText xml:space="preserve"> ADDIN ZOTERO_BIBL {"uncited":[],"omitted":[],"custom":[]} CSL_BIBLIOGRAPHY </w:instrText>
      </w:r>
      <w:r>
        <w:fldChar w:fldCharType="separate"/>
      </w:r>
      <w:proofErr w:type="spellStart"/>
      <w:r w:rsidRPr="007331B7">
        <w:rPr>
          <w:sz w:val="24"/>
        </w:rPr>
        <w:t>Froh</w:t>
      </w:r>
      <w:proofErr w:type="spellEnd"/>
      <w:r w:rsidRPr="007331B7">
        <w:rPr>
          <w:sz w:val="24"/>
        </w:rPr>
        <w:t>, J., 2004. Archaeological Ceramics Studied by Scanning Electron Microscopy. Hyperfine Interactions 154, 159–176. https://doi.org/10.1023/B:HYPE.0000032074.98045.cc</w:t>
      </w:r>
    </w:p>
    <w:p w14:paraId="05192B6A" w14:textId="77777777" w:rsidR="00EC6B51" w:rsidRPr="007331B7" w:rsidRDefault="00EC6B51" w:rsidP="00EC6B51">
      <w:pPr>
        <w:pStyle w:val="Bibliography"/>
        <w:rPr>
          <w:sz w:val="24"/>
        </w:rPr>
      </w:pPr>
      <w:proofErr w:type="spellStart"/>
      <w:r w:rsidRPr="007331B7">
        <w:rPr>
          <w:sz w:val="24"/>
        </w:rPr>
        <w:lastRenderedPageBreak/>
        <w:t>Gebhard</w:t>
      </w:r>
      <w:proofErr w:type="spellEnd"/>
      <w:r w:rsidRPr="007331B7">
        <w:rPr>
          <w:sz w:val="24"/>
        </w:rPr>
        <w:t xml:space="preserve">, R., </w:t>
      </w:r>
      <w:proofErr w:type="spellStart"/>
      <w:r w:rsidRPr="007331B7">
        <w:rPr>
          <w:sz w:val="24"/>
        </w:rPr>
        <w:t>Bott</w:t>
      </w:r>
      <w:proofErr w:type="spellEnd"/>
      <w:r w:rsidRPr="007331B7">
        <w:rPr>
          <w:sz w:val="24"/>
        </w:rPr>
        <w:t xml:space="preserve">, R., Distler, N., </w:t>
      </w:r>
      <w:proofErr w:type="spellStart"/>
      <w:r w:rsidRPr="007331B7">
        <w:rPr>
          <w:sz w:val="24"/>
        </w:rPr>
        <w:t>Michàlek</w:t>
      </w:r>
      <w:proofErr w:type="spellEnd"/>
      <w:r w:rsidRPr="007331B7">
        <w:rPr>
          <w:sz w:val="24"/>
        </w:rPr>
        <w:t xml:space="preserve">, J., </w:t>
      </w:r>
      <w:proofErr w:type="spellStart"/>
      <w:r w:rsidRPr="007331B7">
        <w:rPr>
          <w:sz w:val="24"/>
        </w:rPr>
        <w:t>Riederer</w:t>
      </w:r>
      <w:proofErr w:type="spellEnd"/>
      <w:r w:rsidRPr="007331B7">
        <w:rPr>
          <w:sz w:val="24"/>
        </w:rPr>
        <w:t>, J., Wagner, F.E., Wagner, U., 2004. Ceramics from the Celtic Oppidum of Manching and Its Influence in Central Europe. Hyperfine Interactions 154, 199–214. https://doi.org/10.1023/B:HYPE.0000032098.71684.31</w:t>
      </w:r>
    </w:p>
    <w:p w14:paraId="31A321E1" w14:textId="77777777" w:rsidR="00EC6B51" w:rsidRPr="007331B7" w:rsidRDefault="00EC6B51" w:rsidP="00EC6B51">
      <w:pPr>
        <w:pStyle w:val="Bibliography"/>
        <w:rPr>
          <w:sz w:val="24"/>
        </w:rPr>
      </w:pPr>
      <w:r w:rsidRPr="007331B7">
        <w:rPr>
          <w:sz w:val="24"/>
        </w:rPr>
        <w:t>Sievers, S., 2015. The Lands of Germania in the Later Pre-Roman Iron Age. The Oxford Handbook of the Archaeology of Roman Germany. https://doi.org/10.1093/oxfordhb/9780199665730.013.2</w:t>
      </w:r>
    </w:p>
    <w:p w14:paraId="5A577A32" w14:textId="77777777" w:rsidR="00EC6B51" w:rsidRPr="007331B7" w:rsidRDefault="00EC6B51" w:rsidP="00EC6B51">
      <w:pPr>
        <w:pStyle w:val="Bibliography"/>
        <w:rPr>
          <w:sz w:val="24"/>
        </w:rPr>
      </w:pPr>
      <w:r w:rsidRPr="007331B7">
        <w:rPr>
          <w:sz w:val="24"/>
        </w:rPr>
        <w:t>Sievers, S., 2002. Manching revisited. Antiquity; Cambridge 76, 943–944.</w:t>
      </w:r>
    </w:p>
    <w:p w14:paraId="68F7B89D" w14:textId="77777777" w:rsidR="00EC6B51" w:rsidRPr="007331B7" w:rsidRDefault="00EC6B51" w:rsidP="00EC6B51">
      <w:pPr>
        <w:pStyle w:val="Bibliography"/>
        <w:rPr>
          <w:sz w:val="24"/>
        </w:rPr>
      </w:pPr>
      <w:proofErr w:type="spellStart"/>
      <w:r w:rsidRPr="007331B7">
        <w:rPr>
          <w:sz w:val="24"/>
        </w:rPr>
        <w:t>Vandemoortele</w:t>
      </w:r>
      <w:proofErr w:type="spellEnd"/>
      <w:r w:rsidRPr="007331B7">
        <w:rPr>
          <w:sz w:val="24"/>
        </w:rPr>
        <w:t xml:space="preserve">, K., 2011. Late La </w:t>
      </w:r>
      <w:proofErr w:type="spellStart"/>
      <w:r w:rsidRPr="007331B7">
        <w:rPr>
          <w:sz w:val="24"/>
        </w:rPr>
        <w:t>Tene</w:t>
      </w:r>
      <w:proofErr w:type="spellEnd"/>
      <w:r w:rsidRPr="007331B7">
        <w:rPr>
          <w:sz w:val="24"/>
        </w:rPr>
        <w:t xml:space="preserve"> oppida in West and Central Europe (</w:t>
      </w:r>
      <w:proofErr w:type="spellStart"/>
      <w:r w:rsidRPr="007331B7">
        <w:rPr>
          <w:sz w:val="24"/>
        </w:rPr>
        <w:t>phd</w:t>
      </w:r>
      <w:proofErr w:type="spellEnd"/>
      <w:r w:rsidRPr="007331B7">
        <w:rPr>
          <w:sz w:val="24"/>
        </w:rPr>
        <w:t>). Cardiff University.</w:t>
      </w:r>
    </w:p>
    <w:p w14:paraId="027240D2" w14:textId="77777777" w:rsidR="00EC6B51" w:rsidRPr="007331B7" w:rsidRDefault="00EC6B51" w:rsidP="00EC6B51">
      <w:pPr>
        <w:pStyle w:val="Bibliography"/>
        <w:rPr>
          <w:sz w:val="24"/>
        </w:rPr>
      </w:pPr>
      <w:r w:rsidRPr="007331B7">
        <w:rPr>
          <w:sz w:val="24"/>
        </w:rPr>
        <w:t>Wendling, H., 2014. Manching – A Celtic oppidum between Rescue Excavation and Research.</w:t>
      </w:r>
    </w:p>
    <w:p w14:paraId="742D6D56" w14:textId="77777777" w:rsidR="00EC6B51" w:rsidRPr="007331B7" w:rsidRDefault="00EC6B51" w:rsidP="00EC6B51">
      <w:pPr>
        <w:pStyle w:val="Bibliography"/>
        <w:rPr>
          <w:sz w:val="24"/>
        </w:rPr>
      </w:pPr>
      <w:r w:rsidRPr="007331B7">
        <w:rPr>
          <w:sz w:val="24"/>
        </w:rPr>
        <w:t>Wendling, H., 2013. Manching Reconsidered: New Perspectives on Settlement Dynamics and Urbanization in Iron Age Central Europe. European Journal of Archaeology 16, 459–490. https://doi.org/10.1179/1461957113Y.0000000031</w:t>
      </w:r>
    </w:p>
    <w:p w14:paraId="48450210" w14:textId="0DC86D2A" w:rsidR="00EC6B51" w:rsidRDefault="00EC6B51" w:rsidP="00EC6B51">
      <w:pPr>
        <w:widowControl w:val="0"/>
        <w:rPr>
          <w14:ligatures w14:val="none"/>
        </w:rPr>
      </w:pPr>
      <w:r>
        <w:rPr>
          <w:sz w:val="24"/>
        </w:rPr>
        <w:fldChar w:fldCharType="end"/>
      </w:r>
      <w:bookmarkStart w:id="0" w:name="_GoBack"/>
      <w:bookmarkEnd w:id="0"/>
    </w:p>
    <w:p w14:paraId="404843C8" w14:textId="77777777" w:rsidR="00936399" w:rsidRDefault="00936399"/>
    <w:sectPr w:rsidR="009363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B51"/>
    <w:rsid w:val="00936399"/>
    <w:rsid w:val="00EC6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93E4B"/>
  <w15:chartTrackingRefBased/>
  <w15:docId w15:val="{C412064C-A1C3-45D2-B95D-3889F0C20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6B5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semiHidden/>
    <w:unhideWhenUsed/>
    <w:rsid w:val="00EC6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915633">
      <w:bodyDiv w:val="1"/>
      <w:marLeft w:val="0"/>
      <w:marRight w:val="0"/>
      <w:marTop w:val="0"/>
      <w:marBottom w:val="0"/>
      <w:divBdr>
        <w:top w:val="none" w:sz="0" w:space="0" w:color="auto"/>
        <w:left w:val="none" w:sz="0" w:space="0" w:color="auto"/>
        <w:bottom w:val="none" w:sz="0" w:space="0" w:color="auto"/>
        <w:right w:val="none" w:sz="0" w:space="0" w:color="auto"/>
      </w:divBdr>
    </w:div>
    <w:div w:id="1016690602">
      <w:bodyDiv w:val="1"/>
      <w:marLeft w:val="0"/>
      <w:marRight w:val="0"/>
      <w:marTop w:val="0"/>
      <w:marBottom w:val="0"/>
      <w:divBdr>
        <w:top w:val="none" w:sz="0" w:space="0" w:color="auto"/>
        <w:left w:val="none" w:sz="0" w:space="0" w:color="auto"/>
        <w:bottom w:val="none" w:sz="0" w:space="0" w:color="auto"/>
        <w:right w:val="none" w:sz="0" w:space="0" w:color="auto"/>
      </w:divBdr>
    </w:div>
    <w:div w:id="1057120124">
      <w:bodyDiv w:val="1"/>
      <w:marLeft w:val="0"/>
      <w:marRight w:val="0"/>
      <w:marTop w:val="0"/>
      <w:marBottom w:val="0"/>
      <w:divBdr>
        <w:top w:val="none" w:sz="0" w:space="0" w:color="auto"/>
        <w:left w:val="none" w:sz="0" w:space="0" w:color="auto"/>
        <w:bottom w:val="none" w:sz="0" w:space="0" w:color="auto"/>
        <w:right w:val="none" w:sz="0" w:space="0" w:color="auto"/>
      </w:divBdr>
    </w:div>
    <w:div w:id="1257250059">
      <w:bodyDiv w:val="1"/>
      <w:marLeft w:val="0"/>
      <w:marRight w:val="0"/>
      <w:marTop w:val="0"/>
      <w:marBottom w:val="0"/>
      <w:divBdr>
        <w:top w:val="none" w:sz="0" w:space="0" w:color="auto"/>
        <w:left w:val="none" w:sz="0" w:space="0" w:color="auto"/>
        <w:bottom w:val="none" w:sz="0" w:space="0" w:color="auto"/>
        <w:right w:val="none" w:sz="0" w:space="0" w:color="auto"/>
      </w:divBdr>
    </w:div>
    <w:div w:id="1358461694">
      <w:bodyDiv w:val="1"/>
      <w:marLeft w:val="0"/>
      <w:marRight w:val="0"/>
      <w:marTop w:val="0"/>
      <w:marBottom w:val="0"/>
      <w:divBdr>
        <w:top w:val="none" w:sz="0" w:space="0" w:color="auto"/>
        <w:left w:val="none" w:sz="0" w:space="0" w:color="auto"/>
        <w:bottom w:val="none" w:sz="0" w:space="0" w:color="auto"/>
        <w:right w:val="none" w:sz="0" w:space="0" w:color="auto"/>
      </w:divBdr>
    </w:div>
    <w:div w:id="1420828376">
      <w:bodyDiv w:val="1"/>
      <w:marLeft w:val="0"/>
      <w:marRight w:val="0"/>
      <w:marTop w:val="0"/>
      <w:marBottom w:val="0"/>
      <w:divBdr>
        <w:top w:val="none" w:sz="0" w:space="0" w:color="auto"/>
        <w:left w:val="none" w:sz="0" w:space="0" w:color="auto"/>
        <w:bottom w:val="none" w:sz="0" w:space="0" w:color="auto"/>
        <w:right w:val="none" w:sz="0" w:space="0" w:color="auto"/>
      </w:divBdr>
    </w:div>
    <w:div w:id="1522357573">
      <w:bodyDiv w:val="1"/>
      <w:marLeft w:val="0"/>
      <w:marRight w:val="0"/>
      <w:marTop w:val="0"/>
      <w:marBottom w:val="0"/>
      <w:divBdr>
        <w:top w:val="none" w:sz="0" w:space="0" w:color="auto"/>
        <w:left w:val="none" w:sz="0" w:space="0" w:color="auto"/>
        <w:bottom w:val="none" w:sz="0" w:space="0" w:color="auto"/>
        <w:right w:val="none" w:sz="0" w:space="0" w:color="auto"/>
      </w:divBdr>
    </w:div>
    <w:div w:id="185037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Biggar (1703322)</dc:creator>
  <cp:keywords/>
  <dc:description/>
  <cp:lastModifiedBy>Georgia Biggar (1703322)</cp:lastModifiedBy>
  <cp:revision>1</cp:revision>
  <dcterms:created xsi:type="dcterms:W3CDTF">2019-01-30T22:49:00Z</dcterms:created>
  <dcterms:modified xsi:type="dcterms:W3CDTF">2019-01-30T22:52:00Z</dcterms:modified>
</cp:coreProperties>
</file>