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12B512" w14:textId="3450D8B2" w:rsidR="00A66E6C" w:rsidRPr="00F27625" w:rsidRDefault="002F6A6D" w:rsidP="00F27625">
      <w:pPr>
        <w:tabs>
          <w:tab w:val="left" w:pos="3252"/>
        </w:tabs>
        <w:jc w:val="center"/>
        <w:rPr>
          <w:rFonts w:ascii="Arial" w:hAnsi="Arial" w:cs="Arial"/>
          <w:color w:val="000000" w:themeColor="text1"/>
          <w:u w:val="single"/>
        </w:rPr>
      </w:pPr>
      <w:r w:rsidRPr="00F27625">
        <w:rPr>
          <w:rFonts w:ascii="Arial" w:hAnsi="Arial" w:cs="Arial"/>
          <w:color w:val="000000" w:themeColor="text1"/>
          <w:u w:val="single"/>
        </w:rPr>
        <w:t xml:space="preserve">How psychological </w:t>
      </w:r>
      <w:r w:rsidR="000362DC" w:rsidRPr="00F27625">
        <w:rPr>
          <w:rFonts w:ascii="Arial" w:hAnsi="Arial" w:cs="Arial"/>
          <w:color w:val="000000" w:themeColor="text1"/>
          <w:u w:val="single"/>
        </w:rPr>
        <w:t xml:space="preserve">theories can be used to support </w:t>
      </w:r>
      <w:r w:rsidR="00F27625" w:rsidRPr="00F27625">
        <w:rPr>
          <w:rFonts w:ascii="Arial" w:hAnsi="Arial" w:cs="Arial"/>
          <w:color w:val="000000" w:themeColor="text1"/>
          <w:u w:val="single"/>
        </w:rPr>
        <w:t>older adults.</w:t>
      </w:r>
    </w:p>
    <w:p w14:paraId="59E655EC" w14:textId="213D5DB1" w:rsidR="00A66E6C" w:rsidRDefault="0042640D">
      <w:pPr>
        <w:rPr>
          <w:rFonts w:ascii="Arial" w:hAnsi="Arial" w:cs="Arial"/>
          <w:color w:val="000000" w:themeColor="text1"/>
        </w:rPr>
      </w:pPr>
      <w:r>
        <w:rPr>
          <w:rFonts w:ascii="Arial" w:hAnsi="Arial" w:cs="Arial"/>
          <w:color w:val="000000" w:themeColor="text1"/>
        </w:rPr>
        <w:t>Nyall berry</w:t>
      </w:r>
    </w:p>
    <w:p w14:paraId="09EBE36A" w14:textId="0D51798E" w:rsidR="0019231A" w:rsidRDefault="0042640D" w:rsidP="001E15D8">
      <w:pPr>
        <w:rPr>
          <w:rFonts w:ascii="Arial" w:hAnsi="Arial" w:cs="Arial"/>
          <w:color w:val="000000" w:themeColor="text1"/>
        </w:rPr>
      </w:pPr>
      <w:r>
        <w:rPr>
          <w:rFonts w:ascii="Arial" w:hAnsi="Arial" w:cs="Arial"/>
          <w:color w:val="000000" w:themeColor="text1"/>
        </w:rPr>
        <w:t>232</w:t>
      </w:r>
      <w:r w:rsidR="0019231A">
        <w:rPr>
          <w:rFonts w:ascii="Arial" w:hAnsi="Arial" w:cs="Arial"/>
          <w:color w:val="000000" w:themeColor="text1"/>
        </w:rPr>
        <w:t>9185</w:t>
      </w:r>
    </w:p>
    <w:p w14:paraId="62417B24" w14:textId="7D2DC305" w:rsidR="001E15D8" w:rsidRPr="001E15D8" w:rsidRDefault="005D1B9F" w:rsidP="001E15D8">
      <w:pPr>
        <w:rPr>
          <w:rFonts w:ascii="Arial" w:hAnsi="Arial" w:cs="Arial"/>
          <w:color w:val="000000" w:themeColor="text1"/>
        </w:rPr>
      </w:pPr>
      <w:r>
        <w:rPr>
          <w:rFonts w:ascii="Arial" w:hAnsi="Arial" w:cs="Arial"/>
          <w:color w:val="000000" w:themeColor="text1"/>
        </w:rPr>
        <w:t>Psychology in health and social</w:t>
      </w:r>
      <w:r w:rsidR="004B0E34">
        <w:rPr>
          <w:rFonts w:ascii="Arial" w:hAnsi="Arial" w:cs="Arial"/>
          <w:color w:val="000000" w:themeColor="text1"/>
        </w:rPr>
        <w:t xml:space="preserve"> care </w:t>
      </w:r>
      <w:r w:rsidR="00326584">
        <w:rPr>
          <w:rFonts w:ascii="Arial" w:hAnsi="Arial" w:cs="Arial"/>
          <w:color w:val="000000" w:themeColor="text1"/>
        </w:rPr>
        <w:t>(LCHS4010_BIRM)2025</w:t>
      </w:r>
      <w:r w:rsidR="00060E57">
        <w:rPr>
          <w:rFonts w:ascii="Arial" w:hAnsi="Arial" w:cs="Arial"/>
          <w:color w:val="000000" w:themeColor="text1"/>
        </w:rPr>
        <w:t xml:space="preserve"> neal</w:t>
      </w:r>
      <w:r w:rsidR="00024722">
        <w:rPr>
          <w:rFonts w:ascii="Arial" w:hAnsi="Arial" w:cs="Arial"/>
          <w:color w:val="000000" w:themeColor="text1"/>
        </w:rPr>
        <w:t>e haddon</w:t>
      </w:r>
    </w:p>
    <w:p w14:paraId="32CC212B" w14:textId="786FCBBE" w:rsidR="00A66E6C" w:rsidRPr="00F27625" w:rsidRDefault="00C65833">
      <w:pPr>
        <w:rPr>
          <w:rFonts w:ascii="Arial" w:hAnsi="Arial" w:cs="Arial"/>
          <w:color w:val="000000" w:themeColor="text1"/>
        </w:rPr>
      </w:pPr>
      <w:r w:rsidRPr="00F27625">
        <w:rPr>
          <w:rFonts w:ascii="Arial" w:hAnsi="Arial" w:cs="Arial"/>
          <w:color w:val="000000" w:themeColor="text1"/>
        </w:rPr>
        <w:t>Ageing theories provide valuable insights into the challenges and transitions experience in later life. Theories help to understand how older adults experience ageing which is essential for providing high quality care in health and social care settings. The theories can help professionals recognise different patterns of ageing and support them in planning care to meet individual needs. Applying these theories can cause challenges which this assignment will explore how the theories can be applied and suggest effective strategies to manage the challenges.</w:t>
      </w:r>
    </w:p>
    <w:p w14:paraId="029DF749" w14:textId="6ABC182A" w:rsidR="00A66E6C" w:rsidRPr="00F27625" w:rsidRDefault="00A66E6C">
      <w:pPr>
        <w:rPr>
          <w:rFonts w:ascii="Arial" w:hAnsi="Arial" w:cs="Arial"/>
          <w:color w:val="000000" w:themeColor="text1"/>
        </w:rPr>
      </w:pPr>
      <w:r w:rsidRPr="00F27625">
        <w:rPr>
          <w:rFonts w:ascii="Arial" w:hAnsi="Arial" w:cs="Arial"/>
          <w:color w:val="000000" w:themeColor="text1"/>
        </w:rPr>
        <w:t xml:space="preserve">One psychological theory relevant to adult development is Social Disengagement </w:t>
      </w:r>
      <w:r w:rsidR="00D16DC5" w:rsidRPr="00F27625">
        <w:rPr>
          <w:rFonts w:ascii="Arial" w:hAnsi="Arial" w:cs="Arial"/>
          <w:color w:val="000000" w:themeColor="text1"/>
        </w:rPr>
        <w:t>Theory</w:t>
      </w:r>
      <w:r w:rsidRPr="00F27625">
        <w:rPr>
          <w:rFonts w:ascii="Arial" w:hAnsi="Arial" w:cs="Arial"/>
          <w:color w:val="000000" w:themeColor="text1"/>
        </w:rPr>
        <w:t xml:space="preserve">. This theory was developed by Elaine Cumming and William </w:t>
      </w:r>
      <w:r w:rsidR="00D16DC5" w:rsidRPr="00F27625">
        <w:rPr>
          <w:rFonts w:ascii="Arial" w:hAnsi="Arial" w:cs="Arial"/>
          <w:color w:val="000000" w:themeColor="text1"/>
        </w:rPr>
        <w:t>Henry</w:t>
      </w:r>
      <w:r w:rsidRPr="00F27625">
        <w:rPr>
          <w:rFonts w:ascii="Arial" w:hAnsi="Arial" w:cs="Arial"/>
          <w:color w:val="000000" w:themeColor="text1"/>
        </w:rPr>
        <w:t xml:space="preserve"> in 1961. It shows as people grow older, they naturally withdraw from social roles, activities, and relationships. "Social structural change is defined as disengagement if it involves a reduction in the number of members in the social structure surrounding the individual, a diminishing of interactions with those members, and a restructuring of the goals of the system." (Charlotte Nic</w:t>
      </w:r>
      <w:r w:rsidR="00D55037" w:rsidRPr="00F27625">
        <w:rPr>
          <w:rFonts w:ascii="Arial" w:hAnsi="Arial" w:cs="Arial"/>
          <w:color w:val="000000" w:themeColor="text1"/>
        </w:rPr>
        <w:t>k</w:t>
      </w:r>
      <w:r w:rsidRPr="00F27625">
        <w:rPr>
          <w:rFonts w:ascii="Arial" w:hAnsi="Arial" w:cs="Arial"/>
          <w:color w:val="000000" w:themeColor="text1"/>
        </w:rPr>
        <w:t xml:space="preserve">erson, November 9, 2023) The key features of this </w:t>
      </w:r>
      <w:r w:rsidR="00D16DC5" w:rsidRPr="00F27625">
        <w:rPr>
          <w:rFonts w:ascii="Arial" w:hAnsi="Arial" w:cs="Arial"/>
          <w:color w:val="000000" w:themeColor="text1"/>
        </w:rPr>
        <w:t>theory</w:t>
      </w:r>
      <w:r w:rsidRPr="00F27625">
        <w:rPr>
          <w:rFonts w:ascii="Arial" w:hAnsi="Arial" w:cs="Arial"/>
          <w:color w:val="000000" w:themeColor="text1"/>
        </w:rPr>
        <w:t xml:space="preserve"> older adults may have reduced social </w:t>
      </w:r>
      <w:r w:rsidR="00D16DC5" w:rsidRPr="00F27625">
        <w:rPr>
          <w:rFonts w:ascii="Arial" w:hAnsi="Arial" w:cs="Arial"/>
          <w:color w:val="000000" w:themeColor="text1"/>
        </w:rPr>
        <w:t>interactions</w:t>
      </w:r>
      <w:r w:rsidRPr="00F27625">
        <w:rPr>
          <w:rFonts w:ascii="Arial" w:hAnsi="Arial" w:cs="Arial"/>
          <w:color w:val="000000" w:themeColor="text1"/>
        </w:rPr>
        <w:t xml:space="preserve">, meaning they may take part in fewer social </w:t>
      </w:r>
      <w:r w:rsidR="00D16DC5" w:rsidRPr="00F27625">
        <w:rPr>
          <w:rFonts w:ascii="Arial" w:hAnsi="Arial" w:cs="Arial"/>
          <w:color w:val="000000" w:themeColor="text1"/>
        </w:rPr>
        <w:t>activities</w:t>
      </w:r>
      <w:r w:rsidRPr="00F27625">
        <w:rPr>
          <w:rFonts w:ascii="Arial" w:hAnsi="Arial" w:cs="Arial"/>
          <w:color w:val="000000" w:themeColor="text1"/>
        </w:rPr>
        <w:t xml:space="preserve">, hobbies and </w:t>
      </w:r>
      <w:r w:rsidR="00D16DC5" w:rsidRPr="00F27625">
        <w:rPr>
          <w:rFonts w:ascii="Arial" w:hAnsi="Arial" w:cs="Arial"/>
          <w:color w:val="000000" w:themeColor="text1"/>
        </w:rPr>
        <w:t>community</w:t>
      </w:r>
      <w:r w:rsidRPr="00F27625">
        <w:rPr>
          <w:rFonts w:ascii="Arial" w:hAnsi="Arial" w:cs="Arial"/>
          <w:color w:val="000000" w:themeColor="text1"/>
        </w:rPr>
        <w:t xml:space="preserve"> roles. </w:t>
      </w:r>
      <w:r w:rsidR="00D16DC5" w:rsidRPr="00F27625">
        <w:rPr>
          <w:rFonts w:ascii="Arial" w:hAnsi="Arial" w:cs="Arial"/>
          <w:color w:val="000000" w:themeColor="text1"/>
        </w:rPr>
        <w:t>Ageing</w:t>
      </w:r>
      <w:r w:rsidRPr="00F27625">
        <w:rPr>
          <w:rFonts w:ascii="Arial" w:hAnsi="Arial" w:cs="Arial"/>
          <w:color w:val="000000" w:themeColor="text1"/>
        </w:rPr>
        <w:t xml:space="preserve"> can also have a </w:t>
      </w:r>
      <w:r w:rsidR="00D16DC5" w:rsidRPr="00F27625">
        <w:rPr>
          <w:rFonts w:ascii="Arial" w:hAnsi="Arial" w:cs="Arial"/>
          <w:color w:val="000000" w:themeColor="text1"/>
        </w:rPr>
        <w:t>decline</w:t>
      </w:r>
      <w:r w:rsidRPr="00F27625">
        <w:rPr>
          <w:rFonts w:ascii="Arial" w:hAnsi="Arial" w:cs="Arial"/>
          <w:color w:val="000000" w:themeColor="text1"/>
        </w:rPr>
        <w:t xml:space="preserve"> in physical ability as </w:t>
      </w:r>
      <w:r w:rsidR="00D16DC5" w:rsidRPr="00F27625">
        <w:rPr>
          <w:rFonts w:ascii="Arial" w:hAnsi="Arial" w:cs="Arial"/>
          <w:color w:val="000000" w:themeColor="text1"/>
        </w:rPr>
        <w:t>aging</w:t>
      </w:r>
      <w:r w:rsidRPr="00F27625">
        <w:rPr>
          <w:rFonts w:ascii="Arial" w:hAnsi="Arial" w:cs="Arial"/>
          <w:color w:val="000000" w:themeColor="text1"/>
        </w:rPr>
        <w:t xml:space="preserve"> can bring physical or cognitive changes which can makes social engagement harder, this can contribute to </w:t>
      </w:r>
      <w:r w:rsidR="00D16DC5" w:rsidRPr="00F27625">
        <w:rPr>
          <w:rFonts w:ascii="Arial" w:hAnsi="Arial" w:cs="Arial"/>
          <w:color w:val="000000" w:themeColor="text1"/>
        </w:rPr>
        <w:t>withdrawal</w:t>
      </w:r>
      <w:r w:rsidRPr="00F27625">
        <w:rPr>
          <w:rFonts w:ascii="Arial" w:hAnsi="Arial" w:cs="Arial"/>
          <w:color w:val="000000" w:themeColor="text1"/>
        </w:rPr>
        <w:t xml:space="preserve">. This theory leaves older adults having to emotionally adjust as the </w:t>
      </w:r>
      <w:r w:rsidR="00D16DC5" w:rsidRPr="00F27625">
        <w:rPr>
          <w:rFonts w:ascii="Arial" w:hAnsi="Arial" w:cs="Arial"/>
          <w:color w:val="000000" w:themeColor="text1"/>
        </w:rPr>
        <w:t>theory</w:t>
      </w:r>
      <w:r w:rsidRPr="00F27625">
        <w:rPr>
          <w:rFonts w:ascii="Arial" w:hAnsi="Arial" w:cs="Arial"/>
          <w:color w:val="000000" w:themeColor="text1"/>
        </w:rPr>
        <w:t xml:space="preserve"> </w:t>
      </w:r>
      <w:r w:rsidR="00D16DC5" w:rsidRPr="00F27625">
        <w:rPr>
          <w:rFonts w:ascii="Arial" w:hAnsi="Arial" w:cs="Arial"/>
          <w:color w:val="000000" w:themeColor="text1"/>
        </w:rPr>
        <w:t>suggests</w:t>
      </w:r>
      <w:r w:rsidRPr="00F27625">
        <w:rPr>
          <w:rFonts w:ascii="Arial" w:hAnsi="Arial" w:cs="Arial"/>
          <w:color w:val="000000" w:themeColor="text1"/>
        </w:rPr>
        <w:t xml:space="preserve"> withdrawing helps older adults reflect, conserve energy, and adjust emotionally to later life.</w:t>
      </w:r>
      <w:r w:rsidR="00D16DC5" w:rsidRPr="00F27625">
        <w:rPr>
          <w:rFonts w:ascii="Arial" w:hAnsi="Arial" w:cs="Arial"/>
          <w:color w:val="000000" w:themeColor="text1"/>
        </w:rPr>
        <w:t xml:space="preserve"> The strengths of social disengagement theory was one of the first theories to focus on ageing as a natural and universal process, </w:t>
      </w:r>
      <w:r w:rsidR="0027433D" w:rsidRPr="00F27625">
        <w:rPr>
          <w:rFonts w:ascii="Arial" w:hAnsi="Arial" w:cs="Arial"/>
          <w:color w:val="000000" w:themeColor="text1"/>
        </w:rPr>
        <w:t>it’s</w:t>
      </w:r>
      <w:r w:rsidR="00D16DC5" w:rsidRPr="00F27625">
        <w:rPr>
          <w:rFonts w:ascii="Arial" w:hAnsi="Arial" w:cs="Arial"/>
          <w:color w:val="000000" w:themeColor="text1"/>
        </w:rPr>
        <w:t xml:space="preserve"> able to recognise older adults may choose quieter lives. It also highlights the impact of social roles and the expectations on the ageing experience. The criticism of the theory consists of not all older adults to disengage as many stay active and social. The theory implies that older people should withdraw, that they have less value, and ignores individual differences.</w:t>
      </w:r>
      <w:r w:rsidR="0027433D" w:rsidRPr="00F27625">
        <w:rPr>
          <w:rFonts w:ascii="Arial" w:hAnsi="Arial" w:cs="Arial"/>
          <w:color w:val="000000" w:themeColor="text1"/>
        </w:rPr>
        <w:t xml:space="preserve"> </w:t>
      </w:r>
    </w:p>
    <w:p w14:paraId="12E4AFC2" w14:textId="6F6D3809" w:rsidR="00A72892" w:rsidRPr="00F27625" w:rsidRDefault="00BA75B6">
      <w:pPr>
        <w:rPr>
          <w:rFonts w:ascii="Arial" w:hAnsi="Arial" w:cs="Arial"/>
          <w:color w:val="000000" w:themeColor="text1"/>
        </w:rPr>
      </w:pPr>
      <w:r w:rsidRPr="00F27625">
        <w:rPr>
          <w:rFonts w:ascii="Arial" w:hAnsi="Arial" w:cs="Arial"/>
          <w:color w:val="000000" w:themeColor="text1"/>
        </w:rPr>
        <w:t xml:space="preserve">The Activity Theory was proposed by Robert Havighurst in early 1960s. This theory suggests maintaining roles and activities is crucial for wellbeing in later life. "Activity Theory centres on the idea that continued engagement in meaningful activities contributes significantly to life satisfaction and positive adjustment in older adulthood." </w:t>
      </w:r>
      <w:r w:rsidR="008D4D6C" w:rsidRPr="00F27625">
        <w:rPr>
          <w:rFonts w:ascii="Arial" w:hAnsi="Arial" w:cs="Arial"/>
          <w:color w:val="000000" w:themeColor="text1"/>
        </w:rPr>
        <w:t>(</w:t>
      </w:r>
      <w:r w:rsidR="00343C65" w:rsidRPr="00F27625">
        <w:rPr>
          <w:rFonts w:ascii="Arial" w:hAnsi="Arial" w:cs="Arial"/>
          <w:color w:val="000000" w:themeColor="text1"/>
        </w:rPr>
        <w:t>Socio.</w:t>
      </w:r>
      <w:r w:rsidR="00EF22BF" w:rsidRPr="00F27625">
        <w:rPr>
          <w:rFonts w:ascii="Arial" w:hAnsi="Arial" w:cs="Arial"/>
          <w:color w:val="000000" w:themeColor="text1"/>
        </w:rPr>
        <w:t xml:space="preserve">Health, </w:t>
      </w:r>
      <w:r w:rsidR="008D4D6C" w:rsidRPr="00F27625">
        <w:rPr>
          <w:rFonts w:ascii="Arial" w:hAnsi="Arial" w:cs="Arial"/>
          <w:color w:val="000000" w:themeColor="text1"/>
        </w:rPr>
        <w:t xml:space="preserve">May 21, </w:t>
      </w:r>
      <w:r w:rsidR="00EF22BF" w:rsidRPr="00F27625">
        <w:rPr>
          <w:rFonts w:ascii="Arial" w:hAnsi="Arial" w:cs="Arial"/>
          <w:color w:val="000000" w:themeColor="text1"/>
        </w:rPr>
        <w:t>2024) The</w:t>
      </w:r>
      <w:r w:rsidRPr="00F27625">
        <w:rPr>
          <w:rFonts w:ascii="Arial" w:hAnsi="Arial" w:cs="Arial"/>
          <w:color w:val="000000" w:themeColor="text1"/>
        </w:rPr>
        <w:t xml:space="preserve"> propositions include role continuity which is maintaining midlife activities and finding substitutes for lost roles. An active lifestyle means remaining active not only physically but mentally, and socially which helps to preserve health and cognitive function. Identity preservation means continued activity can help maintain a sense of self and purpose despite any age-related challenges. The evidence that supports the activity theory is research has shown there is a higher life satisfaction as more older adults have reported greater happiness. Older people who are active have shown fewer health problems, mental, and social engagement appears to help preserve cognitive abilities. One key struggle for older adults is loneliness and depression which often gets confused with social disengagement, but research shows active older adults have lower rates of depression and anxiety.</w:t>
      </w:r>
      <w:r w:rsidR="00A82045" w:rsidRPr="00F27625">
        <w:rPr>
          <w:rFonts w:ascii="Arial" w:hAnsi="Arial" w:cs="Arial"/>
          <w:color w:val="000000" w:themeColor="text1"/>
        </w:rPr>
        <w:t xml:space="preserve"> The activity theory challenges social disengagement theory as it suggests that withdrawal is natural and a part of ageing. Whereas the activity theory believes engagement leads to healthy ageing. An example of this theory is is an older adult in a care home attends weekly community </w:t>
      </w:r>
      <w:r w:rsidR="004B5DBF" w:rsidRPr="00F27625">
        <w:rPr>
          <w:rFonts w:ascii="Arial" w:hAnsi="Arial" w:cs="Arial"/>
          <w:color w:val="000000" w:themeColor="text1"/>
        </w:rPr>
        <w:t>groups and</w:t>
      </w:r>
      <w:r w:rsidR="00A82045" w:rsidRPr="00F27625">
        <w:rPr>
          <w:rFonts w:ascii="Arial" w:hAnsi="Arial" w:cs="Arial"/>
          <w:color w:val="000000" w:themeColor="text1"/>
        </w:rPr>
        <w:t xml:space="preserve"> helps with small chores which helps them to feel useful, values and happy.</w:t>
      </w:r>
    </w:p>
    <w:p w14:paraId="1C525C0F" w14:textId="77777777" w:rsidR="00634B7C" w:rsidRPr="00F27625" w:rsidRDefault="00634B7C">
      <w:pPr>
        <w:rPr>
          <w:rFonts w:ascii="Arial" w:hAnsi="Arial" w:cs="Arial"/>
          <w:color w:val="000000" w:themeColor="text1"/>
        </w:rPr>
      </w:pPr>
    </w:p>
    <w:p w14:paraId="37CB1F8B" w14:textId="76A55601" w:rsidR="00027C37" w:rsidRPr="00F27625" w:rsidRDefault="00634B7C">
      <w:pPr>
        <w:rPr>
          <w:rFonts w:ascii="Arial" w:hAnsi="Arial" w:cs="Arial"/>
          <w:color w:val="000000" w:themeColor="text1"/>
        </w:rPr>
      </w:pPr>
      <w:r w:rsidRPr="00F27625">
        <w:rPr>
          <w:rFonts w:ascii="Arial" w:hAnsi="Arial" w:cs="Arial"/>
          <w:color w:val="000000" w:themeColor="text1"/>
        </w:rPr>
        <w:t xml:space="preserve">The Social </w:t>
      </w:r>
      <w:r w:rsidR="00D9392B" w:rsidRPr="00F27625">
        <w:rPr>
          <w:rFonts w:ascii="Arial" w:hAnsi="Arial" w:cs="Arial"/>
          <w:color w:val="000000" w:themeColor="text1"/>
        </w:rPr>
        <w:t>Disengagement</w:t>
      </w:r>
      <w:r w:rsidRPr="00F27625">
        <w:rPr>
          <w:rFonts w:ascii="Arial" w:hAnsi="Arial" w:cs="Arial"/>
          <w:color w:val="000000" w:themeColor="text1"/>
        </w:rPr>
        <w:t xml:space="preserve"> theory is now considered outdated but can still be used to support as it can be applied in a health and care setting as the theory suggests that many older people can naturally withdraw from social </w:t>
      </w:r>
      <w:r w:rsidR="00D9392B" w:rsidRPr="00F27625">
        <w:rPr>
          <w:rFonts w:ascii="Arial" w:hAnsi="Arial" w:cs="Arial"/>
          <w:color w:val="000000" w:themeColor="text1"/>
        </w:rPr>
        <w:t>engagement</w:t>
      </w:r>
      <w:r w:rsidRPr="00F27625">
        <w:rPr>
          <w:rFonts w:ascii="Arial" w:hAnsi="Arial" w:cs="Arial"/>
          <w:color w:val="000000" w:themeColor="text1"/>
        </w:rPr>
        <w:t xml:space="preserve"> and </w:t>
      </w:r>
      <w:r w:rsidR="00D9392B" w:rsidRPr="00F27625">
        <w:rPr>
          <w:rFonts w:ascii="Arial" w:hAnsi="Arial" w:cs="Arial"/>
          <w:color w:val="000000" w:themeColor="text1"/>
        </w:rPr>
        <w:t>activities</w:t>
      </w:r>
      <w:r w:rsidRPr="00F27625">
        <w:rPr>
          <w:rFonts w:ascii="Arial" w:hAnsi="Arial" w:cs="Arial"/>
          <w:color w:val="000000" w:themeColor="text1"/>
        </w:rPr>
        <w:t xml:space="preserve"> which can be part of the ageing process. When the </w:t>
      </w:r>
      <w:r w:rsidR="00D9392B" w:rsidRPr="00F27625">
        <w:rPr>
          <w:rFonts w:ascii="Arial" w:hAnsi="Arial" w:cs="Arial"/>
          <w:color w:val="000000" w:themeColor="text1"/>
        </w:rPr>
        <w:t>theory</w:t>
      </w:r>
      <w:r w:rsidRPr="00F27625">
        <w:rPr>
          <w:rFonts w:ascii="Arial" w:hAnsi="Arial" w:cs="Arial"/>
          <w:color w:val="000000" w:themeColor="text1"/>
        </w:rPr>
        <w:t xml:space="preserve"> is used respectfully and carefully, it can guide </w:t>
      </w:r>
      <w:r w:rsidR="00D9392B" w:rsidRPr="00F27625">
        <w:rPr>
          <w:rFonts w:ascii="Arial" w:hAnsi="Arial" w:cs="Arial"/>
          <w:color w:val="000000" w:themeColor="text1"/>
        </w:rPr>
        <w:t>practitioners</w:t>
      </w:r>
      <w:r w:rsidRPr="00F27625">
        <w:rPr>
          <w:rFonts w:ascii="Arial" w:hAnsi="Arial" w:cs="Arial"/>
          <w:color w:val="000000" w:themeColor="text1"/>
        </w:rPr>
        <w:t xml:space="preserve"> to notice individual preferences, emotional needs, and changes in social engagement. One way this theory can be applied is by supporting engagement by encouraging older adults to engage in different </w:t>
      </w:r>
      <w:r w:rsidR="00D9392B" w:rsidRPr="00F27625">
        <w:rPr>
          <w:rFonts w:ascii="Arial" w:hAnsi="Arial" w:cs="Arial"/>
          <w:color w:val="000000" w:themeColor="text1"/>
        </w:rPr>
        <w:t>activities</w:t>
      </w:r>
      <w:r w:rsidRPr="00F27625">
        <w:rPr>
          <w:rFonts w:ascii="Arial" w:hAnsi="Arial" w:cs="Arial"/>
          <w:color w:val="000000" w:themeColor="text1"/>
        </w:rPr>
        <w:t xml:space="preserve">, find hobbies, and join community events. Another way is by </w:t>
      </w:r>
      <w:r w:rsidR="00D9392B" w:rsidRPr="00F27625">
        <w:rPr>
          <w:rFonts w:ascii="Arial" w:hAnsi="Arial" w:cs="Arial"/>
          <w:color w:val="000000" w:themeColor="text1"/>
        </w:rPr>
        <w:t>utilizing</w:t>
      </w:r>
      <w:r w:rsidRPr="00F27625">
        <w:rPr>
          <w:rFonts w:ascii="Arial" w:hAnsi="Arial" w:cs="Arial"/>
          <w:color w:val="000000" w:themeColor="text1"/>
        </w:rPr>
        <w:t xml:space="preserve"> resources and implement educational programs which can teach older adults the importance of social engagement and the benefits. "By applying the Social Disengagement Theory, health and social care professionals can create a supportive environment that acknowledges and respects the natural process of disengagement."</w:t>
      </w:r>
      <w:r w:rsidR="003A64B4" w:rsidRPr="00F27625">
        <w:rPr>
          <w:rFonts w:ascii="Arial" w:hAnsi="Arial" w:cs="Arial"/>
          <w:color w:val="000000" w:themeColor="text1"/>
        </w:rPr>
        <w:t>(Charlotte Nick</w:t>
      </w:r>
      <w:r w:rsidR="00D55037" w:rsidRPr="00F27625">
        <w:rPr>
          <w:rFonts w:ascii="Arial" w:hAnsi="Arial" w:cs="Arial"/>
          <w:color w:val="000000" w:themeColor="text1"/>
        </w:rPr>
        <w:t>erson, November 9, 2023)</w:t>
      </w:r>
      <w:r w:rsidRPr="00F27625">
        <w:rPr>
          <w:rFonts w:ascii="Arial" w:hAnsi="Arial" w:cs="Arial"/>
          <w:color w:val="000000" w:themeColor="text1"/>
        </w:rPr>
        <w:t xml:space="preserve"> By providing comfort to older adults such as keeping daily routines, offering quiet spaces, limiting overwhelming </w:t>
      </w:r>
      <w:r w:rsidR="00D9392B" w:rsidRPr="00F27625">
        <w:rPr>
          <w:rFonts w:ascii="Arial" w:hAnsi="Arial" w:cs="Arial"/>
          <w:color w:val="000000" w:themeColor="text1"/>
        </w:rPr>
        <w:t>situations</w:t>
      </w:r>
      <w:r w:rsidRPr="00F27625">
        <w:rPr>
          <w:rFonts w:ascii="Arial" w:hAnsi="Arial" w:cs="Arial"/>
          <w:color w:val="000000" w:themeColor="text1"/>
        </w:rPr>
        <w:t xml:space="preserve"> can support older </w:t>
      </w:r>
      <w:r w:rsidR="00D55037" w:rsidRPr="00F27625">
        <w:rPr>
          <w:rFonts w:ascii="Arial" w:hAnsi="Arial" w:cs="Arial"/>
          <w:color w:val="000000" w:themeColor="text1"/>
        </w:rPr>
        <w:t>adults’</w:t>
      </w:r>
      <w:r w:rsidRPr="00F27625">
        <w:rPr>
          <w:rFonts w:ascii="Arial" w:hAnsi="Arial" w:cs="Arial"/>
          <w:color w:val="000000" w:themeColor="text1"/>
        </w:rPr>
        <w:t xml:space="preserve"> </w:t>
      </w:r>
      <w:r w:rsidR="00D9392B" w:rsidRPr="00F27625">
        <w:rPr>
          <w:rFonts w:ascii="Arial" w:hAnsi="Arial" w:cs="Arial"/>
          <w:color w:val="000000" w:themeColor="text1"/>
        </w:rPr>
        <w:t>wellbeing</w:t>
      </w:r>
      <w:r w:rsidRPr="00F27625">
        <w:rPr>
          <w:rFonts w:ascii="Arial" w:hAnsi="Arial" w:cs="Arial"/>
          <w:color w:val="000000" w:themeColor="text1"/>
        </w:rPr>
        <w:t xml:space="preserve"> and reduce their anxiety or overstimulation.</w:t>
      </w:r>
      <w:r w:rsidR="004E1621" w:rsidRPr="00F27625">
        <w:rPr>
          <w:rFonts w:ascii="Arial" w:hAnsi="Arial" w:cs="Arial"/>
          <w:color w:val="000000" w:themeColor="text1"/>
        </w:rPr>
        <w:t xml:space="preserve"> A practical example of this theory being used in health care settings is care homes allowing their residents to have time alone. This means allowing residents to stay in their room reading rather than joining in social clubs. The staff should respect this choice and check regularly to ensure the withdrawals is by choice and not due to loneliness. This reflects the </w:t>
      </w:r>
      <w:r w:rsidR="00FF249F" w:rsidRPr="00F27625">
        <w:rPr>
          <w:rFonts w:ascii="Arial" w:hAnsi="Arial" w:cs="Arial"/>
          <w:color w:val="000000" w:themeColor="text1"/>
        </w:rPr>
        <w:t>theory’s</w:t>
      </w:r>
      <w:r w:rsidR="004E1621" w:rsidRPr="00F27625">
        <w:rPr>
          <w:rFonts w:ascii="Arial" w:hAnsi="Arial" w:cs="Arial"/>
          <w:color w:val="000000" w:themeColor="text1"/>
        </w:rPr>
        <w:t xml:space="preserve"> idea that some older adults naturally withdraw from social interaction as part of ageing.</w:t>
      </w:r>
      <w:r w:rsidR="00027C37" w:rsidRPr="00F27625">
        <w:rPr>
          <w:rFonts w:ascii="Arial" w:hAnsi="Arial" w:cs="Arial"/>
          <w:color w:val="000000" w:themeColor="text1"/>
        </w:rPr>
        <w:t xml:space="preserve"> The activity theory suggests staying active helps older adults maintain their identity, mental health, and sense of purpose. In health and social care setting, the theory can be applied in practical ways to promote independence, wellbeing, and confidence. Health and social care settings such as care homes can help to provide encouraging social interactions by implementing activities such as board games, singing and festival which help older adults to engage and feel valued. Care homes can also promote meaningful activities as "activities that are meaningful and fulfilling can help older adults socialise and regenerate a sense of purpose in life."</w:t>
      </w:r>
      <w:r w:rsidR="00CB2D5E" w:rsidRPr="00F27625">
        <w:rPr>
          <w:rFonts w:ascii="Arial" w:hAnsi="Arial" w:cs="Arial"/>
          <w:color w:val="000000" w:themeColor="text1"/>
        </w:rPr>
        <w:t>(</w:t>
      </w:r>
      <w:r w:rsidR="001C1C3B" w:rsidRPr="00F27625">
        <w:rPr>
          <w:rFonts w:ascii="Arial" w:hAnsi="Arial" w:cs="Arial"/>
          <w:color w:val="000000" w:themeColor="text1"/>
        </w:rPr>
        <w:t>NAPA Blogs, July 22, 2024)</w:t>
      </w:r>
      <w:r w:rsidR="00027C37" w:rsidRPr="00F27625">
        <w:rPr>
          <w:rFonts w:ascii="Arial" w:hAnsi="Arial" w:cs="Arial"/>
          <w:color w:val="000000" w:themeColor="text1"/>
        </w:rPr>
        <w:t xml:space="preserve"> Health and social care settings can adapt activities by adjusting them to meet changing needs of older adults. Active participation can foster empowerment as they can enhance autonomy and self-management among individuals. The application of the active theory in health and social care setting can allow a happier and engaged life for older adults, which contributes to their overall wellbeing and quality of life.</w:t>
      </w:r>
    </w:p>
    <w:p w14:paraId="0F03F380" w14:textId="7734613F" w:rsidR="00F8584E" w:rsidRPr="00F27625" w:rsidRDefault="00905078" w:rsidP="00A3368A">
      <w:pPr>
        <w:rPr>
          <w:rFonts w:ascii="Arial" w:hAnsi="Arial" w:cs="Arial"/>
          <w:color w:val="000000" w:themeColor="text1"/>
        </w:rPr>
      </w:pPr>
      <w:r w:rsidRPr="00F27625">
        <w:rPr>
          <w:rFonts w:ascii="Arial" w:hAnsi="Arial" w:cs="Arial"/>
          <w:color w:val="000000" w:themeColor="text1"/>
        </w:rPr>
        <w:t xml:space="preserve">Applying these theories can cause challenges for professionals working with older adults. Theories can be useful, but they must be applied carefully to avoid assumptions, stereotyping, or reducing independence and wellbeing. One risk is stereotyping or making assumptions as some of the theories </w:t>
      </w:r>
      <w:r w:rsidR="00AF477C" w:rsidRPr="00F27625">
        <w:rPr>
          <w:rFonts w:ascii="Arial" w:hAnsi="Arial" w:cs="Arial"/>
          <w:color w:val="000000" w:themeColor="text1"/>
        </w:rPr>
        <w:t>generalise</w:t>
      </w:r>
      <w:r w:rsidRPr="00F27625">
        <w:rPr>
          <w:rFonts w:ascii="Arial" w:hAnsi="Arial" w:cs="Arial"/>
          <w:color w:val="000000" w:themeColor="text1"/>
        </w:rPr>
        <w:t xml:space="preserve"> ho</w:t>
      </w:r>
      <w:r w:rsidR="00AF477C" w:rsidRPr="00F27625">
        <w:rPr>
          <w:rFonts w:ascii="Arial" w:hAnsi="Arial" w:cs="Arial"/>
          <w:color w:val="000000" w:themeColor="text1"/>
        </w:rPr>
        <w:t>w</w:t>
      </w:r>
      <w:r w:rsidRPr="00F27625">
        <w:rPr>
          <w:rFonts w:ascii="Arial" w:hAnsi="Arial" w:cs="Arial"/>
          <w:color w:val="000000" w:themeColor="text1"/>
        </w:rPr>
        <w:t xml:space="preserve"> adults behave. Such as, Social Disengagement Theory </w:t>
      </w:r>
      <w:r w:rsidR="00AF477C" w:rsidRPr="00F27625">
        <w:rPr>
          <w:rFonts w:ascii="Arial" w:hAnsi="Arial" w:cs="Arial"/>
          <w:color w:val="000000" w:themeColor="text1"/>
        </w:rPr>
        <w:t>suggests</w:t>
      </w:r>
      <w:r w:rsidRPr="00F27625">
        <w:rPr>
          <w:rFonts w:ascii="Arial" w:hAnsi="Arial" w:cs="Arial"/>
          <w:color w:val="000000" w:themeColor="text1"/>
        </w:rPr>
        <w:t xml:space="preserve"> older adults withdraw from social </w:t>
      </w:r>
      <w:r w:rsidR="00AF477C" w:rsidRPr="00F27625">
        <w:rPr>
          <w:rFonts w:ascii="Arial" w:hAnsi="Arial" w:cs="Arial"/>
          <w:color w:val="000000" w:themeColor="text1"/>
        </w:rPr>
        <w:t>activities</w:t>
      </w:r>
      <w:r w:rsidRPr="00F27625">
        <w:rPr>
          <w:rFonts w:ascii="Arial" w:hAnsi="Arial" w:cs="Arial"/>
          <w:color w:val="000000" w:themeColor="text1"/>
        </w:rPr>
        <w:t xml:space="preserve">. However not everyone </w:t>
      </w:r>
      <w:r w:rsidR="00AF477C" w:rsidRPr="00F27625">
        <w:rPr>
          <w:rFonts w:ascii="Arial" w:hAnsi="Arial" w:cs="Arial"/>
          <w:color w:val="000000" w:themeColor="text1"/>
        </w:rPr>
        <w:t>experiences</w:t>
      </w:r>
      <w:r w:rsidRPr="00F27625">
        <w:rPr>
          <w:rFonts w:ascii="Arial" w:hAnsi="Arial" w:cs="Arial"/>
          <w:color w:val="000000" w:themeColor="text1"/>
        </w:rPr>
        <w:t xml:space="preserve"> this, this can lead to assumptions such as older adults prefer to be alone. Professionals may struggle to know which theory fits best so this results in a risk of conflict between theories.</w:t>
      </w:r>
      <w:r w:rsidR="00541060" w:rsidRPr="00F27625">
        <w:rPr>
          <w:rFonts w:ascii="Arial" w:hAnsi="Arial" w:cs="Arial"/>
          <w:color w:val="000000" w:themeColor="text1"/>
        </w:rPr>
        <w:t xml:space="preserve"> Another challenge professionals may face with theories is cultural and individual diversity, most theories were developed many years ago and were often based on Western social norms. This means they do not always reflect on different cultural, spiritual, or family values of diverse communities. There are some strategies that Professionals can use to help support and manage the theories. Such as making sure to use the theories as a guide and not rules, making sure to assess individual needs, preferences and history before planning care. Observe different patterns over time rather than relying on one behaviour, encourage gentle engagement and see how individuals respond.</w:t>
      </w:r>
      <w:r w:rsidR="004B5DBF" w:rsidRPr="00F27625">
        <w:rPr>
          <w:rFonts w:ascii="Arial" w:hAnsi="Arial" w:cs="Arial"/>
          <w:color w:val="000000" w:themeColor="text1"/>
        </w:rPr>
        <w:t xml:space="preserve"> </w:t>
      </w:r>
      <w:r w:rsidR="00A5747A" w:rsidRPr="00F27625">
        <w:rPr>
          <w:rFonts w:ascii="Arial" w:hAnsi="Arial" w:cs="Arial"/>
          <w:color w:val="000000" w:themeColor="text1"/>
        </w:rPr>
        <w:t xml:space="preserve">Professionals can also face challenges when applying the activity theory such as limited opportunities for engagement as many older adults have health issues which limit their ability to join in with the activities. "The activity must be physically and mentally suitable for the individual, which may not always be the case due to health issues." </w:t>
      </w:r>
      <w:r w:rsidR="00D2481F" w:rsidRPr="00F27625">
        <w:rPr>
          <w:rFonts w:ascii="Arial" w:hAnsi="Arial" w:cs="Arial"/>
          <w:color w:val="000000" w:themeColor="text1"/>
        </w:rPr>
        <w:t xml:space="preserve">(NAPA Blogs, July </w:t>
      </w:r>
      <w:r w:rsidR="004944AA" w:rsidRPr="00F27625">
        <w:rPr>
          <w:rFonts w:ascii="Arial" w:hAnsi="Arial" w:cs="Arial"/>
          <w:color w:val="000000" w:themeColor="text1"/>
        </w:rPr>
        <w:t xml:space="preserve">22, 2024) </w:t>
      </w:r>
      <w:r w:rsidR="00A5747A" w:rsidRPr="00F27625">
        <w:rPr>
          <w:rFonts w:ascii="Arial" w:hAnsi="Arial" w:cs="Arial"/>
          <w:color w:val="000000" w:themeColor="text1"/>
        </w:rPr>
        <w:t>Activities most hold significance to individuals benefiting their wellbeing, some older adults may prefer quieter lifestyles rather than active engagement. Some strategies to help support these challenges can be adapting activities so all can access such as using chairs for exercise for those with limited mobility. Offering choices and allowing to choose to join activities or not, giving choices such as reading, gardening and puzzles. This can ensure that older adults are able to remain active, engaged, and valued which is the reason for the theory.</w:t>
      </w:r>
    </w:p>
    <w:p w14:paraId="320FB79B" w14:textId="77777777" w:rsidR="00F8584E" w:rsidRPr="00F27625" w:rsidRDefault="00F8584E" w:rsidP="00D55037">
      <w:pPr>
        <w:ind w:left="720" w:hanging="720"/>
        <w:rPr>
          <w:rFonts w:ascii="Arial" w:hAnsi="Arial" w:cs="Arial"/>
          <w:color w:val="000000" w:themeColor="text1"/>
        </w:rPr>
      </w:pPr>
    </w:p>
    <w:p w14:paraId="42FF1D55" w14:textId="4AAA97E4" w:rsidR="00F8584E" w:rsidRPr="00F27625" w:rsidRDefault="00F06A77" w:rsidP="00D55037">
      <w:pPr>
        <w:ind w:left="720" w:hanging="720"/>
        <w:rPr>
          <w:rFonts w:ascii="Arial" w:hAnsi="Arial" w:cs="Arial"/>
          <w:color w:val="000000" w:themeColor="text1"/>
        </w:rPr>
      </w:pPr>
      <w:r w:rsidRPr="00F27625">
        <w:rPr>
          <w:rFonts w:ascii="Arial" w:hAnsi="Arial" w:cs="Arial"/>
          <w:color w:val="000000" w:themeColor="text1"/>
        </w:rPr>
        <w:t xml:space="preserve">In conclusion ageing theories can help professionals to understand common patterns and challenges which can be faced later in life. The main challenge is to apply the theories without making assumptions by using reflective practice, person centred care, cultural </w:t>
      </w:r>
      <w:r w:rsidR="00A5747A" w:rsidRPr="00F27625">
        <w:rPr>
          <w:rFonts w:ascii="Arial" w:hAnsi="Arial" w:cs="Arial"/>
          <w:color w:val="000000" w:themeColor="text1"/>
        </w:rPr>
        <w:t>awareness</w:t>
      </w:r>
      <w:r w:rsidRPr="00F27625">
        <w:rPr>
          <w:rFonts w:ascii="Arial" w:hAnsi="Arial" w:cs="Arial"/>
          <w:color w:val="000000" w:themeColor="text1"/>
        </w:rPr>
        <w:t xml:space="preserve"> and regular assessment. By combining theoretical knowledge with compassionate and responsive practice, health and social care workers can provide support that promotes </w:t>
      </w:r>
      <w:r w:rsidR="00A5747A" w:rsidRPr="00F27625">
        <w:rPr>
          <w:rFonts w:ascii="Arial" w:hAnsi="Arial" w:cs="Arial"/>
          <w:color w:val="000000" w:themeColor="text1"/>
        </w:rPr>
        <w:t>dignity</w:t>
      </w:r>
      <w:r w:rsidRPr="00F27625">
        <w:rPr>
          <w:rFonts w:ascii="Arial" w:hAnsi="Arial" w:cs="Arial"/>
          <w:color w:val="000000" w:themeColor="text1"/>
        </w:rPr>
        <w:t xml:space="preserve">, independence, and high quality of life for older adults.  </w:t>
      </w:r>
    </w:p>
    <w:p w14:paraId="539A1C98" w14:textId="77777777" w:rsidR="00F8584E" w:rsidRPr="00F27625" w:rsidRDefault="00F8584E" w:rsidP="00D55037">
      <w:pPr>
        <w:ind w:left="720" w:hanging="720"/>
        <w:rPr>
          <w:rFonts w:ascii="Arial" w:hAnsi="Arial" w:cs="Arial"/>
          <w:color w:val="000000" w:themeColor="text1"/>
        </w:rPr>
      </w:pPr>
    </w:p>
    <w:p w14:paraId="56A087A2" w14:textId="77777777" w:rsidR="004B5DBF" w:rsidRPr="00F27625" w:rsidRDefault="004B5DBF" w:rsidP="00D55037">
      <w:pPr>
        <w:ind w:left="720" w:hanging="720"/>
        <w:rPr>
          <w:rFonts w:ascii="Arial" w:hAnsi="Arial" w:cs="Arial"/>
          <w:color w:val="000000" w:themeColor="text1"/>
        </w:rPr>
      </w:pPr>
    </w:p>
    <w:p w14:paraId="3A0DA300" w14:textId="77777777" w:rsidR="004B5DBF" w:rsidRPr="00F27625" w:rsidRDefault="004B5DBF" w:rsidP="00D55037">
      <w:pPr>
        <w:ind w:left="720" w:hanging="720"/>
        <w:rPr>
          <w:rFonts w:ascii="Arial" w:hAnsi="Arial" w:cs="Arial"/>
          <w:color w:val="000000" w:themeColor="text1"/>
        </w:rPr>
      </w:pPr>
    </w:p>
    <w:p w14:paraId="19FA3B34" w14:textId="77777777" w:rsidR="004B5DBF" w:rsidRPr="00F27625" w:rsidRDefault="004B5DBF" w:rsidP="00D55037">
      <w:pPr>
        <w:ind w:left="720" w:hanging="720"/>
        <w:rPr>
          <w:rFonts w:ascii="Arial" w:hAnsi="Arial" w:cs="Arial"/>
          <w:color w:val="000000" w:themeColor="text1"/>
        </w:rPr>
      </w:pPr>
    </w:p>
    <w:p w14:paraId="25421592" w14:textId="77777777" w:rsidR="004B5DBF" w:rsidRPr="00F27625" w:rsidRDefault="004B5DBF" w:rsidP="00D55037">
      <w:pPr>
        <w:ind w:left="720" w:hanging="720"/>
        <w:rPr>
          <w:rFonts w:ascii="Arial" w:hAnsi="Arial" w:cs="Arial"/>
          <w:color w:val="000000" w:themeColor="text1"/>
        </w:rPr>
      </w:pPr>
    </w:p>
    <w:p w14:paraId="51BD9013" w14:textId="77777777" w:rsidR="004B5DBF" w:rsidRPr="00F27625" w:rsidRDefault="004B5DBF" w:rsidP="00D55037">
      <w:pPr>
        <w:ind w:left="720" w:hanging="720"/>
        <w:rPr>
          <w:rFonts w:ascii="Arial" w:hAnsi="Arial" w:cs="Arial"/>
          <w:color w:val="000000" w:themeColor="text1"/>
        </w:rPr>
      </w:pPr>
    </w:p>
    <w:p w14:paraId="592959C2" w14:textId="77777777" w:rsidR="004B5DBF" w:rsidRPr="00F27625" w:rsidRDefault="004B5DBF" w:rsidP="00D55037">
      <w:pPr>
        <w:ind w:left="720" w:hanging="720"/>
        <w:rPr>
          <w:rFonts w:ascii="Arial" w:hAnsi="Arial" w:cs="Arial"/>
          <w:color w:val="000000" w:themeColor="text1"/>
        </w:rPr>
      </w:pPr>
    </w:p>
    <w:p w14:paraId="236A7C5F" w14:textId="77777777" w:rsidR="004B5DBF" w:rsidRPr="00F27625" w:rsidRDefault="004B5DBF" w:rsidP="00D55037">
      <w:pPr>
        <w:ind w:left="720" w:hanging="720"/>
        <w:rPr>
          <w:rFonts w:ascii="Arial" w:hAnsi="Arial" w:cs="Arial"/>
          <w:color w:val="000000" w:themeColor="text1"/>
        </w:rPr>
      </w:pPr>
    </w:p>
    <w:p w14:paraId="69066C3F" w14:textId="77777777" w:rsidR="004B5DBF" w:rsidRPr="00F27625" w:rsidRDefault="004B5DBF" w:rsidP="00D55037">
      <w:pPr>
        <w:ind w:left="720" w:hanging="720"/>
        <w:rPr>
          <w:rFonts w:ascii="Arial" w:hAnsi="Arial" w:cs="Arial"/>
          <w:color w:val="000000" w:themeColor="text1"/>
        </w:rPr>
      </w:pPr>
    </w:p>
    <w:p w14:paraId="0A3AD147" w14:textId="77777777" w:rsidR="004B5DBF" w:rsidRPr="00F27625" w:rsidRDefault="004B5DBF" w:rsidP="00D55037">
      <w:pPr>
        <w:ind w:left="720" w:hanging="720"/>
        <w:rPr>
          <w:rFonts w:ascii="Arial" w:hAnsi="Arial" w:cs="Arial"/>
          <w:color w:val="000000" w:themeColor="text1"/>
        </w:rPr>
      </w:pPr>
    </w:p>
    <w:p w14:paraId="4F300322" w14:textId="77777777" w:rsidR="004B5DBF" w:rsidRPr="00F27625" w:rsidRDefault="004B5DBF" w:rsidP="00D55037">
      <w:pPr>
        <w:ind w:left="720" w:hanging="720"/>
        <w:rPr>
          <w:rFonts w:ascii="Arial" w:hAnsi="Arial" w:cs="Arial"/>
          <w:color w:val="000000" w:themeColor="text1"/>
        </w:rPr>
      </w:pPr>
    </w:p>
    <w:p w14:paraId="74D08118" w14:textId="77777777" w:rsidR="004B5DBF" w:rsidRPr="00F27625" w:rsidRDefault="004B5DBF" w:rsidP="00D55037">
      <w:pPr>
        <w:ind w:left="720" w:hanging="720"/>
        <w:rPr>
          <w:rFonts w:ascii="Arial" w:hAnsi="Arial" w:cs="Arial"/>
          <w:color w:val="000000" w:themeColor="text1"/>
        </w:rPr>
      </w:pPr>
    </w:p>
    <w:p w14:paraId="49A0542D" w14:textId="77777777" w:rsidR="004B5DBF" w:rsidRPr="00A3368A" w:rsidRDefault="004B5DBF" w:rsidP="00D55037">
      <w:pPr>
        <w:ind w:left="720" w:hanging="720"/>
        <w:rPr>
          <w:rFonts w:ascii="Arial" w:hAnsi="Arial" w:cs="Arial"/>
          <w:color w:val="000000" w:themeColor="text1"/>
          <w:u w:val="single"/>
        </w:rPr>
      </w:pPr>
    </w:p>
    <w:p w14:paraId="274638C9" w14:textId="77777777" w:rsidR="00433D42" w:rsidRDefault="00433D42" w:rsidP="00D55037">
      <w:pPr>
        <w:ind w:left="720" w:hanging="720"/>
        <w:rPr>
          <w:rFonts w:ascii="Arial" w:hAnsi="Arial" w:cs="Arial"/>
          <w:color w:val="000000" w:themeColor="text1"/>
          <w:u w:val="single"/>
        </w:rPr>
      </w:pPr>
    </w:p>
    <w:p w14:paraId="4B51106D" w14:textId="77777777" w:rsidR="00433D42" w:rsidRDefault="00433D42" w:rsidP="00D55037">
      <w:pPr>
        <w:ind w:left="720" w:hanging="720"/>
        <w:rPr>
          <w:rFonts w:ascii="Arial" w:hAnsi="Arial" w:cs="Arial"/>
          <w:color w:val="000000" w:themeColor="text1"/>
          <w:u w:val="single"/>
        </w:rPr>
      </w:pPr>
    </w:p>
    <w:p w14:paraId="383AD9ED" w14:textId="77777777" w:rsidR="00433D42" w:rsidRDefault="00433D42" w:rsidP="00D55037">
      <w:pPr>
        <w:ind w:left="720" w:hanging="720"/>
        <w:rPr>
          <w:rFonts w:ascii="Arial" w:hAnsi="Arial" w:cs="Arial"/>
          <w:color w:val="000000" w:themeColor="text1"/>
          <w:u w:val="single"/>
        </w:rPr>
      </w:pPr>
    </w:p>
    <w:p w14:paraId="266A9059" w14:textId="77777777" w:rsidR="00433D42" w:rsidRDefault="00433D42" w:rsidP="00D55037">
      <w:pPr>
        <w:ind w:left="720" w:hanging="720"/>
        <w:rPr>
          <w:rFonts w:ascii="Arial" w:hAnsi="Arial" w:cs="Arial"/>
          <w:color w:val="000000" w:themeColor="text1"/>
          <w:u w:val="single"/>
        </w:rPr>
      </w:pPr>
    </w:p>
    <w:p w14:paraId="19B54C0F" w14:textId="77777777" w:rsidR="00433D42" w:rsidRDefault="00433D42" w:rsidP="00D55037">
      <w:pPr>
        <w:ind w:left="720" w:hanging="720"/>
        <w:rPr>
          <w:rFonts w:ascii="Arial" w:hAnsi="Arial" w:cs="Arial"/>
          <w:color w:val="000000" w:themeColor="text1"/>
          <w:u w:val="single"/>
        </w:rPr>
      </w:pPr>
    </w:p>
    <w:p w14:paraId="673AC686" w14:textId="77777777" w:rsidR="00433D42" w:rsidRDefault="00433D42" w:rsidP="00D55037">
      <w:pPr>
        <w:ind w:left="720" w:hanging="720"/>
        <w:rPr>
          <w:rFonts w:ascii="Arial" w:hAnsi="Arial" w:cs="Arial"/>
          <w:color w:val="000000" w:themeColor="text1"/>
          <w:u w:val="single"/>
        </w:rPr>
      </w:pPr>
    </w:p>
    <w:p w14:paraId="050968A1" w14:textId="77777777" w:rsidR="00433D42" w:rsidRDefault="00433D42" w:rsidP="00D55037">
      <w:pPr>
        <w:ind w:left="720" w:hanging="720"/>
        <w:rPr>
          <w:rFonts w:ascii="Arial" w:hAnsi="Arial" w:cs="Arial"/>
          <w:color w:val="000000" w:themeColor="text1"/>
          <w:u w:val="single"/>
        </w:rPr>
      </w:pPr>
    </w:p>
    <w:p w14:paraId="6E2E9778" w14:textId="77777777" w:rsidR="00433D42" w:rsidRDefault="00433D42" w:rsidP="00D55037">
      <w:pPr>
        <w:ind w:left="720" w:hanging="720"/>
        <w:rPr>
          <w:rFonts w:ascii="Arial" w:hAnsi="Arial" w:cs="Arial"/>
          <w:color w:val="000000" w:themeColor="text1"/>
          <w:u w:val="single"/>
        </w:rPr>
      </w:pPr>
    </w:p>
    <w:p w14:paraId="563390EA" w14:textId="54FFA375" w:rsidR="00EF1D2C" w:rsidRPr="00F27625" w:rsidRDefault="00F8584E" w:rsidP="00D55037">
      <w:pPr>
        <w:ind w:left="720" w:hanging="720"/>
        <w:rPr>
          <w:rFonts w:ascii="Arial" w:hAnsi="Arial" w:cs="Arial"/>
          <w:color w:val="000000" w:themeColor="text1"/>
        </w:rPr>
      </w:pPr>
      <w:r w:rsidRPr="00A3368A">
        <w:rPr>
          <w:rFonts w:ascii="Arial" w:hAnsi="Arial" w:cs="Arial"/>
          <w:color w:val="000000" w:themeColor="text1"/>
          <w:u w:val="single"/>
        </w:rPr>
        <w:t xml:space="preserve">References </w:t>
      </w:r>
    </w:p>
    <w:p w14:paraId="63903A29" w14:textId="1933E5F9" w:rsidR="00035A75" w:rsidRPr="00F27625" w:rsidRDefault="00F8584E" w:rsidP="00035A75">
      <w:pPr>
        <w:ind w:left="720" w:hanging="720"/>
        <w:rPr>
          <w:rFonts w:ascii="Arial" w:hAnsi="Arial" w:cs="Arial"/>
          <w:color w:val="000000" w:themeColor="text1"/>
        </w:rPr>
      </w:pPr>
      <w:r w:rsidRPr="00F27625">
        <w:rPr>
          <w:rFonts w:ascii="Arial" w:hAnsi="Arial" w:cs="Arial"/>
          <w:color w:val="000000" w:themeColor="text1"/>
        </w:rPr>
        <w:t>"Social structural change is defined as disengagement if it involves a reduction in the number of members in the social structure surrounding the individual, a diminishing of interactions with those members, and a restructuring of the goals of the system." (Charlotte Nickerson, November 9, 2023)</w:t>
      </w:r>
      <w:r w:rsidR="00035A75" w:rsidRPr="00F27625">
        <w:rPr>
          <w:rFonts w:ascii="Arial" w:hAnsi="Arial" w:cs="Arial"/>
          <w:color w:val="000000" w:themeColor="text1"/>
        </w:rPr>
        <w:t xml:space="preserve"> </w:t>
      </w:r>
      <w:hyperlink r:id="rId6" w:history="1">
        <w:r w:rsidR="00EF22BF" w:rsidRPr="00F27625">
          <w:rPr>
            <w:rStyle w:val="Hyperlink"/>
            <w:rFonts w:ascii="Arial" w:hAnsi="Arial" w:cs="Arial"/>
            <w:color w:val="000000" w:themeColor="text1"/>
          </w:rPr>
          <w:t>https://www.simplypsychology.org/disengagement-theory.html</w:t>
        </w:r>
      </w:hyperlink>
    </w:p>
    <w:p w14:paraId="7F3A486D" w14:textId="6E5BF5FF" w:rsidR="00EF22BF" w:rsidRPr="00F27625" w:rsidRDefault="00EF22BF" w:rsidP="00035A75">
      <w:pPr>
        <w:ind w:left="720" w:hanging="720"/>
        <w:rPr>
          <w:rFonts w:ascii="Arial" w:hAnsi="Arial" w:cs="Arial"/>
          <w:color w:val="000000" w:themeColor="text1"/>
        </w:rPr>
      </w:pPr>
      <w:r w:rsidRPr="00F27625">
        <w:rPr>
          <w:rFonts w:ascii="Arial" w:hAnsi="Arial" w:cs="Arial"/>
          <w:color w:val="000000" w:themeColor="text1"/>
        </w:rPr>
        <w:t>"Activity Theory centres on the idea that continued engagement in meaningful activities contributes significantly to life satisfaction and positive adjustment in older adulthood." (Socio.Health, May 21, 2024</w:t>
      </w:r>
      <w:r w:rsidR="00276C9A" w:rsidRPr="00F27625">
        <w:rPr>
          <w:rFonts w:ascii="Arial" w:hAnsi="Arial" w:cs="Arial"/>
          <w:color w:val="000000" w:themeColor="text1"/>
        </w:rPr>
        <w:t xml:space="preserve">) </w:t>
      </w:r>
      <w:hyperlink r:id="rId7" w:history="1">
        <w:r w:rsidR="00276C9A" w:rsidRPr="00F27625">
          <w:rPr>
            <w:rStyle w:val="Hyperlink"/>
            <w:rFonts w:ascii="Arial" w:hAnsi="Arial" w:cs="Arial"/>
            <w:color w:val="000000" w:themeColor="text1"/>
          </w:rPr>
          <w:t>https://socio.health/social-groups-and-family-health/theories-of-ageing-disengagement-to-activity/</w:t>
        </w:r>
      </w:hyperlink>
    </w:p>
    <w:p w14:paraId="6E362F89" w14:textId="59C457BA" w:rsidR="00F8584E" w:rsidRPr="00F27625" w:rsidRDefault="00F8584E" w:rsidP="00D55037">
      <w:pPr>
        <w:ind w:left="720" w:hanging="720"/>
        <w:rPr>
          <w:rFonts w:ascii="Arial" w:hAnsi="Arial" w:cs="Arial"/>
          <w:color w:val="000000" w:themeColor="text1"/>
        </w:rPr>
      </w:pPr>
      <w:r w:rsidRPr="00F27625">
        <w:rPr>
          <w:rFonts w:ascii="Arial" w:hAnsi="Arial" w:cs="Arial"/>
          <w:color w:val="000000" w:themeColor="text1"/>
        </w:rPr>
        <w:t>"By applying the Social Disengagement Theory, health and social care professionals can create a supportive environment that acknowledges and respects the natural process of disengagement."(Charlotte Nickerson, November 9, 2023</w:t>
      </w:r>
      <w:r w:rsidR="00035A75" w:rsidRPr="00F27625">
        <w:rPr>
          <w:rFonts w:ascii="Arial" w:hAnsi="Arial" w:cs="Arial"/>
          <w:color w:val="000000" w:themeColor="text1"/>
        </w:rPr>
        <w:t xml:space="preserve">) </w:t>
      </w:r>
      <w:hyperlink r:id="rId8" w:history="1">
        <w:r w:rsidR="00276C9A" w:rsidRPr="00F27625">
          <w:rPr>
            <w:rStyle w:val="Hyperlink"/>
            <w:rFonts w:ascii="Arial" w:hAnsi="Arial" w:cs="Arial"/>
            <w:color w:val="000000" w:themeColor="text1"/>
          </w:rPr>
          <w:t>https://www.simplypsychology.org/disengagement-theory.html</w:t>
        </w:r>
      </w:hyperlink>
    </w:p>
    <w:p w14:paraId="7BBB1214" w14:textId="29B36150" w:rsidR="00DD22B6" w:rsidRPr="00F27625" w:rsidRDefault="00DD22B6" w:rsidP="00D55037">
      <w:pPr>
        <w:ind w:left="720" w:hanging="720"/>
        <w:rPr>
          <w:rFonts w:ascii="Arial" w:hAnsi="Arial" w:cs="Arial"/>
          <w:color w:val="000000" w:themeColor="text1"/>
        </w:rPr>
      </w:pPr>
      <w:r w:rsidRPr="00F27625">
        <w:rPr>
          <w:rFonts w:ascii="Arial" w:hAnsi="Arial" w:cs="Arial"/>
          <w:color w:val="000000" w:themeColor="text1"/>
        </w:rPr>
        <w:t xml:space="preserve">"activities that are meaningful and fulfilling can help older adults socialise and regenerate a sense of purpose in life."(NAPA Blogs, July 22, 2024) </w:t>
      </w:r>
      <w:hyperlink r:id="rId9" w:history="1">
        <w:r w:rsidR="00D2481F" w:rsidRPr="00F27625">
          <w:rPr>
            <w:rStyle w:val="Hyperlink"/>
            <w:rFonts w:ascii="Arial" w:hAnsi="Arial" w:cs="Arial"/>
            <w:color w:val="000000" w:themeColor="text1"/>
          </w:rPr>
          <w:t>https://napa-activities.co.uk/activity-theory-of-ageing-and-modern-practice</w:t>
        </w:r>
      </w:hyperlink>
    </w:p>
    <w:p w14:paraId="1B62DF35" w14:textId="6B70B783" w:rsidR="00D2481F" w:rsidRPr="00F27625" w:rsidRDefault="004944AA" w:rsidP="00D55037">
      <w:pPr>
        <w:ind w:left="720" w:hanging="720"/>
        <w:rPr>
          <w:rFonts w:ascii="Arial" w:hAnsi="Arial" w:cs="Arial"/>
          <w:color w:val="000000" w:themeColor="text1"/>
        </w:rPr>
      </w:pPr>
      <w:r w:rsidRPr="00F27625">
        <w:rPr>
          <w:rFonts w:ascii="Arial" w:hAnsi="Arial" w:cs="Arial"/>
          <w:color w:val="000000" w:themeColor="text1"/>
        </w:rPr>
        <w:t xml:space="preserve">"The activity must be physically and mentally suitable for the individual, which may not always be the case due to health issues." (NAPA Blogs, July 22, 2024) </w:t>
      </w:r>
      <w:hyperlink r:id="rId10" w:history="1">
        <w:r w:rsidR="00A13B67" w:rsidRPr="00F27625">
          <w:rPr>
            <w:rStyle w:val="Hyperlink"/>
            <w:rFonts w:ascii="Arial" w:hAnsi="Arial" w:cs="Arial"/>
            <w:color w:val="000000" w:themeColor="text1"/>
          </w:rPr>
          <w:t>https://napa-activities.co.uk/activity-theory-of-ageing-and-modern-practice</w:t>
        </w:r>
      </w:hyperlink>
    </w:p>
    <w:p w14:paraId="7D659CF8" w14:textId="77777777" w:rsidR="00A13B67" w:rsidRPr="00F27625" w:rsidRDefault="00A13B67" w:rsidP="00D55037">
      <w:pPr>
        <w:ind w:left="720" w:hanging="720"/>
        <w:rPr>
          <w:rFonts w:ascii="Arial" w:hAnsi="Arial" w:cs="Arial"/>
          <w:color w:val="000000" w:themeColor="text1"/>
        </w:rPr>
      </w:pPr>
    </w:p>
    <w:p w14:paraId="0163D2D2" w14:textId="77777777" w:rsidR="00276C9A" w:rsidRPr="00F27625" w:rsidRDefault="00276C9A" w:rsidP="00D55037">
      <w:pPr>
        <w:ind w:left="720" w:hanging="720"/>
        <w:rPr>
          <w:rFonts w:ascii="Arial" w:hAnsi="Arial" w:cs="Arial"/>
          <w:color w:val="000000" w:themeColor="text1"/>
        </w:rPr>
      </w:pPr>
    </w:p>
    <w:p w14:paraId="1F82E35F" w14:textId="77777777" w:rsidR="00035A75" w:rsidRDefault="00035A75" w:rsidP="00D55037">
      <w:pPr>
        <w:ind w:left="720" w:hanging="720"/>
        <w:rPr>
          <w:color w:val="000000" w:themeColor="text1"/>
        </w:rPr>
      </w:pPr>
    </w:p>
    <w:p w14:paraId="26B75106" w14:textId="78B3AD8B" w:rsidR="00035A75" w:rsidRPr="00035A75" w:rsidRDefault="00035A75" w:rsidP="00D55037">
      <w:pPr>
        <w:ind w:left="720" w:hanging="720"/>
        <w:rPr>
          <w:color w:val="EE0000"/>
        </w:rPr>
      </w:pPr>
    </w:p>
    <w:sectPr w:rsidR="00035A75" w:rsidRPr="00035A75">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7B4298" w14:textId="77777777" w:rsidR="00BF71A4" w:rsidRDefault="00BF71A4" w:rsidP="00042C1F">
      <w:pPr>
        <w:spacing w:after="0" w:line="240" w:lineRule="auto"/>
      </w:pPr>
      <w:r>
        <w:separator/>
      </w:r>
    </w:p>
  </w:endnote>
  <w:endnote w:type="continuationSeparator" w:id="0">
    <w:p w14:paraId="69F9CE03" w14:textId="77777777" w:rsidR="00BF71A4" w:rsidRDefault="00BF71A4" w:rsidP="00042C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1228664"/>
      <w:docPartObj>
        <w:docPartGallery w:val="Page Numbers (Bottom of Page)"/>
        <w:docPartUnique/>
      </w:docPartObj>
    </w:sdtPr>
    <w:sdtEndPr>
      <w:rPr>
        <w:noProof/>
      </w:rPr>
    </w:sdtEndPr>
    <w:sdtContent>
      <w:p w14:paraId="56E612EC" w14:textId="27BEF613" w:rsidR="00042C1F" w:rsidRDefault="00042C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C3D30C" w14:textId="77777777" w:rsidR="00042C1F" w:rsidRDefault="00042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E64079" w14:textId="77777777" w:rsidR="00BF71A4" w:rsidRDefault="00BF71A4" w:rsidP="00042C1F">
      <w:pPr>
        <w:spacing w:after="0" w:line="240" w:lineRule="auto"/>
      </w:pPr>
      <w:r>
        <w:separator/>
      </w:r>
    </w:p>
  </w:footnote>
  <w:footnote w:type="continuationSeparator" w:id="0">
    <w:p w14:paraId="28B98738" w14:textId="77777777" w:rsidR="00BF71A4" w:rsidRDefault="00BF71A4" w:rsidP="00042C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7A312A" w14:textId="67088A43" w:rsidR="00042C1F" w:rsidRDefault="001B391D">
    <w:pPr>
      <w:pStyle w:val="Header"/>
    </w:pPr>
    <w:r>
      <w:t xml:space="preserve">Nyall Berry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E6C"/>
    <w:rsid w:val="00021992"/>
    <w:rsid w:val="00024722"/>
    <w:rsid w:val="00027C37"/>
    <w:rsid w:val="00035A75"/>
    <w:rsid w:val="000362DC"/>
    <w:rsid w:val="00042C1F"/>
    <w:rsid w:val="00060E57"/>
    <w:rsid w:val="00081F34"/>
    <w:rsid w:val="000A61E6"/>
    <w:rsid w:val="0019231A"/>
    <w:rsid w:val="001B391D"/>
    <w:rsid w:val="001C1C3B"/>
    <w:rsid w:val="001E15D8"/>
    <w:rsid w:val="0027433D"/>
    <w:rsid w:val="00276C9A"/>
    <w:rsid w:val="002F6A6D"/>
    <w:rsid w:val="00326584"/>
    <w:rsid w:val="00343C65"/>
    <w:rsid w:val="003A64B4"/>
    <w:rsid w:val="003B469C"/>
    <w:rsid w:val="0042640D"/>
    <w:rsid w:val="00433D42"/>
    <w:rsid w:val="004944AA"/>
    <w:rsid w:val="004B0E34"/>
    <w:rsid w:val="004B5DBF"/>
    <w:rsid w:val="004C2A21"/>
    <w:rsid w:val="004E1621"/>
    <w:rsid w:val="00530848"/>
    <w:rsid w:val="00541060"/>
    <w:rsid w:val="0058139B"/>
    <w:rsid w:val="005D1B9F"/>
    <w:rsid w:val="00634B7C"/>
    <w:rsid w:val="00635AB0"/>
    <w:rsid w:val="00653D1A"/>
    <w:rsid w:val="0067557F"/>
    <w:rsid w:val="007C2FF1"/>
    <w:rsid w:val="00815FBA"/>
    <w:rsid w:val="008A5969"/>
    <w:rsid w:val="008D37BF"/>
    <w:rsid w:val="008D4D6C"/>
    <w:rsid w:val="00905078"/>
    <w:rsid w:val="00A13B67"/>
    <w:rsid w:val="00A3368A"/>
    <w:rsid w:val="00A5747A"/>
    <w:rsid w:val="00A66E6C"/>
    <w:rsid w:val="00A72892"/>
    <w:rsid w:val="00A82045"/>
    <w:rsid w:val="00AD643E"/>
    <w:rsid w:val="00AF477C"/>
    <w:rsid w:val="00B01C15"/>
    <w:rsid w:val="00BA75B6"/>
    <w:rsid w:val="00BF71A4"/>
    <w:rsid w:val="00C65833"/>
    <w:rsid w:val="00C72F51"/>
    <w:rsid w:val="00CB2D5E"/>
    <w:rsid w:val="00CE71B2"/>
    <w:rsid w:val="00D16DC5"/>
    <w:rsid w:val="00D2481F"/>
    <w:rsid w:val="00D55037"/>
    <w:rsid w:val="00D9392B"/>
    <w:rsid w:val="00DD22B6"/>
    <w:rsid w:val="00EF1D2C"/>
    <w:rsid w:val="00EF22BF"/>
    <w:rsid w:val="00EF7189"/>
    <w:rsid w:val="00F06A77"/>
    <w:rsid w:val="00F13172"/>
    <w:rsid w:val="00F21C55"/>
    <w:rsid w:val="00F27625"/>
    <w:rsid w:val="00F8584E"/>
    <w:rsid w:val="00F90CD6"/>
    <w:rsid w:val="00FF2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41F82"/>
  <w15:chartTrackingRefBased/>
  <w15:docId w15:val="{B72E5334-6584-4971-AAEB-F9BA32CBC9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E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6E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6E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6E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6E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6E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6E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6E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6E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E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6E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6E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6E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6E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6E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6E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6E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6E6C"/>
    <w:rPr>
      <w:rFonts w:eastAsiaTheme="majorEastAsia" w:cstheme="majorBidi"/>
      <w:color w:val="272727" w:themeColor="text1" w:themeTint="D8"/>
    </w:rPr>
  </w:style>
  <w:style w:type="paragraph" w:styleId="Title">
    <w:name w:val="Title"/>
    <w:basedOn w:val="Normal"/>
    <w:next w:val="Normal"/>
    <w:link w:val="TitleChar"/>
    <w:uiPriority w:val="10"/>
    <w:qFormat/>
    <w:rsid w:val="00A66E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6E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6E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6E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6E6C"/>
    <w:pPr>
      <w:spacing w:before="160"/>
      <w:jc w:val="center"/>
    </w:pPr>
    <w:rPr>
      <w:i/>
      <w:iCs/>
      <w:color w:val="404040" w:themeColor="text1" w:themeTint="BF"/>
    </w:rPr>
  </w:style>
  <w:style w:type="character" w:customStyle="1" w:styleId="QuoteChar">
    <w:name w:val="Quote Char"/>
    <w:basedOn w:val="DefaultParagraphFont"/>
    <w:link w:val="Quote"/>
    <w:uiPriority w:val="29"/>
    <w:rsid w:val="00A66E6C"/>
    <w:rPr>
      <w:i/>
      <w:iCs/>
      <w:color w:val="404040" w:themeColor="text1" w:themeTint="BF"/>
    </w:rPr>
  </w:style>
  <w:style w:type="paragraph" w:styleId="ListParagraph">
    <w:name w:val="List Paragraph"/>
    <w:basedOn w:val="Normal"/>
    <w:uiPriority w:val="34"/>
    <w:qFormat/>
    <w:rsid w:val="00A66E6C"/>
    <w:pPr>
      <w:ind w:left="720"/>
      <w:contextualSpacing/>
    </w:pPr>
  </w:style>
  <w:style w:type="character" w:styleId="IntenseEmphasis">
    <w:name w:val="Intense Emphasis"/>
    <w:basedOn w:val="DefaultParagraphFont"/>
    <w:uiPriority w:val="21"/>
    <w:qFormat/>
    <w:rsid w:val="00A66E6C"/>
    <w:rPr>
      <w:i/>
      <w:iCs/>
      <w:color w:val="0F4761" w:themeColor="accent1" w:themeShade="BF"/>
    </w:rPr>
  </w:style>
  <w:style w:type="paragraph" w:styleId="IntenseQuote">
    <w:name w:val="Intense Quote"/>
    <w:basedOn w:val="Normal"/>
    <w:next w:val="Normal"/>
    <w:link w:val="IntenseQuoteChar"/>
    <w:uiPriority w:val="30"/>
    <w:qFormat/>
    <w:rsid w:val="00A66E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6E6C"/>
    <w:rPr>
      <w:i/>
      <w:iCs/>
      <w:color w:val="0F4761" w:themeColor="accent1" w:themeShade="BF"/>
    </w:rPr>
  </w:style>
  <w:style w:type="character" w:styleId="IntenseReference">
    <w:name w:val="Intense Reference"/>
    <w:basedOn w:val="DefaultParagraphFont"/>
    <w:uiPriority w:val="32"/>
    <w:qFormat/>
    <w:rsid w:val="00A66E6C"/>
    <w:rPr>
      <w:b/>
      <w:bCs/>
      <w:smallCaps/>
      <w:color w:val="0F4761" w:themeColor="accent1" w:themeShade="BF"/>
      <w:spacing w:val="5"/>
    </w:rPr>
  </w:style>
  <w:style w:type="character" w:styleId="Hyperlink">
    <w:name w:val="Hyperlink"/>
    <w:basedOn w:val="DefaultParagraphFont"/>
    <w:uiPriority w:val="99"/>
    <w:unhideWhenUsed/>
    <w:rsid w:val="00EF22BF"/>
    <w:rPr>
      <w:color w:val="467886" w:themeColor="hyperlink"/>
      <w:u w:val="single"/>
    </w:rPr>
  </w:style>
  <w:style w:type="character" w:styleId="UnresolvedMention">
    <w:name w:val="Unresolved Mention"/>
    <w:basedOn w:val="DefaultParagraphFont"/>
    <w:uiPriority w:val="99"/>
    <w:semiHidden/>
    <w:unhideWhenUsed/>
    <w:rsid w:val="00EF22BF"/>
    <w:rPr>
      <w:color w:val="605E5C"/>
      <w:shd w:val="clear" w:color="auto" w:fill="E1DFDD"/>
    </w:rPr>
  </w:style>
  <w:style w:type="paragraph" w:styleId="Header">
    <w:name w:val="header"/>
    <w:basedOn w:val="Normal"/>
    <w:link w:val="HeaderChar"/>
    <w:uiPriority w:val="99"/>
    <w:unhideWhenUsed/>
    <w:rsid w:val="00042C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C1F"/>
  </w:style>
  <w:style w:type="paragraph" w:styleId="Footer">
    <w:name w:val="footer"/>
    <w:basedOn w:val="Normal"/>
    <w:link w:val="FooterChar"/>
    <w:uiPriority w:val="99"/>
    <w:unhideWhenUsed/>
    <w:rsid w:val="00042C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C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disengagement-theory.html"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socio.health/social-groups-and-family-health/theories-of-ageing-disengagement-to-activity/"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disengagement-theory.html"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napa-activities.co.uk/activity-theory-of-ageing-and-modern-practice" TargetMode="External"/><Relationship Id="rId4" Type="http://schemas.openxmlformats.org/officeDocument/2006/relationships/footnotes" Target="footnotes.xml"/><Relationship Id="rId9" Type="http://schemas.openxmlformats.org/officeDocument/2006/relationships/hyperlink" Target="https://napa-activities.co.uk/activity-theory-of-ageing-and-modern-practi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1696</Words>
  <Characters>9671</Characters>
  <Application>Microsoft Office Word</Application>
  <DocSecurity>0</DocSecurity>
  <Lines>80</Lines>
  <Paragraphs>22</Paragraphs>
  <ScaleCrop>false</ScaleCrop>
  <Company/>
  <LinksUpToDate>false</LinksUpToDate>
  <CharactersWithSpaces>11345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Nyall Berry</dc:creator>
  <cp:keywords/>
  <dc:description/>
  <cp:lastModifiedBy>nyall berry</cp:lastModifiedBy>
  <cp:revision>2</cp:revision>
  <dcterms:created xsi:type="dcterms:W3CDTF">2025-11-18T12:35:00Z</dcterms:created>
  <dcterms:modified xsi:type="dcterms:W3CDTF">2025-11-18T12:35:00Z</dcterms:modified>
</cp:coreProperties>
</file>