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638595" w14:textId="77777777" w:rsidR="001C4DBB" w:rsidRDefault="001C4DBB" w:rsidP="001C4DBB">
      <w:pPr>
        <w:jc w:val="center"/>
        <w:rPr>
          <w:b/>
          <w:bCs/>
          <w:lang w:val="en-GB"/>
        </w:rPr>
      </w:pPr>
      <w:bookmarkStart w:id="0" w:name="X913ea04344cd99133168a4863d25e7f4dafe2ca"/>
    </w:p>
    <w:p w14:paraId="6E687A52" w14:textId="77777777" w:rsidR="001C4DBB" w:rsidRDefault="001C4DBB" w:rsidP="001C4DBB">
      <w:pPr>
        <w:jc w:val="center"/>
        <w:rPr>
          <w:b/>
          <w:bCs/>
          <w:lang w:val="en-GB"/>
        </w:rPr>
      </w:pPr>
    </w:p>
    <w:p w14:paraId="07DD0471" w14:textId="77777777" w:rsidR="001C4DBB" w:rsidRDefault="001C4DBB" w:rsidP="001C4DBB">
      <w:pPr>
        <w:jc w:val="center"/>
        <w:rPr>
          <w:b/>
          <w:bCs/>
          <w:lang w:val="en-GB"/>
        </w:rPr>
      </w:pPr>
    </w:p>
    <w:p w14:paraId="5A50D7B1" w14:textId="39297E3F" w:rsidR="001C4DBB" w:rsidRPr="001C4DBB" w:rsidRDefault="001C4DBB" w:rsidP="001C4DBB">
      <w:pPr>
        <w:jc w:val="center"/>
        <w:rPr>
          <w:b/>
          <w:bCs/>
          <w:lang w:val="en-GB"/>
        </w:rPr>
      </w:pPr>
      <w:r w:rsidRPr="001C4DBB">
        <w:rPr>
          <w:b/>
          <w:bCs/>
          <w:lang w:val="en-GB"/>
        </w:rPr>
        <w:t>THE IMPACT OF FINANCIAL RISK MANAGEMENT PRACTICES ON THE FINANCIAL PERFORMANCE OF UK SMEs</w:t>
      </w:r>
    </w:p>
    <w:p w14:paraId="2156028F" w14:textId="77777777" w:rsidR="001C4DBB" w:rsidRDefault="001C4DBB" w:rsidP="001C4DBB">
      <w:pPr>
        <w:jc w:val="center"/>
        <w:rPr>
          <w:b/>
          <w:bCs/>
          <w:lang w:val="en-GB"/>
        </w:rPr>
      </w:pPr>
    </w:p>
    <w:p w14:paraId="34BAB01F" w14:textId="77777777" w:rsidR="001C4DBB" w:rsidRDefault="001C4DBB" w:rsidP="001C4DBB">
      <w:pPr>
        <w:jc w:val="center"/>
        <w:rPr>
          <w:b/>
          <w:bCs/>
          <w:lang w:val="en-GB"/>
        </w:rPr>
      </w:pPr>
    </w:p>
    <w:p w14:paraId="6A6F8F98" w14:textId="7BACF187" w:rsidR="001C4DBB" w:rsidRPr="001C4DBB" w:rsidRDefault="001C4DBB" w:rsidP="001C4DBB">
      <w:pPr>
        <w:jc w:val="center"/>
        <w:rPr>
          <w:b/>
          <w:bCs/>
          <w:lang w:val="en-GB"/>
        </w:rPr>
      </w:pPr>
      <w:r w:rsidRPr="001C4DBB">
        <w:rPr>
          <w:b/>
          <w:bCs/>
          <w:lang w:val="en-GB"/>
        </w:rPr>
        <w:t>Research Proposal</w:t>
      </w:r>
    </w:p>
    <w:p w14:paraId="2F6A2AD8" w14:textId="77777777" w:rsidR="001C4DBB" w:rsidRDefault="001C4DBB" w:rsidP="001C4DBB">
      <w:pPr>
        <w:jc w:val="center"/>
        <w:rPr>
          <w:b/>
          <w:bCs/>
          <w:lang w:val="en-GB"/>
        </w:rPr>
      </w:pPr>
    </w:p>
    <w:p w14:paraId="22BFD409" w14:textId="77777777" w:rsidR="001C4DBB" w:rsidRDefault="001C4DBB" w:rsidP="001C4DBB">
      <w:pPr>
        <w:jc w:val="center"/>
        <w:rPr>
          <w:b/>
          <w:bCs/>
          <w:lang w:val="en-GB"/>
        </w:rPr>
      </w:pPr>
    </w:p>
    <w:p w14:paraId="1D57B115" w14:textId="77777777" w:rsidR="001C4DBB" w:rsidRDefault="001C4DBB" w:rsidP="001C4DBB">
      <w:pPr>
        <w:jc w:val="center"/>
        <w:rPr>
          <w:b/>
          <w:bCs/>
          <w:lang w:val="en-GB"/>
        </w:rPr>
      </w:pPr>
    </w:p>
    <w:p w14:paraId="54E4ADE8" w14:textId="715A78B6" w:rsidR="001C4DBB" w:rsidRPr="001C4DBB" w:rsidRDefault="001C4DBB" w:rsidP="00DB3550">
      <w:pPr>
        <w:jc w:val="center"/>
        <w:rPr>
          <w:lang w:val="en-GB"/>
        </w:rPr>
      </w:pPr>
      <w:r w:rsidRPr="001C4DBB">
        <w:rPr>
          <w:b/>
          <w:bCs/>
          <w:lang w:val="en-GB"/>
        </w:rPr>
        <w:t>Submitted by:</w:t>
      </w:r>
      <w:r w:rsidR="00DB3550">
        <w:rPr>
          <w:lang w:val="en-GB"/>
        </w:rPr>
        <w:t xml:space="preserve"> </w:t>
      </w:r>
      <w:r w:rsidR="00DB3550" w:rsidRPr="00DB3550">
        <w:rPr>
          <w:lang w:val="en-GB"/>
        </w:rPr>
        <w:t xml:space="preserve">Roshan </w:t>
      </w:r>
      <w:r w:rsidR="00DB3550">
        <w:rPr>
          <w:lang w:val="en-GB"/>
        </w:rPr>
        <w:t>L</w:t>
      </w:r>
      <w:r w:rsidR="00DB3550" w:rsidRPr="00DB3550">
        <w:rPr>
          <w:lang w:val="en-GB"/>
        </w:rPr>
        <w:t>al</w:t>
      </w:r>
    </w:p>
    <w:p w14:paraId="0FC4F86B" w14:textId="77777777" w:rsidR="001C4DBB" w:rsidRDefault="001C4DBB" w:rsidP="001C4DBB">
      <w:pPr>
        <w:jc w:val="center"/>
        <w:rPr>
          <w:b/>
          <w:bCs/>
          <w:lang w:val="en-GB"/>
        </w:rPr>
      </w:pPr>
    </w:p>
    <w:p w14:paraId="0FC08E85" w14:textId="77777777" w:rsidR="001C4DBB" w:rsidRDefault="001C4DBB" w:rsidP="001C4DBB">
      <w:pPr>
        <w:jc w:val="center"/>
        <w:rPr>
          <w:b/>
          <w:bCs/>
          <w:lang w:val="en-GB"/>
        </w:rPr>
      </w:pPr>
    </w:p>
    <w:p w14:paraId="63F08880" w14:textId="166A6608" w:rsidR="001C4DBB" w:rsidRPr="001C4DBB" w:rsidRDefault="001C4DBB" w:rsidP="001C4DBB">
      <w:pPr>
        <w:jc w:val="center"/>
        <w:rPr>
          <w:lang w:val="en-GB"/>
        </w:rPr>
      </w:pPr>
      <w:r w:rsidRPr="001C4DBB">
        <w:rPr>
          <w:b/>
          <w:bCs/>
          <w:lang w:val="en-GB"/>
        </w:rPr>
        <w:t>Student ID:</w:t>
      </w:r>
      <w:r w:rsidRPr="001C4DBB">
        <w:rPr>
          <w:lang w:val="en-GB"/>
        </w:rPr>
        <w:br/>
      </w:r>
      <w:r w:rsidR="00DB3550" w:rsidRPr="00DB3550">
        <w:rPr>
          <w:lang w:val="en-GB"/>
        </w:rPr>
        <w:t>2430265</w:t>
      </w:r>
    </w:p>
    <w:p w14:paraId="126AF629" w14:textId="1DB193EF" w:rsidR="001C4DBB" w:rsidRDefault="001C4DBB">
      <w:pPr>
        <w:rPr>
          <w:rFonts w:asciiTheme="majorHAnsi" w:eastAsiaTheme="majorEastAsia" w:hAnsiTheme="majorHAnsi" w:cstheme="majorBidi"/>
          <w:color w:val="0F4761" w:themeColor="accent1" w:themeShade="BF"/>
          <w:sz w:val="40"/>
          <w:szCs w:val="40"/>
        </w:rPr>
      </w:pPr>
    </w:p>
    <w:p w14:paraId="1C1E9A02" w14:textId="77777777" w:rsidR="001C4DBB" w:rsidRDefault="001C4DBB">
      <w:pPr>
        <w:rPr>
          <w:rFonts w:asciiTheme="majorHAnsi" w:eastAsiaTheme="majorEastAsia" w:hAnsiTheme="majorHAnsi" w:cstheme="majorBidi"/>
          <w:color w:val="0F4761" w:themeColor="accent1" w:themeShade="BF"/>
          <w:sz w:val="40"/>
          <w:szCs w:val="40"/>
        </w:rPr>
      </w:pPr>
      <w:r>
        <w:br w:type="page"/>
      </w:r>
    </w:p>
    <w:p w14:paraId="15C5F074" w14:textId="5B6DBDFE" w:rsidR="0090326C" w:rsidRDefault="00000000" w:rsidP="006C615E">
      <w:pPr>
        <w:pStyle w:val="Heading1"/>
        <w:spacing w:line="360" w:lineRule="auto"/>
        <w:jc w:val="both"/>
      </w:pPr>
      <w:r>
        <w:lastRenderedPageBreak/>
        <w:t>The Impact of Financial Risk Management Practices on the Financial Performance of UK SMEs</w:t>
      </w:r>
    </w:p>
    <w:p w14:paraId="65A640D2" w14:textId="77777777" w:rsidR="0090326C" w:rsidRDefault="00000000" w:rsidP="006C615E">
      <w:pPr>
        <w:pStyle w:val="Heading2"/>
        <w:spacing w:line="360" w:lineRule="auto"/>
        <w:jc w:val="both"/>
      </w:pPr>
      <w:bookmarkStart w:id="1" w:name="introduction"/>
      <w:r>
        <w:t>1. Introduction</w:t>
      </w:r>
    </w:p>
    <w:p w14:paraId="36119859" w14:textId="77777777" w:rsidR="0090326C" w:rsidRDefault="00000000" w:rsidP="006C615E">
      <w:pPr>
        <w:pStyle w:val="Heading3"/>
        <w:spacing w:line="360" w:lineRule="auto"/>
        <w:jc w:val="both"/>
      </w:pPr>
      <w:bookmarkStart w:id="2" w:name="background-and-context"/>
      <w:r>
        <w:t>Background and context</w:t>
      </w:r>
    </w:p>
    <w:p w14:paraId="74DFB4A3" w14:textId="77777777" w:rsidR="006C615E" w:rsidRDefault="006C615E" w:rsidP="006C615E">
      <w:pPr>
        <w:pStyle w:val="BodyText"/>
        <w:spacing w:line="360" w:lineRule="auto"/>
        <w:jc w:val="both"/>
      </w:pPr>
      <w:r>
        <w:t>SMEs play a key role in the economy of the United Kingdom, but they are affected by financial shocks due to the limited resources, the highly concentrated demand from customers, and the lack of specialist knowledge. There were 5.7 million private sector enterprises in the UK at the beginning of 2025, with SMEs accounting for 99.85% of this (Department for Business and Trade, 2025). In March 2024, there were 2.72 million VAT or PAYE registered businesses (ONS, 2024). These are only indicative figures that demonstrate the economic significance of SMEs but do not guarantee a degree of resilience.</w:t>
      </w:r>
    </w:p>
    <w:p w14:paraId="2EF5FAB6" w14:textId="4163E47C" w:rsidR="0090326C" w:rsidRDefault="006C615E" w:rsidP="006C615E">
      <w:pPr>
        <w:pStyle w:val="BodyText"/>
        <w:spacing w:line="360" w:lineRule="auto"/>
        <w:jc w:val="both"/>
      </w:pPr>
      <w:r>
        <w:t xml:space="preserve">Financial risk management is a process that systematically identifies, measures, and manages financial risks that could affect firm value, earnings or liquidity. Liquidity risk for SMEs is the risk that they do not make their short-term debt payments, credit risk is the risk that customers and counterparties do not make their payments, and market risk is the risk that interest rates, exchange rates and input prices will change (Al </w:t>
      </w:r>
      <w:proofErr w:type="spellStart"/>
      <w:r>
        <w:t>Lawati</w:t>
      </w:r>
      <w:proofErr w:type="spellEnd"/>
      <w:r>
        <w:t xml:space="preserve"> et al., 2025). While large companies have specialists in the treasury function, for SMEs the judgement and informal controls of the owner managers may be the only controls (Arthur et al., 2025). This raises doubts over the benefits of structured practices for UK SMEs.</w:t>
      </w:r>
    </w:p>
    <w:p w14:paraId="2D9FDF13" w14:textId="77777777" w:rsidR="0090326C" w:rsidRDefault="00000000" w:rsidP="006C615E">
      <w:pPr>
        <w:pStyle w:val="Heading3"/>
        <w:spacing w:line="360" w:lineRule="auto"/>
        <w:jc w:val="both"/>
      </w:pPr>
      <w:bookmarkStart w:id="3" w:name="research-problem"/>
      <w:bookmarkEnd w:id="2"/>
      <w:r>
        <w:t>Research problem</w:t>
      </w:r>
    </w:p>
    <w:p w14:paraId="54165747" w14:textId="77777777" w:rsidR="0026287D" w:rsidRPr="0026287D" w:rsidRDefault="006C615E" w:rsidP="0026287D">
      <w:pPr>
        <w:pStyle w:val="FirstParagraph"/>
        <w:spacing w:line="360" w:lineRule="auto"/>
        <w:jc w:val="both"/>
        <w:rPr>
          <w:lang w:val="en-GB"/>
        </w:rPr>
      </w:pPr>
      <w:r w:rsidRPr="006C615E">
        <w:t xml:space="preserve">Recent studies link risk management to enhanced results, with results being context specific (Arthur et al., 2025; Al </w:t>
      </w:r>
      <w:proofErr w:type="spellStart"/>
      <w:r w:rsidRPr="006C615E">
        <w:t>Lawati</w:t>
      </w:r>
      <w:proofErr w:type="spellEnd"/>
      <w:r w:rsidRPr="006C615E">
        <w:t xml:space="preserve"> et al., 2025). Many studies are about banks or insurers, listed companies or developing economies, which are not transferable to the UK (</w:t>
      </w:r>
      <w:proofErr w:type="spellStart"/>
      <w:r w:rsidRPr="006C615E">
        <w:t>Tsagay</w:t>
      </w:r>
      <w:proofErr w:type="spellEnd"/>
      <w:r w:rsidRPr="006C615E">
        <w:t xml:space="preserve"> et al., 2024). Some consider the overall impact of enterprise risk management, but not the distinct liquidity, credit or market-risk effects (Al </w:t>
      </w:r>
      <w:proofErr w:type="spellStart"/>
      <w:r w:rsidRPr="006C615E">
        <w:t>Lawati</w:t>
      </w:r>
      <w:proofErr w:type="spellEnd"/>
      <w:r w:rsidRPr="006C615E">
        <w:t xml:space="preserve"> et al., 2025). Self-reports at the </w:t>
      </w:r>
      <w:r w:rsidRPr="006C615E">
        <w:lastRenderedPageBreak/>
        <w:t xml:space="preserve">cross section are also limitations of the study when making causal inferences, and can cause common method </w:t>
      </w:r>
      <w:r w:rsidRPr="0026287D">
        <w:t xml:space="preserve">bias (Tuffour et al., 2022; Yakob et al., 2021). </w:t>
      </w:r>
      <w:r w:rsidR="0026287D" w:rsidRPr="0026287D">
        <w:rPr>
          <w:lang w:val="en-GB"/>
        </w:rPr>
        <w:t>Moreover, the existing evidence is fragmented across different countries, sectors, methods and definitions of financial performance. A critical synthesis of secondary evidence is therefore required to establish how the literature explains the relationship between individual financial risk management practices and the financial performance of UK SMEs.</w:t>
      </w:r>
    </w:p>
    <w:p w14:paraId="781F315B" w14:textId="77777777" w:rsidR="0026287D" w:rsidRPr="0026287D" w:rsidRDefault="0026287D" w:rsidP="0026287D">
      <w:pPr>
        <w:pStyle w:val="Heading3"/>
        <w:spacing w:line="360" w:lineRule="auto"/>
        <w:jc w:val="both"/>
      </w:pPr>
      <w:r w:rsidRPr="0026287D">
        <w:t>Research aim</w:t>
      </w:r>
    </w:p>
    <w:p w14:paraId="5FB565D8" w14:textId="77777777" w:rsidR="0026287D" w:rsidRPr="0026287D" w:rsidRDefault="0026287D" w:rsidP="0026287D">
      <w:pPr>
        <w:pStyle w:val="FirstParagraph"/>
        <w:spacing w:line="360" w:lineRule="auto"/>
        <w:jc w:val="both"/>
        <w:rPr>
          <w:lang w:val="en-GB"/>
        </w:rPr>
      </w:pPr>
      <w:r w:rsidRPr="0026287D">
        <w:rPr>
          <w:lang w:val="en-GB"/>
        </w:rPr>
        <w:t>To critically examine, through secondary qualitative research, how financial risk management practices influence the financial performance of UK SMEs.</w:t>
      </w:r>
    </w:p>
    <w:p w14:paraId="4D10FDFD" w14:textId="77777777" w:rsidR="0026287D" w:rsidRPr="0026287D" w:rsidRDefault="0026287D" w:rsidP="0026287D">
      <w:pPr>
        <w:pStyle w:val="Heading3"/>
        <w:spacing w:line="360" w:lineRule="auto"/>
        <w:jc w:val="both"/>
      </w:pPr>
      <w:r w:rsidRPr="0026287D">
        <w:t>Research objectives</w:t>
      </w:r>
    </w:p>
    <w:p w14:paraId="1FECA9AE" w14:textId="77777777" w:rsidR="0026287D" w:rsidRPr="0026287D" w:rsidRDefault="0026287D" w:rsidP="0026287D">
      <w:pPr>
        <w:pStyle w:val="FirstParagraph"/>
        <w:numPr>
          <w:ilvl w:val="0"/>
          <w:numId w:val="3"/>
        </w:numPr>
        <w:spacing w:line="360" w:lineRule="auto"/>
        <w:jc w:val="both"/>
        <w:rPr>
          <w:lang w:val="en-GB"/>
        </w:rPr>
      </w:pPr>
      <w:r w:rsidRPr="0026287D">
        <w:rPr>
          <w:lang w:val="en-GB"/>
        </w:rPr>
        <w:t>To critically examine the secondary literature concerning the relationship between liquidity risk management practices and the financial performance of UK SMEs.</w:t>
      </w:r>
    </w:p>
    <w:p w14:paraId="553638B9" w14:textId="77777777" w:rsidR="0026287D" w:rsidRPr="0026287D" w:rsidRDefault="0026287D" w:rsidP="0026287D">
      <w:pPr>
        <w:pStyle w:val="FirstParagraph"/>
        <w:numPr>
          <w:ilvl w:val="0"/>
          <w:numId w:val="3"/>
        </w:numPr>
        <w:spacing w:line="360" w:lineRule="auto"/>
        <w:jc w:val="both"/>
        <w:rPr>
          <w:lang w:val="en-GB"/>
        </w:rPr>
      </w:pPr>
      <w:r w:rsidRPr="0026287D">
        <w:rPr>
          <w:lang w:val="en-GB"/>
        </w:rPr>
        <w:t>To evaluate the secondary evidence concerning the relationship between credit risk management practices and the financial performance of UK SMEs.</w:t>
      </w:r>
    </w:p>
    <w:p w14:paraId="47CB68F5" w14:textId="4D215E10" w:rsidR="0090326C" w:rsidRPr="0026287D" w:rsidRDefault="0026287D" w:rsidP="0026287D">
      <w:pPr>
        <w:pStyle w:val="FirstParagraph"/>
        <w:numPr>
          <w:ilvl w:val="0"/>
          <w:numId w:val="3"/>
        </w:numPr>
        <w:spacing w:line="360" w:lineRule="auto"/>
        <w:jc w:val="both"/>
        <w:rPr>
          <w:lang w:val="en-GB"/>
        </w:rPr>
      </w:pPr>
      <w:r w:rsidRPr="0026287D">
        <w:rPr>
          <w:lang w:val="en-GB"/>
        </w:rPr>
        <w:t>To explore how the existing literature explains the relationship between market-risk management practices and the financial performance of UK SMEs.</w:t>
      </w:r>
      <w:bookmarkStart w:id="4" w:name="research-objectives"/>
      <w:bookmarkEnd w:id="3"/>
    </w:p>
    <w:p w14:paraId="61865253" w14:textId="77777777" w:rsidR="0090326C" w:rsidRDefault="00000000" w:rsidP="006C615E">
      <w:pPr>
        <w:pStyle w:val="Heading2"/>
        <w:spacing w:line="360" w:lineRule="auto"/>
        <w:jc w:val="both"/>
      </w:pPr>
      <w:bookmarkStart w:id="5" w:name="literature-review"/>
      <w:bookmarkEnd w:id="1"/>
      <w:bookmarkEnd w:id="4"/>
      <w:r>
        <w:t>2. Literature Review</w:t>
      </w:r>
    </w:p>
    <w:p w14:paraId="79111364" w14:textId="77777777" w:rsidR="0090326C" w:rsidRDefault="00000000" w:rsidP="006C615E">
      <w:pPr>
        <w:pStyle w:val="Heading3"/>
        <w:spacing w:line="360" w:lineRule="auto"/>
        <w:jc w:val="both"/>
      </w:pPr>
      <w:bookmarkStart w:id="6" w:name="X73056be22438145468e4a080b7be97eb79b03d1"/>
      <w:r>
        <w:t>Financial risk management and SME performance</w:t>
      </w:r>
    </w:p>
    <w:p w14:paraId="30D369ED" w14:textId="77777777" w:rsidR="006C615E" w:rsidRDefault="006C615E" w:rsidP="006C615E">
      <w:pPr>
        <w:pStyle w:val="BodyText"/>
        <w:spacing w:line="360" w:lineRule="auto"/>
        <w:jc w:val="both"/>
      </w:pPr>
      <w:r>
        <w:t xml:space="preserve">Risk management can enhance performance by minimizing </w:t>
      </w:r>
      <w:proofErr w:type="gramStart"/>
      <w:r>
        <w:t>the volatility</w:t>
      </w:r>
      <w:proofErr w:type="gramEnd"/>
      <w:r>
        <w:t xml:space="preserve">, losses, and inefficient capital allocation, while also taking managerial time and financial resources (Al </w:t>
      </w:r>
      <w:proofErr w:type="spellStart"/>
      <w:r>
        <w:t>Lawati</w:t>
      </w:r>
      <w:proofErr w:type="spellEnd"/>
      <w:r>
        <w:t xml:space="preserve"> et al., 2025; </w:t>
      </w:r>
      <w:proofErr w:type="spellStart"/>
      <w:r>
        <w:t>Tsagay</w:t>
      </w:r>
      <w:proofErr w:type="spellEnd"/>
      <w:r>
        <w:t xml:space="preserve">, </w:t>
      </w:r>
      <w:proofErr w:type="spellStart"/>
      <w:r>
        <w:t>Rattanawiboonsom</w:t>
      </w:r>
      <w:proofErr w:type="spellEnd"/>
      <w:r>
        <w:t xml:space="preserve"> and </w:t>
      </w:r>
      <w:proofErr w:type="spellStart"/>
      <w:r>
        <w:t>Yawised</w:t>
      </w:r>
      <w:proofErr w:type="spellEnd"/>
      <w:r>
        <w:t xml:space="preserve">, 2024). In a survey of 210 SMEs and SEM study, Arthur et al. (2025) discovered that risk analysis for identification and response act as a mediator. SEM allowed for an examination of interrelated processes, but limited sample size and single city study restricted </w:t>
      </w:r>
      <w:proofErr w:type="spellStart"/>
      <w:r>
        <w:t>generalisability</w:t>
      </w:r>
      <w:proofErr w:type="spellEnd"/>
      <w:r>
        <w:t xml:space="preserve"> as did perceptual measures reducing conclusions about financial outcomes.</w:t>
      </w:r>
    </w:p>
    <w:p w14:paraId="6E4E7653" w14:textId="531C8A82" w:rsidR="0090326C" w:rsidRDefault="006C615E" w:rsidP="006C615E">
      <w:pPr>
        <w:pStyle w:val="BodyText"/>
        <w:spacing w:line="360" w:lineRule="auto"/>
        <w:jc w:val="both"/>
      </w:pPr>
      <w:r>
        <w:lastRenderedPageBreak/>
        <w:t xml:space="preserve">This </w:t>
      </w:r>
      <w:proofErr w:type="gramStart"/>
      <w:r>
        <w:t>is in contrast to</w:t>
      </w:r>
      <w:proofErr w:type="gramEnd"/>
      <w:r>
        <w:t xml:space="preserve"> Bhutanese SMEs, which could do well even when knowledge of risk is low (</w:t>
      </w:r>
      <w:proofErr w:type="spellStart"/>
      <w:r>
        <w:t>Tsagay</w:t>
      </w:r>
      <w:proofErr w:type="spellEnd"/>
      <w:r>
        <w:t xml:space="preserve">, </w:t>
      </w:r>
      <w:proofErr w:type="spellStart"/>
      <w:r>
        <w:t>Rattanawiboonsom</w:t>
      </w:r>
      <w:proofErr w:type="spellEnd"/>
      <w:r>
        <w:t xml:space="preserve"> and </w:t>
      </w:r>
      <w:proofErr w:type="spellStart"/>
      <w:r>
        <w:t>Yawived</w:t>
      </w:r>
      <w:proofErr w:type="spellEnd"/>
      <w:r>
        <w:t xml:space="preserve"> 2024) and the assumption of a direct link between good performance and </w:t>
      </w:r>
      <w:proofErr w:type="gramStart"/>
      <w:r>
        <w:t>high risk</w:t>
      </w:r>
      <w:proofErr w:type="gramEnd"/>
      <w:r>
        <w:t xml:space="preserve"> knowledge is misleading. Their small qualitative </w:t>
      </w:r>
      <w:proofErr w:type="gramStart"/>
      <w:r>
        <w:t>sample</w:t>
      </w:r>
      <w:proofErr w:type="gramEnd"/>
      <w:r>
        <w:t xml:space="preserve"> however, restricts generalizability. In contrast, Al </w:t>
      </w:r>
      <w:proofErr w:type="spellStart"/>
      <w:r>
        <w:t>Lawati</w:t>
      </w:r>
      <w:proofErr w:type="spellEnd"/>
      <w:r>
        <w:t xml:space="preserve"> et al. (2025), based on 439 responses and PLS-SEM, found that non-financial performance has been positively affected. Methodologically better, but conclusions on profitability are limited </w:t>
      </w:r>
      <w:proofErr w:type="gramStart"/>
      <w:r>
        <w:t>by the use of</w:t>
      </w:r>
      <w:proofErr w:type="gramEnd"/>
      <w:r>
        <w:t xml:space="preserve"> non-financial indicators.</w:t>
      </w:r>
    </w:p>
    <w:p w14:paraId="531E4DAE" w14:textId="77777777" w:rsidR="0090326C" w:rsidRDefault="00000000" w:rsidP="006C615E">
      <w:pPr>
        <w:pStyle w:val="Heading3"/>
        <w:spacing w:line="360" w:lineRule="auto"/>
        <w:jc w:val="both"/>
      </w:pPr>
      <w:bookmarkStart w:id="7" w:name="liquidity-risk-management"/>
      <w:bookmarkEnd w:id="6"/>
      <w:r>
        <w:t>Liquidity risk management</w:t>
      </w:r>
    </w:p>
    <w:p w14:paraId="483FE46D" w14:textId="77777777" w:rsidR="006C615E" w:rsidRDefault="006C615E" w:rsidP="006C615E">
      <w:pPr>
        <w:pStyle w:val="BodyText"/>
        <w:spacing w:line="360" w:lineRule="auto"/>
        <w:jc w:val="both"/>
      </w:pPr>
      <w:r>
        <w:t xml:space="preserve">Liquidity management encompasses cash forecasting, working-capital tracking, keeping cash reserves, and getting payment schedules right (Brigham and Ehrhardt, 2021). According to Padi et al (2025), financial capability allows the SME owners to plan, predict and mitigate risks better and consequently perform better. The content of their framework is good at </w:t>
      </w:r>
      <w:proofErr w:type="gramStart"/>
      <w:r>
        <w:t>connecting with</w:t>
      </w:r>
      <w:proofErr w:type="gramEnd"/>
      <w:r>
        <w:t xml:space="preserve"> financial decision making with internal competence. But self-reported data creates the common method variance problem of measuring capability and performance with the same instrument. Also, evaluations of performance may not be as reliable when compared to audited financial measures.</w:t>
      </w:r>
    </w:p>
    <w:p w14:paraId="54EA480C" w14:textId="340466C8" w:rsidR="0090326C" w:rsidRDefault="006C615E" w:rsidP="006C615E">
      <w:pPr>
        <w:pStyle w:val="BodyText"/>
        <w:spacing w:line="360" w:lineRule="auto"/>
        <w:jc w:val="both"/>
      </w:pPr>
      <w:r>
        <w:t xml:space="preserve">Wang et al. (2025) applied a large sample of Portuguese SMEs and new ventures to create failure-prediction models in which the financial ratios played an important role in default prediction. Large sample size with objective data increases the robustness of the study. But it is more about financial results than practice - so there is less knowledge about how liquidity strategies affect performance. It has high measurement and low </w:t>
      </w:r>
      <w:proofErr w:type="spellStart"/>
      <w:r>
        <w:t>behaviour</w:t>
      </w:r>
      <w:proofErr w:type="spellEnd"/>
      <w:r>
        <w:t xml:space="preserve"> explanation when compared to Padi et al. (2025).</w:t>
      </w:r>
    </w:p>
    <w:p w14:paraId="3ADADD56" w14:textId="77777777" w:rsidR="0090326C" w:rsidRDefault="00000000" w:rsidP="006C615E">
      <w:pPr>
        <w:pStyle w:val="Heading3"/>
        <w:spacing w:line="360" w:lineRule="auto"/>
        <w:jc w:val="both"/>
      </w:pPr>
      <w:bookmarkStart w:id="8" w:name="credit-risk-management"/>
      <w:bookmarkEnd w:id="7"/>
      <w:r>
        <w:t>Credit risk management</w:t>
      </w:r>
    </w:p>
    <w:p w14:paraId="5099466F" w14:textId="77777777" w:rsidR="006C615E" w:rsidRDefault="006C615E" w:rsidP="006C615E">
      <w:pPr>
        <w:pStyle w:val="BodyText"/>
        <w:spacing w:line="360" w:lineRule="auto"/>
        <w:jc w:val="both"/>
      </w:pPr>
      <w:r>
        <w:t xml:space="preserve">Credit risk management involves customer screening, credit limits, invoice monitoring, collection procedures and diversification of receivables (Tuffour, Amoako and Amartey, 2022). The controls should help to </w:t>
      </w:r>
      <w:proofErr w:type="spellStart"/>
      <w:r>
        <w:t>minimise</w:t>
      </w:r>
      <w:proofErr w:type="spellEnd"/>
      <w:r>
        <w:t xml:space="preserve"> bad debts and ensure a more regular cash inflow, with the possibility of sales growth being curtailed if the controls are too stringent. </w:t>
      </w:r>
      <w:r>
        <w:lastRenderedPageBreak/>
        <w:t xml:space="preserve">Much of the previous SME literature is focused on external financing sources and not on intra-enterprise credit (trade credit) granted to customers. Consistent with this, survey-based data in Tuffour, Amoako and Amartey (2022) showed that financial literacy had a positive effect on performance, making credit decisions an important aspect. However, they typically have a cross-sectional design which makes it difficult to make causal inferences, and </w:t>
      </w:r>
      <w:proofErr w:type="gramStart"/>
      <w:r>
        <w:t>also</w:t>
      </w:r>
      <w:proofErr w:type="gramEnd"/>
      <w:r>
        <w:t xml:space="preserve"> they rely on subjective self-reported performances, which introduces bias.</w:t>
      </w:r>
    </w:p>
    <w:p w14:paraId="7078A7D4" w14:textId="55BE3C86" w:rsidR="0090326C" w:rsidRDefault="006C615E" w:rsidP="0026287D">
      <w:pPr>
        <w:pStyle w:val="BodyText"/>
        <w:spacing w:line="360" w:lineRule="auto"/>
        <w:jc w:val="both"/>
      </w:pPr>
      <w:r>
        <w:t xml:space="preserve">The study by Yakob et al. (2021) also found that there was a positive correlation between financial literacy and SMEs' performance. Both studies have found consistent results; however, they are not able to capture the independent effect of formal credit risk practices. Financial literacy includes a wider set of financial behaviors, and there may be omitted-variable bias. Thus, this study </w:t>
      </w:r>
      <w:r w:rsidR="0026287D" w:rsidRPr="0026287D">
        <w:t>will critically compare the concepts, findings and methodological limitations reported across existing studies. It will examine whether the available evidence consistently supports a relationship between credit risk management and SME financial performance</w:t>
      </w:r>
      <w:r>
        <w:t>.</w:t>
      </w:r>
    </w:p>
    <w:p w14:paraId="5FCB63A1" w14:textId="77777777" w:rsidR="0090326C" w:rsidRDefault="00000000" w:rsidP="006C615E">
      <w:pPr>
        <w:pStyle w:val="Heading3"/>
        <w:spacing w:line="360" w:lineRule="auto"/>
        <w:jc w:val="both"/>
      </w:pPr>
      <w:bookmarkStart w:id="9" w:name="market-risk-management"/>
      <w:bookmarkEnd w:id="8"/>
      <w:r>
        <w:t>Market-risk management</w:t>
      </w:r>
    </w:p>
    <w:p w14:paraId="481FDBB1" w14:textId="77777777" w:rsidR="006C615E" w:rsidRDefault="006C615E" w:rsidP="006C615E">
      <w:pPr>
        <w:pStyle w:val="BodyText"/>
        <w:spacing w:line="360" w:lineRule="auto"/>
        <w:jc w:val="both"/>
      </w:pPr>
      <w:r>
        <w:t xml:space="preserve">Interest-rate volatility, exchange-rate volatility and commodity-price volatility is a risk for UK SMEs, with responses in the form of supplier diversification and formal hedging. Risk perception is important because if managers don't know the risk, they cannot manage the risk. Glowka, </w:t>
      </w:r>
      <w:proofErr w:type="spellStart"/>
      <w:r>
        <w:t>Hule</w:t>
      </w:r>
      <w:proofErr w:type="spellEnd"/>
      <w:r>
        <w:t xml:space="preserve"> and Zehrer (2024) carried out a survey of 1005 German </w:t>
      </w:r>
      <w:proofErr w:type="gramStart"/>
      <w:r>
        <w:t>SMEs, and</w:t>
      </w:r>
      <w:proofErr w:type="gramEnd"/>
      <w:r>
        <w:t xml:space="preserve"> determined that risk perceptions varied between the firms depending on their size, equity and business conditions. The large sample enables subgroup comparisons and is </w:t>
      </w:r>
      <w:proofErr w:type="gramStart"/>
      <w:r>
        <w:t>fairly generalizable</w:t>
      </w:r>
      <w:proofErr w:type="gramEnd"/>
      <w:r>
        <w:t xml:space="preserve"> to the UK context. However, there is no direct evidence of better financial performance, but perception does not equal implemented control.</w:t>
      </w:r>
    </w:p>
    <w:p w14:paraId="31FE6315" w14:textId="135FC6C0" w:rsidR="0090326C" w:rsidRDefault="006C615E" w:rsidP="006C615E">
      <w:pPr>
        <w:pStyle w:val="BodyText"/>
        <w:spacing w:line="360" w:lineRule="auto"/>
        <w:jc w:val="both"/>
      </w:pPr>
      <w:r>
        <w:t xml:space="preserve">Interest-rate and input-price instability are mentioned by Arthur et al. (2025) as concerns of the SMEs, although this sample may be limited in exposure to currency derivatives or formal hedging in the service sector of Ghana. On the other hand, the German evidence reflects a more advanced European context and yet again is based on perceived risk. These studies </w:t>
      </w:r>
      <w:r>
        <w:lastRenderedPageBreak/>
        <w:t xml:space="preserve">demonstrate that </w:t>
      </w:r>
      <w:proofErr w:type="gramStart"/>
      <w:r>
        <w:t>a context</w:t>
      </w:r>
      <w:proofErr w:type="gramEnd"/>
      <w:r>
        <w:t xml:space="preserve"> influences market-risk responses. They do not say when sophisticated hedging is or is not good.</w:t>
      </w:r>
    </w:p>
    <w:p w14:paraId="072BF486" w14:textId="77777777" w:rsidR="0090326C" w:rsidRDefault="00000000" w:rsidP="006C615E">
      <w:pPr>
        <w:pStyle w:val="Heading3"/>
        <w:spacing w:line="360" w:lineRule="auto"/>
        <w:jc w:val="both"/>
      </w:pPr>
      <w:bookmarkStart w:id="10" w:name="theoretical-framework"/>
      <w:bookmarkEnd w:id="9"/>
      <w:r>
        <w:t>Theoretical framework</w:t>
      </w:r>
    </w:p>
    <w:p w14:paraId="26667197" w14:textId="77777777" w:rsidR="006C615E" w:rsidRDefault="006C615E" w:rsidP="006C615E">
      <w:pPr>
        <w:pStyle w:val="BodyText"/>
        <w:spacing w:line="360" w:lineRule="auto"/>
        <w:jc w:val="both"/>
      </w:pPr>
      <w:r>
        <w:t xml:space="preserve">The first foundation is Resource Based View. Sustained advantage is the result of scarce and costly resources that are valuable to the business, rare, not easily imitated and not easily substituted, according to Barney (1991). In applied to this, financial knowledge, cash control routines, customer-credit information and market-monitoring capability are internal resources that can be used to safeguard margins </w:t>
      </w:r>
      <w:proofErr w:type="gramStart"/>
      <w:r>
        <w:t>and also</w:t>
      </w:r>
      <w:proofErr w:type="gramEnd"/>
      <w:r>
        <w:t xml:space="preserve"> improve performance. Padi et al. (2025) relate the financial capability and risk management of SMEs to their performance. It's a good thing at explaining the differences in performance and it's a bad thing at circular reasoning or paying attention to external factors.</w:t>
      </w:r>
    </w:p>
    <w:p w14:paraId="74B0E7EF" w14:textId="43206A3F" w:rsidR="0090326C" w:rsidRDefault="006C615E" w:rsidP="006C615E">
      <w:pPr>
        <w:pStyle w:val="BodyText"/>
        <w:spacing w:line="360" w:lineRule="auto"/>
        <w:jc w:val="both"/>
      </w:pPr>
      <w:r>
        <w:t xml:space="preserve">The second foundation is </w:t>
      </w:r>
      <w:proofErr w:type="gramStart"/>
      <w:r>
        <w:t>the Contingency</w:t>
      </w:r>
      <w:proofErr w:type="gramEnd"/>
      <w:r>
        <w:t xml:space="preserve"> Theory. Lawrence and Lorsch (1967) suggest that </w:t>
      </w:r>
      <w:proofErr w:type="spellStart"/>
      <w:r>
        <w:t>organisational</w:t>
      </w:r>
      <w:proofErr w:type="spellEnd"/>
      <w:r>
        <w:t xml:space="preserve"> effectiveness is not only dependent on the internal arrangements, but also on the environmental conditions, and not necessarily one structure that is better. This is backed up by Glowka et al. (2024), who demonstrate that SME risk perceptions are related to firm characteristics. It has strengths in terms of its context relevance, but it is weak in terms of its predictive precision.</w:t>
      </w:r>
    </w:p>
    <w:p w14:paraId="41BEA6AC" w14:textId="77777777" w:rsidR="0090326C" w:rsidRDefault="00000000" w:rsidP="006C615E">
      <w:pPr>
        <w:pStyle w:val="Heading3"/>
        <w:spacing w:line="360" w:lineRule="auto"/>
        <w:jc w:val="both"/>
      </w:pPr>
      <w:bookmarkStart w:id="11" w:name="research-gap"/>
      <w:bookmarkEnd w:id="10"/>
      <w:r>
        <w:t>Research gap</w:t>
      </w:r>
    </w:p>
    <w:p w14:paraId="4A0CEF39" w14:textId="4D4057E8" w:rsidR="0090326C" w:rsidRDefault="006C615E" w:rsidP="0026287D">
      <w:pPr>
        <w:pStyle w:val="FirstParagraph"/>
        <w:spacing w:line="360" w:lineRule="auto"/>
        <w:jc w:val="both"/>
      </w:pPr>
      <w:r w:rsidRPr="006C615E">
        <w:t xml:space="preserve">The literature is still dominated with non-UK samples, reducing the applicability for UK SMEs where conditions are different (Arthur et al., 2025; </w:t>
      </w:r>
      <w:proofErr w:type="spellStart"/>
      <w:r w:rsidRPr="006C615E">
        <w:t>Tsagay</w:t>
      </w:r>
      <w:proofErr w:type="spellEnd"/>
      <w:r w:rsidRPr="006C615E">
        <w:t xml:space="preserve"> et al., 2024). Furthermore, many studies rely on the general enterprise risk management framework instead of identifying liquidity risk, credit risk and market risk, which limits their understanding of how each of these risks affects the enterprise (Al </w:t>
      </w:r>
      <w:proofErr w:type="spellStart"/>
      <w:r w:rsidRPr="006C615E">
        <w:t>Lawati</w:t>
      </w:r>
      <w:proofErr w:type="spellEnd"/>
      <w:r w:rsidRPr="006C615E">
        <w:t xml:space="preserve"> et al., 2025). In methodologically, the financial data collected from the archival study is solid, but lacks managerial perspective, whereas the subjective measures used in surveys are susceptible to errors and bias (Wang and Guedes, 2025; Padi et al., 2025). </w:t>
      </w:r>
      <w:r w:rsidR="0026287D" w:rsidRPr="0026287D">
        <w:t xml:space="preserve">Existing findings are therefore dispersed across different research designs, geographical settings and performance measures, and there is limited </w:t>
      </w:r>
      <w:r w:rsidR="0026287D" w:rsidRPr="0026287D">
        <w:lastRenderedPageBreak/>
        <w:t>critical synthesis focused specifically on UK SMEs. This study addresses the gap by conducting a structured secondary qualitative analysis that compares and interprets evidence concerning liquidity, credit and market-risk management within a single analytical framework</w:t>
      </w:r>
      <w:r>
        <w:t>.</w:t>
      </w:r>
    </w:p>
    <w:p w14:paraId="6D423645" w14:textId="77777777" w:rsidR="0090326C" w:rsidRDefault="00000000" w:rsidP="006C615E">
      <w:pPr>
        <w:pStyle w:val="Heading3"/>
        <w:spacing w:line="360" w:lineRule="auto"/>
        <w:jc w:val="both"/>
      </w:pPr>
      <w:bookmarkStart w:id="12" w:name="conceptual-framework-and-hypotheses"/>
      <w:bookmarkEnd w:id="11"/>
      <w:r>
        <w:t>Conceptual framework and hypotheses</w:t>
      </w:r>
    </w:p>
    <w:p w14:paraId="00E9C086" w14:textId="2D4DC250" w:rsidR="001C4DBB" w:rsidRDefault="0026287D" w:rsidP="001C4DBB">
      <w:pPr>
        <w:pStyle w:val="FirstParagraph"/>
        <w:spacing w:line="360" w:lineRule="auto"/>
        <w:jc w:val="center"/>
      </w:pPr>
      <w:r w:rsidRPr="0026287D">
        <w:drawing>
          <wp:inline distT="0" distB="0" distL="0" distR="0" wp14:anchorId="1B24328F" wp14:editId="5C789492">
            <wp:extent cx="5632450" cy="2869781"/>
            <wp:effectExtent l="0" t="0" r="0" b="0"/>
            <wp:docPr id="767201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201201" name=""/>
                    <pic:cNvPicPr/>
                  </pic:nvPicPr>
                  <pic:blipFill rotWithShape="1">
                    <a:blip r:embed="rId7"/>
                    <a:srcRect t="1242"/>
                    <a:stretch>
                      <a:fillRect/>
                    </a:stretch>
                  </pic:blipFill>
                  <pic:spPr bwMode="auto">
                    <a:xfrm>
                      <a:off x="0" y="0"/>
                      <a:ext cx="5635708" cy="2871441"/>
                    </a:xfrm>
                    <a:prstGeom prst="rect">
                      <a:avLst/>
                    </a:prstGeom>
                    <a:ln>
                      <a:noFill/>
                    </a:ln>
                    <a:extLst>
                      <a:ext uri="{53640926-AAD7-44D8-BBD7-CCE9431645EC}">
                        <a14:shadowObscured xmlns:a14="http://schemas.microsoft.com/office/drawing/2010/main"/>
                      </a:ext>
                    </a:extLst>
                  </pic:spPr>
                </pic:pic>
              </a:graphicData>
            </a:graphic>
          </wp:inline>
        </w:drawing>
      </w:r>
    </w:p>
    <w:p w14:paraId="5C9B7DBA" w14:textId="290F79E6" w:rsidR="0090326C" w:rsidRDefault="0026287D" w:rsidP="0026287D">
      <w:pPr>
        <w:pStyle w:val="BodyText"/>
        <w:spacing w:line="360" w:lineRule="auto"/>
        <w:jc w:val="both"/>
      </w:pPr>
      <w:r w:rsidRPr="0026287D">
        <w:t xml:space="preserve">The aim of the study is to develop an analytical framework that will focus on the three main analytical categories of liquidity risk management, credit risk management and market-risk management, which are supported by the identified gap and the theories of the Resource Based View and Contingency Theory. The study, however, is a secondary qualitative study and the framework will be used to interpret the results instead of using statistical hypothesis testing. The review will explore the relationships between these financial risk-management practices and SME financial outcomes, as explained by the existing literature, policy reports and industry evidence, and whether these relationships differ by </w:t>
      </w:r>
      <w:proofErr w:type="spellStart"/>
      <w:r w:rsidRPr="0026287D">
        <w:t>organisational</w:t>
      </w:r>
      <w:proofErr w:type="spellEnd"/>
      <w:r w:rsidRPr="0026287D">
        <w:t xml:space="preserve"> and environmental characteristics. Thus, the study is based on three research propositions: Liquid Risk Management is often stated as an important factor affecting SME financial performance, Credit Risk Management is often cited as a positive impact on SME financial </w:t>
      </w:r>
      <w:r w:rsidRPr="0026287D">
        <w:lastRenderedPageBreak/>
        <w:t>performance, and the value of Market Risk Management is highly dependent on contextual factors like sector, exposure and volatility</w:t>
      </w:r>
      <w:r w:rsidR="00000000">
        <w:t>.</w:t>
      </w:r>
    </w:p>
    <w:p w14:paraId="54333DC2" w14:textId="77777777" w:rsidR="0090326C" w:rsidRDefault="00000000" w:rsidP="006C615E">
      <w:pPr>
        <w:pStyle w:val="Heading2"/>
        <w:spacing w:line="360" w:lineRule="auto"/>
        <w:jc w:val="both"/>
      </w:pPr>
      <w:bookmarkStart w:id="13" w:name="methodology"/>
      <w:bookmarkEnd w:id="5"/>
      <w:bookmarkEnd w:id="12"/>
      <w:r>
        <w:t>3. Methodology</w:t>
      </w:r>
    </w:p>
    <w:p w14:paraId="2DD2C539" w14:textId="77777777" w:rsidR="0026287D" w:rsidRDefault="0026287D" w:rsidP="0026287D">
      <w:pPr>
        <w:pStyle w:val="Heading3"/>
        <w:spacing w:line="360" w:lineRule="auto"/>
        <w:jc w:val="both"/>
      </w:pPr>
      <w:bookmarkStart w:id="14" w:name="data-analysis"/>
      <w:r>
        <w:t>Research philosophy</w:t>
      </w:r>
    </w:p>
    <w:p w14:paraId="2D7C46C0" w14:textId="77777777" w:rsidR="0026287D" w:rsidRDefault="0026287D" w:rsidP="0026287D">
      <w:pPr>
        <w:spacing w:line="360" w:lineRule="auto"/>
        <w:jc w:val="both"/>
      </w:pPr>
      <w:r>
        <w:t xml:space="preserve">This study will follow the interpretivism philosophy, which is adopted in this study based on research by Saunders, Lewis and Thornhill (2023) on </w:t>
      </w:r>
      <w:proofErr w:type="gramStart"/>
      <w:r>
        <w:t>the research</w:t>
      </w:r>
      <w:proofErr w:type="gramEnd"/>
      <w:r>
        <w:t xml:space="preserve"> onion. Interpretivism is a suitable approach, as the research is not about measuring variables using primary numerical data, but rather about understanding how the relationship between financial risk management practices and financial performance of UK SMEs is explained in the existing literature. This role acknowledges that the definition and importance of liquidity, credit and market-risk management can also be sector, country and economic-context specific. While interpretivism does not allow statistical </w:t>
      </w:r>
      <w:proofErr w:type="spellStart"/>
      <w:r>
        <w:t>generalisation</w:t>
      </w:r>
      <w:proofErr w:type="spellEnd"/>
      <w:r>
        <w:t>, it is appropriate for enriching the understanding of the interpretation of the financial risk management of SMEs and the impact it has on their performance by other researchers.</w:t>
      </w:r>
    </w:p>
    <w:p w14:paraId="56BE4FCB" w14:textId="77777777" w:rsidR="0026287D" w:rsidRDefault="0026287D" w:rsidP="0026287D">
      <w:pPr>
        <w:pStyle w:val="Heading3"/>
        <w:spacing w:line="360" w:lineRule="auto"/>
        <w:jc w:val="both"/>
      </w:pPr>
      <w:r>
        <w:t>Research approach</w:t>
      </w:r>
    </w:p>
    <w:p w14:paraId="75E920DB" w14:textId="77777777" w:rsidR="0026287D" w:rsidRDefault="0026287D" w:rsidP="0026287D">
      <w:pPr>
        <w:spacing w:line="360" w:lineRule="auto"/>
        <w:jc w:val="both"/>
      </w:pPr>
      <w:r>
        <w:t>An inductive approach will be used. The study will not test pre-formulated hypotheses with statistical tests, it will examine the existing evidence and create themes, patterns and interpretations from that evidence. Induction is appropriate because the goal of this research is to gain an understanding of the influence of liquidity, credit and market-risk management on SME financial performance and the extent to which similar explanations can be found throughout different contexts. This approach can also help the study to recognize contradictions or differences in context and problems which could not be seen in the hypothesis-driven approach.</w:t>
      </w:r>
    </w:p>
    <w:p w14:paraId="568DCE09" w14:textId="77777777" w:rsidR="0026287D" w:rsidRDefault="0026287D" w:rsidP="0026287D">
      <w:pPr>
        <w:pStyle w:val="Heading3"/>
        <w:spacing w:line="360" w:lineRule="auto"/>
        <w:jc w:val="both"/>
      </w:pPr>
      <w:r>
        <w:t>Methodological choice and strategy</w:t>
      </w:r>
    </w:p>
    <w:p w14:paraId="4A3BB977" w14:textId="351F7792" w:rsidR="0026287D" w:rsidRDefault="0026287D" w:rsidP="0026287D">
      <w:pPr>
        <w:spacing w:line="360" w:lineRule="auto"/>
        <w:jc w:val="both"/>
      </w:pPr>
      <w:r>
        <w:t xml:space="preserve">This study is a mono-method qualitative study using secondary data. Secondary qualitative research is suitable because the researcher can analyze existing primary data from </w:t>
      </w:r>
      <w:r>
        <w:lastRenderedPageBreak/>
        <w:t xml:space="preserve">academics and professionals, without collecting primary data from participants. The primary approach will be a structured </w:t>
      </w:r>
      <w:proofErr w:type="gramStart"/>
      <w:r>
        <w:t>desk based</w:t>
      </w:r>
      <w:proofErr w:type="gramEnd"/>
      <w:r>
        <w:t xml:space="preserve"> review of </w:t>
      </w:r>
      <w:proofErr w:type="gramStart"/>
      <w:r>
        <w:t>peer reviewed</w:t>
      </w:r>
      <w:proofErr w:type="gramEnd"/>
      <w:r>
        <w:t xml:space="preserve"> journal articles, government publications, policy papers and credible industry reports with relevance to UK SMEs and financial risk management. It will not be a full Systematic </w:t>
      </w:r>
      <w:proofErr w:type="gramStart"/>
      <w:r>
        <w:t>Review,</w:t>
      </w:r>
      <w:proofErr w:type="gramEnd"/>
      <w:r>
        <w:t xml:space="preserve"> however, the review will be based on a transparent and </w:t>
      </w:r>
      <w:proofErr w:type="spellStart"/>
      <w:r>
        <w:t>organised</w:t>
      </w:r>
      <w:proofErr w:type="spellEnd"/>
      <w:r>
        <w:t xml:space="preserve"> search and selection process. Sources will be judged, and if necessary excluded, in terms of their relevance, credibility, recency and methodological value.</w:t>
      </w:r>
    </w:p>
    <w:p w14:paraId="7046F274" w14:textId="77777777" w:rsidR="0026287D" w:rsidRDefault="0026287D" w:rsidP="0026287D">
      <w:pPr>
        <w:pStyle w:val="Heading3"/>
        <w:spacing w:line="360" w:lineRule="auto"/>
        <w:jc w:val="both"/>
      </w:pPr>
      <w:r>
        <w:t>Time horizon</w:t>
      </w:r>
    </w:p>
    <w:p w14:paraId="0C1C542B" w14:textId="77777777" w:rsidR="0026287D" w:rsidRDefault="0026287D" w:rsidP="0026287D">
      <w:pPr>
        <w:spacing w:line="360" w:lineRule="auto"/>
        <w:jc w:val="both"/>
      </w:pPr>
      <w:r>
        <w:t>The study will be cross-sectional as it will look at literature that is found during the period of research rather than collect literature over time. This would be suitable in the context of a taught postgraduate proposal given the time and resource limitations. But the review will also keep an eye on the recent research into business conditions, such as inflation, interest-rate volatility, exchange-rate pressure and uncertainty over the post-pandemic business environment for UK SMEs.</w:t>
      </w:r>
    </w:p>
    <w:p w14:paraId="6068F9E4" w14:textId="77777777" w:rsidR="0026287D" w:rsidRDefault="0026287D" w:rsidP="0026287D">
      <w:pPr>
        <w:pStyle w:val="Heading3"/>
        <w:spacing w:line="360" w:lineRule="auto"/>
        <w:jc w:val="both"/>
      </w:pPr>
      <w:r>
        <w:t>Data collection and source selection</w:t>
      </w:r>
    </w:p>
    <w:p w14:paraId="71860A99" w14:textId="77777777" w:rsidR="0026287D" w:rsidRDefault="0026287D" w:rsidP="0026287D">
      <w:pPr>
        <w:spacing w:line="360" w:lineRule="auto"/>
        <w:jc w:val="both"/>
      </w:pPr>
      <w:r>
        <w:t>Secondary data will be gathered by using Google Scholar and the university library database, as well as official databases and websites like the Department for Business and Trade, the Office for National Statistics and relevant professional bodies. Common search phrases will be: “UK SMEs and financial risk management”, “liquidity risk”, “credit risk”, “market risk” and “financial performance”. English language sources will be included, as will be sources from 2021 onwards for empirical studies, if they are well suited to the topic, have academic or institutional sources, and are sufficiently transparent in their methodology. Where necessary, seminal theoretical sources will be added. Sources from only large companies, banks or other unrelated industries will typically not be included unless they offer significant conceptual understanding.</w:t>
      </w:r>
    </w:p>
    <w:p w14:paraId="578D8038" w14:textId="77777777" w:rsidR="0026287D" w:rsidRDefault="0026287D" w:rsidP="0026287D">
      <w:pPr>
        <w:pStyle w:val="Heading3"/>
        <w:spacing w:line="360" w:lineRule="auto"/>
        <w:jc w:val="both"/>
      </w:pPr>
      <w:r>
        <w:lastRenderedPageBreak/>
        <w:t>Data analysis</w:t>
      </w:r>
    </w:p>
    <w:p w14:paraId="4A39C2F2" w14:textId="4D768FCF" w:rsidR="0090326C" w:rsidRDefault="0026287D" w:rsidP="0026287D">
      <w:pPr>
        <w:spacing w:line="360" w:lineRule="auto"/>
        <w:jc w:val="both"/>
      </w:pPr>
      <w:r>
        <w:t xml:space="preserve">Thematic analysis will be used to </w:t>
      </w:r>
      <w:proofErr w:type="spellStart"/>
      <w:r>
        <w:t>analyse</w:t>
      </w:r>
      <w:proofErr w:type="spellEnd"/>
      <w:r>
        <w:t xml:space="preserve"> the selected literature. Each source will be coded for findings, concepts, methods and conclusions and these codes will be clustered into themes related to liquidity risk management, credit risk management, market-risk management, financial performance, contextual influences and explanation of theory. The analysis will be comparative and contrasting in nature, considering the methods, samples, strengths and weaknesses, and conclusions of the studies, and will go beyond mere description and enable critical interpretation of the review. This is an appropriate method because it will allow patterns from various sources to be identified more systematically. The search process, inclusion criteria, coding decisions and interpretation stages will be clearly documented to enhance </w:t>
      </w:r>
      <w:proofErr w:type="spellStart"/>
      <w:r>
        <w:t>rigour</w:t>
      </w:r>
      <w:proofErr w:type="spellEnd"/>
      <w:r>
        <w:t>, with increased transparency, dependability and credibility.</w:t>
      </w:r>
    </w:p>
    <w:p w14:paraId="24F887B8" w14:textId="77777777" w:rsidR="0090326C" w:rsidRDefault="00000000" w:rsidP="006C615E">
      <w:pPr>
        <w:pStyle w:val="Heading2"/>
        <w:spacing w:line="360" w:lineRule="auto"/>
        <w:jc w:val="both"/>
      </w:pPr>
      <w:bookmarkStart w:id="15" w:name="expected-findings"/>
      <w:bookmarkEnd w:id="13"/>
      <w:bookmarkEnd w:id="14"/>
      <w:r>
        <w:t>4. Expected Findings</w:t>
      </w:r>
    </w:p>
    <w:p w14:paraId="6D7B7475" w14:textId="79CF8FC9" w:rsidR="0090326C" w:rsidRDefault="0026287D" w:rsidP="0026287D">
      <w:pPr>
        <w:pStyle w:val="FirstParagraph"/>
        <w:spacing w:line="360" w:lineRule="auto"/>
        <w:jc w:val="both"/>
      </w:pPr>
      <w:r w:rsidRPr="0026287D">
        <w:t xml:space="preserve">The findings of the study are likely to be that the current literature largely supports that financial risk management is generally good for SMEs financial performance, but the effect of this relationship is likely to be </w:t>
      </w:r>
      <w:proofErr w:type="gramStart"/>
      <w:r w:rsidRPr="0026287D">
        <w:t>more or less strong</w:t>
      </w:r>
      <w:proofErr w:type="gramEnd"/>
      <w:r w:rsidRPr="0026287D">
        <w:t xml:space="preserve"> and is likely to differ in terms of risk type and context. Liquidity risk management could be the most prevalent theme as cash-flow pressures have a direct impact on business survival, payments to suppliers and operational continuity. There is also expected to be a link between credit risk management and better financial performance, primarily in the areas of receivables control and bad-debt risk management. Market-risk management might seem more industry specific, depending on the sector, size, international exposure and economic volatility. The review is also likely to highlight that much of the existing evidence is still not UK specific and is also methodologically inconsistent, further proving the need for more specific research into UK SMEs</w:t>
      </w:r>
      <w:r w:rsidR="006C615E">
        <w:t>.</w:t>
      </w:r>
    </w:p>
    <w:p w14:paraId="342FABCF" w14:textId="77777777" w:rsidR="0090326C" w:rsidRDefault="00000000" w:rsidP="006C615E">
      <w:pPr>
        <w:pStyle w:val="Heading2"/>
        <w:spacing w:line="360" w:lineRule="auto"/>
        <w:jc w:val="both"/>
      </w:pPr>
      <w:bookmarkStart w:id="16" w:name="limitations"/>
      <w:bookmarkEnd w:id="15"/>
      <w:r>
        <w:t>5. Limitations</w:t>
      </w:r>
    </w:p>
    <w:p w14:paraId="23DEEF0E" w14:textId="597E7931" w:rsidR="0090326C" w:rsidRPr="0026287D" w:rsidRDefault="0026287D" w:rsidP="0026287D">
      <w:pPr>
        <w:pStyle w:val="FirstParagraph"/>
        <w:spacing w:line="360" w:lineRule="auto"/>
        <w:jc w:val="both"/>
        <w:rPr>
          <w:lang w:val="en-GB"/>
        </w:rPr>
      </w:pPr>
      <w:r w:rsidRPr="0026287D">
        <w:rPr>
          <w:lang w:val="en-GB"/>
        </w:rPr>
        <w:t xml:space="preserve">The major drawbacks of the revised study are that it is based primarily on secondary qualitative data. The research does not gather primary evidence from the owners or </w:t>
      </w:r>
      <w:r w:rsidRPr="0026287D">
        <w:rPr>
          <w:lang w:val="en-GB"/>
        </w:rPr>
        <w:lastRenderedPageBreak/>
        <w:t xml:space="preserve">managers of SMEs in the UK and thus is unable to reflect first-hand experiences or new empirical findings. Existing literature will also be relied upon, and publication bias, inconsistent definitions and methodology may impact interpretation. Another issue is that a lot of the studies that are relevant are done outside of the UK, which can limit how applicable they are to the UK context of SMEs. In addition, thematic interpretation involves researcher judgement, so although a transparent review process will be followed, some subjectivity cannot be </w:t>
      </w:r>
      <w:proofErr w:type="gramStart"/>
      <w:r w:rsidRPr="0026287D">
        <w:rPr>
          <w:lang w:val="en-GB"/>
        </w:rPr>
        <w:t>entirely eliminated</w:t>
      </w:r>
      <w:proofErr w:type="gramEnd"/>
      <w:r w:rsidR="006C615E">
        <w:t>.</w:t>
      </w:r>
    </w:p>
    <w:p w14:paraId="3A85B12C" w14:textId="77777777" w:rsidR="0090326C" w:rsidRDefault="00000000" w:rsidP="006C615E">
      <w:pPr>
        <w:pStyle w:val="Heading2"/>
        <w:spacing w:line="360" w:lineRule="auto"/>
        <w:jc w:val="both"/>
      </w:pPr>
      <w:bookmarkStart w:id="17" w:name="timeframe"/>
      <w:bookmarkEnd w:id="16"/>
      <w:r>
        <w:t>6. Timeframe</w:t>
      </w:r>
    </w:p>
    <w:tbl>
      <w:tblPr>
        <w:tblStyle w:val="PlainTable2"/>
        <w:tblW w:w="4829" w:type="pct"/>
        <w:jc w:val="center"/>
        <w:tblLayout w:type="fixed"/>
        <w:tblLook w:val="0020" w:firstRow="1" w:lastRow="0" w:firstColumn="0" w:lastColumn="0" w:noHBand="0" w:noVBand="0"/>
      </w:tblPr>
      <w:tblGrid>
        <w:gridCol w:w="3263"/>
        <w:gridCol w:w="460"/>
        <w:gridCol w:w="460"/>
        <w:gridCol w:w="461"/>
        <w:gridCol w:w="462"/>
        <w:gridCol w:w="462"/>
        <w:gridCol w:w="462"/>
        <w:gridCol w:w="462"/>
        <w:gridCol w:w="462"/>
        <w:gridCol w:w="462"/>
        <w:gridCol w:w="538"/>
        <w:gridCol w:w="538"/>
        <w:gridCol w:w="538"/>
      </w:tblGrid>
      <w:tr w:rsidR="0090326C" w:rsidRPr="006A7C32" w14:paraId="3C541552" w14:textId="77777777" w:rsidTr="006C615E">
        <w:trPr>
          <w:cnfStyle w:val="100000000000" w:firstRow="1" w:lastRow="0" w:firstColumn="0" w:lastColumn="0" w:oddVBand="0" w:evenVBand="0" w:oddHBand="0" w:evenHBand="0" w:firstRowFirstColumn="0" w:firstRowLastColumn="0" w:lastRowFirstColumn="0" w:lastRowLastColumn="0"/>
          <w:trHeight w:val="247"/>
          <w:jc w:val="center"/>
        </w:trPr>
        <w:tc>
          <w:tcPr>
            <w:cnfStyle w:val="000010000000" w:firstRow="0" w:lastRow="0" w:firstColumn="0" w:lastColumn="0" w:oddVBand="1" w:evenVBand="0" w:oddHBand="0" w:evenHBand="0" w:firstRowFirstColumn="0" w:firstRowLastColumn="0" w:lastRowFirstColumn="0" w:lastRowLastColumn="0"/>
            <w:tcW w:w="3375" w:type="dxa"/>
          </w:tcPr>
          <w:p w14:paraId="35EAAA98" w14:textId="3E101A26" w:rsidR="0090326C" w:rsidRPr="006A7C32" w:rsidRDefault="00000000" w:rsidP="006C615E">
            <w:pPr>
              <w:pStyle w:val="Compact"/>
              <w:spacing w:after="0"/>
              <w:jc w:val="both"/>
              <w:rPr>
                <w:sz w:val="16"/>
                <w:szCs w:val="16"/>
              </w:rPr>
            </w:pPr>
            <w:r w:rsidRPr="006A7C32">
              <w:rPr>
                <w:sz w:val="16"/>
                <w:szCs w:val="16"/>
              </w:rPr>
              <w:t>Activity</w:t>
            </w:r>
            <w:r w:rsidR="006C615E" w:rsidRPr="006A7C32">
              <w:rPr>
                <w:sz w:val="16"/>
                <w:szCs w:val="16"/>
              </w:rPr>
              <w:t>/Week</w:t>
            </w:r>
          </w:p>
        </w:tc>
        <w:tc>
          <w:tcPr>
            <w:cnfStyle w:val="000001000000" w:firstRow="0" w:lastRow="0" w:firstColumn="0" w:lastColumn="0" w:oddVBand="0" w:evenVBand="1" w:oddHBand="0" w:evenHBand="0" w:firstRowFirstColumn="0" w:firstRowLastColumn="0" w:lastRowFirstColumn="0" w:lastRowLastColumn="0"/>
            <w:tcW w:w="469" w:type="dxa"/>
          </w:tcPr>
          <w:p w14:paraId="069F593F" w14:textId="1E88CBE7" w:rsidR="0090326C" w:rsidRPr="006A7C32" w:rsidRDefault="00000000" w:rsidP="006C615E">
            <w:pPr>
              <w:pStyle w:val="Compact"/>
              <w:spacing w:after="0"/>
              <w:jc w:val="both"/>
              <w:rPr>
                <w:sz w:val="16"/>
                <w:szCs w:val="16"/>
              </w:rPr>
            </w:pPr>
            <w:r w:rsidRPr="006A7C32">
              <w:rPr>
                <w:sz w:val="16"/>
                <w:szCs w:val="16"/>
              </w:rPr>
              <w:t>1</w:t>
            </w:r>
          </w:p>
        </w:tc>
        <w:tc>
          <w:tcPr>
            <w:cnfStyle w:val="000010000000" w:firstRow="0" w:lastRow="0" w:firstColumn="0" w:lastColumn="0" w:oddVBand="1" w:evenVBand="0" w:oddHBand="0" w:evenHBand="0" w:firstRowFirstColumn="0" w:firstRowLastColumn="0" w:lastRowFirstColumn="0" w:lastRowLastColumn="0"/>
            <w:tcW w:w="469" w:type="dxa"/>
          </w:tcPr>
          <w:p w14:paraId="2A2F7910" w14:textId="010312A5" w:rsidR="0090326C" w:rsidRPr="006A7C32" w:rsidRDefault="00000000" w:rsidP="006C615E">
            <w:pPr>
              <w:pStyle w:val="Compact"/>
              <w:spacing w:after="0"/>
              <w:jc w:val="both"/>
              <w:rPr>
                <w:sz w:val="16"/>
                <w:szCs w:val="16"/>
              </w:rPr>
            </w:pPr>
            <w:r w:rsidRPr="006A7C32">
              <w:rPr>
                <w:sz w:val="16"/>
                <w:szCs w:val="16"/>
              </w:rPr>
              <w:t>2</w:t>
            </w:r>
          </w:p>
        </w:tc>
        <w:tc>
          <w:tcPr>
            <w:cnfStyle w:val="000001000000" w:firstRow="0" w:lastRow="0" w:firstColumn="0" w:lastColumn="0" w:oddVBand="0" w:evenVBand="1" w:oddHBand="0" w:evenHBand="0" w:firstRowFirstColumn="0" w:firstRowLastColumn="0" w:lastRowFirstColumn="0" w:lastRowLastColumn="0"/>
            <w:tcW w:w="469" w:type="dxa"/>
          </w:tcPr>
          <w:p w14:paraId="7A4436F9" w14:textId="6DEF007B" w:rsidR="0090326C" w:rsidRPr="006A7C32" w:rsidRDefault="00000000" w:rsidP="006C615E">
            <w:pPr>
              <w:pStyle w:val="Compact"/>
              <w:spacing w:after="0"/>
              <w:jc w:val="both"/>
              <w:rPr>
                <w:sz w:val="16"/>
                <w:szCs w:val="16"/>
              </w:rPr>
            </w:pPr>
            <w:r w:rsidRPr="006A7C32">
              <w:rPr>
                <w:sz w:val="16"/>
                <w:szCs w:val="16"/>
              </w:rPr>
              <w:t>3</w:t>
            </w:r>
          </w:p>
        </w:tc>
        <w:tc>
          <w:tcPr>
            <w:cnfStyle w:val="000010000000" w:firstRow="0" w:lastRow="0" w:firstColumn="0" w:lastColumn="0" w:oddVBand="1" w:evenVBand="0" w:oddHBand="0" w:evenHBand="0" w:firstRowFirstColumn="0" w:firstRowLastColumn="0" w:lastRowFirstColumn="0" w:lastRowLastColumn="0"/>
            <w:tcW w:w="470" w:type="dxa"/>
          </w:tcPr>
          <w:p w14:paraId="25FDD855" w14:textId="04F265E6" w:rsidR="0090326C" w:rsidRPr="006A7C32" w:rsidRDefault="00000000" w:rsidP="006C615E">
            <w:pPr>
              <w:pStyle w:val="Compact"/>
              <w:spacing w:after="0"/>
              <w:jc w:val="both"/>
              <w:rPr>
                <w:sz w:val="16"/>
                <w:szCs w:val="16"/>
              </w:rPr>
            </w:pPr>
            <w:r w:rsidRPr="006A7C32">
              <w:rPr>
                <w:sz w:val="16"/>
                <w:szCs w:val="16"/>
              </w:rPr>
              <w:t>4</w:t>
            </w:r>
          </w:p>
        </w:tc>
        <w:tc>
          <w:tcPr>
            <w:cnfStyle w:val="000001000000" w:firstRow="0" w:lastRow="0" w:firstColumn="0" w:lastColumn="0" w:oddVBand="0" w:evenVBand="1" w:oddHBand="0" w:evenHBand="0" w:firstRowFirstColumn="0" w:firstRowLastColumn="0" w:lastRowFirstColumn="0" w:lastRowLastColumn="0"/>
            <w:tcW w:w="470" w:type="dxa"/>
          </w:tcPr>
          <w:p w14:paraId="166101AF" w14:textId="623BE745" w:rsidR="0090326C" w:rsidRPr="006A7C32" w:rsidRDefault="00000000" w:rsidP="006C615E">
            <w:pPr>
              <w:pStyle w:val="Compact"/>
              <w:spacing w:after="0"/>
              <w:jc w:val="both"/>
              <w:rPr>
                <w:sz w:val="16"/>
                <w:szCs w:val="16"/>
              </w:rPr>
            </w:pPr>
            <w:r w:rsidRPr="006A7C32">
              <w:rPr>
                <w:sz w:val="16"/>
                <w:szCs w:val="16"/>
              </w:rPr>
              <w:t>5</w:t>
            </w:r>
          </w:p>
        </w:tc>
        <w:tc>
          <w:tcPr>
            <w:cnfStyle w:val="000010000000" w:firstRow="0" w:lastRow="0" w:firstColumn="0" w:lastColumn="0" w:oddVBand="1" w:evenVBand="0" w:oddHBand="0" w:evenHBand="0" w:firstRowFirstColumn="0" w:firstRowLastColumn="0" w:lastRowFirstColumn="0" w:lastRowLastColumn="0"/>
            <w:tcW w:w="470" w:type="dxa"/>
          </w:tcPr>
          <w:p w14:paraId="228A5105" w14:textId="2F241D2E" w:rsidR="0090326C" w:rsidRPr="006A7C32" w:rsidRDefault="00000000" w:rsidP="006C615E">
            <w:pPr>
              <w:pStyle w:val="Compact"/>
              <w:spacing w:after="0"/>
              <w:jc w:val="both"/>
              <w:rPr>
                <w:sz w:val="16"/>
                <w:szCs w:val="16"/>
              </w:rPr>
            </w:pPr>
            <w:r w:rsidRPr="006A7C32">
              <w:rPr>
                <w:sz w:val="16"/>
                <w:szCs w:val="16"/>
              </w:rPr>
              <w:t>6</w:t>
            </w:r>
          </w:p>
        </w:tc>
        <w:tc>
          <w:tcPr>
            <w:cnfStyle w:val="000001000000" w:firstRow="0" w:lastRow="0" w:firstColumn="0" w:lastColumn="0" w:oddVBand="0" w:evenVBand="1" w:oddHBand="0" w:evenHBand="0" w:firstRowFirstColumn="0" w:firstRowLastColumn="0" w:lastRowFirstColumn="0" w:lastRowLastColumn="0"/>
            <w:tcW w:w="470" w:type="dxa"/>
          </w:tcPr>
          <w:p w14:paraId="2F52FA5E" w14:textId="178042C2" w:rsidR="0090326C" w:rsidRPr="006A7C32" w:rsidRDefault="00000000" w:rsidP="006C615E">
            <w:pPr>
              <w:pStyle w:val="Compact"/>
              <w:spacing w:after="0"/>
              <w:jc w:val="both"/>
              <w:rPr>
                <w:sz w:val="16"/>
                <w:szCs w:val="16"/>
              </w:rPr>
            </w:pPr>
            <w:r w:rsidRPr="006A7C32">
              <w:rPr>
                <w:sz w:val="16"/>
                <w:szCs w:val="16"/>
              </w:rPr>
              <w:t>7</w:t>
            </w:r>
          </w:p>
        </w:tc>
        <w:tc>
          <w:tcPr>
            <w:cnfStyle w:val="000010000000" w:firstRow="0" w:lastRow="0" w:firstColumn="0" w:lastColumn="0" w:oddVBand="1" w:evenVBand="0" w:oddHBand="0" w:evenHBand="0" w:firstRowFirstColumn="0" w:firstRowLastColumn="0" w:lastRowFirstColumn="0" w:lastRowLastColumn="0"/>
            <w:tcW w:w="470" w:type="dxa"/>
          </w:tcPr>
          <w:p w14:paraId="1D5BC1EA" w14:textId="2E8DC62C" w:rsidR="0090326C" w:rsidRPr="006A7C32" w:rsidRDefault="00000000" w:rsidP="006C615E">
            <w:pPr>
              <w:pStyle w:val="Compact"/>
              <w:spacing w:after="0"/>
              <w:jc w:val="both"/>
              <w:rPr>
                <w:sz w:val="16"/>
                <w:szCs w:val="16"/>
              </w:rPr>
            </w:pPr>
            <w:r w:rsidRPr="006A7C32">
              <w:rPr>
                <w:sz w:val="16"/>
                <w:szCs w:val="16"/>
              </w:rPr>
              <w:t>8</w:t>
            </w:r>
          </w:p>
        </w:tc>
        <w:tc>
          <w:tcPr>
            <w:cnfStyle w:val="000001000000" w:firstRow="0" w:lastRow="0" w:firstColumn="0" w:lastColumn="0" w:oddVBand="0" w:evenVBand="1" w:oddHBand="0" w:evenHBand="0" w:firstRowFirstColumn="0" w:firstRowLastColumn="0" w:lastRowFirstColumn="0" w:lastRowLastColumn="0"/>
            <w:tcW w:w="470" w:type="dxa"/>
          </w:tcPr>
          <w:p w14:paraId="642AF8B6" w14:textId="0FF85A95" w:rsidR="0090326C" w:rsidRPr="006A7C32" w:rsidRDefault="00000000" w:rsidP="006C615E">
            <w:pPr>
              <w:pStyle w:val="Compact"/>
              <w:spacing w:after="0"/>
              <w:jc w:val="both"/>
              <w:rPr>
                <w:sz w:val="16"/>
                <w:szCs w:val="16"/>
              </w:rPr>
            </w:pPr>
            <w:r w:rsidRPr="006A7C32">
              <w:rPr>
                <w:sz w:val="16"/>
                <w:szCs w:val="16"/>
              </w:rPr>
              <w:t>9</w:t>
            </w:r>
          </w:p>
        </w:tc>
        <w:tc>
          <w:tcPr>
            <w:cnfStyle w:val="000010000000" w:firstRow="0" w:lastRow="0" w:firstColumn="0" w:lastColumn="0" w:oddVBand="1" w:evenVBand="0" w:oddHBand="0" w:evenHBand="0" w:firstRowFirstColumn="0" w:firstRowLastColumn="0" w:lastRowFirstColumn="0" w:lastRowLastColumn="0"/>
            <w:tcW w:w="549" w:type="dxa"/>
          </w:tcPr>
          <w:p w14:paraId="5F943BA0" w14:textId="45B7BC61" w:rsidR="0090326C" w:rsidRPr="006A7C32" w:rsidRDefault="00000000" w:rsidP="006C615E">
            <w:pPr>
              <w:pStyle w:val="Compact"/>
              <w:spacing w:after="0"/>
              <w:jc w:val="both"/>
              <w:rPr>
                <w:sz w:val="16"/>
                <w:szCs w:val="16"/>
              </w:rPr>
            </w:pPr>
            <w:r w:rsidRPr="006A7C32">
              <w:rPr>
                <w:sz w:val="16"/>
                <w:szCs w:val="16"/>
              </w:rPr>
              <w:t>10</w:t>
            </w:r>
          </w:p>
        </w:tc>
        <w:tc>
          <w:tcPr>
            <w:cnfStyle w:val="000001000000" w:firstRow="0" w:lastRow="0" w:firstColumn="0" w:lastColumn="0" w:oddVBand="0" w:evenVBand="1" w:oddHBand="0" w:evenHBand="0" w:firstRowFirstColumn="0" w:firstRowLastColumn="0" w:lastRowFirstColumn="0" w:lastRowLastColumn="0"/>
            <w:tcW w:w="549" w:type="dxa"/>
          </w:tcPr>
          <w:p w14:paraId="54C05D56" w14:textId="34C29C32" w:rsidR="0090326C" w:rsidRPr="006A7C32" w:rsidRDefault="00000000" w:rsidP="006C615E">
            <w:pPr>
              <w:pStyle w:val="Compact"/>
              <w:spacing w:after="0"/>
              <w:jc w:val="both"/>
              <w:rPr>
                <w:sz w:val="16"/>
                <w:szCs w:val="16"/>
              </w:rPr>
            </w:pPr>
            <w:r w:rsidRPr="006A7C32">
              <w:rPr>
                <w:sz w:val="16"/>
                <w:szCs w:val="16"/>
              </w:rPr>
              <w:t>11</w:t>
            </w:r>
          </w:p>
        </w:tc>
        <w:tc>
          <w:tcPr>
            <w:cnfStyle w:val="000010000000" w:firstRow="0" w:lastRow="0" w:firstColumn="0" w:lastColumn="0" w:oddVBand="1" w:evenVBand="0" w:oddHBand="0" w:evenHBand="0" w:firstRowFirstColumn="0" w:firstRowLastColumn="0" w:lastRowFirstColumn="0" w:lastRowLastColumn="0"/>
            <w:tcW w:w="549" w:type="dxa"/>
          </w:tcPr>
          <w:p w14:paraId="72C9A1E0" w14:textId="28EF0488" w:rsidR="0090326C" w:rsidRPr="006A7C32" w:rsidRDefault="00000000" w:rsidP="006C615E">
            <w:pPr>
              <w:pStyle w:val="Compact"/>
              <w:spacing w:after="0"/>
              <w:jc w:val="both"/>
              <w:rPr>
                <w:sz w:val="16"/>
                <w:szCs w:val="16"/>
              </w:rPr>
            </w:pPr>
            <w:r w:rsidRPr="006A7C32">
              <w:rPr>
                <w:sz w:val="16"/>
                <w:szCs w:val="16"/>
              </w:rPr>
              <w:t>12</w:t>
            </w:r>
          </w:p>
        </w:tc>
      </w:tr>
      <w:tr w:rsidR="006A7C32" w:rsidRPr="006A7C32" w14:paraId="31F97E93" w14:textId="77777777" w:rsidTr="006A7C32">
        <w:trPr>
          <w:cnfStyle w:val="000000100000" w:firstRow="0" w:lastRow="0" w:firstColumn="0" w:lastColumn="0" w:oddVBand="0" w:evenVBand="0" w:oddHBand="1" w:evenHBand="0" w:firstRowFirstColumn="0" w:firstRowLastColumn="0" w:lastRowFirstColumn="0" w:lastRowLastColumn="0"/>
          <w:trHeight w:val="247"/>
          <w:jc w:val="center"/>
        </w:trPr>
        <w:tc>
          <w:tcPr>
            <w:cnfStyle w:val="000010000000" w:firstRow="0" w:lastRow="0" w:firstColumn="0" w:lastColumn="0" w:oddVBand="1" w:evenVBand="0" w:oddHBand="0" w:evenHBand="0" w:firstRowFirstColumn="0" w:firstRowLastColumn="0" w:lastRowFirstColumn="0" w:lastRowLastColumn="0"/>
            <w:tcW w:w="3375" w:type="dxa"/>
          </w:tcPr>
          <w:p w14:paraId="00C2C9E1" w14:textId="6FC19DA1" w:rsidR="006A7C32" w:rsidRPr="006A7C32" w:rsidRDefault="006A7C32" w:rsidP="006A7C32">
            <w:pPr>
              <w:pStyle w:val="Compact"/>
              <w:spacing w:after="0"/>
              <w:jc w:val="both"/>
              <w:rPr>
                <w:sz w:val="16"/>
                <w:szCs w:val="16"/>
              </w:rPr>
            </w:pPr>
            <w:r w:rsidRPr="006A7C32">
              <w:rPr>
                <w:sz w:val="16"/>
                <w:szCs w:val="16"/>
              </w:rPr>
              <w:t>Literature review and framework development</w:t>
            </w:r>
          </w:p>
        </w:tc>
        <w:tc>
          <w:tcPr>
            <w:cnfStyle w:val="000001000000" w:firstRow="0" w:lastRow="0" w:firstColumn="0" w:lastColumn="0" w:oddVBand="0" w:evenVBand="1" w:oddHBand="0" w:evenHBand="0" w:firstRowFirstColumn="0" w:firstRowLastColumn="0" w:lastRowFirstColumn="0" w:lastRowLastColumn="0"/>
            <w:tcW w:w="469" w:type="dxa"/>
            <w:shd w:val="clear" w:color="auto" w:fill="F2CEED" w:themeFill="accent5" w:themeFillTint="33"/>
          </w:tcPr>
          <w:p w14:paraId="4BC75D1B" w14:textId="65A1B978"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69" w:type="dxa"/>
            <w:shd w:val="clear" w:color="auto" w:fill="F2CEED" w:themeFill="accent5" w:themeFillTint="33"/>
          </w:tcPr>
          <w:p w14:paraId="3A4BC0A2" w14:textId="603ED5EC"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69" w:type="dxa"/>
            <w:shd w:val="clear" w:color="auto" w:fill="F2CEED" w:themeFill="accent5" w:themeFillTint="33"/>
          </w:tcPr>
          <w:p w14:paraId="0729D468" w14:textId="02B120AA"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6AC64D2E"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548BCEC7"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128885E2"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1A84DD8F"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76348219"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57700067"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549" w:type="dxa"/>
            <w:shd w:val="clear" w:color="auto" w:fill="FFFFFF" w:themeFill="background1"/>
          </w:tcPr>
          <w:p w14:paraId="7ECC4B0D"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549" w:type="dxa"/>
            <w:shd w:val="clear" w:color="auto" w:fill="FFFFFF" w:themeFill="background1"/>
          </w:tcPr>
          <w:p w14:paraId="7E68378B"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549" w:type="dxa"/>
            <w:shd w:val="clear" w:color="auto" w:fill="FFFFFF" w:themeFill="background1"/>
          </w:tcPr>
          <w:p w14:paraId="7F27B937" w14:textId="77777777" w:rsidR="006A7C32" w:rsidRPr="006A7C32" w:rsidRDefault="006A7C32" w:rsidP="006A7C32">
            <w:pPr>
              <w:pStyle w:val="Compact"/>
              <w:spacing w:after="0"/>
              <w:jc w:val="both"/>
              <w:rPr>
                <w:sz w:val="16"/>
                <w:szCs w:val="16"/>
              </w:rPr>
            </w:pPr>
          </w:p>
        </w:tc>
      </w:tr>
      <w:tr w:rsidR="006A7C32" w:rsidRPr="006A7C32" w14:paraId="1982D693" w14:textId="77777777" w:rsidTr="006A7C32">
        <w:trPr>
          <w:trHeight w:val="247"/>
          <w:jc w:val="center"/>
        </w:trPr>
        <w:tc>
          <w:tcPr>
            <w:cnfStyle w:val="000010000000" w:firstRow="0" w:lastRow="0" w:firstColumn="0" w:lastColumn="0" w:oddVBand="1" w:evenVBand="0" w:oddHBand="0" w:evenHBand="0" w:firstRowFirstColumn="0" w:firstRowLastColumn="0" w:lastRowFirstColumn="0" w:lastRowLastColumn="0"/>
            <w:tcW w:w="3375" w:type="dxa"/>
          </w:tcPr>
          <w:p w14:paraId="4B79902A" w14:textId="00B765F7" w:rsidR="006A7C32" w:rsidRPr="006A7C32" w:rsidRDefault="006A7C32" w:rsidP="006A7C32">
            <w:pPr>
              <w:pStyle w:val="Compact"/>
              <w:spacing w:after="0"/>
              <w:jc w:val="both"/>
              <w:rPr>
                <w:sz w:val="16"/>
                <w:szCs w:val="16"/>
              </w:rPr>
            </w:pPr>
            <w:r w:rsidRPr="006A7C32">
              <w:rPr>
                <w:sz w:val="16"/>
                <w:szCs w:val="16"/>
              </w:rPr>
              <w:t>Development of search terms and inclusion criteria</w:t>
            </w:r>
          </w:p>
        </w:tc>
        <w:tc>
          <w:tcPr>
            <w:cnfStyle w:val="000001000000" w:firstRow="0" w:lastRow="0" w:firstColumn="0" w:lastColumn="0" w:oddVBand="0" w:evenVBand="1" w:oddHBand="0" w:evenHBand="0" w:firstRowFirstColumn="0" w:firstRowLastColumn="0" w:lastRowFirstColumn="0" w:lastRowLastColumn="0"/>
            <w:tcW w:w="469" w:type="dxa"/>
            <w:shd w:val="clear" w:color="auto" w:fill="FFFFFF" w:themeFill="background1"/>
          </w:tcPr>
          <w:p w14:paraId="119C6F08"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69" w:type="dxa"/>
            <w:shd w:val="clear" w:color="auto" w:fill="F2CEED" w:themeFill="accent5" w:themeFillTint="33"/>
          </w:tcPr>
          <w:p w14:paraId="395C3C3B" w14:textId="4238ED9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69" w:type="dxa"/>
            <w:shd w:val="clear" w:color="auto" w:fill="F2CEED" w:themeFill="accent5" w:themeFillTint="33"/>
          </w:tcPr>
          <w:p w14:paraId="227F715C" w14:textId="08550F4F"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0E2CACAB" w14:textId="2FAA2599"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62E8D238" w14:textId="4C77EC1E"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18D58DBB"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53AAFB2D"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6172C8AF"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0B89CB87"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549" w:type="dxa"/>
            <w:shd w:val="clear" w:color="auto" w:fill="FFFFFF" w:themeFill="background1"/>
          </w:tcPr>
          <w:p w14:paraId="4051A760"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549" w:type="dxa"/>
            <w:shd w:val="clear" w:color="auto" w:fill="FFFFFF" w:themeFill="background1"/>
          </w:tcPr>
          <w:p w14:paraId="178EE399"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549" w:type="dxa"/>
            <w:shd w:val="clear" w:color="auto" w:fill="FFFFFF" w:themeFill="background1"/>
          </w:tcPr>
          <w:p w14:paraId="5FBE1043" w14:textId="77777777" w:rsidR="006A7C32" w:rsidRPr="006A7C32" w:rsidRDefault="006A7C32" w:rsidP="006A7C32">
            <w:pPr>
              <w:pStyle w:val="Compact"/>
              <w:spacing w:after="0"/>
              <w:jc w:val="both"/>
              <w:rPr>
                <w:sz w:val="16"/>
                <w:szCs w:val="16"/>
              </w:rPr>
            </w:pPr>
          </w:p>
        </w:tc>
      </w:tr>
      <w:tr w:rsidR="006A7C32" w:rsidRPr="006A7C32" w14:paraId="6D863A8A" w14:textId="77777777" w:rsidTr="006A7C32">
        <w:trPr>
          <w:cnfStyle w:val="000000100000" w:firstRow="0" w:lastRow="0" w:firstColumn="0" w:lastColumn="0" w:oddVBand="0" w:evenVBand="0" w:oddHBand="1" w:evenHBand="0" w:firstRowFirstColumn="0" w:firstRowLastColumn="0" w:lastRowFirstColumn="0" w:lastRowLastColumn="0"/>
          <w:trHeight w:val="258"/>
          <w:jc w:val="center"/>
        </w:trPr>
        <w:tc>
          <w:tcPr>
            <w:cnfStyle w:val="000010000000" w:firstRow="0" w:lastRow="0" w:firstColumn="0" w:lastColumn="0" w:oddVBand="1" w:evenVBand="0" w:oddHBand="0" w:evenHBand="0" w:firstRowFirstColumn="0" w:firstRowLastColumn="0" w:lastRowFirstColumn="0" w:lastRowLastColumn="0"/>
            <w:tcW w:w="3375" w:type="dxa"/>
          </w:tcPr>
          <w:p w14:paraId="4B6E7F06" w14:textId="427442A5" w:rsidR="006A7C32" w:rsidRPr="006A7C32" w:rsidRDefault="006A7C32" w:rsidP="006A7C32">
            <w:pPr>
              <w:pStyle w:val="Compact"/>
              <w:spacing w:after="0"/>
              <w:jc w:val="both"/>
              <w:rPr>
                <w:sz w:val="16"/>
                <w:szCs w:val="16"/>
              </w:rPr>
            </w:pPr>
            <w:r w:rsidRPr="006A7C32">
              <w:rPr>
                <w:sz w:val="16"/>
                <w:szCs w:val="16"/>
              </w:rPr>
              <w:t>Ethical approval</w:t>
            </w:r>
          </w:p>
        </w:tc>
        <w:tc>
          <w:tcPr>
            <w:cnfStyle w:val="000001000000" w:firstRow="0" w:lastRow="0" w:firstColumn="0" w:lastColumn="0" w:oddVBand="0" w:evenVBand="1" w:oddHBand="0" w:evenHBand="0" w:firstRowFirstColumn="0" w:firstRowLastColumn="0" w:lastRowFirstColumn="0" w:lastRowLastColumn="0"/>
            <w:tcW w:w="469" w:type="dxa"/>
            <w:shd w:val="clear" w:color="auto" w:fill="FFFFFF" w:themeFill="background1"/>
          </w:tcPr>
          <w:p w14:paraId="690BD6CE"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69" w:type="dxa"/>
            <w:shd w:val="clear" w:color="auto" w:fill="FFFFFF" w:themeFill="background1"/>
          </w:tcPr>
          <w:p w14:paraId="063C7D92"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69" w:type="dxa"/>
            <w:shd w:val="clear" w:color="auto" w:fill="F2CEED" w:themeFill="accent5" w:themeFillTint="33"/>
          </w:tcPr>
          <w:p w14:paraId="59AA109F" w14:textId="13DA84F3"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2CEED" w:themeFill="accent5" w:themeFillTint="33"/>
          </w:tcPr>
          <w:p w14:paraId="6C4C81A5" w14:textId="1CFF93EC"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4E1687A2" w14:textId="2D712B3C"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515E32E2"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25D2EA8F"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277D3D5A"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0AA77187"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549" w:type="dxa"/>
            <w:shd w:val="clear" w:color="auto" w:fill="FFFFFF" w:themeFill="background1"/>
          </w:tcPr>
          <w:p w14:paraId="54BAF4A0"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549" w:type="dxa"/>
            <w:shd w:val="clear" w:color="auto" w:fill="FFFFFF" w:themeFill="background1"/>
          </w:tcPr>
          <w:p w14:paraId="23477AE3"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549" w:type="dxa"/>
            <w:shd w:val="clear" w:color="auto" w:fill="FFFFFF" w:themeFill="background1"/>
          </w:tcPr>
          <w:p w14:paraId="08422B5D" w14:textId="77777777" w:rsidR="006A7C32" w:rsidRPr="006A7C32" w:rsidRDefault="006A7C32" w:rsidP="006A7C32">
            <w:pPr>
              <w:pStyle w:val="Compact"/>
              <w:spacing w:after="0"/>
              <w:jc w:val="both"/>
              <w:rPr>
                <w:sz w:val="16"/>
                <w:szCs w:val="16"/>
              </w:rPr>
            </w:pPr>
          </w:p>
        </w:tc>
      </w:tr>
      <w:tr w:rsidR="006A7C32" w:rsidRPr="006A7C32" w14:paraId="4B8A6C00" w14:textId="77777777" w:rsidTr="006A7C32">
        <w:trPr>
          <w:trHeight w:val="247"/>
          <w:jc w:val="center"/>
        </w:trPr>
        <w:tc>
          <w:tcPr>
            <w:cnfStyle w:val="000010000000" w:firstRow="0" w:lastRow="0" w:firstColumn="0" w:lastColumn="0" w:oddVBand="1" w:evenVBand="0" w:oddHBand="0" w:evenHBand="0" w:firstRowFirstColumn="0" w:firstRowLastColumn="0" w:lastRowFirstColumn="0" w:lastRowLastColumn="0"/>
            <w:tcW w:w="3375" w:type="dxa"/>
          </w:tcPr>
          <w:p w14:paraId="5180C355" w14:textId="3A70AEF1" w:rsidR="006A7C32" w:rsidRPr="006A7C32" w:rsidRDefault="006A7C32" w:rsidP="006A7C32">
            <w:pPr>
              <w:pStyle w:val="Compact"/>
              <w:spacing w:after="0"/>
              <w:jc w:val="both"/>
              <w:rPr>
                <w:sz w:val="16"/>
                <w:szCs w:val="16"/>
              </w:rPr>
            </w:pPr>
            <w:r w:rsidRPr="006A7C32">
              <w:rPr>
                <w:sz w:val="16"/>
                <w:szCs w:val="16"/>
              </w:rPr>
              <w:t>Secondary data search and source selection</w:t>
            </w:r>
          </w:p>
        </w:tc>
        <w:tc>
          <w:tcPr>
            <w:cnfStyle w:val="000001000000" w:firstRow="0" w:lastRow="0" w:firstColumn="0" w:lastColumn="0" w:oddVBand="0" w:evenVBand="1" w:oddHBand="0" w:evenHBand="0" w:firstRowFirstColumn="0" w:firstRowLastColumn="0" w:lastRowFirstColumn="0" w:lastRowLastColumn="0"/>
            <w:tcW w:w="469" w:type="dxa"/>
            <w:shd w:val="clear" w:color="auto" w:fill="FFFFFF" w:themeFill="background1"/>
          </w:tcPr>
          <w:p w14:paraId="53D26FD1"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69" w:type="dxa"/>
            <w:shd w:val="clear" w:color="auto" w:fill="FFFFFF" w:themeFill="background1"/>
          </w:tcPr>
          <w:p w14:paraId="4B1879E5"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69" w:type="dxa"/>
            <w:shd w:val="clear" w:color="auto" w:fill="FFFFFF" w:themeFill="background1"/>
          </w:tcPr>
          <w:p w14:paraId="05091F49"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2CEED" w:themeFill="accent5" w:themeFillTint="33"/>
          </w:tcPr>
          <w:p w14:paraId="4A01E5DF" w14:textId="549D3183"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2CEED" w:themeFill="accent5" w:themeFillTint="33"/>
          </w:tcPr>
          <w:p w14:paraId="45DC7840" w14:textId="348B0720"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2CEED" w:themeFill="accent5" w:themeFillTint="33"/>
          </w:tcPr>
          <w:p w14:paraId="35FDF9BB" w14:textId="30291EB0"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2CEED" w:themeFill="accent5" w:themeFillTint="33"/>
          </w:tcPr>
          <w:p w14:paraId="6B624389" w14:textId="412B2B4E"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33C5DF59" w14:textId="7A049205"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4916277B" w14:textId="7E8CC8E9"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549" w:type="dxa"/>
            <w:shd w:val="clear" w:color="auto" w:fill="FFFFFF" w:themeFill="background1"/>
          </w:tcPr>
          <w:p w14:paraId="71F584D4"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549" w:type="dxa"/>
            <w:shd w:val="clear" w:color="auto" w:fill="FFFFFF" w:themeFill="background1"/>
          </w:tcPr>
          <w:p w14:paraId="72F5AF79"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549" w:type="dxa"/>
            <w:shd w:val="clear" w:color="auto" w:fill="FFFFFF" w:themeFill="background1"/>
          </w:tcPr>
          <w:p w14:paraId="5659BBE7" w14:textId="77777777" w:rsidR="006A7C32" w:rsidRPr="006A7C32" w:rsidRDefault="006A7C32" w:rsidP="006A7C32">
            <w:pPr>
              <w:pStyle w:val="Compact"/>
              <w:spacing w:after="0"/>
              <w:jc w:val="both"/>
              <w:rPr>
                <w:sz w:val="16"/>
                <w:szCs w:val="16"/>
              </w:rPr>
            </w:pPr>
          </w:p>
        </w:tc>
      </w:tr>
      <w:tr w:rsidR="006A7C32" w:rsidRPr="006A7C32" w14:paraId="0E052139" w14:textId="77777777" w:rsidTr="006A7C32">
        <w:trPr>
          <w:cnfStyle w:val="000000100000" w:firstRow="0" w:lastRow="0" w:firstColumn="0" w:lastColumn="0" w:oddVBand="0" w:evenVBand="0" w:oddHBand="1" w:evenHBand="0" w:firstRowFirstColumn="0" w:firstRowLastColumn="0" w:lastRowFirstColumn="0" w:lastRowLastColumn="0"/>
          <w:trHeight w:val="247"/>
          <w:jc w:val="center"/>
        </w:trPr>
        <w:tc>
          <w:tcPr>
            <w:cnfStyle w:val="000010000000" w:firstRow="0" w:lastRow="0" w:firstColumn="0" w:lastColumn="0" w:oddVBand="1" w:evenVBand="0" w:oddHBand="0" w:evenHBand="0" w:firstRowFirstColumn="0" w:firstRowLastColumn="0" w:lastRowFirstColumn="0" w:lastRowLastColumn="0"/>
            <w:tcW w:w="3375" w:type="dxa"/>
          </w:tcPr>
          <w:p w14:paraId="185E2919" w14:textId="0541E764" w:rsidR="006A7C32" w:rsidRPr="006A7C32" w:rsidRDefault="006A7C32" w:rsidP="006A7C32">
            <w:pPr>
              <w:pStyle w:val="Compact"/>
              <w:spacing w:after="0"/>
              <w:jc w:val="both"/>
              <w:rPr>
                <w:sz w:val="16"/>
                <w:szCs w:val="16"/>
              </w:rPr>
            </w:pPr>
            <w:r w:rsidRPr="006A7C32">
              <w:rPr>
                <w:sz w:val="16"/>
                <w:szCs w:val="16"/>
              </w:rPr>
              <w:t>Literature coding and thematic analysis</w:t>
            </w:r>
          </w:p>
        </w:tc>
        <w:tc>
          <w:tcPr>
            <w:cnfStyle w:val="000001000000" w:firstRow="0" w:lastRow="0" w:firstColumn="0" w:lastColumn="0" w:oddVBand="0" w:evenVBand="1" w:oddHBand="0" w:evenHBand="0" w:firstRowFirstColumn="0" w:firstRowLastColumn="0" w:lastRowFirstColumn="0" w:lastRowLastColumn="0"/>
            <w:tcW w:w="469" w:type="dxa"/>
            <w:shd w:val="clear" w:color="auto" w:fill="FFFFFF" w:themeFill="background1"/>
          </w:tcPr>
          <w:p w14:paraId="6F5B698A"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69" w:type="dxa"/>
            <w:shd w:val="clear" w:color="auto" w:fill="FFFFFF" w:themeFill="background1"/>
          </w:tcPr>
          <w:p w14:paraId="20ECBB96"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69" w:type="dxa"/>
            <w:shd w:val="clear" w:color="auto" w:fill="FFFFFF" w:themeFill="background1"/>
          </w:tcPr>
          <w:p w14:paraId="34E52510"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55CB99CC"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7ED80FC8"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2CEED" w:themeFill="accent5" w:themeFillTint="33"/>
          </w:tcPr>
          <w:p w14:paraId="41E26258" w14:textId="42548804"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2CEED" w:themeFill="accent5" w:themeFillTint="33"/>
          </w:tcPr>
          <w:p w14:paraId="24E39905" w14:textId="7F5D88C2"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2CEED" w:themeFill="accent5" w:themeFillTint="33"/>
          </w:tcPr>
          <w:p w14:paraId="4A72207E" w14:textId="55AA3FC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2CEED" w:themeFill="accent5" w:themeFillTint="33"/>
          </w:tcPr>
          <w:p w14:paraId="17556D26" w14:textId="2D815518"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549" w:type="dxa"/>
            <w:shd w:val="clear" w:color="auto" w:fill="FFFFFF" w:themeFill="background1"/>
          </w:tcPr>
          <w:p w14:paraId="43490972" w14:textId="5A22A9B0"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549" w:type="dxa"/>
            <w:shd w:val="clear" w:color="auto" w:fill="FFFFFF" w:themeFill="background1"/>
          </w:tcPr>
          <w:p w14:paraId="63FC2E8F" w14:textId="5B940F7A"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549" w:type="dxa"/>
            <w:shd w:val="clear" w:color="auto" w:fill="FFFFFF" w:themeFill="background1"/>
          </w:tcPr>
          <w:p w14:paraId="5C92FD1D" w14:textId="77777777" w:rsidR="006A7C32" w:rsidRPr="006A7C32" w:rsidRDefault="006A7C32" w:rsidP="006A7C32">
            <w:pPr>
              <w:pStyle w:val="Compact"/>
              <w:spacing w:after="0"/>
              <w:jc w:val="both"/>
              <w:rPr>
                <w:sz w:val="16"/>
                <w:szCs w:val="16"/>
              </w:rPr>
            </w:pPr>
          </w:p>
        </w:tc>
      </w:tr>
      <w:tr w:rsidR="006A7C32" w:rsidRPr="006A7C32" w14:paraId="4455E0FB" w14:textId="77777777" w:rsidTr="006A7C32">
        <w:trPr>
          <w:trHeight w:val="247"/>
          <w:jc w:val="center"/>
        </w:trPr>
        <w:tc>
          <w:tcPr>
            <w:cnfStyle w:val="000010000000" w:firstRow="0" w:lastRow="0" w:firstColumn="0" w:lastColumn="0" w:oddVBand="1" w:evenVBand="0" w:oddHBand="0" w:evenHBand="0" w:firstRowFirstColumn="0" w:firstRowLastColumn="0" w:lastRowFirstColumn="0" w:lastRowLastColumn="0"/>
            <w:tcW w:w="3375" w:type="dxa"/>
          </w:tcPr>
          <w:p w14:paraId="75D83975" w14:textId="6492B15E" w:rsidR="006A7C32" w:rsidRPr="006A7C32" w:rsidRDefault="006A7C32" w:rsidP="006A7C32">
            <w:pPr>
              <w:pStyle w:val="Compact"/>
              <w:spacing w:after="0"/>
              <w:jc w:val="both"/>
              <w:rPr>
                <w:sz w:val="16"/>
                <w:szCs w:val="16"/>
              </w:rPr>
            </w:pPr>
            <w:r w:rsidRPr="006A7C32">
              <w:rPr>
                <w:sz w:val="16"/>
                <w:szCs w:val="16"/>
              </w:rPr>
              <w:t>Interpretation and drafting</w:t>
            </w:r>
          </w:p>
        </w:tc>
        <w:tc>
          <w:tcPr>
            <w:cnfStyle w:val="000001000000" w:firstRow="0" w:lastRow="0" w:firstColumn="0" w:lastColumn="0" w:oddVBand="0" w:evenVBand="1" w:oddHBand="0" w:evenHBand="0" w:firstRowFirstColumn="0" w:firstRowLastColumn="0" w:lastRowFirstColumn="0" w:lastRowLastColumn="0"/>
            <w:tcW w:w="469" w:type="dxa"/>
            <w:shd w:val="clear" w:color="auto" w:fill="FFFFFF" w:themeFill="background1"/>
          </w:tcPr>
          <w:p w14:paraId="03212EB9"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69" w:type="dxa"/>
            <w:shd w:val="clear" w:color="auto" w:fill="FFFFFF" w:themeFill="background1"/>
          </w:tcPr>
          <w:p w14:paraId="2B0A345E"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69" w:type="dxa"/>
            <w:shd w:val="clear" w:color="auto" w:fill="FFFFFF" w:themeFill="background1"/>
          </w:tcPr>
          <w:p w14:paraId="4187C6BA"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10DFB07B"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7082092A"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47A69016"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5BF27156"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2CEED" w:themeFill="accent5" w:themeFillTint="33"/>
          </w:tcPr>
          <w:p w14:paraId="7EF2C5CF" w14:textId="608A88A3"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2CEED" w:themeFill="accent5" w:themeFillTint="33"/>
          </w:tcPr>
          <w:p w14:paraId="429B80AC" w14:textId="206BBEFC"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549" w:type="dxa"/>
            <w:shd w:val="clear" w:color="auto" w:fill="F2CEED" w:themeFill="accent5" w:themeFillTint="33"/>
          </w:tcPr>
          <w:p w14:paraId="62A424AB" w14:textId="6385D5E6"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549" w:type="dxa"/>
            <w:shd w:val="clear" w:color="auto" w:fill="F2CEED" w:themeFill="accent5" w:themeFillTint="33"/>
          </w:tcPr>
          <w:p w14:paraId="4E1F9A53" w14:textId="3FF2DFF0"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549" w:type="dxa"/>
            <w:shd w:val="clear" w:color="auto" w:fill="FFFFFF" w:themeFill="background1"/>
          </w:tcPr>
          <w:p w14:paraId="2D7032B4" w14:textId="7ED4B421" w:rsidR="006A7C32" w:rsidRPr="006A7C32" w:rsidRDefault="006A7C32" w:rsidP="006A7C32">
            <w:pPr>
              <w:pStyle w:val="Compact"/>
              <w:spacing w:after="0"/>
              <w:jc w:val="both"/>
              <w:rPr>
                <w:sz w:val="16"/>
                <w:szCs w:val="16"/>
              </w:rPr>
            </w:pPr>
          </w:p>
        </w:tc>
      </w:tr>
      <w:tr w:rsidR="006A7C32" w:rsidRPr="006A7C32" w14:paraId="70DAFB24" w14:textId="77777777" w:rsidTr="006A7C32">
        <w:trPr>
          <w:cnfStyle w:val="000000100000" w:firstRow="0" w:lastRow="0" w:firstColumn="0" w:lastColumn="0" w:oddVBand="0" w:evenVBand="0" w:oddHBand="1" w:evenHBand="0" w:firstRowFirstColumn="0" w:firstRowLastColumn="0" w:lastRowFirstColumn="0" w:lastRowLastColumn="0"/>
          <w:trHeight w:val="247"/>
          <w:jc w:val="center"/>
        </w:trPr>
        <w:tc>
          <w:tcPr>
            <w:cnfStyle w:val="000010000000" w:firstRow="0" w:lastRow="0" w:firstColumn="0" w:lastColumn="0" w:oddVBand="1" w:evenVBand="0" w:oddHBand="0" w:evenHBand="0" w:firstRowFirstColumn="0" w:firstRowLastColumn="0" w:lastRowFirstColumn="0" w:lastRowLastColumn="0"/>
            <w:tcW w:w="3375" w:type="dxa"/>
          </w:tcPr>
          <w:p w14:paraId="2DA4E2DD" w14:textId="54055153" w:rsidR="006A7C32" w:rsidRPr="006A7C32" w:rsidRDefault="006A7C32" w:rsidP="006A7C32">
            <w:pPr>
              <w:pStyle w:val="Compact"/>
              <w:spacing w:after="0"/>
              <w:jc w:val="both"/>
              <w:rPr>
                <w:sz w:val="16"/>
                <w:szCs w:val="16"/>
              </w:rPr>
            </w:pPr>
            <w:r w:rsidRPr="006A7C32">
              <w:rPr>
                <w:sz w:val="16"/>
                <w:szCs w:val="16"/>
              </w:rPr>
              <w:t>Revision, proofreading and submission</w:t>
            </w:r>
          </w:p>
        </w:tc>
        <w:tc>
          <w:tcPr>
            <w:cnfStyle w:val="000001000000" w:firstRow="0" w:lastRow="0" w:firstColumn="0" w:lastColumn="0" w:oddVBand="0" w:evenVBand="1" w:oddHBand="0" w:evenHBand="0" w:firstRowFirstColumn="0" w:firstRowLastColumn="0" w:lastRowFirstColumn="0" w:lastRowLastColumn="0"/>
            <w:tcW w:w="469" w:type="dxa"/>
            <w:shd w:val="clear" w:color="auto" w:fill="FFFFFF" w:themeFill="background1"/>
          </w:tcPr>
          <w:p w14:paraId="299FFE6B"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69" w:type="dxa"/>
            <w:shd w:val="clear" w:color="auto" w:fill="FFFFFF" w:themeFill="background1"/>
          </w:tcPr>
          <w:p w14:paraId="79F0294E"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69" w:type="dxa"/>
            <w:shd w:val="clear" w:color="auto" w:fill="FFFFFF" w:themeFill="background1"/>
          </w:tcPr>
          <w:p w14:paraId="0D6D9EC2"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4170310C"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08167886"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611A5404"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4A160527"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470" w:type="dxa"/>
            <w:shd w:val="clear" w:color="auto" w:fill="FFFFFF" w:themeFill="background1"/>
          </w:tcPr>
          <w:p w14:paraId="49D091FE"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470" w:type="dxa"/>
            <w:shd w:val="clear" w:color="auto" w:fill="FFFFFF" w:themeFill="background1"/>
          </w:tcPr>
          <w:p w14:paraId="617D9B88" w14:textId="77777777"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549" w:type="dxa"/>
            <w:shd w:val="clear" w:color="auto" w:fill="FFFFFF" w:themeFill="background1"/>
          </w:tcPr>
          <w:p w14:paraId="2AC49D94" w14:textId="77777777" w:rsidR="006A7C32" w:rsidRPr="006A7C32" w:rsidRDefault="006A7C32" w:rsidP="006A7C32">
            <w:pPr>
              <w:pStyle w:val="Compact"/>
              <w:spacing w:after="0"/>
              <w:jc w:val="both"/>
              <w:rPr>
                <w:sz w:val="16"/>
                <w:szCs w:val="16"/>
              </w:rPr>
            </w:pPr>
          </w:p>
        </w:tc>
        <w:tc>
          <w:tcPr>
            <w:cnfStyle w:val="000001000000" w:firstRow="0" w:lastRow="0" w:firstColumn="0" w:lastColumn="0" w:oddVBand="0" w:evenVBand="1" w:oddHBand="0" w:evenHBand="0" w:firstRowFirstColumn="0" w:firstRowLastColumn="0" w:lastRowFirstColumn="0" w:lastRowLastColumn="0"/>
            <w:tcW w:w="549" w:type="dxa"/>
            <w:shd w:val="clear" w:color="auto" w:fill="F2CEED" w:themeFill="accent5" w:themeFillTint="33"/>
          </w:tcPr>
          <w:p w14:paraId="53DE0331" w14:textId="0AFA41A4" w:rsidR="006A7C32" w:rsidRPr="006A7C32" w:rsidRDefault="006A7C32" w:rsidP="006A7C32">
            <w:pPr>
              <w:pStyle w:val="Compact"/>
              <w:spacing w:after="0"/>
              <w:jc w:val="both"/>
              <w:rPr>
                <w:sz w:val="16"/>
                <w:szCs w:val="16"/>
              </w:rPr>
            </w:pPr>
          </w:p>
        </w:tc>
        <w:tc>
          <w:tcPr>
            <w:cnfStyle w:val="000010000000" w:firstRow="0" w:lastRow="0" w:firstColumn="0" w:lastColumn="0" w:oddVBand="1" w:evenVBand="0" w:oddHBand="0" w:evenHBand="0" w:firstRowFirstColumn="0" w:firstRowLastColumn="0" w:lastRowFirstColumn="0" w:lastRowLastColumn="0"/>
            <w:tcW w:w="549" w:type="dxa"/>
            <w:shd w:val="clear" w:color="auto" w:fill="F2CEED" w:themeFill="accent5" w:themeFillTint="33"/>
          </w:tcPr>
          <w:p w14:paraId="072D5322" w14:textId="3DA8ACCE" w:rsidR="006A7C32" w:rsidRPr="006A7C32" w:rsidRDefault="006A7C32" w:rsidP="006A7C32">
            <w:pPr>
              <w:pStyle w:val="Compact"/>
              <w:spacing w:after="0"/>
              <w:jc w:val="both"/>
              <w:rPr>
                <w:sz w:val="16"/>
                <w:szCs w:val="16"/>
              </w:rPr>
            </w:pPr>
          </w:p>
        </w:tc>
      </w:tr>
    </w:tbl>
    <w:p w14:paraId="1BE19256" w14:textId="77777777" w:rsidR="0090326C" w:rsidRDefault="00000000" w:rsidP="006C615E">
      <w:pPr>
        <w:pStyle w:val="Heading2"/>
        <w:spacing w:line="360" w:lineRule="auto"/>
        <w:jc w:val="both"/>
      </w:pPr>
      <w:bookmarkStart w:id="18" w:name="conclusion"/>
      <w:bookmarkEnd w:id="17"/>
      <w:r>
        <w:t>7. Conclusion</w:t>
      </w:r>
    </w:p>
    <w:p w14:paraId="37B7A344" w14:textId="0D0EBE11" w:rsidR="0090326C" w:rsidRDefault="0026287D" w:rsidP="006C615E">
      <w:pPr>
        <w:pStyle w:val="FirstParagraph"/>
        <w:spacing w:line="360" w:lineRule="auto"/>
        <w:jc w:val="both"/>
      </w:pPr>
      <w:r w:rsidRPr="0026287D">
        <w:t xml:space="preserve">This study seeks to fill a gap in the literature regarding the relationship between liquidity, credit and market-risk management strategies and financial outcome of UK SMEs. The Resource Based View suggests that risk-management capability is an asset within the </w:t>
      </w:r>
      <w:proofErr w:type="spellStart"/>
      <w:r w:rsidRPr="0026287D">
        <w:t>organisation</w:t>
      </w:r>
      <w:proofErr w:type="spellEnd"/>
      <w:r w:rsidRPr="0026287D">
        <w:t xml:space="preserve">, and Contingency Theory highlights the significance of the context of the </w:t>
      </w:r>
      <w:proofErr w:type="spellStart"/>
      <w:r w:rsidRPr="0026287D">
        <w:t>organisation</w:t>
      </w:r>
      <w:proofErr w:type="spellEnd"/>
      <w:r w:rsidRPr="0026287D">
        <w:t xml:space="preserve"> and the environment. Using an interpretivist, inductive and secondary qualitative approach, the research will </w:t>
      </w:r>
      <w:proofErr w:type="spellStart"/>
      <w:r w:rsidRPr="0026287D">
        <w:t>analyse</w:t>
      </w:r>
      <w:proofErr w:type="spellEnd"/>
      <w:r w:rsidRPr="0026287D">
        <w:t xml:space="preserve"> existing academic and professional evidence thematically. Causality will not be determined but the study will draw together existing knowledge and </w:t>
      </w:r>
      <w:proofErr w:type="spellStart"/>
      <w:r w:rsidRPr="0026287D">
        <w:t>prioritise</w:t>
      </w:r>
      <w:proofErr w:type="spellEnd"/>
      <w:r w:rsidRPr="0026287D">
        <w:t xml:space="preserve"> future research in the UK</w:t>
      </w:r>
      <w:r w:rsidR="006C615E">
        <w:t>.</w:t>
      </w:r>
    </w:p>
    <w:p w14:paraId="1911B986" w14:textId="77777777" w:rsidR="006C615E" w:rsidRDefault="006C615E">
      <w:pPr>
        <w:rPr>
          <w:rFonts w:asciiTheme="majorHAnsi" w:eastAsiaTheme="majorEastAsia" w:hAnsiTheme="majorHAnsi" w:cstheme="majorBidi"/>
          <w:color w:val="0F4761" w:themeColor="accent1" w:themeShade="BF"/>
          <w:sz w:val="40"/>
          <w:szCs w:val="40"/>
        </w:rPr>
      </w:pPr>
      <w:bookmarkStart w:id="19" w:name="reference-list"/>
      <w:bookmarkEnd w:id="0"/>
      <w:bookmarkEnd w:id="18"/>
      <w:r>
        <w:br w:type="page"/>
      </w:r>
    </w:p>
    <w:p w14:paraId="1AFF401F" w14:textId="20EB2508" w:rsidR="0090326C" w:rsidRDefault="00000000" w:rsidP="006C615E">
      <w:pPr>
        <w:pStyle w:val="Heading1"/>
        <w:spacing w:line="360" w:lineRule="auto"/>
        <w:jc w:val="both"/>
      </w:pPr>
      <w:r>
        <w:lastRenderedPageBreak/>
        <w:t>Reference</w:t>
      </w:r>
    </w:p>
    <w:p w14:paraId="4D4BA5A0" w14:textId="77777777" w:rsidR="0090326C" w:rsidRDefault="00000000" w:rsidP="006C615E">
      <w:pPr>
        <w:pStyle w:val="FirstParagraph"/>
        <w:spacing w:line="360" w:lineRule="auto"/>
        <w:jc w:val="both"/>
      </w:pPr>
      <w:r>
        <w:t xml:space="preserve">Al Lawati, A. et al. (2025) ‘The impact of enterprise risk management on firm performance: the mediating role of competitive advantage’, </w:t>
      </w:r>
      <w:r>
        <w:rPr>
          <w:i/>
          <w:iCs/>
        </w:rPr>
        <w:t>Risks</w:t>
      </w:r>
      <w:r>
        <w:t>, 13(10), article 199.</w:t>
      </w:r>
    </w:p>
    <w:p w14:paraId="6A1DC616" w14:textId="404AB054" w:rsidR="0090326C" w:rsidRDefault="00000000" w:rsidP="006C615E">
      <w:pPr>
        <w:pStyle w:val="BodyText"/>
        <w:spacing w:line="360" w:lineRule="auto"/>
        <w:jc w:val="both"/>
      </w:pPr>
      <w:r>
        <w:t xml:space="preserve">Arthur, J.L., Amofah, K., Arthur, S.D., Boateng, R. and Oppong, D. (2025) ‘Small and medium enterprise approach to risk management in the Kumasi metropolis’, </w:t>
      </w:r>
      <w:r>
        <w:rPr>
          <w:i/>
          <w:iCs/>
        </w:rPr>
        <w:t>Journal of Innovation and Entrepreneurship</w:t>
      </w:r>
      <w:r>
        <w:t xml:space="preserve">, 14(1), article 121. </w:t>
      </w:r>
    </w:p>
    <w:p w14:paraId="13452777" w14:textId="0C5B617B" w:rsidR="0090326C" w:rsidRDefault="00000000" w:rsidP="006C615E">
      <w:pPr>
        <w:pStyle w:val="BodyText"/>
        <w:spacing w:line="360" w:lineRule="auto"/>
        <w:jc w:val="both"/>
      </w:pPr>
      <w:r>
        <w:t xml:space="preserve">Barney, J.B. (1991) ‘Firm resources and sustained competitive advantage’, </w:t>
      </w:r>
      <w:r>
        <w:rPr>
          <w:i/>
          <w:iCs/>
        </w:rPr>
        <w:t>Journal of Management</w:t>
      </w:r>
      <w:r>
        <w:t xml:space="preserve">, 17(1), pp. 99–120. </w:t>
      </w:r>
    </w:p>
    <w:p w14:paraId="5F07C22A" w14:textId="0EF05BDD" w:rsidR="0090326C" w:rsidRDefault="006C615E" w:rsidP="006C615E">
      <w:pPr>
        <w:pStyle w:val="BodyText"/>
        <w:spacing w:line="360" w:lineRule="auto"/>
        <w:jc w:val="both"/>
      </w:pPr>
      <w:r w:rsidRPr="006C615E">
        <w:t xml:space="preserve">Department for Business and Trade (2025) </w:t>
      </w:r>
      <w:r w:rsidRPr="006C615E">
        <w:rPr>
          <w:i/>
          <w:iCs/>
        </w:rPr>
        <w:t>Business Population Estimates for the UK and Regions 2025</w:t>
      </w:r>
      <w:r w:rsidRPr="006C615E">
        <w:t xml:space="preserve">. London: Department for Business and Trade. Available at: </w:t>
      </w:r>
      <w:hyperlink r:id="rId8" w:history="1">
        <w:r w:rsidRPr="006C615E">
          <w:rPr>
            <w:rStyle w:val="Hyperlink"/>
          </w:rPr>
          <w:t>https://www.gov.uk/government/statistics/business-population-estimates-2025</w:t>
        </w:r>
      </w:hyperlink>
      <w:r w:rsidRPr="006C615E">
        <w:t xml:space="preserve"> (Accessed: 8 March 2025).</w:t>
      </w:r>
    </w:p>
    <w:p w14:paraId="47B0BF77" w14:textId="3DA70982" w:rsidR="0090326C" w:rsidRDefault="00000000" w:rsidP="006C615E">
      <w:pPr>
        <w:pStyle w:val="BodyText"/>
        <w:spacing w:line="360" w:lineRule="auto"/>
        <w:jc w:val="both"/>
      </w:pPr>
      <w:r>
        <w:t xml:space="preserve">Glowka, G., Hule, R. and Zehrer, A. (2024) ‘Risk perception of SMEs: strategic risks, family-related risks, external risks’, </w:t>
      </w:r>
      <w:r>
        <w:rPr>
          <w:i/>
          <w:iCs/>
        </w:rPr>
        <w:t>Risk Management</w:t>
      </w:r>
      <w:r>
        <w:t xml:space="preserve">, 26, article 17. </w:t>
      </w:r>
    </w:p>
    <w:p w14:paraId="62AE1BE2" w14:textId="77777777" w:rsidR="0090326C" w:rsidRDefault="00000000" w:rsidP="006C615E">
      <w:pPr>
        <w:pStyle w:val="BodyText"/>
        <w:spacing w:line="360" w:lineRule="auto"/>
        <w:jc w:val="both"/>
      </w:pPr>
      <w:r>
        <w:t xml:space="preserve">Lawrence, P.R. and Lorsch, J.W. (1967) </w:t>
      </w:r>
      <w:r>
        <w:rPr>
          <w:i/>
          <w:iCs/>
        </w:rPr>
        <w:t>Organization and Environment: Managing Differentiation and Integration</w:t>
      </w:r>
      <w:r>
        <w:t>. Boston, MA: Harvard Business School Press.</w:t>
      </w:r>
    </w:p>
    <w:p w14:paraId="4C709D45" w14:textId="10439B71" w:rsidR="0090326C" w:rsidRDefault="006C615E" w:rsidP="006C615E">
      <w:pPr>
        <w:pStyle w:val="BodyText"/>
        <w:spacing w:line="360" w:lineRule="auto"/>
        <w:jc w:val="both"/>
      </w:pPr>
      <w:r w:rsidRPr="006C615E">
        <w:t xml:space="preserve">Office for National Statistics (ONS) (2024) </w:t>
      </w:r>
      <w:r w:rsidRPr="006C615E">
        <w:rPr>
          <w:i/>
          <w:iCs/>
        </w:rPr>
        <w:t>UK Business: Activity, Size and Location, 2024</w:t>
      </w:r>
      <w:r w:rsidRPr="006C615E">
        <w:t xml:space="preserve">. Newport: Office for National Statistics. Available at: </w:t>
      </w:r>
      <w:hyperlink r:id="rId9" w:history="1">
        <w:r w:rsidRPr="006C615E">
          <w:rPr>
            <w:rStyle w:val="Hyperlink"/>
          </w:rPr>
          <w:t>https://www.ons.gov.uk/businessindustryandtrade/business/activitysizeandlocation/bulletins/ukbusinessactivitysizeandlocation/2024</w:t>
        </w:r>
      </w:hyperlink>
      <w:r w:rsidRPr="006C615E">
        <w:t xml:space="preserve"> (Accessed: 8 March 2025).</w:t>
      </w:r>
    </w:p>
    <w:p w14:paraId="174E36B0" w14:textId="589F593F" w:rsidR="0090326C" w:rsidRDefault="00000000" w:rsidP="006C615E">
      <w:pPr>
        <w:pStyle w:val="BodyText"/>
        <w:spacing w:line="360" w:lineRule="auto"/>
        <w:jc w:val="both"/>
      </w:pPr>
      <w:r>
        <w:t xml:space="preserve">Padi, A., Musah, A., Blay, M.W. and Okyere, D.O. (2025) ‘Small and medium scale enterprise owner financial literacy, entrepreneurial competencies and financial performance: the role of corporate governance’, </w:t>
      </w:r>
      <w:r>
        <w:rPr>
          <w:i/>
          <w:iCs/>
        </w:rPr>
        <w:t>Future Business Journal</w:t>
      </w:r>
      <w:r>
        <w:t xml:space="preserve">, 11, article 160. </w:t>
      </w:r>
    </w:p>
    <w:p w14:paraId="2E94B084" w14:textId="77777777" w:rsidR="0090326C" w:rsidRDefault="00000000" w:rsidP="006C615E">
      <w:pPr>
        <w:pStyle w:val="BodyText"/>
        <w:spacing w:line="360" w:lineRule="auto"/>
        <w:jc w:val="both"/>
      </w:pPr>
      <w:r>
        <w:t xml:space="preserve">Saunders, M.N.K., Lewis, P. and Thornhill, A. (2023) </w:t>
      </w:r>
      <w:r>
        <w:rPr>
          <w:i/>
          <w:iCs/>
        </w:rPr>
        <w:t>Research Methods for Business Students</w:t>
      </w:r>
      <w:r>
        <w:t>. 9th edn. Harlow: Pearson.</w:t>
      </w:r>
    </w:p>
    <w:p w14:paraId="194482BC" w14:textId="77F86038" w:rsidR="0090326C" w:rsidRDefault="00000000" w:rsidP="006C615E">
      <w:pPr>
        <w:pStyle w:val="BodyText"/>
        <w:spacing w:line="360" w:lineRule="auto"/>
        <w:jc w:val="both"/>
      </w:pPr>
      <w:r>
        <w:lastRenderedPageBreak/>
        <w:t xml:space="preserve">Tsagay, T., Rattanawiboonsom, V. and Yawised, K. (2024) ‘Enterprise risk management and firm performance: perspectives and evidence from the SMEs in Bhutan’, </w:t>
      </w:r>
      <w:r>
        <w:rPr>
          <w:i/>
          <w:iCs/>
        </w:rPr>
        <w:t>Environment and Social Psychology</w:t>
      </w:r>
      <w:r>
        <w:t xml:space="preserve">, 9(12), article 3035. </w:t>
      </w:r>
    </w:p>
    <w:p w14:paraId="74582469" w14:textId="0E904D04" w:rsidR="0090326C" w:rsidRDefault="00000000" w:rsidP="006C615E">
      <w:pPr>
        <w:pStyle w:val="BodyText"/>
        <w:spacing w:line="360" w:lineRule="auto"/>
        <w:jc w:val="both"/>
      </w:pPr>
      <w:r>
        <w:t xml:space="preserve">Tuffour, J.K., Amoako, A.A. and Amartey, E.O. (2022) ‘Assessing the effect of financial literacy among managers on the performance of small-scale enterprises’, </w:t>
      </w:r>
      <w:r>
        <w:rPr>
          <w:i/>
          <w:iCs/>
        </w:rPr>
        <w:t>Global Business Review</w:t>
      </w:r>
      <w:r>
        <w:t xml:space="preserve">, 23(5), pp. 1200–1217. </w:t>
      </w:r>
    </w:p>
    <w:p w14:paraId="7479C03C" w14:textId="50E751EB" w:rsidR="0090326C" w:rsidRDefault="00000000" w:rsidP="006C615E">
      <w:pPr>
        <w:pStyle w:val="BodyText"/>
        <w:spacing w:line="360" w:lineRule="auto"/>
        <w:jc w:val="both"/>
      </w:pPr>
      <w:r>
        <w:t xml:space="preserve">Wang, W. and Guedes, M.J. (2025) ‘Firm failure prediction for small and medium-sized enterprises and new ventures’, </w:t>
      </w:r>
      <w:r>
        <w:rPr>
          <w:i/>
          <w:iCs/>
        </w:rPr>
        <w:t>Review of Managerial Science</w:t>
      </w:r>
      <w:r>
        <w:t xml:space="preserve">, 19, pp. 1949–1982. </w:t>
      </w:r>
    </w:p>
    <w:p w14:paraId="7DD0B3CE" w14:textId="553E7871" w:rsidR="0090326C" w:rsidRDefault="00000000" w:rsidP="006C615E">
      <w:pPr>
        <w:pStyle w:val="BodyText"/>
        <w:spacing w:line="360" w:lineRule="auto"/>
        <w:jc w:val="both"/>
      </w:pPr>
      <w:r>
        <w:t xml:space="preserve">Yakob, S., Yakob, R., Hafizuddin-Syah, B.A.M. and Rusli, R.Z.A. (2021) ‘Financial literacy and financial performance of small and medium-sized enterprises’, </w:t>
      </w:r>
      <w:r>
        <w:rPr>
          <w:i/>
          <w:iCs/>
        </w:rPr>
        <w:t xml:space="preserve">The </w:t>
      </w:r>
      <w:proofErr w:type="gramStart"/>
      <w:r>
        <w:rPr>
          <w:i/>
          <w:iCs/>
        </w:rPr>
        <w:t>South East</w:t>
      </w:r>
      <w:proofErr w:type="gramEnd"/>
      <w:r>
        <w:rPr>
          <w:i/>
          <w:iCs/>
        </w:rPr>
        <w:t xml:space="preserve"> Asian Journal of Management</w:t>
      </w:r>
      <w:r>
        <w:t xml:space="preserve">, 15(1), pp. 72–96. </w:t>
      </w:r>
      <w:bookmarkEnd w:id="19"/>
    </w:p>
    <w:sectPr w:rsidR="0090326C">
      <w:footerReference w:type="default" r:id="rId10"/>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9020ED" w14:textId="77777777" w:rsidR="008A6FB0" w:rsidRDefault="008A6FB0" w:rsidP="006C615E">
      <w:pPr>
        <w:spacing w:after="0"/>
      </w:pPr>
      <w:r>
        <w:separator/>
      </w:r>
    </w:p>
  </w:endnote>
  <w:endnote w:type="continuationSeparator" w:id="0">
    <w:p w14:paraId="132671C2" w14:textId="77777777" w:rsidR="008A6FB0" w:rsidRDefault="008A6FB0" w:rsidP="006C615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643666"/>
      <w:docPartObj>
        <w:docPartGallery w:val="Page Numbers (Bottom of Page)"/>
        <w:docPartUnique/>
      </w:docPartObj>
    </w:sdtPr>
    <w:sdtContent>
      <w:p w14:paraId="3757081F" w14:textId="73BD2C8B" w:rsidR="006C615E" w:rsidRDefault="006C615E">
        <w:pPr>
          <w:pStyle w:val="Footer"/>
          <w:jc w:val="center"/>
        </w:pPr>
        <w:r>
          <w:fldChar w:fldCharType="begin"/>
        </w:r>
        <w:r>
          <w:instrText>PAGE   \* MERGEFORMAT</w:instrText>
        </w:r>
        <w:r>
          <w:fldChar w:fldCharType="separate"/>
        </w:r>
        <w:r>
          <w:rPr>
            <w:lang w:val="en-GB"/>
          </w:rPr>
          <w:t>2</w:t>
        </w:r>
        <w:r>
          <w:fldChar w:fldCharType="end"/>
        </w:r>
      </w:p>
    </w:sdtContent>
  </w:sdt>
  <w:p w14:paraId="490917B2" w14:textId="77777777" w:rsidR="006C615E" w:rsidRDefault="006C6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631EA" w14:textId="77777777" w:rsidR="008A6FB0" w:rsidRDefault="008A6FB0" w:rsidP="006C615E">
      <w:pPr>
        <w:spacing w:after="0"/>
      </w:pPr>
      <w:r>
        <w:separator/>
      </w:r>
    </w:p>
  </w:footnote>
  <w:footnote w:type="continuationSeparator" w:id="0">
    <w:p w14:paraId="024E1F1A" w14:textId="77777777" w:rsidR="008A6FB0" w:rsidRDefault="008A6FB0" w:rsidP="006C615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159C64FA"/>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A99411"/>
    <w:multiLevelType w:val="multilevel"/>
    <w:tmpl w:val="F0C8C546"/>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5993205F"/>
    <w:multiLevelType w:val="multilevel"/>
    <w:tmpl w:val="0412A6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1799233">
    <w:abstractNumId w:val="0"/>
  </w:num>
  <w:num w:numId="2" w16cid:durableId="165098480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309551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hdrShapeDefaults>
    <o:shapedefaults v:ext="edit" spidmax="2050"/>
  </w:hdrShapeDefaults>
  <w:footnotePr>
    <w:numRestart w:val="eachSec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26C"/>
    <w:rsid w:val="000006C5"/>
    <w:rsid w:val="00192A36"/>
    <w:rsid w:val="001C4DBB"/>
    <w:rsid w:val="0026287D"/>
    <w:rsid w:val="002824EB"/>
    <w:rsid w:val="006A7C32"/>
    <w:rsid w:val="006C615E"/>
    <w:rsid w:val="008A6FB0"/>
    <w:rsid w:val="0090326C"/>
    <w:rsid w:val="00B45335"/>
    <w:rsid w:val="00DB3550"/>
    <w:rsid w:val="00ED452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51B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footer"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character" w:customStyle="1" w:styleId="cursor-pointer">
    <w:name w:val="cursor-pointer"/>
    <w:basedOn w:val="DefaultParagraphFont"/>
    <w:rsid w:val="006C615E"/>
  </w:style>
  <w:style w:type="table" w:styleId="PlainTable2">
    <w:name w:val="Plain Table 2"/>
    <w:basedOn w:val="TableNormal"/>
    <w:rsid w:val="006C615E"/>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6C615E"/>
    <w:rPr>
      <w:color w:val="605E5C"/>
      <w:shd w:val="clear" w:color="auto" w:fill="E1DFDD"/>
    </w:rPr>
  </w:style>
  <w:style w:type="paragraph" w:styleId="Header">
    <w:name w:val="header"/>
    <w:basedOn w:val="Normal"/>
    <w:link w:val="HeaderChar"/>
    <w:rsid w:val="006C615E"/>
    <w:pPr>
      <w:tabs>
        <w:tab w:val="center" w:pos="4680"/>
        <w:tab w:val="right" w:pos="9360"/>
      </w:tabs>
      <w:spacing w:after="0"/>
    </w:pPr>
  </w:style>
  <w:style w:type="character" w:customStyle="1" w:styleId="HeaderChar">
    <w:name w:val="Header Char"/>
    <w:basedOn w:val="DefaultParagraphFont"/>
    <w:link w:val="Header"/>
    <w:rsid w:val="006C615E"/>
  </w:style>
  <w:style w:type="paragraph" w:styleId="Footer">
    <w:name w:val="footer"/>
    <w:basedOn w:val="Normal"/>
    <w:link w:val="FooterChar"/>
    <w:uiPriority w:val="99"/>
    <w:rsid w:val="006C615E"/>
    <w:pPr>
      <w:tabs>
        <w:tab w:val="center" w:pos="4680"/>
        <w:tab w:val="right" w:pos="9360"/>
      </w:tabs>
      <w:spacing w:after="0"/>
    </w:pPr>
  </w:style>
  <w:style w:type="character" w:customStyle="1" w:styleId="FooterChar">
    <w:name w:val="Footer Char"/>
    <w:basedOn w:val="DefaultParagraphFont"/>
    <w:link w:val="Footer"/>
    <w:uiPriority w:val="99"/>
    <w:rsid w:val="006C61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business-population-estimates-2025"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ons.gov.uk/businessindustryandtrade/business/activitysizeandlocation/bulletins/ukbusinessactivitysizeandlocation/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3304</Words>
  <Characters>18839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cp:lastModifiedBy/>
  <cp:revision>1</cp:revision>
  <dcterms:created xsi:type="dcterms:W3CDTF">2026-07-26T14:55:00Z</dcterms:created>
  <dcterms:modified xsi:type="dcterms:W3CDTF">2026-07-26T14:55:00Z</dcterms:modified>
</cp:coreProperties>
</file>