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5872875"/>
        <w:docPartObj>
          <w:docPartGallery w:val="Cover Pages"/>
          <w:docPartUnique/>
        </w:docPartObj>
      </w:sdtPr>
      <w:sdtEndPr>
        <w:rPr>
          <w:rFonts w:asciiTheme="minorHAnsi" w:hAnsiTheme="minorHAnsi" w:cstheme="minorHAnsi"/>
          <w:b/>
          <w:bCs/>
          <w:color w:val="000000" w:themeColor="text1"/>
          <w:szCs w:val="24"/>
        </w:rPr>
      </w:sdtEndPr>
      <w:sdtContent>
        <w:p w14:paraId="6050DC4A" w14:textId="45E4DB8E" w:rsidR="007809CC" w:rsidRDefault="007809CC">
          <w:r>
            <w:rPr>
              <w:noProof/>
            </w:rPr>
            <mc:AlternateContent>
              <mc:Choice Requires="wps">
                <w:drawing>
                  <wp:anchor distT="0" distB="0" distL="114300" distR="114300" simplePos="0" relativeHeight="251661312" behindDoc="0" locked="0" layoutInCell="1" allowOverlap="1" wp14:anchorId="191FE365" wp14:editId="77634B5E">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738658F" w14:textId="69F75EF7" w:rsidR="007809CC" w:rsidRDefault="007809CC">
                                    <w:pPr>
                                      <w:pStyle w:val="NoSpacing"/>
                                      <w:spacing w:after="480"/>
                                      <w:rPr>
                                        <w:i/>
                                        <w:color w:val="262626" w:themeColor="text1" w:themeTint="D9"/>
                                        <w:sz w:val="32"/>
                                        <w:szCs w:val="32"/>
                                      </w:rPr>
                                    </w:pPr>
                                    <w:r>
                                      <w:rPr>
                                        <w:i/>
                                        <w:color w:val="262626" w:themeColor="text1" w:themeTint="D9"/>
                                        <w:sz w:val="32"/>
                                        <w:szCs w:val="32"/>
                                      </w:rPr>
                                      <w:t>STUDENT NAME:</w:t>
                                    </w:r>
                                    <w:r w:rsidR="00155ACF">
                                      <w:rPr>
                                        <w:i/>
                                        <w:color w:val="262626" w:themeColor="text1" w:themeTint="D9"/>
                                        <w:sz w:val="32"/>
                                        <w:szCs w:val="32"/>
                                        <w:lang w:val="bg-BG"/>
                                      </w:rPr>
                                      <w:t xml:space="preserve"> TATYANA NIKOLOVA</w:t>
                                    </w:r>
                                  </w:p>
                                </w:sdtContent>
                              </w:sdt>
                              <w:p w14:paraId="299D0FCB" w14:textId="784780B7" w:rsidR="007809CC" w:rsidRPr="00155ACF" w:rsidRDefault="007809CC">
                                <w:pPr>
                                  <w:pStyle w:val="NoSpacing"/>
                                  <w:rPr>
                                    <w:i/>
                                    <w:color w:val="262626" w:themeColor="text1" w:themeTint="D9"/>
                                    <w:sz w:val="26"/>
                                    <w:szCs w:val="26"/>
                                    <w:lang w:val="bg-BG"/>
                                  </w:rPr>
                                </w:pPr>
                                <w:r>
                                  <w:rPr>
                                    <w:i/>
                                    <w:color w:val="262626" w:themeColor="text1" w:themeTint="D9"/>
                                    <w:sz w:val="26"/>
                                    <w:szCs w:val="26"/>
                                  </w:rPr>
                                  <w:t>STUDENT ID:</w:t>
                                </w:r>
                                <w:r w:rsidR="00155ACF">
                                  <w:rPr>
                                    <w:i/>
                                    <w:color w:val="262626" w:themeColor="text1" w:themeTint="D9"/>
                                    <w:sz w:val="26"/>
                                    <w:szCs w:val="26"/>
                                    <w:lang w:val="bg-BG"/>
                                  </w:rPr>
                                  <w:t xml:space="preserve"> 1912953</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91FE36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738658F" w14:textId="69F75EF7" w:rsidR="007809CC" w:rsidRDefault="007809CC">
                              <w:pPr>
                                <w:pStyle w:val="NoSpacing"/>
                                <w:spacing w:after="480"/>
                                <w:rPr>
                                  <w:i/>
                                  <w:color w:val="262626" w:themeColor="text1" w:themeTint="D9"/>
                                  <w:sz w:val="32"/>
                                  <w:szCs w:val="32"/>
                                </w:rPr>
                              </w:pPr>
                              <w:r>
                                <w:rPr>
                                  <w:i/>
                                  <w:color w:val="262626" w:themeColor="text1" w:themeTint="D9"/>
                                  <w:sz w:val="32"/>
                                  <w:szCs w:val="32"/>
                                </w:rPr>
                                <w:t>STUDENT NAME:</w:t>
                              </w:r>
                              <w:r w:rsidR="00155ACF">
                                <w:rPr>
                                  <w:i/>
                                  <w:color w:val="262626" w:themeColor="text1" w:themeTint="D9"/>
                                  <w:sz w:val="32"/>
                                  <w:szCs w:val="32"/>
                                  <w:lang w:val="bg-BG"/>
                                </w:rPr>
                                <w:t xml:space="preserve"> TATYANA NIKOLOVA</w:t>
                              </w:r>
                            </w:p>
                          </w:sdtContent>
                        </w:sdt>
                        <w:p w14:paraId="299D0FCB" w14:textId="784780B7" w:rsidR="007809CC" w:rsidRPr="00155ACF" w:rsidRDefault="007809CC">
                          <w:pPr>
                            <w:pStyle w:val="NoSpacing"/>
                            <w:rPr>
                              <w:i/>
                              <w:color w:val="262626" w:themeColor="text1" w:themeTint="D9"/>
                              <w:sz w:val="26"/>
                              <w:szCs w:val="26"/>
                              <w:lang w:val="bg-BG"/>
                            </w:rPr>
                          </w:pPr>
                          <w:r>
                            <w:rPr>
                              <w:i/>
                              <w:color w:val="262626" w:themeColor="text1" w:themeTint="D9"/>
                              <w:sz w:val="26"/>
                              <w:szCs w:val="26"/>
                            </w:rPr>
                            <w:t>STUDENT ID:</w:t>
                          </w:r>
                          <w:r w:rsidR="00155ACF">
                            <w:rPr>
                              <w:i/>
                              <w:color w:val="262626" w:themeColor="text1" w:themeTint="D9"/>
                              <w:sz w:val="26"/>
                              <w:szCs w:val="26"/>
                              <w:lang w:val="bg-BG"/>
                            </w:rPr>
                            <w:t xml:space="preserve"> 1912953</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74F3F66" wp14:editId="763FF56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F43EA5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EB69051" wp14:editId="0CCB3EE2">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4E801E9" w14:textId="29FB173F" w:rsidR="007809CC" w:rsidRDefault="007809C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LCBB6002 INTERNATIONAL FINANCIAL MANAGEMENT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39E15CB" w14:textId="5BEB3A10" w:rsidR="007809CC" w:rsidRDefault="00155ACF">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EB69051"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4E801E9" w14:textId="29FB173F" w:rsidR="007809CC" w:rsidRDefault="007809CC">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LCBB6002 INTERNATIONAL FINANCIAL MANAGEMENT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39E15CB" w14:textId="5BEB3A10" w:rsidR="007809CC" w:rsidRDefault="00155ACF">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02FF654E" w14:textId="5052B712" w:rsidR="007809CC" w:rsidRDefault="007809CC">
          <w:pPr>
            <w:spacing w:after="0" w:line="240" w:lineRule="auto"/>
            <w:rPr>
              <w:rFonts w:asciiTheme="minorHAnsi" w:hAnsiTheme="minorHAnsi" w:cstheme="minorHAnsi"/>
              <w:color w:val="000000" w:themeColor="text1"/>
              <w:szCs w:val="24"/>
            </w:rPr>
          </w:pPr>
          <w:r>
            <w:rPr>
              <w:rFonts w:asciiTheme="minorHAnsi" w:hAnsiTheme="minorHAnsi" w:cstheme="minorHAnsi"/>
              <w:b/>
              <w:bCs/>
              <w:color w:val="000000" w:themeColor="text1"/>
              <w:szCs w:val="24"/>
            </w:rPr>
            <w:br w:type="page"/>
          </w:r>
        </w:p>
      </w:sdtContent>
    </w:sdt>
    <w:sdt>
      <w:sdtPr>
        <w:rPr>
          <w:rFonts w:ascii="Arial" w:eastAsiaTheme="minorHAnsi" w:hAnsi="Arial" w:cstheme="minorBidi"/>
          <w:b w:val="0"/>
          <w:bCs w:val="0"/>
          <w:color w:val="000000" w:themeColor="text1"/>
          <w:sz w:val="24"/>
          <w:szCs w:val="22"/>
          <w:lang w:val="en-GB"/>
        </w:rPr>
        <w:id w:val="1268197470"/>
        <w:docPartObj>
          <w:docPartGallery w:val="Table of Contents"/>
          <w:docPartUnique/>
        </w:docPartObj>
      </w:sdtPr>
      <w:sdtEndPr>
        <w:rPr>
          <w:noProof/>
        </w:rPr>
      </w:sdtEndPr>
      <w:sdtContent>
        <w:p w14:paraId="5C2615F5" w14:textId="6CFB6284" w:rsidR="007809CC" w:rsidRPr="007809CC" w:rsidRDefault="007809CC" w:rsidP="007809CC">
          <w:pPr>
            <w:pStyle w:val="TOCHeading"/>
            <w:spacing w:line="360" w:lineRule="auto"/>
            <w:jc w:val="center"/>
            <w:rPr>
              <w:color w:val="000000" w:themeColor="text1"/>
            </w:rPr>
          </w:pPr>
          <w:r w:rsidRPr="007809CC">
            <w:rPr>
              <w:color w:val="000000" w:themeColor="text1"/>
            </w:rPr>
            <w:t>Table of Contents</w:t>
          </w:r>
        </w:p>
        <w:p w14:paraId="246FB0B9" w14:textId="0C4176A7"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08" w:history="1">
            <w:r w:rsidR="007809CC" w:rsidRPr="007809CC">
              <w:rPr>
                <w:rStyle w:val="Hyperlink"/>
                <w:i w:val="0"/>
                <w:iCs w:val="0"/>
                <w:noProof/>
                <w:color w:val="000000" w:themeColor="text1"/>
              </w:rPr>
              <w:t>Introduction</w:t>
            </w:r>
            <w:r w:rsidR="007809CC" w:rsidRPr="007809CC">
              <w:rPr>
                <w:i w:val="0"/>
                <w:iCs w:val="0"/>
                <w:noProof/>
                <w:webHidden/>
                <w:color w:val="000000" w:themeColor="text1"/>
              </w:rPr>
              <w:tab/>
            </w:r>
            <w:r w:rsidR="007809CC" w:rsidRPr="007809CC">
              <w:rPr>
                <w:i w:val="0"/>
                <w:iCs w:val="0"/>
                <w:noProof/>
                <w:webHidden/>
                <w:color w:val="000000" w:themeColor="text1"/>
              </w:rPr>
              <w:fldChar w:fldCharType="begin"/>
            </w:r>
            <w:r w:rsidR="007809CC" w:rsidRPr="007809CC">
              <w:rPr>
                <w:i w:val="0"/>
                <w:iCs w:val="0"/>
                <w:noProof/>
                <w:webHidden/>
                <w:color w:val="000000" w:themeColor="text1"/>
              </w:rPr>
              <w:instrText xml:space="preserve"> PAGEREF _Toc124189708 \h </w:instrText>
            </w:r>
            <w:r w:rsidR="007809CC" w:rsidRPr="007809CC">
              <w:rPr>
                <w:i w:val="0"/>
                <w:iCs w:val="0"/>
                <w:noProof/>
                <w:webHidden/>
                <w:color w:val="000000" w:themeColor="text1"/>
              </w:rPr>
            </w:r>
            <w:r w:rsidR="007809CC" w:rsidRPr="007809CC">
              <w:rPr>
                <w:i w:val="0"/>
                <w:iCs w:val="0"/>
                <w:noProof/>
                <w:webHidden/>
                <w:color w:val="000000" w:themeColor="text1"/>
              </w:rPr>
              <w:fldChar w:fldCharType="separate"/>
            </w:r>
            <w:r w:rsidR="00E77F63">
              <w:rPr>
                <w:i w:val="0"/>
                <w:iCs w:val="0"/>
                <w:noProof/>
                <w:webHidden/>
                <w:color w:val="000000" w:themeColor="text1"/>
              </w:rPr>
              <w:t>2</w:t>
            </w:r>
            <w:r w:rsidR="007809CC" w:rsidRPr="007809CC">
              <w:rPr>
                <w:i w:val="0"/>
                <w:iCs w:val="0"/>
                <w:noProof/>
                <w:webHidden/>
                <w:color w:val="000000" w:themeColor="text1"/>
              </w:rPr>
              <w:fldChar w:fldCharType="end"/>
            </w:r>
          </w:hyperlink>
        </w:p>
        <w:p w14:paraId="6BDB6AEB" w14:textId="43E19EC6"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09" w:history="1">
            <w:r w:rsidR="007809CC" w:rsidRPr="007809CC">
              <w:rPr>
                <w:rStyle w:val="Hyperlink"/>
                <w:i w:val="0"/>
                <w:iCs w:val="0"/>
                <w:noProof/>
                <w:color w:val="000000" w:themeColor="text1"/>
              </w:rPr>
              <w:t>Dividend Distribution Policy</w:t>
            </w:r>
            <w:r w:rsidR="007809CC" w:rsidRPr="007809CC">
              <w:rPr>
                <w:i w:val="0"/>
                <w:iCs w:val="0"/>
                <w:noProof/>
                <w:webHidden/>
                <w:color w:val="000000" w:themeColor="text1"/>
              </w:rPr>
              <w:tab/>
            </w:r>
            <w:r w:rsidR="00E77F63">
              <w:rPr>
                <w:i w:val="0"/>
                <w:iCs w:val="0"/>
                <w:noProof/>
                <w:webHidden/>
                <w:color w:val="000000" w:themeColor="text1"/>
              </w:rPr>
              <w:t>2</w:t>
            </w:r>
          </w:hyperlink>
        </w:p>
        <w:p w14:paraId="5BA19EAC" w14:textId="6093DBA5"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10" w:history="1">
            <w:r w:rsidR="007809CC" w:rsidRPr="007809CC">
              <w:rPr>
                <w:rStyle w:val="Hyperlink"/>
                <w:i w:val="0"/>
                <w:iCs w:val="0"/>
                <w:noProof/>
                <w:color w:val="000000" w:themeColor="text1"/>
              </w:rPr>
              <w:t>The Hypothesis of the Market</w:t>
            </w:r>
            <w:r w:rsidR="007809CC" w:rsidRPr="007809CC">
              <w:rPr>
                <w:i w:val="0"/>
                <w:iCs w:val="0"/>
                <w:noProof/>
                <w:webHidden/>
                <w:color w:val="000000" w:themeColor="text1"/>
              </w:rPr>
              <w:tab/>
            </w:r>
            <w:r w:rsidR="00E77F63">
              <w:rPr>
                <w:i w:val="0"/>
                <w:iCs w:val="0"/>
                <w:noProof/>
                <w:webHidden/>
                <w:color w:val="000000" w:themeColor="text1"/>
              </w:rPr>
              <w:t>3</w:t>
            </w:r>
          </w:hyperlink>
        </w:p>
        <w:p w14:paraId="62511C80" w14:textId="583A9491"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11" w:history="1">
            <w:r w:rsidR="007809CC" w:rsidRPr="007809CC">
              <w:rPr>
                <w:rStyle w:val="Hyperlink"/>
                <w:i w:val="0"/>
                <w:iCs w:val="0"/>
                <w:noProof/>
                <w:color w:val="000000" w:themeColor="text1"/>
              </w:rPr>
              <w:t>Project Evaluation Techniques</w:t>
            </w:r>
            <w:r w:rsidR="007809CC" w:rsidRPr="007809CC">
              <w:rPr>
                <w:i w:val="0"/>
                <w:iCs w:val="0"/>
                <w:noProof/>
                <w:webHidden/>
                <w:color w:val="000000" w:themeColor="text1"/>
              </w:rPr>
              <w:tab/>
            </w:r>
            <w:r w:rsidR="00E77F63">
              <w:rPr>
                <w:i w:val="0"/>
                <w:iCs w:val="0"/>
                <w:noProof/>
                <w:webHidden/>
                <w:color w:val="000000" w:themeColor="text1"/>
              </w:rPr>
              <w:t>3</w:t>
            </w:r>
          </w:hyperlink>
        </w:p>
        <w:p w14:paraId="5CBF498B" w14:textId="6900CAE0"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12" w:history="1">
            <w:r w:rsidR="007809CC" w:rsidRPr="007809CC">
              <w:rPr>
                <w:rStyle w:val="Hyperlink"/>
                <w:i w:val="0"/>
                <w:iCs w:val="0"/>
                <w:noProof/>
                <w:color w:val="000000" w:themeColor="text1"/>
              </w:rPr>
              <w:t>Conclusion</w:t>
            </w:r>
            <w:r w:rsidR="007809CC" w:rsidRPr="007809CC">
              <w:rPr>
                <w:i w:val="0"/>
                <w:iCs w:val="0"/>
                <w:noProof/>
                <w:webHidden/>
                <w:color w:val="000000" w:themeColor="text1"/>
              </w:rPr>
              <w:tab/>
            </w:r>
            <w:r w:rsidR="00E77F63">
              <w:rPr>
                <w:i w:val="0"/>
                <w:iCs w:val="0"/>
                <w:noProof/>
                <w:webHidden/>
                <w:color w:val="000000" w:themeColor="text1"/>
              </w:rPr>
              <w:t>4</w:t>
            </w:r>
          </w:hyperlink>
        </w:p>
        <w:p w14:paraId="31753AAE" w14:textId="18B3BF85" w:rsidR="007809CC" w:rsidRPr="007809CC" w:rsidRDefault="00155ACF" w:rsidP="007809CC">
          <w:pPr>
            <w:pStyle w:val="TOC1"/>
            <w:tabs>
              <w:tab w:val="right" w:leader="dot" w:pos="9016"/>
            </w:tabs>
            <w:spacing w:line="360" w:lineRule="auto"/>
            <w:jc w:val="center"/>
            <w:rPr>
              <w:i w:val="0"/>
              <w:iCs w:val="0"/>
              <w:noProof/>
              <w:color w:val="000000" w:themeColor="text1"/>
            </w:rPr>
          </w:pPr>
          <w:hyperlink w:anchor="_Toc124189713" w:history="1">
            <w:r w:rsidR="007809CC" w:rsidRPr="007809CC">
              <w:rPr>
                <w:rStyle w:val="Hyperlink"/>
                <w:i w:val="0"/>
                <w:iCs w:val="0"/>
                <w:noProof/>
                <w:color w:val="000000" w:themeColor="text1"/>
              </w:rPr>
              <w:t>References</w:t>
            </w:r>
            <w:r w:rsidR="007809CC" w:rsidRPr="007809CC">
              <w:rPr>
                <w:i w:val="0"/>
                <w:iCs w:val="0"/>
                <w:noProof/>
                <w:webHidden/>
                <w:color w:val="000000" w:themeColor="text1"/>
              </w:rPr>
              <w:tab/>
            </w:r>
            <w:r w:rsidR="00E77F63">
              <w:rPr>
                <w:i w:val="0"/>
                <w:iCs w:val="0"/>
                <w:noProof/>
                <w:webHidden/>
                <w:color w:val="000000" w:themeColor="text1"/>
              </w:rPr>
              <w:t>6</w:t>
            </w:r>
          </w:hyperlink>
        </w:p>
        <w:p w14:paraId="3C25507D" w14:textId="1F29944D" w:rsidR="007809CC" w:rsidRPr="007809CC" w:rsidRDefault="00155ACF" w:rsidP="007809CC">
          <w:pPr>
            <w:spacing w:line="360" w:lineRule="auto"/>
            <w:jc w:val="center"/>
            <w:rPr>
              <w:color w:val="000000" w:themeColor="text1"/>
            </w:rPr>
          </w:pPr>
        </w:p>
      </w:sdtContent>
    </w:sdt>
    <w:p w14:paraId="6078B4C3" w14:textId="48A7D957" w:rsidR="0068292D" w:rsidRDefault="0068292D"/>
    <w:p w14:paraId="6A49C3AE" w14:textId="77777777" w:rsidR="0068292D" w:rsidRDefault="0068292D">
      <w:pPr>
        <w:spacing w:after="0" w:line="240" w:lineRule="auto"/>
      </w:pPr>
      <w:r>
        <w:br w:type="page"/>
      </w:r>
    </w:p>
    <w:p w14:paraId="3C160313" w14:textId="77777777" w:rsidR="0068292D" w:rsidRDefault="0068292D" w:rsidP="007809CC">
      <w:pPr>
        <w:pStyle w:val="Heading1"/>
      </w:pPr>
      <w:bookmarkStart w:id="0" w:name="_Toc124189708"/>
      <w:r>
        <w:lastRenderedPageBreak/>
        <w:t>Introduction</w:t>
      </w:r>
      <w:bookmarkEnd w:id="0"/>
      <w:r>
        <w:t xml:space="preserve"> </w:t>
      </w:r>
    </w:p>
    <w:p w14:paraId="3380B284" w14:textId="74FB8546" w:rsidR="0068292D" w:rsidRDefault="0068292D" w:rsidP="0068292D">
      <w:r>
        <w:t>On a global basis, Unilever is a significant provider of a wide variety of food, personal care, and home items, as well as other fast-moving consumer goods. The product line offered by Unilever encompasses a wide variety of recognisable and well-liked brand names</w:t>
      </w:r>
      <w:r w:rsidR="007809CC" w:rsidRPr="007809CC">
        <w:t xml:space="preserve"> (ULLAH, 2021)</w:t>
      </w:r>
      <w:r>
        <w:t xml:space="preserve">. The goods can be purchased in one hundred fifty different nations. </w:t>
      </w:r>
      <w:r w:rsidR="007809CC">
        <w:t>This paper will aim to analyse the dividend distribution policy as well as efficient market hypothesis of this business organisation and provide recommendations based on the findings from the financial analysis.</w:t>
      </w:r>
    </w:p>
    <w:p w14:paraId="6F24D99E" w14:textId="24394D52" w:rsidR="007809CC" w:rsidRDefault="0068292D" w:rsidP="007809CC">
      <w:pPr>
        <w:pStyle w:val="Heading1"/>
      </w:pPr>
      <w:bookmarkStart w:id="1" w:name="_Toc124189709"/>
      <w:r>
        <w:t>Dividend Distribution Policy</w:t>
      </w:r>
      <w:bookmarkEnd w:id="1"/>
      <w:r>
        <w:t xml:space="preserve"> </w:t>
      </w:r>
    </w:p>
    <w:p w14:paraId="0C61FEF4" w14:textId="6249AF6B" w:rsidR="0068292D" w:rsidRDefault="007809CC" w:rsidP="0068292D">
      <w:r>
        <w:t>A co</w:t>
      </w:r>
      <w:r w:rsidR="0068292D">
        <w:t xml:space="preserve">mpany needs to ensure that cash from operations is delivered to shareholders over a prolonged period of time and at a rate that is higher than what is required for both the short-term and the long-term </w:t>
      </w:r>
      <w:r w:rsidRPr="007809CC">
        <w:t xml:space="preserve">(Mustafa Al-Sharif, 2020) </w:t>
      </w:r>
      <w:r w:rsidR="0068292D">
        <w:t xml:space="preserve">In addition, the Dividend Distribution Policy of the Company needs to make certain that cash from operations is repaid at a rate that is higher than both its short-term and long-term obligations. In addition, the dividend distribution policy of the company must produce a higher return on cash from operations than the company's immediate and long-term cash demands </w:t>
      </w:r>
      <w:proofErr w:type="gramStart"/>
      <w:r w:rsidR="0068292D">
        <w:t>in order to</w:t>
      </w:r>
      <w:proofErr w:type="gramEnd"/>
      <w:r w:rsidR="0068292D">
        <w:t xml:space="preserve"> be considered successful. The company has made it abundantly clear that it is dedicated to continuously increasing the value of its shareholders and providing them with a distribution that </w:t>
      </w:r>
      <w:proofErr w:type="gramStart"/>
      <w:r w:rsidR="0068292D">
        <w:t>is capable of competing</w:t>
      </w:r>
      <w:proofErr w:type="gramEnd"/>
      <w:r w:rsidR="0068292D">
        <w:t xml:space="preserve"> with other market dividends and perhaps being maintained over time</w:t>
      </w:r>
      <w:r w:rsidR="0068292D" w:rsidRPr="0068292D">
        <w:t xml:space="preserve"> (</w:t>
      </w:r>
      <w:proofErr w:type="spellStart"/>
      <w:r w:rsidR="0068292D" w:rsidRPr="0068292D">
        <w:t>Delcey</w:t>
      </w:r>
      <w:proofErr w:type="spellEnd"/>
      <w:r w:rsidR="0068292D" w:rsidRPr="0068292D">
        <w:t xml:space="preserve"> and </w:t>
      </w:r>
      <w:proofErr w:type="spellStart"/>
      <w:r w:rsidR="0068292D" w:rsidRPr="0068292D">
        <w:t>Sergi</w:t>
      </w:r>
      <w:proofErr w:type="spellEnd"/>
      <w:r w:rsidR="0068292D" w:rsidRPr="0068292D">
        <w:t>, 2022)</w:t>
      </w:r>
      <w:r w:rsidR="0068292D">
        <w:t xml:space="preserve">. </w:t>
      </w:r>
    </w:p>
    <w:p w14:paraId="267E7D88" w14:textId="77777777" w:rsidR="0068292D" w:rsidRDefault="0068292D" w:rsidP="0068292D">
      <w:r>
        <w:t xml:space="preserve">Based on their analysis of the current circumstances, the Board of Directors </w:t>
      </w:r>
      <w:proofErr w:type="gramStart"/>
      <w:r>
        <w:t>has the ability to</w:t>
      </w:r>
      <w:proofErr w:type="gramEnd"/>
      <w:r>
        <w:t xml:space="preserve"> make recommendations on dividend distribution, including whether or not one should be paid and at what rate. This can include determining if a dividend should be paid and, if so, at what rate the dividend should be paid at. It's possible that this guidance will address the question of </w:t>
      </w:r>
      <w:proofErr w:type="gramStart"/>
      <w:r>
        <w:t>whether or not</w:t>
      </w:r>
      <w:proofErr w:type="gramEnd"/>
      <w:r>
        <w:t xml:space="preserve"> dividends should be paid. The company's Board of Directors may decide to disperse dividend payments based on the present operating worth of the business, with the final payment being contingent on the annual outcomes of the business. There is a possibility that the operating value of the property will affect both payments. </w:t>
      </w:r>
    </w:p>
    <w:p w14:paraId="5DA2884C" w14:textId="7B1D68F2" w:rsidR="0068292D" w:rsidRDefault="0068292D" w:rsidP="0068292D">
      <w:r>
        <w:t xml:space="preserve">Shareholders will have the opportunity to vote at the Annual Meetings on </w:t>
      </w:r>
      <w:proofErr w:type="gramStart"/>
      <w:r>
        <w:t>whether or not</w:t>
      </w:r>
      <w:proofErr w:type="gramEnd"/>
      <w:r>
        <w:t xml:space="preserve"> the Dividend that has been proposed by the Board of Directors should be approved. Nevertheless, dividends can be paid out in an amount that is lower than what was requested. This is the case, </w:t>
      </w:r>
      <w:proofErr w:type="gramStart"/>
      <w:r>
        <w:t>despite the fact that</w:t>
      </w:r>
      <w:proofErr w:type="gramEnd"/>
      <w:r>
        <w:t xml:space="preserve"> dividends cannot be given in an amount that is greater than the amount that is intended. </w:t>
      </w:r>
    </w:p>
    <w:p w14:paraId="3F53A6CC" w14:textId="6B74B57E" w:rsidR="0068292D" w:rsidRDefault="0068292D" w:rsidP="0068292D">
      <w:r>
        <w:t xml:space="preserve">It is expected that a dividend proposal that is based on the industry's earnings after taxes for the current year would be offered </w:t>
      </w:r>
      <w:r w:rsidR="007809CC" w:rsidRPr="007809CC">
        <w:t>(ULLAH, 2021)</w:t>
      </w:r>
      <w:r w:rsidR="007809CC">
        <w:t xml:space="preserve">. </w:t>
      </w:r>
      <w:proofErr w:type="gramStart"/>
      <w:r>
        <w:t>In the event that</w:t>
      </w:r>
      <w:proofErr w:type="gramEnd"/>
      <w:r>
        <w:t xml:space="preserve"> the company posts a loss after accounting for taxes within a specific fiscal year, the Board of Directors may propose that some of the retained earnings be distributed to shareholders. These distributions </w:t>
      </w:r>
      <w:proofErr w:type="gramStart"/>
      <w:r>
        <w:t>have to</w:t>
      </w:r>
      <w:proofErr w:type="gramEnd"/>
      <w:r>
        <w:t xml:space="preserve"> be carried out in compliance with all of the </w:t>
      </w:r>
      <w:r>
        <w:lastRenderedPageBreak/>
        <w:t xml:space="preserve">laws and regulations that are now in effect. Despite this, the authority in question does not consider this to be the only choice they have available to them. </w:t>
      </w:r>
    </w:p>
    <w:p w14:paraId="0732BC20" w14:textId="77777777" w:rsidR="0068292D" w:rsidRDefault="0068292D" w:rsidP="007809CC">
      <w:pPr>
        <w:pStyle w:val="Heading1"/>
      </w:pPr>
      <w:bookmarkStart w:id="2" w:name="_Toc124189710"/>
      <w:r>
        <w:t>The Hypothesis of the Market</w:t>
      </w:r>
      <w:bookmarkEnd w:id="2"/>
      <w:r>
        <w:t xml:space="preserve"> </w:t>
      </w:r>
    </w:p>
    <w:p w14:paraId="65A3610A" w14:textId="275E151D" w:rsidR="0068292D" w:rsidRDefault="0068292D" w:rsidP="0068292D">
      <w:r>
        <w:t xml:space="preserve">Prices on efficient markets are always reflective of the most recent information because investors are constantly competing with one another for market share. When buying or selling a financial instrument, the price must always </w:t>
      </w:r>
      <w:proofErr w:type="gramStart"/>
      <w:r>
        <w:t>take into account</w:t>
      </w:r>
      <w:proofErr w:type="gramEnd"/>
      <w:r>
        <w:t xml:space="preserve"> not just the rate of return that is anticipated, but also the amount of risk that is involved with the investment</w:t>
      </w:r>
      <w:r w:rsidRPr="0068292D">
        <w:t xml:space="preserve"> (</w:t>
      </w:r>
      <w:proofErr w:type="spellStart"/>
      <w:r w:rsidRPr="0068292D">
        <w:t>Aslaksen</w:t>
      </w:r>
      <w:proofErr w:type="spellEnd"/>
      <w:r w:rsidRPr="0068292D">
        <w:t xml:space="preserve"> and </w:t>
      </w:r>
      <w:proofErr w:type="spellStart"/>
      <w:r w:rsidRPr="0068292D">
        <w:t>Wiersdalen</w:t>
      </w:r>
      <w:proofErr w:type="spellEnd"/>
      <w:r w:rsidRPr="0068292D">
        <w:t>, 2019)</w:t>
      </w:r>
      <w:r>
        <w:t xml:space="preserve">. If the stock market is operating </w:t>
      </w:r>
      <w:proofErr w:type="gramStart"/>
      <w:r>
        <w:t>as</w:t>
      </w:r>
      <w:proofErr w:type="gramEnd"/>
      <w:r>
        <w:t xml:space="preserve"> it should, the current price of Unilever's shares should accurately reflect the true value of the company. There is no clear pattern to the fluctuations in value of a financial asset since there is insufficient information about the future. This is the case because. The prevalent pessimism regarding the future is tied to this phenomenon. A financial market </w:t>
      </w:r>
      <w:proofErr w:type="gramStart"/>
      <w:r>
        <w:t>is considered to be</w:t>
      </w:r>
      <w:proofErr w:type="gramEnd"/>
      <w:r>
        <w:t xml:space="preserve"> efficient when its prices accurately represent all of the information that is important to the market. Only information that is more recent has the potential to </w:t>
      </w:r>
      <w:proofErr w:type="gramStart"/>
      <w:r>
        <w:t>have an effect on</w:t>
      </w:r>
      <w:proofErr w:type="gramEnd"/>
      <w:r>
        <w:t xml:space="preserve"> the price of an asset, provided that the asset's price accurately reflects all of the key events that have occurred up to that point in time</w:t>
      </w:r>
      <w:r w:rsidRPr="0068292D">
        <w:t xml:space="preserve"> (</w:t>
      </w:r>
      <w:proofErr w:type="spellStart"/>
      <w:r w:rsidRPr="0068292D">
        <w:t>Delcey</w:t>
      </w:r>
      <w:proofErr w:type="spellEnd"/>
      <w:r w:rsidRPr="0068292D">
        <w:t xml:space="preserve"> and </w:t>
      </w:r>
      <w:proofErr w:type="spellStart"/>
      <w:r w:rsidRPr="0068292D">
        <w:t>Sergi</w:t>
      </w:r>
      <w:proofErr w:type="spellEnd"/>
      <w:r w:rsidRPr="0068292D">
        <w:t>, 2022)</w:t>
      </w:r>
      <w:r>
        <w:t xml:space="preserve">. </w:t>
      </w:r>
    </w:p>
    <w:p w14:paraId="4067CD33" w14:textId="51AFF052" w:rsidR="0068292D" w:rsidRDefault="0068292D" w:rsidP="0068292D">
      <w:r>
        <w:t xml:space="preserve">Because of these differences, we </w:t>
      </w:r>
      <w:proofErr w:type="gramStart"/>
      <w:r>
        <w:t>are able to</w:t>
      </w:r>
      <w:proofErr w:type="gramEnd"/>
      <w:r>
        <w:t xml:space="preserve"> differentiate between three distinct types of effectiveness. It is expected, in accordance with the information efficiency hypothesis with a level of strength equivalent to "moderate," that current prices accurately reflect </w:t>
      </w:r>
      <w:proofErr w:type="gramStart"/>
      <w:r>
        <w:t>all of</w:t>
      </w:r>
      <w:proofErr w:type="gramEnd"/>
      <w:r>
        <w:t xml:space="preserve"> the information that is currently accessible. In addition to the previous price levels, this data also includes the financial data that was supplied by the company as well as forecasts provided by analysts. To establish </w:t>
      </w:r>
      <w:proofErr w:type="gramStart"/>
      <w:r>
        <w:t>whether or not</w:t>
      </w:r>
      <w:proofErr w:type="gramEnd"/>
      <w:r>
        <w:t xml:space="preserve"> this assumption is accurate, one can examine the way in which the price of a company's stock reacts when an important business announcement is made. </w:t>
      </w:r>
    </w:p>
    <w:p w14:paraId="6937F27E" w14:textId="51DB323F" w:rsidR="0068292D" w:rsidRDefault="0068292D" w:rsidP="0068292D">
      <w:r>
        <w:t xml:space="preserve">The degree of market efficiency that can be achieved with a certain amount of success by carrying out trials under competent supervision. The purpose of this experiment is to investigate </w:t>
      </w:r>
      <w:proofErr w:type="gramStart"/>
      <w:r>
        <w:t>whether or not</w:t>
      </w:r>
      <w:proofErr w:type="gramEnd"/>
      <w:r>
        <w:t xml:space="preserve"> the presence of unpredictability and unfavourable selection has an effect on the efficiency of the market. It seems like the research approach has certain advantages because it can organise the data acquired by different disciplines and follow their behaviour </w:t>
      </w:r>
      <w:r w:rsidRPr="0068292D">
        <w:t>(</w:t>
      </w:r>
      <w:proofErr w:type="spellStart"/>
      <w:r w:rsidRPr="0068292D">
        <w:t>Aminimehr</w:t>
      </w:r>
      <w:proofErr w:type="spellEnd"/>
      <w:r w:rsidRPr="0068292D">
        <w:t xml:space="preserve"> et al., 2022)</w:t>
      </w:r>
      <w:r>
        <w:t xml:space="preserve">. This has the potential to alleviate some of the problems that are associated with event studies, such as the significant range in results that can be attributed to the method used to evaluate excess and/or projected returns, the period selected and the length of that period, and other factors. </w:t>
      </w:r>
    </w:p>
    <w:p w14:paraId="225ECB3B" w14:textId="77777777" w:rsidR="0068292D" w:rsidRDefault="0068292D" w:rsidP="007809CC">
      <w:pPr>
        <w:pStyle w:val="Heading1"/>
      </w:pPr>
      <w:bookmarkStart w:id="3" w:name="_Toc124189711"/>
      <w:r>
        <w:t>Project Evaluation Techniques</w:t>
      </w:r>
      <w:bookmarkEnd w:id="3"/>
      <w:r>
        <w:t xml:space="preserve"> </w:t>
      </w:r>
    </w:p>
    <w:p w14:paraId="29A748C9" w14:textId="77777777" w:rsidR="0068292D" w:rsidRDefault="0068292D" w:rsidP="0068292D">
      <w:r>
        <w:t xml:space="preserve">The process through which a financial institution evaluates an investment proposal in an open and objective manner </w:t>
      </w:r>
      <w:proofErr w:type="gramStart"/>
      <w:r>
        <w:t>in order to</w:t>
      </w:r>
      <w:proofErr w:type="gramEnd"/>
      <w:r>
        <w:t xml:space="preserve"> make a decision regarding whether or not to fund the proposal is known as a project evaluation. In the following sections, we </w:t>
      </w:r>
      <w:r>
        <w:lastRenderedPageBreak/>
        <w:t xml:space="preserve">will go over the five most common methods that are used to evaluate different types of financial projects. </w:t>
      </w:r>
    </w:p>
    <w:p w14:paraId="47756575" w14:textId="77777777" w:rsidR="0068292D" w:rsidRDefault="0068292D" w:rsidP="0068292D">
      <w:r>
        <w:t xml:space="preserve">Economists </w:t>
      </w:r>
      <w:proofErr w:type="gramStart"/>
      <w:r>
        <w:t>take into account</w:t>
      </w:r>
      <w:proofErr w:type="gramEnd"/>
      <w:r>
        <w:t xml:space="preserve"> a wide range of factors when determining whether or not a project can be profitable in the long run. These factors include, but are not limited to, the costs of the suppliers, the capacity utilisation rate, the projected income, the expected costs, and the future profits. </w:t>
      </w:r>
    </w:p>
    <w:p w14:paraId="7DC2021B" w14:textId="438EADE8" w:rsidR="0068292D" w:rsidRDefault="0068292D" w:rsidP="0068292D">
      <w:r>
        <w:t xml:space="preserve">It is imperative for companies to </w:t>
      </w:r>
      <w:proofErr w:type="gramStart"/>
      <w:r>
        <w:t>keep a close eye on their current levels of profit at all times</w:t>
      </w:r>
      <w:proofErr w:type="gramEnd"/>
      <w:r>
        <w:t xml:space="preserve"> because this information serves as the foundation for all other financial indicators</w:t>
      </w:r>
      <w:r w:rsidR="007809CC">
        <w:t xml:space="preserve">. </w:t>
      </w:r>
      <w:proofErr w:type="gramStart"/>
      <w:r>
        <w:t>In order for</w:t>
      </w:r>
      <w:proofErr w:type="gramEnd"/>
      <w:r>
        <w:t xml:space="preserve"> the organisation to earn the amount of money that was anticipated, it is vital to create plans in advance for the proper number of sales</w:t>
      </w:r>
      <w:r w:rsidR="007809CC" w:rsidRPr="007809CC">
        <w:t xml:space="preserve"> (</w:t>
      </w:r>
      <w:proofErr w:type="spellStart"/>
      <w:r w:rsidR="007809CC" w:rsidRPr="007809CC">
        <w:t>Pilbeam</w:t>
      </w:r>
      <w:proofErr w:type="spellEnd"/>
      <w:r w:rsidR="007809CC" w:rsidRPr="007809CC">
        <w:t>, 2013)</w:t>
      </w:r>
      <w:r>
        <w:t xml:space="preserve">. The fundamental factor that drives sales is the level of consumer interest in the product. Product demand is one of the most important variables that should be considered whenever one is determining </w:t>
      </w:r>
      <w:proofErr w:type="gramStart"/>
      <w:r>
        <w:t>whether or not</w:t>
      </w:r>
      <w:proofErr w:type="gramEnd"/>
      <w:r>
        <w:t xml:space="preserve"> a company is profitable. </w:t>
      </w:r>
    </w:p>
    <w:p w14:paraId="6EE2921D" w14:textId="07869E87" w:rsidR="0068292D" w:rsidRDefault="0068292D" w:rsidP="0068292D">
      <w:r>
        <w:t xml:space="preserve">The location of the new business will be a crucial factor in determining the level of success that the effort </w:t>
      </w:r>
      <w:r w:rsidR="007809CC">
        <w:t xml:space="preserve">is put. </w:t>
      </w:r>
      <w:r>
        <w:t xml:space="preserve">During the site selection process, it is vital to </w:t>
      </w:r>
      <w:proofErr w:type="gramStart"/>
      <w:r>
        <w:t>take into account</w:t>
      </w:r>
      <w:proofErr w:type="gramEnd"/>
      <w:r>
        <w:t xml:space="preserve"> government rules, government incentives, and government-sponsored discounts. As a result, the concept of location is granted a significant amount of significance in the field of economics</w:t>
      </w:r>
      <w:r w:rsidR="007809CC" w:rsidRPr="007809CC">
        <w:t xml:space="preserve"> (</w:t>
      </w:r>
      <w:proofErr w:type="spellStart"/>
      <w:r w:rsidR="007809CC" w:rsidRPr="007809CC">
        <w:t>Pattiruhu</w:t>
      </w:r>
      <w:proofErr w:type="spellEnd"/>
      <w:r w:rsidR="007809CC" w:rsidRPr="007809CC">
        <w:t xml:space="preserve"> and </w:t>
      </w:r>
      <w:proofErr w:type="spellStart"/>
      <w:r w:rsidR="007809CC" w:rsidRPr="007809CC">
        <w:t>Paais</w:t>
      </w:r>
      <w:proofErr w:type="spellEnd"/>
      <w:r w:rsidR="007809CC" w:rsidRPr="007809CC">
        <w:t>, 2020)</w:t>
      </w:r>
      <w:r>
        <w:t xml:space="preserve">. Every organisation </w:t>
      </w:r>
      <w:proofErr w:type="gramStart"/>
      <w:r>
        <w:t>has to</w:t>
      </w:r>
      <w:proofErr w:type="gramEnd"/>
      <w:r>
        <w:t xml:space="preserve"> have the ability to evaluate its current financial situation. One of the most important steps in determining </w:t>
      </w:r>
      <w:proofErr w:type="gramStart"/>
      <w:r>
        <w:t>whether or not</w:t>
      </w:r>
      <w:proofErr w:type="gramEnd"/>
      <w:r>
        <w:t xml:space="preserve"> a business can remain profitable is to do an analysis of the requirements for both fixed and working capital</w:t>
      </w:r>
      <w:r w:rsidRPr="0068292D">
        <w:t xml:space="preserve"> (Husain et al., 2020)</w:t>
      </w:r>
      <w:r>
        <w:t xml:space="preserve">. </w:t>
      </w:r>
    </w:p>
    <w:p w14:paraId="050C4DB0" w14:textId="5F2C2C10" w:rsidR="0068292D" w:rsidRDefault="0068292D" w:rsidP="0068292D">
      <w:r>
        <w:t>Fixed capital, which is also commonly referred to as fixed assets, is a term that is used to describe the tangible and intangible assets that are routinely purchased and utilised by an organisation. It is possible for a firm to need fixed capital, but it all depends on the kind of business they run, how big they are, and how long they plan to keep the investment. It is vital to incorporate the asset's cost, fees for the architect and engineer, power and capital costs, degradation, trial run charges, and other associated costs when calculating the amount of Fixed Capital that is required</w:t>
      </w:r>
      <w:r w:rsidRPr="0068292D">
        <w:t xml:space="preserve"> (Husain et al., 2020)</w:t>
      </w:r>
      <w:r>
        <w:t xml:space="preserve">. The maintenance costs, rehabilitation costs, and expansion costs associated with the structure should all be covered in the project report. </w:t>
      </w:r>
    </w:p>
    <w:p w14:paraId="3CA35461" w14:textId="77777777" w:rsidR="007809CC" w:rsidRDefault="007809CC" w:rsidP="0068292D"/>
    <w:p w14:paraId="440D02D3" w14:textId="77777777" w:rsidR="0068292D" w:rsidRDefault="0068292D" w:rsidP="007809CC">
      <w:pPr>
        <w:pStyle w:val="Heading1"/>
      </w:pPr>
      <w:bookmarkStart w:id="4" w:name="_Toc124189712"/>
      <w:r>
        <w:t>Conclusion</w:t>
      </w:r>
      <w:bookmarkEnd w:id="4"/>
      <w:r>
        <w:t xml:space="preserve"> </w:t>
      </w:r>
    </w:p>
    <w:p w14:paraId="16D6C748" w14:textId="181E9C19" w:rsidR="00FE6EE1" w:rsidRDefault="0068292D" w:rsidP="0068292D">
      <w:r>
        <w:t xml:space="preserve">When we take a cursory look at Unilever's financial management, we can see that the firm has implemented and adapted a range of models and ideas from the field of strategic management. This can be seen when we compare the company's current practises to those from the past. When developing a strategy, the corporation's primary focus should be on satisfying its customers, but it should also be concerned </w:t>
      </w:r>
      <w:r>
        <w:lastRenderedPageBreak/>
        <w:t xml:space="preserve">with ensuring that its products continue to be of high quality and with expanding the range of activities that are relevant to both their products and their marketing. Unilever is required to actively monitor the strategies employed by its rival companies in accordance with the tenets of the philosophy of financial management </w:t>
      </w:r>
      <w:proofErr w:type="gramStart"/>
      <w:r>
        <w:t>in order to</w:t>
      </w:r>
      <w:proofErr w:type="gramEnd"/>
      <w:r>
        <w:t xml:space="preserve"> identify and address any operational flaws or deficiencies. The organisation needs to construct a strategic framework for all aspects of the business, beginning with the most fundamental operational operations, the supply chain, and the human resources department. By encouraging managerial skills within the organisation and among sister franchisees, Unilever may be able to acquire a more thorough analytical view of the market and its position in it.</w:t>
      </w:r>
    </w:p>
    <w:p w14:paraId="69572FB7" w14:textId="50CE6801" w:rsidR="0068292D" w:rsidRDefault="0068292D" w:rsidP="0068292D"/>
    <w:p w14:paraId="1978D71E" w14:textId="4BE14AD4" w:rsidR="0068292D" w:rsidRDefault="0068292D" w:rsidP="0068292D"/>
    <w:p w14:paraId="1D0071F2" w14:textId="34BF5CAC" w:rsidR="0068292D" w:rsidRDefault="0068292D" w:rsidP="0068292D"/>
    <w:p w14:paraId="2C5303EF" w14:textId="07CAAC50" w:rsidR="007809CC" w:rsidRDefault="007809CC" w:rsidP="0068292D"/>
    <w:p w14:paraId="05412D4B" w14:textId="30733A83" w:rsidR="007809CC" w:rsidRDefault="007809CC" w:rsidP="0068292D"/>
    <w:p w14:paraId="4F988A22" w14:textId="29F80C53" w:rsidR="007809CC" w:rsidRDefault="007809CC" w:rsidP="0068292D"/>
    <w:p w14:paraId="2BFD9B0E" w14:textId="3B3225D4" w:rsidR="007809CC" w:rsidRDefault="007809CC" w:rsidP="0068292D"/>
    <w:p w14:paraId="0DE20345" w14:textId="32A42BF5" w:rsidR="007809CC" w:rsidRDefault="007809CC" w:rsidP="0068292D"/>
    <w:p w14:paraId="5F373131" w14:textId="636700D0" w:rsidR="007809CC" w:rsidRDefault="007809CC" w:rsidP="0068292D"/>
    <w:p w14:paraId="01970781" w14:textId="1A078E79" w:rsidR="007809CC" w:rsidRDefault="007809CC" w:rsidP="0068292D"/>
    <w:p w14:paraId="2EF16AB0" w14:textId="7E969FCA" w:rsidR="007809CC" w:rsidRDefault="007809CC" w:rsidP="0068292D"/>
    <w:p w14:paraId="737CF344" w14:textId="1B8D6912" w:rsidR="007809CC" w:rsidRDefault="007809CC" w:rsidP="0068292D"/>
    <w:p w14:paraId="1B04AAA3" w14:textId="1D12F38D" w:rsidR="007809CC" w:rsidRDefault="007809CC" w:rsidP="0068292D"/>
    <w:p w14:paraId="7B1634DF" w14:textId="1DF74840" w:rsidR="007809CC" w:rsidRDefault="007809CC" w:rsidP="0068292D"/>
    <w:p w14:paraId="329B6ED5" w14:textId="0FF7A1F8" w:rsidR="007809CC" w:rsidRDefault="007809CC" w:rsidP="0068292D"/>
    <w:p w14:paraId="2A0D709A" w14:textId="60A57EB0" w:rsidR="007809CC" w:rsidRDefault="007809CC" w:rsidP="0068292D"/>
    <w:p w14:paraId="47FA0F5D" w14:textId="61238AE7" w:rsidR="007809CC" w:rsidRDefault="007809CC" w:rsidP="0068292D"/>
    <w:p w14:paraId="2B94AEF7" w14:textId="0208F48E" w:rsidR="00E77F63" w:rsidRDefault="00E77F63" w:rsidP="0068292D"/>
    <w:p w14:paraId="2C9A8F41" w14:textId="77777777" w:rsidR="00E77F63" w:rsidRDefault="00E77F63" w:rsidP="0068292D"/>
    <w:p w14:paraId="2C041795" w14:textId="57AE7EDC" w:rsidR="0068292D" w:rsidRDefault="0068292D" w:rsidP="007809CC">
      <w:pPr>
        <w:pStyle w:val="Heading1"/>
      </w:pPr>
      <w:bookmarkStart w:id="5" w:name="_Toc124189713"/>
      <w:r>
        <w:lastRenderedPageBreak/>
        <w:t>References</w:t>
      </w:r>
      <w:bookmarkEnd w:id="5"/>
    </w:p>
    <w:p w14:paraId="397D95C3" w14:textId="77777777" w:rsidR="007809CC" w:rsidRDefault="007809CC" w:rsidP="0068292D">
      <w:proofErr w:type="spellStart"/>
      <w:r w:rsidRPr="0068292D">
        <w:t>Aminimehr</w:t>
      </w:r>
      <w:proofErr w:type="spellEnd"/>
      <w:r w:rsidRPr="0068292D">
        <w:t xml:space="preserve">, A., </w:t>
      </w:r>
      <w:proofErr w:type="spellStart"/>
      <w:r w:rsidRPr="0068292D">
        <w:t>Raoofi</w:t>
      </w:r>
      <w:proofErr w:type="spellEnd"/>
      <w:r w:rsidRPr="0068292D">
        <w:t xml:space="preserve">, A., </w:t>
      </w:r>
      <w:proofErr w:type="spellStart"/>
      <w:r w:rsidRPr="0068292D">
        <w:t>Aminimehr</w:t>
      </w:r>
      <w:proofErr w:type="spellEnd"/>
      <w:r w:rsidRPr="0068292D">
        <w:t xml:space="preserve">, A. and </w:t>
      </w:r>
      <w:proofErr w:type="spellStart"/>
      <w:r w:rsidRPr="0068292D">
        <w:t>Aminimehr</w:t>
      </w:r>
      <w:proofErr w:type="spellEnd"/>
      <w:r w:rsidRPr="0068292D">
        <w:t xml:space="preserve">, A. (2022). A Comprehensive Study of Market Prediction from Efficient Market Hypothesis up to Late Intelligent Market Prediction Approaches. </w:t>
      </w:r>
      <w:r w:rsidRPr="007809CC">
        <w:rPr>
          <w:i/>
          <w:iCs/>
        </w:rPr>
        <w:t>Computational Economics</w:t>
      </w:r>
      <w:r w:rsidRPr="0068292D">
        <w:t>, 60(</w:t>
      </w:r>
      <w:r w:rsidRPr="007809CC">
        <w:rPr>
          <w:b/>
          <w:bCs/>
        </w:rPr>
        <w:t>2</w:t>
      </w:r>
      <w:r w:rsidRPr="0068292D">
        <w:t>), pp.781–815. doi:10.1007/s10614-022-10283-1.</w:t>
      </w:r>
    </w:p>
    <w:p w14:paraId="21E71C4E" w14:textId="77777777" w:rsidR="007809CC" w:rsidRDefault="007809CC" w:rsidP="0068292D">
      <w:proofErr w:type="spellStart"/>
      <w:r w:rsidRPr="0068292D">
        <w:t>Aslaksen</w:t>
      </w:r>
      <w:proofErr w:type="spellEnd"/>
      <w:r w:rsidRPr="0068292D">
        <w:t xml:space="preserve">, K. and </w:t>
      </w:r>
      <w:proofErr w:type="spellStart"/>
      <w:r w:rsidRPr="0068292D">
        <w:t>Wiersdalen</w:t>
      </w:r>
      <w:proofErr w:type="spellEnd"/>
      <w:r w:rsidRPr="0068292D">
        <w:t xml:space="preserve">, A.L.B. (2019). </w:t>
      </w:r>
      <w:r w:rsidRPr="007809CC">
        <w:rPr>
          <w:i/>
          <w:iCs/>
        </w:rPr>
        <w:t>Statistical Analysis of the (In)efficiency of Bitcoin: A comparison of the weak form efficient market hypothesis in the US and Venezuela</w:t>
      </w:r>
      <w:r w:rsidRPr="0068292D">
        <w:t xml:space="preserve">. 75 p. [online] Available </w:t>
      </w:r>
      <w:r>
        <w:t>from</w:t>
      </w:r>
      <w:r w:rsidRPr="0068292D">
        <w:t xml:space="preserve">: https://uia.brage.unit.no/uia-xmlui/handle/11250/2624324 [Accessed </w:t>
      </w:r>
      <w:r>
        <w:t>3</w:t>
      </w:r>
      <w:r w:rsidRPr="0068292D">
        <w:t xml:space="preserve"> Jan. 2023].</w:t>
      </w:r>
    </w:p>
    <w:p w14:paraId="3A35943C" w14:textId="77777777" w:rsidR="007809CC" w:rsidRDefault="007809CC" w:rsidP="0068292D">
      <w:proofErr w:type="spellStart"/>
      <w:r w:rsidRPr="0068292D">
        <w:t>Delcey</w:t>
      </w:r>
      <w:proofErr w:type="spellEnd"/>
      <w:r w:rsidRPr="0068292D">
        <w:t xml:space="preserve">, T. and </w:t>
      </w:r>
      <w:proofErr w:type="spellStart"/>
      <w:r w:rsidRPr="0068292D">
        <w:t>Sergi</w:t>
      </w:r>
      <w:proofErr w:type="spellEnd"/>
      <w:r w:rsidRPr="0068292D">
        <w:t xml:space="preserve">, F. (2022). The efficient market hypothesis and rational expectations macroeconomics. How did they meet and live (happily) ever after? </w:t>
      </w:r>
      <w:r w:rsidRPr="007809CC">
        <w:rPr>
          <w:i/>
          <w:iCs/>
        </w:rPr>
        <w:t>The European Journal of the History of Economic Thought</w:t>
      </w:r>
      <w:r w:rsidRPr="0068292D">
        <w:t>, pp.1–31. doi:10.1080/09672567.2022.2108869.</w:t>
      </w:r>
    </w:p>
    <w:p w14:paraId="3484889B" w14:textId="77777777" w:rsidR="007809CC" w:rsidRDefault="007809CC" w:rsidP="0068292D">
      <w:r w:rsidRPr="0068292D">
        <w:t xml:space="preserve">Husain, T., </w:t>
      </w:r>
      <w:proofErr w:type="spellStart"/>
      <w:r w:rsidRPr="0068292D">
        <w:t>Sarwani</w:t>
      </w:r>
      <w:proofErr w:type="spellEnd"/>
      <w:r w:rsidRPr="0068292D">
        <w:t xml:space="preserve">, </w:t>
      </w:r>
      <w:proofErr w:type="spellStart"/>
      <w:r w:rsidRPr="0068292D">
        <w:t>Sunardi</w:t>
      </w:r>
      <w:proofErr w:type="spellEnd"/>
      <w:r w:rsidRPr="0068292D">
        <w:t xml:space="preserve">, N. and </w:t>
      </w:r>
      <w:proofErr w:type="spellStart"/>
      <w:r w:rsidRPr="0068292D">
        <w:t>Lisdawati</w:t>
      </w:r>
      <w:proofErr w:type="spellEnd"/>
      <w:r w:rsidRPr="0068292D">
        <w:t xml:space="preserve"> (2020). Firm’s Value Prediction Based on Profitability Ratios and Dividend Policy. </w:t>
      </w:r>
      <w:r w:rsidRPr="007809CC">
        <w:rPr>
          <w:i/>
          <w:iCs/>
        </w:rPr>
        <w:t>Finance &amp; Economics Review</w:t>
      </w:r>
      <w:r w:rsidRPr="0068292D">
        <w:t>, 2(</w:t>
      </w:r>
      <w:r w:rsidRPr="007809CC">
        <w:rPr>
          <w:b/>
          <w:bCs/>
        </w:rPr>
        <w:t>2</w:t>
      </w:r>
      <w:r w:rsidRPr="0068292D">
        <w:t>), pp.13–26. doi:10.38157/finance-economics-</w:t>
      </w:r>
      <w:proofErr w:type="gramStart"/>
      <w:r w:rsidRPr="0068292D">
        <w:t>review.v</w:t>
      </w:r>
      <w:proofErr w:type="gramEnd"/>
      <w:r w:rsidRPr="0068292D">
        <w:t xml:space="preserve">2i2.102. </w:t>
      </w:r>
    </w:p>
    <w:p w14:paraId="5B796EBC" w14:textId="77777777" w:rsidR="007809CC" w:rsidRDefault="007809CC" w:rsidP="0068292D">
      <w:r w:rsidRPr="007809CC">
        <w:t>Mustafa Al-Sharif, B. (2020). Dividend-</w:t>
      </w:r>
      <w:proofErr w:type="spellStart"/>
      <w:r w:rsidRPr="007809CC">
        <w:t>Payout</w:t>
      </w:r>
      <w:proofErr w:type="spellEnd"/>
      <w:r w:rsidRPr="007809CC">
        <w:t xml:space="preserve"> Policy and Share-Price Volatility in Islamic Banks: Evidence from Jordan. </w:t>
      </w:r>
      <w:r w:rsidRPr="007809CC">
        <w:rPr>
          <w:i/>
          <w:iCs/>
        </w:rPr>
        <w:t>Asian Economic and Financial Review</w:t>
      </w:r>
      <w:r w:rsidRPr="007809CC">
        <w:t>, 10(</w:t>
      </w:r>
      <w:r w:rsidRPr="007809CC">
        <w:rPr>
          <w:b/>
          <w:bCs/>
        </w:rPr>
        <w:t>3</w:t>
      </w:r>
      <w:r w:rsidRPr="007809CC">
        <w:t xml:space="preserve">), pp.266–274. </w:t>
      </w:r>
      <w:proofErr w:type="gramStart"/>
      <w:r w:rsidRPr="007809CC">
        <w:t>doi:10.18488/journal.aefr</w:t>
      </w:r>
      <w:proofErr w:type="gramEnd"/>
      <w:r w:rsidRPr="007809CC">
        <w:t>.2020.103.266.274.</w:t>
      </w:r>
    </w:p>
    <w:p w14:paraId="5C9A06A0" w14:textId="77777777" w:rsidR="007809CC" w:rsidRDefault="007809CC" w:rsidP="0068292D">
      <w:proofErr w:type="spellStart"/>
      <w:r w:rsidRPr="007809CC">
        <w:t>Pattiruhu</w:t>
      </w:r>
      <w:proofErr w:type="spellEnd"/>
      <w:r w:rsidRPr="007809CC">
        <w:t xml:space="preserve">, J.R. and </w:t>
      </w:r>
      <w:proofErr w:type="spellStart"/>
      <w:r w:rsidRPr="007809CC">
        <w:t>Paais</w:t>
      </w:r>
      <w:proofErr w:type="spellEnd"/>
      <w:r w:rsidRPr="007809CC">
        <w:t xml:space="preserve">, M. (2020). Effect of Liquidity, Profitability, Leverage, and Firm Size on Dividend Policy. </w:t>
      </w:r>
      <w:r w:rsidRPr="007809CC">
        <w:rPr>
          <w:i/>
          <w:iCs/>
        </w:rPr>
        <w:t>The Journal of Asian Finance, Economics and Business</w:t>
      </w:r>
      <w:r w:rsidRPr="007809CC">
        <w:t>, [online] 7(</w:t>
      </w:r>
      <w:r w:rsidRPr="007809CC">
        <w:rPr>
          <w:b/>
          <w:bCs/>
        </w:rPr>
        <w:t>10</w:t>
      </w:r>
      <w:r w:rsidRPr="007809CC">
        <w:t xml:space="preserve">), pp.35–42. </w:t>
      </w:r>
      <w:proofErr w:type="gramStart"/>
      <w:r w:rsidRPr="007809CC">
        <w:t>doi:10.13106/jafeb.2020.vol7.no</w:t>
      </w:r>
      <w:proofErr w:type="gramEnd"/>
      <w:r w:rsidRPr="007809CC">
        <w:t>10.035.</w:t>
      </w:r>
    </w:p>
    <w:p w14:paraId="1BFD0A49" w14:textId="77777777" w:rsidR="007809CC" w:rsidRDefault="007809CC" w:rsidP="0068292D">
      <w:proofErr w:type="spellStart"/>
      <w:r w:rsidRPr="007809CC">
        <w:t>Pilbeam</w:t>
      </w:r>
      <w:proofErr w:type="spellEnd"/>
      <w:r w:rsidRPr="007809CC">
        <w:t xml:space="preserve">, K. (2013). </w:t>
      </w:r>
      <w:r w:rsidRPr="007809CC">
        <w:rPr>
          <w:i/>
          <w:iCs/>
        </w:rPr>
        <w:t>International finance</w:t>
      </w:r>
      <w:r w:rsidRPr="007809CC">
        <w:t>. Basingstoke: Palgrave Macmillan.</w:t>
      </w:r>
    </w:p>
    <w:p w14:paraId="5580440C" w14:textId="77777777" w:rsidR="007809CC" w:rsidRDefault="007809CC" w:rsidP="0068292D">
      <w:r w:rsidRPr="007809CC">
        <w:t xml:space="preserve">ULLAH, N. (2021). A Comparative Analysis between Unilever and Johnson &amp; Johnsons. [online] </w:t>
      </w:r>
      <w:r w:rsidRPr="007809CC">
        <w:rPr>
          <w:i/>
          <w:iCs/>
        </w:rPr>
        <w:t>mpra.ub.uni-muenchen.de</w:t>
      </w:r>
      <w:r w:rsidRPr="007809CC">
        <w:t xml:space="preserve">. Available </w:t>
      </w:r>
      <w:r>
        <w:t>from</w:t>
      </w:r>
      <w:r w:rsidRPr="007809CC">
        <w:t xml:space="preserve">: </w:t>
      </w:r>
      <w:hyperlink r:id="rId7" w:history="1">
        <w:r w:rsidRPr="006C2EFB">
          <w:rPr>
            <w:rStyle w:val="Hyperlink"/>
          </w:rPr>
          <w:t>https://mpra.ub.uni-muenchen.de/108582/</w:t>
        </w:r>
      </w:hyperlink>
      <w:r w:rsidRPr="007809CC">
        <w:t>.</w:t>
      </w:r>
      <w:r>
        <w:t xml:space="preserve"> [Accessed 3 Jan. 2023].</w:t>
      </w:r>
    </w:p>
    <w:p w14:paraId="5C4593F0" w14:textId="7763A5BF" w:rsidR="0068292D" w:rsidRDefault="0068292D" w:rsidP="0068292D"/>
    <w:sectPr w:rsidR="0068292D" w:rsidSect="007809CC">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BD0BC" w14:textId="77777777" w:rsidR="009C25DC" w:rsidRDefault="009C25DC" w:rsidP="0068292D">
      <w:pPr>
        <w:spacing w:after="0" w:line="240" w:lineRule="auto"/>
      </w:pPr>
      <w:r>
        <w:separator/>
      </w:r>
    </w:p>
  </w:endnote>
  <w:endnote w:type="continuationSeparator" w:id="0">
    <w:p w14:paraId="59181D8F" w14:textId="77777777" w:rsidR="009C25DC" w:rsidRDefault="009C25DC" w:rsidP="00682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7885916"/>
      <w:docPartObj>
        <w:docPartGallery w:val="Page Numbers (Bottom of Page)"/>
        <w:docPartUnique/>
      </w:docPartObj>
    </w:sdtPr>
    <w:sdtEndPr>
      <w:rPr>
        <w:rStyle w:val="PageNumber"/>
      </w:rPr>
    </w:sdtEndPr>
    <w:sdtContent>
      <w:p w14:paraId="07EB10FF" w14:textId="3FB6E4AC" w:rsidR="0068292D" w:rsidRDefault="0068292D" w:rsidP="006C2E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11620A" w14:textId="77777777" w:rsidR="0068292D" w:rsidRDefault="0068292D" w:rsidP="006829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5748058"/>
      <w:docPartObj>
        <w:docPartGallery w:val="Page Numbers (Bottom of Page)"/>
        <w:docPartUnique/>
      </w:docPartObj>
    </w:sdtPr>
    <w:sdtEndPr>
      <w:rPr>
        <w:rStyle w:val="PageNumber"/>
      </w:rPr>
    </w:sdtEndPr>
    <w:sdtContent>
      <w:p w14:paraId="200D6131" w14:textId="40AEEB18" w:rsidR="0068292D" w:rsidRDefault="0068292D" w:rsidP="006C2E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CA1ED2" w14:textId="77777777" w:rsidR="0068292D" w:rsidRDefault="0068292D" w:rsidP="006829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9FC2C" w14:textId="77777777" w:rsidR="009C25DC" w:rsidRDefault="009C25DC" w:rsidP="0068292D">
      <w:pPr>
        <w:spacing w:after="0" w:line="240" w:lineRule="auto"/>
      </w:pPr>
      <w:r>
        <w:separator/>
      </w:r>
    </w:p>
  </w:footnote>
  <w:footnote w:type="continuationSeparator" w:id="0">
    <w:p w14:paraId="60B8E73C" w14:textId="77777777" w:rsidR="009C25DC" w:rsidRDefault="009C25DC" w:rsidP="006829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92D"/>
    <w:rsid w:val="00155ACF"/>
    <w:rsid w:val="004F22B5"/>
    <w:rsid w:val="005433BA"/>
    <w:rsid w:val="0068292D"/>
    <w:rsid w:val="007809CC"/>
    <w:rsid w:val="007A3D60"/>
    <w:rsid w:val="007D1BD6"/>
    <w:rsid w:val="009C25DC"/>
    <w:rsid w:val="00E77F63"/>
    <w:rsid w:val="00EB0A82"/>
    <w:rsid w:val="00ED2B2D"/>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A8D06"/>
  <w15:chartTrackingRefBased/>
  <w15:docId w15:val="{71B46D25-2148-B54C-AE38-C315526AE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80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82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92D"/>
    <w:rPr>
      <w:rFonts w:ascii="Arial" w:hAnsi="Arial"/>
      <w:szCs w:val="22"/>
    </w:rPr>
  </w:style>
  <w:style w:type="character" w:styleId="PageNumber">
    <w:name w:val="page number"/>
    <w:basedOn w:val="DefaultParagraphFont"/>
    <w:uiPriority w:val="99"/>
    <w:semiHidden/>
    <w:unhideWhenUsed/>
    <w:rsid w:val="0068292D"/>
  </w:style>
  <w:style w:type="paragraph" w:styleId="Header">
    <w:name w:val="header"/>
    <w:basedOn w:val="Normal"/>
    <w:link w:val="HeaderChar"/>
    <w:uiPriority w:val="99"/>
    <w:unhideWhenUsed/>
    <w:rsid w:val="00682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92D"/>
    <w:rPr>
      <w:rFonts w:ascii="Arial" w:hAnsi="Arial"/>
      <w:szCs w:val="22"/>
    </w:rPr>
  </w:style>
  <w:style w:type="character" w:styleId="Hyperlink">
    <w:name w:val="Hyperlink"/>
    <w:basedOn w:val="DefaultParagraphFont"/>
    <w:uiPriority w:val="99"/>
    <w:unhideWhenUsed/>
    <w:rsid w:val="007809CC"/>
    <w:rPr>
      <w:color w:val="0563C1" w:themeColor="hyperlink"/>
      <w:u w:val="single"/>
    </w:rPr>
  </w:style>
  <w:style w:type="character" w:styleId="UnresolvedMention">
    <w:name w:val="Unresolved Mention"/>
    <w:basedOn w:val="DefaultParagraphFont"/>
    <w:uiPriority w:val="99"/>
    <w:semiHidden/>
    <w:unhideWhenUsed/>
    <w:rsid w:val="007809CC"/>
    <w:rPr>
      <w:color w:val="605E5C"/>
      <w:shd w:val="clear" w:color="auto" w:fill="E1DFDD"/>
    </w:rPr>
  </w:style>
  <w:style w:type="character" w:customStyle="1" w:styleId="Heading1Char">
    <w:name w:val="Heading 1 Char"/>
    <w:basedOn w:val="DefaultParagraphFont"/>
    <w:link w:val="Heading1"/>
    <w:uiPriority w:val="9"/>
    <w:rsid w:val="007809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09CC"/>
    <w:pPr>
      <w:spacing w:before="480"/>
      <w:outlineLvl w:val="9"/>
    </w:pPr>
    <w:rPr>
      <w:b/>
      <w:bCs/>
      <w:sz w:val="28"/>
      <w:szCs w:val="28"/>
      <w:lang w:val="en-US"/>
    </w:rPr>
  </w:style>
  <w:style w:type="paragraph" w:styleId="TOC1">
    <w:name w:val="toc 1"/>
    <w:basedOn w:val="Normal"/>
    <w:next w:val="Normal"/>
    <w:autoRedefine/>
    <w:uiPriority w:val="39"/>
    <w:unhideWhenUsed/>
    <w:rsid w:val="007809CC"/>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7809C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809C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809C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809C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809C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809C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809C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809CC"/>
    <w:pPr>
      <w:spacing w:after="0"/>
      <w:ind w:left="1920"/>
    </w:pPr>
    <w:rPr>
      <w:rFonts w:asciiTheme="minorHAnsi" w:hAnsiTheme="minorHAnsi" w:cstheme="minorHAnsi"/>
      <w:sz w:val="20"/>
      <w:szCs w:val="20"/>
    </w:rPr>
  </w:style>
  <w:style w:type="paragraph" w:styleId="NoSpacing">
    <w:name w:val="No Spacing"/>
    <w:link w:val="NoSpacingChar"/>
    <w:uiPriority w:val="1"/>
    <w:qFormat/>
    <w:rsid w:val="007809CC"/>
    <w:rPr>
      <w:rFonts w:eastAsiaTheme="minorEastAsia"/>
      <w:sz w:val="22"/>
      <w:szCs w:val="22"/>
      <w:lang w:val="en-US" w:eastAsia="zh-CN"/>
    </w:rPr>
  </w:style>
  <w:style w:type="character" w:customStyle="1" w:styleId="NoSpacingChar">
    <w:name w:val="No Spacing Char"/>
    <w:basedOn w:val="DefaultParagraphFont"/>
    <w:link w:val="NoSpacing"/>
    <w:uiPriority w:val="1"/>
    <w:rsid w:val="007809C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79271">
      <w:bodyDiv w:val="1"/>
      <w:marLeft w:val="0"/>
      <w:marRight w:val="0"/>
      <w:marTop w:val="0"/>
      <w:marBottom w:val="0"/>
      <w:divBdr>
        <w:top w:val="none" w:sz="0" w:space="0" w:color="auto"/>
        <w:left w:val="none" w:sz="0" w:space="0" w:color="auto"/>
        <w:bottom w:val="none" w:sz="0" w:space="0" w:color="auto"/>
        <w:right w:val="none" w:sz="0" w:space="0" w:color="auto"/>
      </w:divBdr>
      <w:divsChild>
        <w:div w:id="1613442560">
          <w:marLeft w:val="0"/>
          <w:marRight w:val="0"/>
          <w:marTop w:val="0"/>
          <w:marBottom w:val="150"/>
          <w:divBdr>
            <w:top w:val="none" w:sz="0" w:space="0" w:color="auto"/>
            <w:left w:val="none" w:sz="0" w:space="0" w:color="auto"/>
            <w:bottom w:val="none" w:sz="0" w:space="0" w:color="auto"/>
            <w:right w:val="none" w:sz="0" w:space="0" w:color="auto"/>
          </w:divBdr>
        </w:div>
      </w:divsChild>
    </w:div>
    <w:div w:id="1971741998">
      <w:bodyDiv w:val="1"/>
      <w:marLeft w:val="0"/>
      <w:marRight w:val="0"/>
      <w:marTop w:val="0"/>
      <w:marBottom w:val="0"/>
      <w:divBdr>
        <w:top w:val="none" w:sz="0" w:space="0" w:color="auto"/>
        <w:left w:val="none" w:sz="0" w:space="0" w:color="auto"/>
        <w:bottom w:val="none" w:sz="0" w:space="0" w:color="auto"/>
        <w:right w:val="none" w:sz="0" w:space="0" w:color="auto"/>
      </w:divBdr>
      <w:divsChild>
        <w:div w:id="66362755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ABC75-8DD8-824E-A86C-D23B70A84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1792</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LCBB6002 INTERNATIONAL FINANCIAL MANAGEMENT</vt:lpstr>
    </vt:vector>
  </TitlesOfParts>
  <Manager/>
  <Company/>
  <LinksUpToDate>false</LinksUpToDate>
  <CharactersWithSpaces>11988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LCBB6002 INTERNATIONAL FINANCIAL MANAGEMENT</dc:title>
  <dc:subject/>
  <dc:creator>STUDENT NAME: TATYANA NIKOLOVA</dc:creator>
  <cp:keywords/>
  <dc:description/>
  <cp:lastModifiedBy>PA of Mr. Kakalov</cp:lastModifiedBy>
  <cp:revision>2</cp:revision>
  <dcterms:created xsi:type="dcterms:W3CDTF">2023-01-09T21:25:00Z</dcterms:created>
  <dcterms:modified xsi:type="dcterms:W3CDTF">2023-01-09T21:25:00Z</dcterms:modified>
  <cp:category/>
</cp:coreProperties>
</file>