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F9B65" w14:textId="7A5BBCE7" w:rsidR="00AD21DE" w:rsidRDefault="00AD21DE" w:rsidP="00FD75D2">
      <w:pPr>
        <w:spacing w:line="360" w:lineRule="auto"/>
        <w:rPr>
          <w:rFonts w:cs="Arial"/>
        </w:rPr>
      </w:pPr>
      <w:r w:rsidRPr="00FD75D2">
        <w:t xml:space="preserve">The Solicitors Regulation Authority (SRA) set fundamental principles which solicitors </w:t>
      </w:r>
      <w:r w:rsidR="00626817">
        <w:t xml:space="preserve">and firms </w:t>
      </w:r>
      <w:r w:rsidRPr="00FD75D2">
        <w:t>must maintain. Principle 4 stipulates that solicitors must act with honesty (Solicitors Regulation Authority, 2018). The statement that ‘</w:t>
      </w:r>
      <w:r w:rsidRPr="00FD75D2">
        <w:rPr>
          <w:rFonts w:cs="Arial"/>
        </w:rPr>
        <w:t xml:space="preserve">It is essential that solicitors can be trusted to the ends of the earth’ is coined in Bolton V </w:t>
      </w:r>
      <w:r w:rsidR="00FD75D2" w:rsidRPr="00FD75D2">
        <w:rPr>
          <w:rFonts w:cs="Arial"/>
        </w:rPr>
        <w:t>the</w:t>
      </w:r>
      <w:r w:rsidRPr="00FD75D2">
        <w:rPr>
          <w:rFonts w:cs="Arial"/>
        </w:rPr>
        <w:t xml:space="preserve"> Law Society (1993) by Lord Bingham. Lord Bingham states in this case that it is essential for solicitors to be held to this high standard of honesty to maintain the reputation of the </w:t>
      </w:r>
      <w:r w:rsidR="00FD75D2">
        <w:rPr>
          <w:rFonts w:cs="Arial"/>
        </w:rPr>
        <w:t xml:space="preserve">legal </w:t>
      </w:r>
      <w:r w:rsidRPr="00FD75D2">
        <w:rPr>
          <w:rFonts w:cs="Arial"/>
        </w:rPr>
        <w:t>profession to the public.</w:t>
      </w:r>
    </w:p>
    <w:p w14:paraId="0E5B9205" w14:textId="69FD79FE" w:rsidR="00FD75D2" w:rsidRDefault="00FD75D2" w:rsidP="00FD75D2">
      <w:pPr>
        <w:spacing w:line="360" w:lineRule="auto"/>
        <w:rPr>
          <w:rFonts w:cs="Arial"/>
        </w:rPr>
      </w:pPr>
    </w:p>
    <w:p w14:paraId="3C3DFD9C" w14:textId="29B67D25" w:rsidR="00FD75D2" w:rsidRPr="00FD75D2" w:rsidRDefault="00FD75D2" w:rsidP="00FD75D2">
      <w:pPr>
        <w:spacing w:line="360" w:lineRule="auto"/>
        <w:rPr>
          <w:rFonts w:cs="Arial"/>
        </w:rPr>
      </w:pPr>
      <w:r w:rsidRPr="00FD75D2">
        <w:rPr>
          <w:rFonts w:cs="Arial"/>
        </w:rPr>
        <w:t xml:space="preserve">The key principles set by the Solicitors Regulation Authority code of conduct illustrate those working in the legal profession should work in a way to uphold the rule of law. The principles set by the solicitor’s regulation authority list that legal professionals should work in a way to independently uphold the public’s trust with honesty and integrity to include all groups in society for the best interest of each client (Solicitors Regulation Authority, 2018). These core ethics that guide the legal profession according to the code of conduct principles are underpinned by the importance of the value of trust. The fact that it’s evident these principles are underpinned by trust shows support for the comments made my Lord Bingham in Bolton v The Law Society (1993).  </w:t>
      </w:r>
    </w:p>
    <w:p w14:paraId="3D1D1EB2" w14:textId="77777777" w:rsidR="00FD75D2" w:rsidRPr="00FD75D2" w:rsidRDefault="00FD75D2" w:rsidP="00FD75D2">
      <w:pPr>
        <w:spacing w:line="360" w:lineRule="auto"/>
        <w:rPr>
          <w:rFonts w:cs="Arial"/>
        </w:rPr>
      </w:pPr>
    </w:p>
    <w:p w14:paraId="14F945FD" w14:textId="7478C31E" w:rsidR="00AD21DE" w:rsidRPr="00FD75D2" w:rsidRDefault="00AD21DE" w:rsidP="00FD75D2">
      <w:pPr>
        <w:spacing w:line="360" w:lineRule="auto"/>
      </w:pPr>
      <w:r w:rsidRPr="00FD75D2">
        <w:rPr>
          <w:rFonts w:cs="Arial"/>
        </w:rPr>
        <w:t>The S</w:t>
      </w:r>
      <w:r w:rsidR="00FD75D2">
        <w:rPr>
          <w:rFonts w:cs="Arial"/>
        </w:rPr>
        <w:t>olicitors regulation authority</w:t>
      </w:r>
      <w:r w:rsidRPr="00FD75D2">
        <w:rPr>
          <w:rFonts w:cs="Arial"/>
        </w:rPr>
        <w:t xml:space="preserve"> implement a code of conduct that covers the professional conduct expected of </w:t>
      </w:r>
      <w:r w:rsidR="00FD75D2">
        <w:rPr>
          <w:rFonts w:cs="Arial"/>
        </w:rPr>
        <w:t xml:space="preserve">all </w:t>
      </w:r>
      <w:r w:rsidRPr="00FD75D2">
        <w:rPr>
          <w:rFonts w:cs="Arial"/>
        </w:rPr>
        <w:t xml:space="preserve">legal professionals. The code is based on the core ethics expected of those working in the legal profession (Solicitors Regulation Authority, 2018). </w:t>
      </w:r>
      <w:r w:rsidRPr="00FD75D2">
        <w:rPr>
          <w:lang w:val="en-US"/>
        </w:rPr>
        <w:t xml:space="preserve">Elliston (1985) states that having good ethics are vital if you wish to be a good solicitor. Being honest underpins </w:t>
      </w:r>
      <w:r w:rsidR="00FD75D2">
        <w:rPr>
          <w:lang w:val="en-US"/>
        </w:rPr>
        <w:t>almost all</w:t>
      </w:r>
      <w:r w:rsidRPr="00FD75D2">
        <w:rPr>
          <w:lang w:val="en-US"/>
        </w:rPr>
        <w:t xml:space="preserve"> of the behaviors outlined in the code of conduct which this essay will discuss. Solicitors have a number of client care responsibilities that being honest and trustworthy are integral for. </w:t>
      </w:r>
      <w:r w:rsidR="00626817">
        <w:rPr>
          <w:lang w:val="en-US"/>
        </w:rPr>
        <w:t xml:space="preserve">If the principles in the code come into conflict with each other a legal </w:t>
      </w:r>
      <w:proofErr w:type="gramStart"/>
      <w:r w:rsidR="00626817">
        <w:rPr>
          <w:lang w:val="en-US"/>
        </w:rPr>
        <w:t>professionals</w:t>
      </w:r>
      <w:proofErr w:type="gramEnd"/>
      <w:r w:rsidR="00626817">
        <w:rPr>
          <w:lang w:val="en-US"/>
        </w:rPr>
        <w:t xml:space="preserve"> duty to the courts and public supersede the others and a legal professional must excuse themselves from the case.</w:t>
      </w:r>
    </w:p>
    <w:p w14:paraId="62221BA1" w14:textId="2B8F9679" w:rsidR="00AD21DE" w:rsidRPr="00FD75D2" w:rsidRDefault="00AD21DE" w:rsidP="00FD75D2">
      <w:pPr>
        <w:spacing w:line="360" w:lineRule="auto"/>
        <w:rPr>
          <w:rFonts w:cs="Arial"/>
        </w:rPr>
      </w:pPr>
    </w:p>
    <w:p w14:paraId="3E8C6916" w14:textId="4978952E" w:rsidR="00FD75D2" w:rsidRPr="00FD75D2" w:rsidRDefault="00FD75D2" w:rsidP="00FD75D2">
      <w:pPr>
        <w:spacing w:line="360" w:lineRule="auto"/>
        <w:rPr>
          <w:rFonts w:cs="Arial"/>
        </w:rPr>
      </w:pPr>
      <w:r w:rsidRPr="00FD75D2">
        <w:rPr>
          <w:rFonts w:cs="Arial"/>
        </w:rPr>
        <w:t xml:space="preserve">Solicitors’ </w:t>
      </w:r>
      <w:r>
        <w:rPr>
          <w:rFonts w:cs="Arial"/>
        </w:rPr>
        <w:t xml:space="preserve">responsibilities to their client cover many aspects. It is seen as a </w:t>
      </w:r>
      <w:proofErr w:type="gramStart"/>
      <w:r>
        <w:rPr>
          <w:rFonts w:cs="Arial"/>
        </w:rPr>
        <w:t>solicitors</w:t>
      </w:r>
      <w:proofErr w:type="gramEnd"/>
      <w:r>
        <w:rPr>
          <w:rFonts w:cs="Arial"/>
        </w:rPr>
        <w:t xml:space="preserve"> </w:t>
      </w:r>
      <w:r w:rsidRPr="00FD75D2">
        <w:rPr>
          <w:rFonts w:cs="Arial"/>
        </w:rPr>
        <w:t>duty to ensure their clients are well informed</w:t>
      </w:r>
      <w:r>
        <w:rPr>
          <w:rFonts w:cs="Arial"/>
        </w:rPr>
        <w:t xml:space="preserve"> and can understand the specifics of what is happening in their case</w:t>
      </w:r>
      <w:r w:rsidRPr="00FD75D2">
        <w:rPr>
          <w:rFonts w:cs="Arial"/>
        </w:rPr>
        <w:t xml:space="preserve">. </w:t>
      </w:r>
      <w:r>
        <w:rPr>
          <w:rFonts w:cs="Arial"/>
        </w:rPr>
        <w:t>The</w:t>
      </w:r>
      <w:r w:rsidRPr="00FD75D2">
        <w:rPr>
          <w:rFonts w:cs="Arial"/>
        </w:rPr>
        <w:t xml:space="preserve"> passing of information needed is usually done in the form of a client care letter. </w:t>
      </w:r>
      <w:r>
        <w:rPr>
          <w:rFonts w:cs="Arial"/>
        </w:rPr>
        <w:t>This is sent at the beginning of the partnership and will usually</w:t>
      </w:r>
      <w:r w:rsidRPr="00FD75D2">
        <w:rPr>
          <w:rFonts w:cs="Arial"/>
        </w:rPr>
        <w:t xml:space="preserve">, on a basic level, tell a client the expected cost of their services and how to complain if they are unhappy with </w:t>
      </w:r>
      <w:r w:rsidRPr="00FD75D2">
        <w:rPr>
          <w:rFonts w:cs="Arial"/>
        </w:rPr>
        <w:lastRenderedPageBreak/>
        <w:t>something</w:t>
      </w:r>
      <w:r>
        <w:rPr>
          <w:rFonts w:cs="Arial"/>
        </w:rPr>
        <w:t xml:space="preserve">. </w:t>
      </w:r>
      <w:r w:rsidRPr="00FD75D2">
        <w:rPr>
          <w:rFonts w:cs="Arial"/>
        </w:rPr>
        <w:t xml:space="preserve"> The solicitor’s regulation authority sets advice on what to include and how to present information in a client care letter to ensure there is a good understanding of costs and the terminology used</w:t>
      </w:r>
      <w:r>
        <w:rPr>
          <w:rFonts w:cs="Arial"/>
        </w:rPr>
        <w:t xml:space="preserve"> (Solicitors Regulation Authority 2019)</w:t>
      </w:r>
      <w:r w:rsidRPr="00FD75D2">
        <w:rPr>
          <w:rFonts w:cs="Arial"/>
        </w:rPr>
        <w:t>. This is important to allow the client to see the solicitor’s firms as transparent in their costing structure</w:t>
      </w:r>
      <w:r>
        <w:rPr>
          <w:rFonts w:cs="Arial"/>
        </w:rPr>
        <w:t xml:space="preserve">. It is also important as it allows the client to understand the information being presented to them, if a client doesn’t understand the information due to complex legal </w:t>
      </w:r>
      <w:proofErr w:type="gramStart"/>
      <w:r>
        <w:rPr>
          <w:rFonts w:cs="Arial"/>
        </w:rPr>
        <w:t>jargon</w:t>
      </w:r>
      <w:proofErr w:type="gramEnd"/>
      <w:r>
        <w:rPr>
          <w:rFonts w:cs="Arial"/>
        </w:rPr>
        <w:t xml:space="preserve"> they may feel they are trying to be misled which will result in a lack of a report and trust. The fact that client care letters are mandatory and that they are advised to be presented in a user friendly and informative way allows</w:t>
      </w:r>
      <w:r w:rsidRPr="00FD75D2">
        <w:rPr>
          <w:rFonts w:cs="Arial"/>
        </w:rPr>
        <w:t xml:space="preserve"> the client to trust the firm as they are being open and presenting the information in a voluntary manner</w:t>
      </w:r>
      <w:r>
        <w:rPr>
          <w:rFonts w:cs="Arial"/>
        </w:rPr>
        <w:t xml:space="preserve"> that can be understood due to the use of laymen’s terminology</w:t>
      </w:r>
      <w:r w:rsidRPr="00FD75D2">
        <w:rPr>
          <w:rFonts w:cs="Arial"/>
        </w:rPr>
        <w:t xml:space="preserve">. </w:t>
      </w:r>
    </w:p>
    <w:p w14:paraId="202F3132" w14:textId="31FFD091" w:rsidR="00AD21DE" w:rsidRDefault="00AD21DE" w:rsidP="00FD75D2">
      <w:pPr>
        <w:spacing w:line="360" w:lineRule="auto"/>
        <w:rPr>
          <w:rFonts w:cs="Arial"/>
        </w:rPr>
      </w:pPr>
    </w:p>
    <w:p w14:paraId="1F0B5798" w14:textId="39480693" w:rsidR="00AD21DE" w:rsidRPr="00FD75D2" w:rsidRDefault="00FD75D2" w:rsidP="00FD75D2">
      <w:pPr>
        <w:spacing w:line="360" w:lineRule="auto"/>
        <w:rPr>
          <w:rFonts w:cs="Arial"/>
        </w:rPr>
      </w:pPr>
      <w:r>
        <w:rPr>
          <w:rFonts w:cs="Arial"/>
        </w:rPr>
        <w:t xml:space="preserve">An individual’s ability to a private life is something held in high respects among the public. The importance of a private life in evident in the fact it is codified in </w:t>
      </w:r>
      <w:r w:rsidR="00AD21DE" w:rsidRPr="00FD75D2">
        <w:rPr>
          <w:rFonts w:cs="Arial"/>
        </w:rPr>
        <w:t xml:space="preserve">The Human Rights Act (1998) which sets </w:t>
      </w:r>
      <w:r>
        <w:rPr>
          <w:rFonts w:cs="Arial"/>
        </w:rPr>
        <w:t>criteria on the rights of an individual to have a private family life. There are strict rules governing the importance of confidentiality which can be come from</w:t>
      </w:r>
      <w:r w:rsidR="00AD21DE" w:rsidRPr="00FD75D2">
        <w:rPr>
          <w:rFonts w:cs="Arial"/>
        </w:rPr>
        <w:t xml:space="preserve"> Common law, The Legal Services Act (2007) and the Data protection Act (2018). </w:t>
      </w:r>
      <w:r>
        <w:rPr>
          <w:rFonts w:cs="Arial"/>
        </w:rPr>
        <w:t>In legal practoce</w:t>
      </w:r>
      <w:r w:rsidR="00AD21DE" w:rsidRPr="00FD75D2">
        <w:rPr>
          <w:rFonts w:cs="Arial"/>
        </w:rPr>
        <w:t xml:space="preserve"> confidentiality extends from current clients</w:t>
      </w:r>
      <w:r>
        <w:rPr>
          <w:rFonts w:cs="Arial"/>
        </w:rPr>
        <w:t xml:space="preserve">, </w:t>
      </w:r>
      <w:r w:rsidR="00AD21DE" w:rsidRPr="00FD75D2">
        <w:rPr>
          <w:rFonts w:cs="Arial"/>
        </w:rPr>
        <w:t>past clients</w:t>
      </w:r>
      <w:r>
        <w:rPr>
          <w:rFonts w:cs="Arial"/>
        </w:rPr>
        <w:t xml:space="preserve"> and even to deceased clients</w:t>
      </w:r>
      <w:r w:rsidR="00AD21DE" w:rsidRPr="00FD75D2">
        <w:rPr>
          <w:rFonts w:cs="Arial"/>
        </w:rPr>
        <w:t>. A solicitor has ‘an absolute duty to protect clients’, past and presen</w:t>
      </w:r>
      <w:r>
        <w:rPr>
          <w:rFonts w:cs="Arial"/>
        </w:rPr>
        <w:t>t</w:t>
      </w:r>
      <w:r w:rsidR="00AD21DE" w:rsidRPr="00FD75D2">
        <w:rPr>
          <w:rFonts w:cs="Arial"/>
        </w:rPr>
        <w:t xml:space="preserve">, ‘confidence’ (Bolkiah v KPMG 1998). The principle of confidentiality allows a client to speak honestly without fear of stigma from the public or without fear of competition from the solicitor. </w:t>
      </w:r>
      <w:r w:rsidRPr="00FD75D2">
        <w:rPr>
          <w:rFonts w:cs="Arial"/>
        </w:rPr>
        <w:t xml:space="preserve">A solicitor’s commitment to confidentiality has to at the forefront of their practice. </w:t>
      </w:r>
      <w:r>
        <w:rPr>
          <w:rFonts w:cs="Arial"/>
        </w:rPr>
        <w:t xml:space="preserve">The presence of these strict rules and regulations surrounding confidentiality and a client’s ability to entrust information to a legal profession is evidence of the need for solicitors to be trusted to the ends of the earth. </w:t>
      </w:r>
    </w:p>
    <w:p w14:paraId="3DE046AB" w14:textId="77777777" w:rsidR="00FD75D2" w:rsidRPr="00FD75D2" w:rsidRDefault="00FD75D2" w:rsidP="00FD75D2">
      <w:pPr>
        <w:spacing w:line="360" w:lineRule="auto"/>
        <w:rPr>
          <w:rFonts w:eastAsia="Times New Roman" w:cs="Arial"/>
          <w:lang w:eastAsia="en-GB"/>
        </w:rPr>
      </w:pPr>
    </w:p>
    <w:p w14:paraId="5426AF84" w14:textId="3B8FB6AA" w:rsidR="00AD21DE" w:rsidRPr="00FD75D2" w:rsidRDefault="00FD75D2" w:rsidP="00FD75D2">
      <w:pPr>
        <w:spacing w:line="360" w:lineRule="auto"/>
        <w:rPr>
          <w:rFonts w:cs="Arial"/>
        </w:rPr>
      </w:pPr>
      <w:r>
        <w:rPr>
          <w:rFonts w:cs="Arial"/>
        </w:rPr>
        <w:t xml:space="preserve">A solicitor responsibility to a client of confidentiality can only be breached </w:t>
      </w:r>
      <w:r w:rsidR="00AD21DE" w:rsidRPr="00FD75D2">
        <w:rPr>
          <w:rFonts w:cs="Arial"/>
        </w:rPr>
        <w:t xml:space="preserve">if a client is trying to commit a crime using a legal professional as an aid or is planning to cause harm to themselves or a third party (Gartside v Outram 1856). </w:t>
      </w:r>
      <w:r>
        <w:rPr>
          <w:rFonts w:cs="Arial"/>
        </w:rPr>
        <w:t xml:space="preserve">The breach of confidentiality for the client intending to hurt themselves or a third party can only be done before the act and not after so a solicitor must act swiftly in that manner. </w:t>
      </w:r>
      <w:r w:rsidR="00AD21DE" w:rsidRPr="00FD75D2">
        <w:rPr>
          <w:rFonts w:cs="Arial"/>
        </w:rPr>
        <w:t xml:space="preserve">The confidentiality breach would open </w:t>
      </w:r>
      <w:r>
        <w:rPr>
          <w:rFonts w:cs="Arial"/>
        </w:rPr>
        <w:t>a solicitor</w:t>
      </w:r>
      <w:r w:rsidR="00AD21DE" w:rsidRPr="00FD75D2">
        <w:rPr>
          <w:rFonts w:cs="Arial"/>
        </w:rPr>
        <w:t xml:space="preserve"> up to disciplinary action by the regulatory body of the solicitor’s regulation </w:t>
      </w:r>
      <w:r w:rsidR="00AD21DE" w:rsidRPr="00FD75D2">
        <w:rPr>
          <w:rFonts w:cs="Arial"/>
        </w:rPr>
        <w:lastRenderedPageBreak/>
        <w:t xml:space="preserve">authority however the justifications behind it would likely be seen as a mitigating factor </w:t>
      </w:r>
      <w:r>
        <w:rPr>
          <w:rFonts w:cs="Arial"/>
        </w:rPr>
        <w:t xml:space="preserve">to result in no sanctions being given </w:t>
      </w:r>
      <w:r w:rsidR="00AD21DE" w:rsidRPr="00FD75D2">
        <w:rPr>
          <w:rFonts w:cs="Arial"/>
        </w:rPr>
        <w:t>(Solicitors Regulation Authority, 2019). Legal professionals are bound with a duty to the court and the public and must act with integrity. According to the Solicitors Regulation authorities’ principles they must work in an honest way, they have a duty to ensure that no illegal acts are occurring in the cases they are handling. This supports that the need for solicitors to be trusted is as of the importance stated as the duty is entrusted in them to prevent crimes which could crumble the economic system for example money laundering. Money laundering is something</w:t>
      </w:r>
      <w:r>
        <w:rPr>
          <w:rFonts w:cs="Arial"/>
        </w:rPr>
        <w:t xml:space="preserve"> that</w:t>
      </w:r>
      <w:r w:rsidR="00AD21DE" w:rsidRPr="00FD75D2">
        <w:rPr>
          <w:rFonts w:cs="Arial"/>
        </w:rPr>
        <w:t xml:space="preserve"> calls for continuous vigilance in the legal profession. Each firm must have a designated policy and person to report the suspected money laundering to be investigated. </w:t>
      </w:r>
    </w:p>
    <w:p w14:paraId="2E620A46" w14:textId="0230FBBF" w:rsidR="00AD21DE" w:rsidRPr="00FD75D2" w:rsidRDefault="00AD21DE" w:rsidP="00FD75D2">
      <w:pPr>
        <w:spacing w:line="360" w:lineRule="auto"/>
        <w:rPr>
          <w:rFonts w:cs="Arial"/>
        </w:rPr>
      </w:pPr>
    </w:p>
    <w:p w14:paraId="7F87A079" w14:textId="5050C3CE" w:rsidR="00AD21DE" w:rsidRPr="00FD75D2" w:rsidRDefault="00AD21DE" w:rsidP="00FD75D2">
      <w:pPr>
        <w:spacing w:line="360" w:lineRule="auto"/>
        <w:rPr>
          <w:rFonts w:cs="Arial"/>
        </w:rPr>
      </w:pPr>
      <w:r w:rsidRPr="00FD75D2">
        <w:rPr>
          <w:rFonts w:cs="Arial"/>
        </w:rPr>
        <w:t>There are clear and set rules which solicitors must abide by to ensure they always have the client’s best interest in mind. This is outlined in the S</w:t>
      </w:r>
      <w:r w:rsidR="00FD75D2">
        <w:rPr>
          <w:rFonts w:cs="Arial"/>
        </w:rPr>
        <w:t xml:space="preserve">olicitors </w:t>
      </w:r>
      <w:r w:rsidRPr="00FD75D2">
        <w:rPr>
          <w:rFonts w:cs="Arial"/>
        </w:rPr>
        <w:t>R</w:t>
      </w:r>
      <w:r w:rsidR="00FD75D2">
        <w:rPr>
          <w:rFonts w:cs="Arial"/>
        </w:rPr>
        <w:t xml:space="preserve">egulation </w:t>
      </w:r>
      <w:r w:rsidRPr="00FD75D2">
        <w:rPr>
          <w:rFonts w:cs="Arial"/>
        </w:rPr>
        <w:t>A</w:t>
      </w:r>
      <w:r w:rsidR="00FD75D2">
        <w:rPr>
          <w:rFonts w:cs="Arial"/>
        </w:rPr>
        <w:t>uthorities</w:t>
      </w:r>
      <w:r w:rsidRPr="00FD75D2">
        <w:rPr>
          <w:rFonts w:cs="Arial"/>
        </w:rPr>
        <w:t xml:space="preserve"> code </w:t>
      </w:r>
      <w:r w:rsidR="00FD75D2">
        <w:rPr>
          <w:rFonts w:cs="Arial"/>
        </w:rPr>
        <w:t xml:space="preserve">of conduct </w:t>
      </w:r>
      <w:r w:rsidRPr="00FD75D2">
        <w:rPr>
          <w:rFonts w:cs="Arial"/>
        </w:rPr>
        <w:t xml:space="preserve">relating to conflicts of interest between a solicitor and a client. </w:t>
      </w:r>
      <w:r w:rsidR="00FD75D2">
        <w:rPr>
          <w:rFonts w:cs="Arial"/>
        </w:rPr>
        <w:t xml:space="preserve">This element of the code of conduct governs the rules a solicitor must abide by if there is an ‘own conflict of interest’ or just a conflict of interest. A solicitor cannot act in a case if there is an ‘own common interest’.  </w:t>
      </w:r>
      <w:r w:rsidRPr="00FD75D2">
        <w:rPr>
          <w:rFonts w:cs="Arial"/>
        </w:rPr>
        <w:t xml:space="preserve">If the client and solicitor have a conflict of interest in the case that is not an ‘own conflict of interest’ the solicitor can still work the case however the following criteria must be met: the client gives their written consent to the solicitor still acting for them, that safeguards are put in place and that the solicitor is happy that the required safeguards are able to be met (Solicitors Regulation Authority, 2018). This principle underpins the idea that that a legal professional will always be working for what is best for their client, without this principle it would be impossible for the public to trust that the legal professionals are working for their clients benefit instead of their own. </w:t>
      </w:r>
      <w:r w:rsidR="00FD75D2" w:rsidRPr="00FD75D2">
        <w:rPr>
          <w:rFonts w:cs="Arial"/>
        </w:rPr>
        <w:t>Thus,</w:t>
      </w:r>
      <w:r w:rsidRPr="00FD75D2">
        <w:rPr>
          <w:rFonts w:cs="Arial"/>
        </w:rPr>
        <w:t xml:space="preserve"> again proving that trust is integral to the legal </w:t>
      </w:r>
      <w:r w:rsidR="00FD75D2" w:rsidRPr="00FD75D2">
        <w:rPr>
          <w:rFonts w:cs="Arial"/>
        </w:rPr>
        <w:t>professionals’</w:t>
      </w:r>
      <w:r w:rsidRPr="00FD75D2">
        <w:rPr>
          <w:rFonts w:cs="Arial"/>
        </w:rPr>
        <w:t xml:space="preserve"> practices. </w:t>
      </w:r>
    </w:p>
    <w:p w14:paraId="120E8D83" w14:textId="0EBEB2DF" w:rsidR="00AD21DE" w:rsidRPr="00FD75D2" w:rsidRDefault="00AD21DE" w:rsidP="00FD75D2">
      <w:pPr>
        <w:spacing w:line="360" w:lineRule="auto"/>
        <w:rPr>
          <w:rFonts w:cs="Arial"/>
        </w:rPr>
      </w:pPr>
      <w:r w:rsidRPr="00FD75D2">
        <w:rPr>
          <w:rFonts w:cs="Arial"/>
        </w:rPr>
        <w:t xml:space="preserve"> </w:t>
      </w:r>
    </w:p>
    <w:p w14:paraId="170D15BE" w14:textId="47FEC82D" w:rsidR="00FD75D2" w:rsidRPr="00FD75D2" w:rsidRDefault="00FD75D2" w:rsidP="00FD75D2">
      <w:pPr>
        <w:spacing w:line="360" w:lineRule="auto"/>
        <w:rPr>
          <w:rFonts w:cs="Arial"/>
        </w:rPr>
      </w:pPr>
      <w:r>
        <w:rPr>
          <w:rFonts w:cs="Arial"/>
        </w:rPr>
        <w:t>Solicitors are required to work in a way that promotes</w:t>
      </w:r>
      <w:r w:rsidRPr="00FD75D2">
        <w:rPr>
          <w:rFonts w:cs="Arial"/>
        </w:rPr>
        <w:t xml:space="preserve"> equality, diversity and inclusion. These </w:t>
      </w:r>
      <w:r>
        <w:rPr>
          <w:rFonts w:cs="Arial"/>
        </w:rPr>
        <w:t>principles</w:t>
      </w:r>
      <w:r w:rsidRPr="00FD75D2">
        <w:rPr>
          <w:rFonts w:cs="Arial"/>
        </w:rPr>
        <w:t xml:space="preserve"> are important for the public to see the profession in a way that is positive and allows them to trust them. If a firm where to work in a way which was exclusive and excluded groups unfairly this would be dishonest and if not sanctioned would affect the way the public viewed those working in the legal profession and may led them to trust in the profession less. </w:t>
      </w:r>
    </w:p>
    <w:p w14:paraId="420D7640" w14:textId="77777777" w:rsidR="00FD75D2" w:rsidRPr="00FD75D2" w:rsidRDefault="00FD75D2" w:rsidP="00FD75D2">
      <w:pPr>
        <w:spacing w:line="360" w:lineRule="auto"/>
        <w:rPr>
          <w:rFonts w:cs="Arial"/>
        </w:rPr>
      </w:pPr>
    </w:p>
    <w:p w14:paraId="6EB2145F" w14:textId="260EED42" w:rsidR="00CF378E" w:rsidRPr="00FD75D2" w:rsidRDefault="00FD75D2" w:rsidP="00FD75D2">
      <w:pPr>
        <w:spacing w:line="360" w:lineRule="auto"/>
      </w:pPr>
      <w:r>
        <w:t xml:space="preserve">Each solicitor must be responsible for their own compliance with the code of conduct and maintaining an honest approach to their professional practices. </w:t>
      </w:r>
      <w:proofErr w:type="gramStart"/>
      <w:r>
        <w:t>However</w:t>
      </w:r>
      <w:proofErr w:type="gramEnd"/>
      <w:r>
        <w:t xml:space="preserve"> there are professionals assigned to ensure that firms work in a manner that is cohesive with the code and promotes the values. </w:t>
      </w:r>
      <w:r w:rsidRPr="00FD75D2">
        <w:t xml:space="preserve">Each firm will have a compliance officer employed who will be responsible for </w:t>
      </w:r>
      <w:r>
        <w:t>this</w:t>
      </w:r>
      <w:r w:rsidRPr="00FD75D2">
        <w:t xml:space="preserve">. The compliance officer will have a duty to ensure all employees, managers and those with interests in the firm are acting in accordance with the principles set out by the solicitor’s regulation authority. They also have a responsibility to report any behaviour which would breach any of the principles of the code of conduct by anyone employed or with interests in the firm. The requirement to appoint a person in each firm with these duties stresses the importance of the view of legal professionals needing to be trusted so vigorously. </w:t>
      </w:r>
    </w:p>
    <w:p w14:paraId="4C110381" w14:textId="77777777" w:rsidR="00FD75D2" w:rsidRPr="00FD75D2" w:rsidRDefault="00FD75D2" w:rsidP="00FD75D2">
      <w:pPr>
        <w:spacing w:line="360" w:lineRule="auto"/>
      </w:pPr>
    </w:p>
    <w:p w14:paraId="617AB17D" w14:textId="3735A0E1" w:rsidR="00AD21DE" w:rsidRPr="00FD75D2" w:rsidRDefault="00AD21DE" w:rsidP="00FD75D2">
      <w:pPr>
        <w:spacing w:line="360" w:lineRule="auto"/>
        <w:rPr>
          <w:rFonts w:eastAsia="Times New Roman" w:cs="Arial"/>
          <w:color w:val="333333"/>
          <w:shd w:val="clear" w:color="auto" w:fill="FFFFFF"/>
          <w:lang w:eastAsia="en-GB"/>
        </w:rPr>
      </w:pPr>
      <w:r w:rsidRPr="00FD75D2">
        <w:t xml:space="preserve">If a solicitor breaches the code of conduct set by the </w:t>
      </w:r>
      <w:r w:rsidR="00BE20FA" w:rsidRPr="00FD75D2">
        <w:t>solicitor’s</w:t>
      </w:r>
      <w:r w:rsidRPr="00FD75D2">
        <w:t xml:space="preserve"> regulation authority they face being stuck off and unable to practice, as seen in </w:t>
      </w:r>
      <w:r w:rsidRPr="00FD75D2">
        <w:rPr>
          <w:color w:val="000000" w:themeColor="text1"/>
          <w:shd w:val="clear" w:color="auto" w:fill="FFFFFF"/>
        </w:rPr>
        <w:t xml:space="preserve">SRA V </w:t>
      </w:r>
      <w:proofErr w:type="spellStart"/>
      <w:r w:rsidRPr="00FD75D2">
        <w:rPr>
          <w:color w:val="000000" w:themeColor="text1"/>
          <w:shd w:val="clear" w:color="auto" w:fill="FFFFFF"/>
        </w:rPr>
        <w:t>Sovani</w:t>
      </w:r>
      <w:proofErr w:type="spellEnd"/>
      <w:r w:rsidRPr="00FD75D2">
        <w:rPr>
          <w:color w:val="000000" w:themeColor="text1"/>
          <w:shd w:val="clear" w:color="auto" w:fill="FFFFFF"/>
        </w:rPr>
        <w:t xml:space="preserve"> James</w:t>
      </w:r>
      <w:r w:rsidRPr="00FD75D2">
        <w:rPr>
          <w:color w:val="000000" w:themeColor="text1"/>
        </w:rPr>
        <w:t xml:space="preserve"> </w:t>
      </w:r>
      <w:r w:rsidRPr="00FD75D2">
        <w:t xml:space="preserve">(2018). The expectation for solicitors to follow these principles and to act in an honest way are very strict. The decision in this case set president that ‘abdominal’ work conditions would not be seen as a justifiable excuse to dishonesty in the execution of legal duties. Although this was criticised by the Junior Law Society (2020, cited in The Law Society Gazette, 2020) for not allowing a newly qualified solicitor some ‘leeway’ due to the ‘abdominal’ work conditions. The act of striking off in this incident show the importance of honesty and trust in the legal profession and that unless there are extremely extenuating circumstances those in the legal profession will be sanctioned to the full extend for breaching the expectation of honesty and integrity therefore breaching the level of trust expected. </w:t>
      </w:r>
      <w:r w:rsidR="00BE20FA" w:rsidRPr="00FD75D2">
        <w:t xml:space="preserve">When establishing if a solicitor has acted in a dishonest way 2 questions are asked: what </w:t>
      </w:r>
      <w:r w:rsidR="00FD75D2" w:rsidRPr="00FD75D2">
        <w:t>the solicitor’s knowledge was as</w:t>
      </w:r>
      <w:r w:rsidR="00BE20FA" w:rsidRPr="00FD75D2">
        <w:t xml:space="preserve"> to the facts at the time; with consideration to their knowledge at the time would their action be considered dishonest by ordinary decent people (</w:t>
      </w:r>
      <w:r w:rsidR="00BE20FA" w:rsidRPr="00FD75D2">
        <w:rPr>
          <w:rFonts w:eastAsia="Times New Roman" w:cs="Segoe UI"/>
          <w:color w:val="333333"/>
          <w:shd w:val="clear" w:color="auto" w:fill="FFFFFF"/>
          <w:lang w:eastAsia="en-GB"/>
        </w:rPr>
        <w:t>Ivey v Genting Casinos</w:t>
      </w:r>
      <w:r w:rsidR="00BE20FA" w:rsidRPr="00FD75D2">
        <w:rPr>
          <w:rFonts w:eastAsia="Times New Roman" w:cs="Times New Roman"/>
          <w:lang w:eastAsia="en-GB"/>
        </w:rPr>
        <w:t xml:space="preserve"> 2007). If it is found that due to the persons knowledge at the time of the act that they had not been acting dishonestly</w:t>
      </w:r>
      <w:r w:rsidR="00FD75D2" w:rsidRPr="00FD75D2">
        <w:rPr>
          <w:rFonts w:eastAsia="Times New Roman" w:cs="Times New Roman"/>
          <w:lang w:eastAsia="en-GB"/>
        </w:rPr>
        <w:t xml:space="preserve"> but they had lacked integrity</w:t>
      </w:r>
      <w:r w:rsidR="00BE20FA" w:rsidRPr="00FD75D2">
        <w:rPr>
          <w:rFonts w:eastAsia="Times New Roman" w:cs="Times New Roman"/>
          <w:lang w:eastAsia="en-GB"/>
        </w:rPr>
        <w:t xml:space="preserve"> they would </w:t>
      </w:r>
      <w:r w:rsidR="00FD75D2" w:rsidRPr="00FD75D2">
        <w:rPr>
          <w:rFonts w:eastAsia="Times New Roman" w:cs="Times New Roman"/>
          <w:lang w:eastAsia="en-GB"/>
        </w:rPr>
        <w:t>face a sanction appropriate of that breach</w:t>
      </w:r>
      <w:r w:rsidR="00BE20FA" w:rsidRPr="00FD75D2">
        <w:rPr>
          <w:rFonts w:eastAsia="Times New Roman" w:cs="Times New Roman"/>
          <w:lang w:eastAsia="en-GB"/>
        </w:rPr>
        <w:t xml:space="preserve">. </w:t>
      </w:r>
      <w:proofErr w:type="gramStart"/>
      <w:r w:rsidR="00BE20FA" w:rsidRPr="00FD75D2">
        <w:rPr>
          <w:rFonts w:eastAsia="Times New Roman" w:cs="Times New Roman"/>
          <w:lang w:eastAsia="en-GB"/>
        </w:rPr>
        <w:t>If</w:t>
      </w:r>
      <w:proofErr w:type="gramEnd"/>
      <w:r w:rsidR="00BE20FA" w:rsidRPr="00FD75D2">
        <w:rPr>
          <w:rFonts w:eastAsia="Times New Roman" w:cs="Times New Roman"/>
          <w:lang w:eastAsia="en-GB"/>
        </w:rPr>
        <w:t xml:space="preserve"> however they were found to be dishonest they will receive a sanction usually by having the right to practice law revoked unless there are significant mitigating factors which justify a lower sanction</w:t>
      </w:r>
      <w:r w:rsidR="00BE20FA" w:rsidRPr="00FD75D2">
        <w:rPr>
          <w:rFonts w:cs="Arial"/>
          <w:color w:val="333333"/>
          <w:shd w:val="clear" w:color="auto" w:fill="FFFFFF"/>
        </w:rPr>
        <w:t xml:space="preserve"> (</w:t>
      </w:r>
      <w:r w:rsidR="00BE20FA" w:rsidRPr="00FD75D2">
        <w:rPr>
          <w:rFonts w:eastAsia="Times New Roman" w:cs="Arial"/>
          <w:color w:val="333333"/>
          <w:shd w:val="clear" w:color="auto" w:fill="FFFFFF"/>
          <w:lang w:eastAsia="en-GB"/>
        </w:rPr>
        <w:t xml:space="preserve">Law Society v </w:t>
      </w:r>
      <w:proofErr w:type="spellStart"/>
      <w:r w:rsidR="00BE20FA" w:rsidRPr="00FD75D2">
        <w:rPr>
          <w:rFonts w:eastAsia="Times New Roman" w:cs="Arial"/>
          <w:color w:val="333333"/>
          <w:shd w:val="clear" w:color="auto" w:fill="FFFFFF"/>
          <w:lang w:eastAsia="en-GB"/>
        </w:rPr>
        <w:t>Salsbury</w:t>
      </w:r>
      <w:proofErr w:type="spellEnd"/>
      <w:r w:rsidR="00BE20FA" w:rsidRPr="00FD75D2">
        <w:rPr>
          <w:rFonts w:eastAsia="Times New Roman" w:cs="Arial"/>
          <w:color w:val="333333"/>
          <w:shd w:val="clear" w:color="auto" w:fill="FFFFFF"/>
          <w:lang w:eastAsia="en-GB"/>
        </w:rPr>
        <w:t xml:space="preserve"> 2008).</w:t>
      </w:r>
      <w:r w:rsidR="00FD75D2" w:rsidRPr="00FD75D2">
        <w:rPr>
          <w:rFonts w:eastAsia="Times New Roman" w:cs="Arial"/>
          <w:color w:val="333333"/>
          <w:shd w:val="clear" w:color="auto" w:fill="FFFFFF"/>
          <w:lang w:eastAsia="en-GB"/>
        </w:rPr>
        <w:t xml:space="preserve"> </w:t>
      </w:r>
      <w:r w:rsidR="00752E29">
        <w:rPr>
          <w:rFonts w:eastAsia="Times New Roman" w:cs="Arial"/>
          <w:color w:val="333333"/>
          <w:shd w:val="clear" w:color="auto" w:fill="FFFFFF"/>
          <w:lang w:eastAsia="en-GB"/>
        </w:rPr>
        <w:t xml:space="preserve">The strict sanctions enforced </w:t>
      </w:r>
      <w:r w:rsidR="00752E29">
        <w:rPr>
          <w:rFonts w:eastAsia="Times New Roman" w:cs="Arial"/>
          <w:color w:val="333333"/>
          <w:shd w:val="clear" w:color="auto" w:fill="FFFFFF"/>
          <w:lang w:eastAsia="en-GB"/>
        </w:rPr>
        <w:lastRenderedPageBreak/>
        <w:t>for dishonesty by a legal profession supports the statement made that ‘solicitors must be trusted to the ends of the earth’ (</w:t>
      </w:r>
      <w:r w:rsidR="00752E29" w:rsidRPr="00FD75D2">
        <w:rPr>
          <w:rFonts w:cs="Arial"/>
        </w:rPr>
        <w:t xml:space="preserve">Bolton V the Law Society </w:t>
      </w:r>
      <w:r w:rsidR="00752E29">
        <w:rPr>
          <w:rFonts w:cs="Arial"/>
        </w:rPr>
        <w:t>1</w:t>
      </w:r>
      <w:r w:rsidR="00752E29" w:rsidRPr="00FD75D2">
        <w:rPr>
          <w:rFonts w:cs="Arial"/>
        </w:rPr>
        <w:t>993)</w:t>
      </w:r>
      <w:r w:rsidR="00752E29">
        <w:rPr>
          <w:rFonts w:cs="Arial"/>
        </w:rPr>
        <w:t xml:space="preserve">. This statement is underpinned by the appreciation of the legal professions’ reputation. That it is more important than one legal professional’s interest. </w:t>
      </w:r>
    </w:p>
    <w:p w14:paraId="57DCA74D" w14:textId="470B20B8" w:rsidR="00AD21DE" w:rsidRPr="00FD75D2" w:rsidRDefault="00AD21DE" w:rsidP="00FD75D2">
      <w:pPr>
        <w:spacing w:line="360" w:lineRule="auto"/>
      </w:pPr>
    </w:p>
    <w:p w14:paraId="10F31454" w14:textId="72930C24" w:rsidR="00AD21DE" w:rsidRPr="00FD75D2" w:rsidRDefault="00FD75D2" w:rsidP="00FD75D2">
      <w:pPr>
        <w:spacing w:line="360" w:lineRule="auto"/>
        <w:rPr>
          <w:rFonts w:eastAsia="Times New Roman" w:cs="Times New Roman"/>
          <w:lang w:eastAsia="en-GB"/>
        </w:rPr>
      </w:pPr>
      <w:r w:rsidRPr="00FD75D2">
        <w:rPr>
          <w:color w:val="222222"/>
          <w:shd w:val="clear" w:color="auto" w:fill="FFFFFF"/>
        </w:rPr>
        <w:t>The importance of honesty is shown as it is at the core of how legal professionals practice their responsibilities every day. When a solicitor behaves in a dishonest way there is harm to the public every time in one way or another (</w:t>
      </w:r>
      <w:r w:rsidRPr="00FD75D2">
        <w:rPr>
          <w:rFonts w:eastAsia="Times New Roman" w:cs="Times New Roman"/>
          <w:i/>
          <w:iCs/>
          <w:color w:val="212529"/>
          <w:lang w:eastAsia="en-GB"/>
        </w:rPr>
        <w:t>Regulation Authority v Shanna</w:t>
      </w:r>
      <w:r w:rsidRPr="00FD75D2">
        <w:rPr>
          <w:rFonts w:eastAsia="Times New Roman" w:cs="Times New Roman"/>
          <w:color w:val="212529"/>
          <w:shd w:val="clear" w:color="auto" w:fill="FFFFFF"/>
          <w:lang w:eastAsia="en-GB"/>
        </w:rPr>
        <w:t> </w:t>
      </w:r>
      <w:r w:rsidRPr="00FD75D2">
        <w:rPr>
          <w:rFonts w:eastAsia="Times New Roman" w:cs="Times New Roman"/>
          <w:lang w:eastAsia="en-GB"/>
        </w:rPr>
        <w:t xml:space="preserve">2010). </w:t>
      </w:r>
      <w:r w:rsidR="00AD21DE" w:rsidRPr="00FD75D2">
        <w:rPr>
          <w:color w:val="222222"/>
          <w:shd w:val="clear" w:color="auto" w:fill="FFFFFF"/>
        </w:rPr>
        <w:t xml:space="preserve">A profession’s most valuable asset is its collective reputation and the confidence which that inspires (Bolton V </w:t>
      </w:r>
      <w:r>
        <w:rPr>
          <w:color w:val="222222"/>
          <w:shd w:val="clear" w:color="auto" w:fill="FFFFFF"/>
        </w:rPr>
        <w:t>t</w:t>
      </w:r>
      <w:r w:rsidR="00AD21DE" w:rsidRPr="00FD75D2">
        <w:rPr>
          <w:color w:val="222222"/>
          <w:shd w:val="clear" w:color="auto" w:fill="FFFFFF"/>
        </w:rPr>
        <w:t>he Law Society 1993).</w:t>
      </w:r>
      <w:r w:rsidRPr="00FD75D2">
        <w:rPr>
          <w:color w:val="222222"/>
          <w:shd w:val="clear" w:color="auto" w:fill="FFFFFF"/>
        </w:rPr>
        <w:t xml:space="preserve"> Through the Solicitors Regulation Authority and The Legal Services Act (2007) enforcement on breaches of trust and dishonesty it shows that the value of trust in the profession of law is of high value and important to the reputation of the legal profession.</w:t>
      </w:r>
      <w:r>
        <w:rPr>
          <w:color w:val="222222"/>
          <w:shd w:val="clear" w:color="auto" w:fill="FFFFFF"/>
        </w:rPr>
        <w:t xml:space="preserve"> </w:t>
      </w:r>
    </w:p>
    <w:p w14:paraId="66A5E61F" w14:textId="057A27B4" w:rsidR="00AD21DE" w:rsidRDefault="00AD21DE"/>
    <w:p w14:paraId="3A51E235" w14:textId="725FDF78" w:rsidR="00AD21DE" w:rsidRDefault="00AD21DE">
      <w:pPr>
        <w:pBdr>
          <w:bottom w:val="single" w:sz="6" w:space="1" w:color="auto"/>
        </w:pBdr>
      </w:pPr>
    </w:p>
    <w:p w14:paraId="07BC0A8B" w14:textId="14F35EB2" w:rsidR="00AD21DE" w:rsidRPr="00FD75D2" w:rsidRDefault="00AD21DE">
      <w:pPr>
        <w:rPr>
          <w:sz w:val="32"/>
          <w:szCs w:val="32"/>
        </w:rPr>
      </w:pPr>
      <w:r w:rsidRPr="00FD75D2">
        <w:rPr>
          <w:sz w:val="32"/>
          <w:szCs w:val="32"/>
        </w:rPr>
        <w:t>References:</w:t>
      </w:r>
    </w:p>
    <w:p w14:paraId="634DA5C8" w14:textId="77777777" w:rsidR="00FD75D2" w:rsidRPr="00FD75D2" w:rsidRDefault="00FD75D2" w:rsidP="00FD75D2">
      <w:pPr>
        <w:spacing w:line="360" w:lineRule="auto"/>
        <w:rPr>
          <w:lang w:val="en-US"/>
        </w:rPr>
      </w:pPr>
      <w:r w:rsidRPr="00FD75D2">
        <w:rPr>
          <w:lang w:val="en-US"/>
        </w:rPr>
        <w:t xml:space="preserve">Ellison, F (1985) ‘Ethics, Professionalism and the practice of Law’ </w:t>
      </w:r>
      <w:r w:rsidRPr="00FD75D2">
        <w:rPr>
          <w:i/>
          <w:iCs/>
          <w:lang w:val="en-US"/>
        </w:rPr>
        <w:t xml:space="preserve">Loyola University Chicago Law Journal </w:t>
      </w:r>
      <w:r w:rsidRPr="00FD75D2">
        <w:rPr>
          <w:lang w:val="en-US"/>
        </w:rPr>
        <w:t xml:space="preserve">(Volume 16) Available at: </w:t>
      </w:r>
      <w:hyperlink r:id="rId5" w:history="1">
        <w:r w:rsidRPr="00FD75D2">
          <w:rPr>
            <w:rStyle w:val="Hyperlink"/>
            <w:lang w:val="en-US"/>
          </w:rPr>
          <w:t>https://core.ac.uk/download/pdf/268431295.pdf</w:t>
        </w:r>
      </w:hyperlink>
      <w:r w:rsidRPr="00FD75D2">
        <w:rPr>
          <w:lang w:val="en-US"/>
        </w:rPr>
        <w:t xml:space="preserve"> (Accessed on: </w:t>
      </w:r>
      <w:r>
        <w:t>15</w:t>
      </w:r>
      <w:r w:rsidRPr="00FD75D2">
        <w:rPr>
          <w:vertAlign w:val="superscript"/>
        </w:rPr>
        <w:t>th</w:t>
      </w:r>
      <w:r>
        <w:t xml:space="preserve"> March 2021</w:t>
      </w:r>
      <w:r w:rsidRPr="00FD75D2">
        <w:rPr>
          <w:lang w:val="en-US"/>
        </w:rPr>
        <w:t>)</w:t>
      </w:r>
    </w:p>
    <w:p w14:paraId="34DDE54A" w14:textId="77777777" w:rsidR="00FD75D2" w:rsidRDefault="00FD75D2" w:rsidP="00FD75D2">
      <w:pPr>
        <w:spacing w:line="360" w:lineRule="auto"/>
      </w:pPr>
      <w:r>
        <w:t>Solicitors Regulation Authority (2018</w:t>
      </w:r>
      <w:proofErr w:type="gramStart"/>
      <w:r>
        <w:t xml:space="preserve">) </w:t>
      </w:r>
      <w:r w:rsidRPr="00FD75D2">
        <w:rPr>
          <w:i/>
          <w:iCs/>
        </w:rPr>
        <w:t xml:space="preserve"> SRA</w:t>
      </w:r>
      <w:proofErr w:type="gramEnd"/>
      <w:r w:rsidRPr="00FD75D2">
        <w:rPr>
          <w:i/>
          <w:iCs/>
        </w:rPr>
        <w:t xml:space="preserve"> Code of Conduct for Solicitors, RELs and REFLs (</w:t>
      </w:r>
      <w:r>
        <w:t xml:space="preserve">S. 6.1 – 6.2) Available at: </w:t>
      </w:r>
      <w:hyperlink r:id="rId6" w:history="1">
        <w:r w:rsidRPr="004B7637">
          <w:rPr>
            <w:rStyle w:val="Hyperlink"/>
          </w:rPr>
          <w:t>https://www.sra.org.uk/solicitors/standards-regulations/code-conduct-solicitors/</w:t>
        </w:r>
      </w:hyperlink>
      <w:r>
        <w:t xml:space="preserve"> (Accessed on: 9</w:t>
      </w:r>
      <w:r w:rsidRPr="00FD75D2">
        <w:rPr>
          <w:vertAlign w:val="superscript"/>
        </w:rPr>
        <w:t>th</w:t>
      </w:r>
      <w:r>
        <w:t xml:space="preserve"> April 2021) </w:t>
      </w:r>
    </w:p>
    <w:p w14:paraId="3FB2167C" w14:textId="77777777" w:rsidR="00FD75D2" w:rsidRDefault="00FD75D2" w:rsidP="00FD75D2">
      <w:pPr>
        <w:spacing w:line="360" w:lineRule="auto"/>
      </w:pPr>
      <w:r>
        <w:t xml:space="preserve">Solicitors Regulation Authority (2018) </w:t>
      </w:r>
      <w:r w:rsidRPr="00FD75D2">
        <w:rPr>
          <w:i/>
          <w:iCs/>
        </w:rPr>
        <w:t xml:space="preserve">SRA Principles </w:t>
      </w:r>
      <w:r>
        <w:t xml:space="preserve">Available at: </w:t>
      </w:r>
      <w:hyperlink r:id="rId7" w:history="1">
        <w:r w:rsidRPr="004B7637">
          <w:rPr>
            <w:rStyle w:val="Hyperlink"/>
          </w:rPr>
          <w:t>https://www.sra.org.uk/solicitors/standards-regulations/principles/</w:t>
        </w:r>
      </w:hyperlink>
      <w:r>
        <w:t xml:space="preserve"> (Accessed on: 9</w:t>
      </w:r>
      <w:r w:rsidRPr="00FD75D2">
        <w:rPr>
          <w:vertAlign w:val="superscript"/>
        </w:rPr>
        <w:t>th</w:t>
      </w:r>
      <w:r>
        <w:t xml:space="preserve"> April 2021)</w:t>
      </w:r>
    </w:p>
    <w:p w14:paraId="2E155B47" w14:textId="77777777" w:rsidR="00FD75D2" w:rsidRPr="00AD21DE" w:rsidRDefault="00FD75D2" w:rsidP="00FD75D2">
      <w:pPr>
        <w:spacing w:line="360" w:lineRule="auto"/>
      </w:pPr>
      <w:r>
        <w:t xml:space="preserve">Solicitors Regulation Authority (2019) </w:t>
      </w:r>
      <w:r w:rsidRPr="00FD75D2">
        <w:rPr>
          <w:i/>
          <w:iCs/>
        </w:rPr>
        <w:t xml:space="preserve">Confidentiality of Client Information </w:t>
      </w:r>
      <w:r>
        <w:t xml:space="preserve">Available at: </w:t>
      </w:r>
      <w:hyperlink r:id="rId8" w:history="1">
        <w:r w:rsidRPr="004B7637">
          <w:rPr>
            <w:rStyle w:val="Hyperlink"/>
          </w:rPr>
          <w:t>https://www.sra.org.uk/solicitors/guidance/confidentiality-client-information/</w:t>
        </w:r>
      </w:hyperlink>
      <w:r>
        <w:t xml:space="preserve"> (Accessed on: 8</w:t>
      </w:r>
      <w:r w:rsidRPr="00FD75D2">
        <w:rPr>
          <w:vertAlign w:val="superscript"/>
        </w:rPr>
        <w:t>th</w:t>
      </w:r>
      <w:r>
        <w:t xml:space="preserve"> April 2021)</w:t>
      </w:r>
      <w:r w:rsidRPr="00FD75D2">
        <w:rPr>
          <w:i/>
          <w:iCs/>
        </w:rPr>
        <w:t xml:space="preserve"> </w:t>
      </w:r>
    </w:p>
    <w:p w14:paraId="045B9088" w14:textId="77777777" w:rsidR="00FD75D2" w:rsidRDefault="00FD75D2" w:rsidP="00FD75D2">
      <w:pPr>
        <w:spacing w:line="360" w:lineRule="auto"/>
      </w:pPr>
      <w:r>
        <w:t xml:space="preserve">The Solicitors Regulation Authority (2018) </w:t>
      </w:r>
      <w:r w:rsidRPr="00FD75D2">
        <w:rPr>
          <w:i/>
          <w:iCs/>
        </w:rPr>
        <w:t xml:space="preserve">SRA Code of Conduct for Solicitors, RELs and RFLs </w:t>
      </w:r>
      <w:r>
        <w:t xml:space="preserve">Available at </w:t>
      </w:r>
      <w:hyperlink r:id="rId9" w:history="1">
        <w:r w:rsidRPr="004B7637">
          <w:rPr>
            <w:rStyle w:val="Hyperlink"/>
          </w:rPr>
          <w:t>https://www.sra.org.uk/solicitors/standards-regulations/code-conduct-solicitors/</w:t>
        </w:r>
      </w:hyperlink>
      <w:r>
        <w:t xml:space="preserve"> (Accessed on: 15</w:t>
      </w:r>
      <w:r w:rsidRPr="00FD75D2">
        <w:rPr>
          <w:vertAlign w:val="superscript"/>
        </w:rPr>
        <w:t>th</w:t>
      </w:r>
      <w:r>
        <w:t xml:space="preserve"> March 2021)</w:t>
      </w:r>
    </w:p>
    <w:p w14:paraId="47C46DCC" w14:textId="77777777" w:rsidR="00FD75D2" w:rsidRPr="00DF0BA4" w:rsidRDefault="00FD75D2" w:rsidP="00FD75D2">
      <w:pPr>
        <w:spacing w:line="360" w:lineRule="auto"/>
      </w:pPr>
      <w:r>
        <w:lastRenderedPageBreak/>
        <w:t xml:space="preserve">The Solicitors Regulation Authority (2018) </w:t>
      </w:r>
      <w:r w:rsidRPr="00FD75D2">
        <w:rPr>
          <w:i/>
          <w:iCs/>
        </w:rPr>
        <w:t xml:space="preserve">SRA Principles. </w:t>
      </w:r>
      <w:r>
        <w:t xml:space="preserve">Available at </w:t>
      </w:r>
      <w:hyperlink r:id="rId10" w:history="1">
        <w:r w:rsidRPr="004B7637">
          <w:rPr>
            <w:rStyle w:val="Hyperlink"/>
          </w:rPr>
          <w:t>https://www.sra.org.uk/solicitors/standards-regulations/principles/</w:t>
        </w:r>
      </w:hyperlink>
      <w:r>
        <w:t xml:space="preserve"> (Accessed on: 15</w:t>
      </w:r>
      <w:r w:rsidRPr="00FD75D2">
        <w:rPr>
          <w:vertAlign w:val="superscript"/>
        </w:rPr>
        <w:t>th</w:t>
      </w:r>
      <w:r>
        <w:t xml:space="preserve"> March 2021)</w:t>
      </w:r>
    </w:p>
    <w:p w14:paraId="55B51462" w14:textId="77777777" w:rsidR="00FD75D2" w:rsidRPr="00BE20FA" w:rsidRDefault="00FD75D2" w:rsidP="00FD75D2">
      <w:pPr>
        <w:spacing w:line="360" w:lineRule="auto"/>
        <w:rPr>
          <w:rFonts w:ascii="Times New Roman" w:eastAsia="Times New Roman" w:hAnsi="Times New Roman" w:cs="Times New Roman"/>
          <w:lang w:eastAsia="en-GB"/>
        </w:rPr>
      </w:pPr>
      <w:r>
        <w:t xml:space="preserve">The Solicitors Regulation Authority (2019) </w:t>
      </w:r>
      <w:r w:rsidRPr="00FD75D2">
        <w:rPr>
          <w:i/>
          <w:iCs/>
        </w:rPr>
        <w:t xml:space="preserve">Client Care Letters </w:t>
      </w:r>
      <w:r>
        <w:t xml:space="preserve">Available at: </w:t>
      </w:r>
      <w:hyperlink r:id="rId11" w:history="1">
        <w:r w:rsidRPr="004B7637">
          <w:rPr>
            <w:rStyle w:val="Hyperlink"/>
          </w:rPr>
          <w:t>https://www.sra.org.uk/solicitors/guidance/client-care-letters/</w:t>
        </w:r>
      </w:hyperlink>
      <w:r>
        <w:t xml:space="preserve"> (Accessed on: 8</w:t>
      </w:r>
      <w:r w:rsidRPr="00FD75D2">
        <w:rPr>
          <w:vertAlign w:val="superscript"/>
        </w:rPr>
        <w:t>th</w:t>
      </w:r>
      <w:r>
        <w:t xml:space="preserve"> April 2021)</w:t>
      </w:r>
    </w:p>
    <w:p w14:paraId="3D4487BA" w14:textId="1F6A8D0F" w:rsidR="00AD21DE" w:rsidRDefault="00AD21DE" w:rsidP="00FD75D2">
      <w:pPr>
        <w:pStyle w:val="ListParagraph"/>
      </w:pPr>
    </w:p>
    <w:p w14:paraId="55B23C1C" w14:textId="31B8D8D6" w:rsidR="00FD75D2" w:rsidRDefault="00FD75D2"/>
    <w:p w14:paraId="1B635B57" w14:textId="3B555346" w:rsidR="00FD75D2" w:rsidRPr="00FD75D2" w:rsidRDefault="00FD75D2">
      <w:pPr>
        <w:rPr>
          <w:sz w:val="32"/>
          <w:szCs w:val="32"/>
        </w:rPr>
      </w:pPr>
      <w:r w:rsidRPr="00FD75D2">
        <w:rPr>
          <w:sz w:val="32"/>
          <w:szCs w:val="32"/>
        </w:rPr>
        <w:t>Case List</w:t>
      </w:r>
    </w:p>
    <w:p w14:paraId="410CAF5E" w14:textId="77777777" w:rsidR="00FD75D2" w:rsidRPr="00FD75D2" w:rsidRDefault="00FD75D2" w:rsidP="00FD75D2">
      <w:pPr>
        <w:spacing w:line="360" w:lineRule="auto"/>
        <w:rPr>
          <w:rFonts w:cs="Times New Roman"/>
        </w:rPr>
      </w:pPr>
      <w:r w:rsidRPr="00FD75D2">
        <w:rPr>
          <w:rFonts w:cs="Arial"/>
        </w:rPr>
        <w:t>Bolkiah v KPMG (1998) UKHL</w:t>
      </w:r>
    </w:p>
    <w:p w14:paraId="1EB078CD" w14:textId="77777777" w:rsidR="00FD75D2" w:rsidRPr="00FD75D2" w:rsidRDefault="00FD75D2" w:rsidP="00FD75D2">
      <w:pPr>
        <w:spacing w:line="360" w:lineRule="auto"/>
        <w:rPr>
          <w:color w:val="585858"/>
          <w:shd w:val="clear" w:color="auto" w:fill="FFFFFF"/>
        </w:rPr>
      </w:pPr>
      <w:r w:rsidRPr="00FD75D2">
        <w:rPr>
          <w:color w:val="222222"/>
          <w:shd w:val="clear" w:color="auto" w:fill="FFFFFF"/>
        </w:rPr>
        <w:t xml:space="preserve">Bolton V </w:t>
      </w:r>
      <w:proofErr w:type="gramStart"/>
      <w:r w:rsidRPr="00FD75D2">
        <w:rPr>
          <w:color w:val="222222"/>
          <w:shd w:val="clear" w:color="auto" w:fill="FFFFFF"/>
        </w:rPr>
        <w:t>The</w:t>
      </w:r>
      <w:proofErr w:type="gramEnd"/>
      <w:r w:rsidRPr="00FD75D2">
        <w:rPr>
          <w:color w:val="222222"/>
          <w:shd w:val="clear" w:color="auto" w:fill="FFFFFF"/>
        </w:rPr>
        <w:t xml:space="preserve"> Law Society (1993) </w:t>
      </w:r>
      <w:r w:rsidRPr="00FD75D2">
        <w:rPr>
          <w:color w:val="585858"/>
          <w:shd w:val="clear" w:color="auto" w:fill="FFFFFF"/>
        </w:rPr>
        <w:t xml:space="preserve">EWCA </w:t>
      </w:r>
      <w:proofErr w:type="spellStart"/>
      <w:r w:rsidRPr="00FD75D2">
        <w:rPr>
          <w:color w:val="585858"/>
          <w:shd w:val="clear" w:color="auto" w:fill="FFFFFF"/>
        </w:rPr>
        <w:t>Civ</w:t>
      </w:r>
      <w:proofErr w:type="spellEnd"/>
      <w:r w:rsidRPr="00FD75D2">
        <w:rPr>
          <w:color w:val="585858"/>
          <w:shd w:val="clear" w:color="auto" w:fill="FFFFFF"/>
        </w:rPr>
        <w:t xml:space="preserve"> 32</w:t>
      </w:r>
    </w:p>
    <w:p w14:paraId="7317072B" w14:textId="77777777" w:rsidR="00FD75D2" w:rsidRPr="00FD75D2" w:rsidRDefault="00FD75D2" w:rsidP="00FD75D2">
      <w:pPr>
        <w:spacing w:line="360" w:lineRule="auto"/>
        <w:rPr>
          <w:rFonts w:cs="Times New Roman"/>
        </w:rPr>
      </w:pPr>
      <w:r w:rsidRPr="00FD75D2">
        <w:rPr>
          <w:rFonts w:cs="Segoe UI"/>
          <w:color w:val="333333"/>
        </w:rPr>
        <w:t>Gartside v Outram [1857] 26 LJ Ch (NS) 113</w:t>
      </w:r>
    </w:p>
    <w:p w14:paraId="557AED63" w14:textId="77777777" w:rsidR="00FD75D2" w:rsidRPr="00FD75D2" w:rsidRDefault="00FD75D2" w:rsidP="00FD75D2">
      <w:pPr>
        <w:spacing w:line="360" w:lineRule="auto"/>
        <w:rPr>
          <w:rFonts w:cs="Times New Roman"/>
          <w:color w:val="585858"/>
          <w:shd w:val="clear" w:color="auto" w:fill="FFFFFF"/>
        </w:rPr>
      </w:pPr>
      <w:r w:rsidRPr="00FD75D2">
        <w:t>I</w:t>
      </w:r>
      <w:r w:rsidRPr="00FD75D2">
        <w:rPr>
          <w:rFonts w:cs="Segoe UI"/>
          <w:color w:val="333333"/>
          <w:shd w:val="clear" w:color="auto" w:fill="FFFFFF"/>
        </w:rPr>
        <w:t>vey v Genting Casinos (2017) UKSC 67</w:t>
      </w:r>
    </w:p>
    <w:p w14:paraId="67F1D70A" w14:textId="77777777" w:rsidR="00FD75D2" w:rsidRPr="00FD75D2" w:rsidRDefault="00FD75D2" w:rsidP="00FD75D2">
      <w:pPr>
        <w:spacing w:line="360" w:lineRule="auto"/>
        <w:rPr>
          <w:rFonts w:cs="Times New Roman"/>
          <w:color w:val="585858"/>
          <w:shd w:val="clear" w:color="auto" w:fill="FFFFFF"/>
        </w:rPr>
      </w:pPr>
      <w:r w:rsidRPr="00FD75D2">
        <w:rPr>
          <w:rFonts w:cs="Arial"/>
          <w:color w:val="333333"/>
          <w:shd w:val="clear" w:color="auto" w:fill="FFFFFF"/>
        </w:rPr>
        <w:t xml:space="preserve">Law Society v </w:t>
      </w:r>
      <w:proofErr w:type="spellStart"/>
      <w:r w:rsidRPr="00FD75D2">
        <w:rPr>
          <w:rFonts w:cs="Arial"/>
          <w:color w:val="333333"/>
          <w:shd w:val="clear" w:color="auto" w:fill="FFFFFF"/>
        </w:rPr>
        <w:t>Salsbury</w:t>
      </w:r>
      <w:proofErr w:type="spellEnd"/>
      <w:r w:rsidRPr="00FD75D2">
        <w:rPr>
          <w:rFonts w:cs="Arial"/>
          <w:color w:val="333333"/>
          <w:shd w:val="clear" w:color="auto" w:fill="FFFFFF"/>
        </w:rPr>
        <w:t xml:space="preserve"> (2008) EWCA </w:t>
      </w:r>
      <w:proofErr w:type="spellStart"/>
      <w:r w:rsidRPr="00FD75D2">
        <w:rPr>
          <w:rFonts w:cs="Arial"/>
          <w:color w:val="333333"/>
          <w:shd w:val="clear" w:color="auto" w:fill="FFFFFF"/>
        </w:rPr>
        <w:t>Civ</w:t>
      </w:r>
      <w:proofErr w:type="spellEnd"/>
      <w:r w:rsidRPr="00FD75D2">
        <w:rPr>
          <w:rFonts w:cs="Arial"/>
          <w:color w:val="333333"/>
          <w:shd w:val="clear" w:color="auto" w:fill="FFFFFF"/>
        </w:rPr>
        <w:t xml:space="preserve"> 1285</w:t>
      </w:r>
    </w:p>
    <w:p w14:paraId="43D37FF0" w14:textId="77777777" w:rsidR="00FD75D2" w:rsidRPr="00FD75D2" w:rsidRDefault="00FD75D2" w:rsidP="00FD75D2">
      <w:pPr>
        <w:spacing w:line="360" w:lineRule="auto"/>
      </w:pPr>
      <w:r w:rsidRPr="00FD75D2">
        <w:rPr>
          <w:color w:val="212529"/>
        </w:rPr>
        <w:t>Regulation Authority v Shanna</w:t>
      </w:r>
      <w:r w:rsidRPr="00FD75D2">
        <w:rPr>
          <w:color w:val="212529"/>
          <w:shd w:val="clear" w:color="auto" w:fill="FFFFFF"/>
        </w:rPr>
        <w:t> (2010) EWHC 2022</w:t>
      </w:r>
    </w:p>
    <w:p w14:paraId="23DFE3D8" w14:textId="1A03A1B7" w:rsidR="00FD75D2" w:rsidRPr="00FD75D2" w:rsidRDefault="00FD75D2" w:rsidP="00FD75D2">
      <w:pPr>
        <w:spacing w:line="360" w:lineRule="auto"/>
        <w:rPr>
          <w:color w:val="000000"/>
        </w:rPr>
      </w:pPr>
      <w:r w:rsidRPr="00FD75D2">
        <w:rPr>
          <w:color w:val="000000" w:themeColor="text1"/>
          <w:shd w:val="clear" w:color="auto" w:fill="FFFFFF"/>
        </w:rPr>
        <w:t xml:space="preserve">SRA V </w:t>
      </w:r>
      <w:proofErr w:type="spellStart"/>
      <w:r w:rsidRPr="00FD75D2">
        <w:rPr>
          <w:color w:val="585858"/>
          <w:shd w:val="clear" w:color="auto" w:fill="FFFFFF"/>
        </w:rPr>
        <w:t>Sovani</w:t>
      </w:r>
      <w:proofErr w:type="spellEnd"/>
      <w:r w:rsidRPr="00FD75D2">
        <w:rPr>
          <w:color w:val="585858"/>
          <w:shd w:val="clear" w:color="auto" w:fill="FFFFFF"/>
        </w:rPr>
        <w:t xml:space="preserve"> James</w:t>
      </w:r>
      <w:r w:rsidRPr="00FD75D2">
        <w:t xml:space="preserve"> (2018) </w:t>
      </w:r>
      <w:r w:rsidRPr="00FD75D2">
        <w:rPr>
          <w:color w:val="000000"/>
        </w:rPr>
        <w:t>EWHC 3058</w:t>
      </w:r>
    </w:p>
    <w:p w14:paraId="5F349E26" w14:textId="77777777" w:rsidR="00FD75D2" w:rsidRPr="00FD75D2" w:rsidRDefault="00FD75D2" w:rsidP="00FD75D2">
      <w:pPr>
        <w:spacing w:line="360" w:lineRule="auto"/>
      </w:pPr>
      <w:r w:rsidRPr="00FD75D2">
        <w:t>The Data Protection Act (2018)</w:t>
      </w:r>
    </w:p>
    <w:p w14:paraId="00A3F8FE" w14:textId="77777777" w:rsidR="00FD75D2" w:rsidRPr="00FD75D2" w:rsidRDefault="00FD75D2" w:rsidP="00FD75D2">
      <w:pPr>
        <w:spacing w:line="360" w:lineRule="auto"/>
      </w:pPr>
      <w:r w:rsidRPr="00FD75D2">
        <w:t>The Human Rights Act (1998) S.8</w:t>
      </w:r>
    </w:p>
    <w:p w14:paraId="2D93CBF1" w14:textId="77777777" w:rsidR="00FD75D2" w:rsidRPr="00FD75D2" w:rsidRDefault="00FD75D2" w:rsidP="00FD75D2">
      <w:pPr>
        <w:spacing w:line="360" w:lineRule="auto"/>
      </w:pPr>
      <w:r w:rsidRPr="00FD75D2">
        <w:t>The Legal Services Act (2007)</w:t>
      </w:r>
    </w:p>
    <w:p w14:paraId="7C72E73E" w14:textId="77777777" w:rsidR="00FD75D2" w:rsidRDefault="00FD75D2" w:rsidP="00FD75D2">
      <w:pPr>
        <w:pStyle w:val="ListParagraph"/>
      </w:pPr>
    </w:p>
    <w:p w14:paraId="536885FC" w14:textId="77777777" w:rsidR="00FD75D2" w:rsidRPr="00AD21DE" w:rsidRDefault="00FD75D2"/>
    <w:sectPr w:rsidR="00FD75D2" w:rsidRPr="00AD2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76EEF"/>
    <w:multiLevelType w:val="hybridMultilevel"/>
    <w:tmpl w:val="4DA8B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3FA6E2E"/>
    <w:multiLevelType w:val="hybridMultilevel"/>
    <w:tmpl w:val="3758B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2D1158"/>
    <w:multiLevelType w:val="hybridMultilevel"/>
    <w:tmpl w:val="3758B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DE"/>
    <w:rsid w:val="000C5942"/>
    <w:rsid w:val="005539B2"/>
    <w:rsid w:val="00626817"/>
    <w:rsid w:val="00752E29"/>
    <w:rsid w:val="00AD21DE"/>
    <w:rsid w:val="00BE20FA"/>
    <w:rsid w:val="00FD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2399E7"/>
  <w15:chartTrackingRefBased/>
  <w15:docId w15:val="{AE87F278-11DB-5141-8F02-5F0CE502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D21DE"/>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AD21DE"/>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D21DE"/>
    <w:rPr>
      <w:color w:val="0563C1" w:themeColor="hyperlink"/>
      <w:u w:val="single"/>
    </w:rPr>
  </w:style>
  <w:style w:type="character" w:styleId="UnresolvedMention">
    <w:name w:val="Unresolved Mention"/>
    <w:basedOn w:val="DefaultParagraphFont"/>
    <w:uiPriority w:val="99"/>
    <w:semiHidden/>
    <w:unhideWhenUsed/>
    <w:rsid w:val="00AD21DE"/>
    <w:rPr>
      <w:color w:val="605E5C"/>
      <w:shd w:val="clear" w:color="auto" w:fill="E1DFDD"/>
    </w:rPr>
  </w:style>
  <w:style w:type="character" w:styleId="Emphasis">
    <w:name w:val="Emphasis"/>
    <w:basedOn w:val="DefaultParagraphFont"/>
    <w:uiPriority w:val="20"/>
    <w:qFormat/>
    <w:rsid w:val="00AD21DE"/>
    <w:rPr>
      <w:i/>
      <w:iCs/>
    </w:rPr>
  </w:style>
  <w:style w:type="character" w:customStyle="1" w:styleId="apple-converted-space">
    <w:name w:val="apple-converted-space"/>
    <w:basedOn w:val="DefaultParagraphFont"/>
    <w:rsid w:val="00AD21DE"/>
  </w:style>
  <w:style w:type="paragraph" w:styleId="FootnoteText">
    <w:name w:val="footnote text"/>
    <w:basedOn w:val="Normal"/>
    <w:link w:val="FootnoteTextChar"/>
    <w:semiHidden/>
    <w:unhideWhenUsed/>
    <w:rsid w:val="00AD21DE"/>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AD21D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63416">
      <w:bodyDiv w:val="1"/>
      <w:marLeft w:val="0"/>
      <w:marRight w:val="0"/>
      <w:marTop w:val="0"/>
      <w:marBottom w:val="0"/>
      <w:divBdr>
        <w:top w:val="none" w:sz="0" w:space="0" w:color="auto"/>
        <w:left w:val="none" w:sz="0" w:space="0" w:color="auto"/>
        <w:bottom w:val="none" w:sz="0" w:space="0" w:color="auto"/>
        <w:right w:val="none" w:sz="0" w:space="0" w:color="auto"/>
      </w:divBdr>
    </w:div>
    <w:div w:id="401949054">
      <w:bodyDiv w:val="1"/>
      <w:marLeft w:val="0"/>
      <w:marRight w:val="0"/>
      <w:marTop w:val="0"/>
      <w:marBottom w:val="0"/>
      <w:divBdr>
        <w:top w:val="none" w:sz="0" w:space="0" w:color="auto"/>
        <w:left w:val="none" w:sz="0" w:space="0" w:color="auto"/>
        <w:bottom w:val="none" w:sz="0" w:space="0" w:color="auto"/>
        <w:right w:val="none" w:sz="0" w:space="0" w:color="auto"/>
      </w:divBdr>
    </w:div>
    <w:div w:id="638607832">
      <w:bodyDiv w:val="1"/>
      <w:marLeft w:val="0"/>
      <w:marRight w:val="0"/>
      <w:marTop w:val="0"/>
      <w:marBottom w:val="0"/>
      <w:divBdr>
        <w:top w:val="none" w:sz="0" w:space="0" w:color="auto"/>
        <w:left w:val="none" w:sz="0" w:space="0" w:color="auto"/>
        <w:bottom w:val="none" w:sz="0" w:space="0" w:color="auto"/>
        <w:right w:val="none" w:sz="0" w:space="0" w:color="auto"/>
      </w:divBdr>
    </w:div>
    <w:div w:id="1545554681">
      <w:bodyDiv w:val="1"/>
      <w:marLeft w:val="0"/>
      <w:marRight w:val="0"/>
      <w:marTop w:val="0"/>
      <w:marBottom w:val="0"/>
      <w:divBdr>
        <w:top w:val="none" w:sz="0" w:space="0" w:color="auto"/>
        <w:left w:val="none" w:sz="0" w:space="0" w:color="auto"/>
        <w:bottom w:val="none" w:sz="0" w:space="0" w:color="auto"/>
        <w:right w:val="none" w:sz="0" w:space="0" w:color="auto"/>
      </w:divBdr>
    </w:div>
    <w:div w:id="1911766088">
      <w:bodyDiv w:val="1"/>
      <w:marLeft w:val="0"/>
      <w:marRight w:val="0"/>
      <w:marTop w:val="0"/>
      <w:marBottom w:val="0"/>
      <w:divBdr>
        <w:top w:val="none" w:sz="0" w:space="0" w:color="auto"/>
        <w:left w:val="none" w:sz="0" w:space="0" w:color="auto"/>
        <w:bottom w:val="none" w:sz="0" w:space="0" w:color="auto"/>
        <w:right w:val="none" w:sz="0" w:space="0" w:color="auto"/>
      </w:divBdr>
    </w:div>
    <w:div w:id="1998142153">
      <w:bodyDiv w:val="1"/>
      <w:marLeft w:val="0"/>
      <w:marRight w:val="0"/>
      <w:marTop w:val="0"/>
      <w:marBottom w:val="0"/>
      <w:divBdr>
        <w:top w:val="none" w:sz="0" w:space="0" w:color="auto"/>
        <w:left w:val="none" w:sz="0" w:space="0" w:color="auto"/>
        <w:bottom w:val="none" w:sz="0" w:space="0" w:color="auto"/>
        <w:right w:val="none" w:sz="0" w:space="0" w:color="auto"/>
      </w:divBdr>
    </w:div>
    <w:div w:id="2043743658">
      <w:bodyDiv w:val="1"/>
      <w:marLeft w:val="0"/>
      <w:marRight w:val="0"/>
      <w:marTop w:val="0"/>
      <w:marBottom w:val="0"/>
      <w:divBdr>
        <w:top w:val="none" w:sz="0" w:space="0" w:color="auto"/>
        <w:left w:val="none" w:sz="0" w:space="0" w:color="auto"/>
        <w:bottom w:val="none" w:sz="0" w:space="0" w:color="auto"/>
        <w:right w:val="none" w:sz="0" w:space="0" w:color="auto"/>
      </w:divBdr>
    </w:div>
    <w:div w:id="2046906276">
      <w:bodyDiv w:val="1"/>
      <w:marLeft w:val="0"/>
      <w:marRight w:val="0"/>
      <w:marTop w:val="0"/>
      <w:marBottom w:val="0"/>
      <w:divBdr>
        <w:top w:val="none" w:sz="0" w:space="0" w:color="auto"/>
        <w:left w:val="none" w:sz="0" w:space="0" w:color="auto"/>
        <w:bottom w:val="none" w:sz="0" w:space="0" w:color="auto"/>
        <w:right w:val="none" w:sz="0" w:space="0" w:color="auto"/>
      </w:divBdr>
    </w:div>
    <w:div w:id="214488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guidance/confidentiality-client-inform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ra.org.uk/solicitors/standards-regulations/princip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ra.org.uk/solicitors/standards-regulations/code-conduct-solicitors/" TargetMode="External"/><Relationship Id="rId11" Type="http://schemas.openxmlformats.org/officeDocument/2006/relationships/hyperlink" Target="https://www.sra.org.uk/solicitors/guidance/client-care-letters/" TargetMode="External"/><Relationship Id="rId5" Type="http://schemas.openxmlformats.org/officeDocument/2006/relationships/hyperlink" Target="https://core.ac.uk/download/pdf/268431295.pdf" TargetMode="External"/><Relationship Id="rId10" Type="http://schemas.openxmlformats.org/officeDocument/2006/relationships/hyperlink" Target="https://www.sra.org.uk/solicitors/standards-regulations/principles/" TargetMode="External"/><Relationship Id="rId4" Type="http://schemas.openxmlformats.org/officeDocument/2006/relationships/webSettings" Target="webSettings.xml"/><Relationship Id="rId9" Type="http://schemas.openxmlformats.org/officeDocument/2006/relationships/hyperlink" Target="https://www.sra.org.uk/solicitors/standards-regulations/code-conduct-solici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4</cp:revision>
  <dcterms:created xsi:type="dcterms:W3CDTF">2021-04-08T19:00:00Z</dcterms:created>
  <dcterms:modified xsi:type="dcterms:W3CDTF">2021-04-28T20:28:00Z</dcterms:modified>
</cp:coreProperties>
</file>