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68384D" w14:textId="5F3E2B3B" w:rsidR="00A338F8" w:rsidRDefault="00A338F8" w:rsidP="004659F9">
      <w:pPr>
        <w:spacing w:line="240" w:lineRule="auto"/>
        <w:rPr>
          <w:rFonts w:ascii="Times New Roman" w:hAnsi="Times New Roman" w:cs="Times New Roman"/>
          <w:sz w:val="24"/>
          <w:szCs w:val="24"/>
        </w:rPr>
      </w:pPr>
    </w:p>
    <w:p w14:paraId="6F0D6613" w14:textId="7011D977" w:rsidR="00953CE2" w:rsidRDefault="00953CE2" w:rsidP="004659F9">
      <w:pPr>
        <w:spacing w:line="240" w:lineRule="auto"/>
        <w:rPr>
          <w:rFonts w:ascii="Times New Roman" w:hAnsi="Times New Roman" w:cs="Times New Roman"/>
          <w:sz w:val="24"/>
          <w:szCs w:val="24"/>
        </w:rPr>
      </w:pPr>
    </w:p>
    <w:p w14:paraId="77D0A017" w14:textId="199A87EC" w:rsidR="00953CE2" w:rsidRDefault="00953CE2" w:rsidP="004659F9">
      <w:pPr>
        <w:spacing w:line="240" w:lineRule="auto"/>
        <w:rPr>
          <w:rFonts w:ascii="Times New Roman" w:hAnsi="Times New Roman" w:cs="Times New Roman"/>
          <w:sz w:val="24"/>
          <w:szCs w:val="24"/>
        </w:rPr>
      </w:pPr>
    </w:p>
    <w:p w14:paraId="585D1C0F" w14:textId="070A558D" w:rsidR="00953CE2" w:rsidRDefault="00953CE2" w:rsidP="004659F9">
      <w:pPr>
        <w:spacing w:line="240" w:lineRule="auto"/>
        <w:rPr>
          <w:rFonts w:ascii="Times New Roman" w:hAnsi="Times New Roman" w:cs="Times New Roman"/>
          <w:sz w:val="24"/>
          <w:szCs w:val="24"/>
        </w:rPr>
      </w:pPr>
    </w:p>
    <w:p w14:paraId="3280BD7E" w14:textId="0FF25841" w:rsidR="00953CE2" w:rsidRDefault="00953CE2" w:rsidP="004659F9">
      <w:pPr>
        <w:spacing w:line="240" w:lineRule="auto"/>
        <w:rPr>
          <w:rFonts w:ascii="Times New Roman" w:hAnsi="Times New Roman" w:cs="Times New Roman"/>
          <w:sz w:val="24"/>
          <w:szCs w:val="24"/>
        </w:rPr>
      </w:pPr>
    </w:p>
    <w:p w14:paraId="387346CA" w14:textId="40842A0C" w:rsidR="00953CE2" w:rsidRDefault="00953CE2" w:rsidP="00262FD6">
      <w:pPr>
        <w:pStyle w:val="NormalWeb"/>
        <w:spacing w:before="0" w:beforeAutospacing="0" w:after="160" w:afterAutospacing="0"/>
        <w:rPr>
          <w:rFonts w:eastAsiaTheme="minorHAnsi"/>
          <w:lang w:eastAsia="en-US"/>
        </w:rPr>
      </w:pPr>
    </w:p>
    <w:p w14:paraId="294DDB76" w14:textId="77777777" w:rsidR="00882803" w:rsidRPr="00262FD6" w:rsidRDefault="00882803" w:rsidP="00262FD6">
      <w:pPr>
        <w:pStyle w:val="NormalWeb"/>
        <w:spacing w:before="0" w:beforeAutospacing="0" w:after="160" w:afterAutospacing="0"/>
        <w:rPr>
          <w:rFonts w:eastAsiaTheme="minorHAnsi"/>
          <w:lang w:eastAsia="en-US"/>
        </w:rPr>
      </w:pPr>
    </w:p>
    <w:p w14:paraId="38DA4DE7" w14:textId="29EB5F27" w:rsidR="00953CE2" w:rsidRPr="00444228" w:rsidRDefault="00953CE2" w:rsidP="00444228">
      <w:pPr>
        <w:pStyle w:val="NormalWeb"/>
        <w:spacing w:before="0" w:beforeAutospacing="0" w:after="160" w:afterAutospacing="0"/>
        <w:rPr>
          <w:rFonts w:eastAsiaTheme="minorHAnsi"/>
          <w:lang w:eastAsia="en-US"/>
        </w:rPr>
      </w:pPr>
    </w:p>
    <w:p w14:paraId="53CC08AB" w14:textId="55B7D8DD" w:rsidR="002F162C" w:rsidRPr="002F162C" w:rsidRDefault="002F162C" w:rsidP="005A0A38">
      <w:pPr>
        <w:spacing w:line="480" w:lineRule="auto"/>
        <w:jc w:val="center"/>
        <w:rPr>
          <w:rFonts w:ascii="Times New Roman" w:hAnsi="Times New Roman" w:cs="Times New Roman"/>
          <w:sz w:val="24"/>
          <w:szCs w:val="24"/>
        </w:rPr>
      </w:pPr>
      <w:r w:rsidRPr="00262FD6">
        <w:rPr>
          <w:rFonts w:ascii="Times New Roman" w:hAnsi="Times New Roman" w:cs="Times New Roman"/>
          <w:b/>
          <w:bCs/>
          <w:sz w:val="24"/>
          <w:szCs w:val="24"/>
        </w:rPr>
        <w:t>Module Code:</w:t>
      </w:r>
      <w:r w:rsidRPr="002F162C">
        <w:rPr>
          <w:rFonts w:ascii="Times New Roman" w:hAnsi="Times New Roman" w:cs="Times New Roman"/>
          <w:sz w:val="24"/>
          <w:szCs w:val="24"/>
        </w:rPr>
        <w:t xml:space="preserve"> LC</w:t>
      </w:r>
      <w:r w:rsidR="005E02AE">
        <w:rPr>
          <w:rFonts w:ascii="Times New Roman" w:hAnsi="Times New Roman" w:cs="Times New Roman"/>
          <w:sz w:val="24"/>
          <w:szCs w:val="24"/>
          <w:lang w:val="en-US"/>
        </w:rPr>
        <w:t>L</w:t>
      </w:r>
      <w:r w:rsidRPr="002F162C">
        <w:rPr>
          <w:rFonts w:ascii="Times New Roman" w:hAnsi="Times New Roman" w:cs="Times New Roman"/>
          <w:sz w:val="24"/>
          <w:szCs w:val="24"/>
        </w:rPr>
        <w:t>M50</w:t>
      </w:r>
      <w:r w:rsidR="005E02AE">
        <w:rPr>
          <w:rFonts w:ascii="Times New Roman" w:hAnsi="Times New Roman" w:cs="Times New Roman"/>
          <w:sz w:val="24"/>
          <w:szCs w:val="24"/>
          <w:lang w:val="en-US"/>
        </w:rPr>
        <w:t>0</w:t>
      </w:r>
      <w:r w:rsidRPr="002F162C">
        <w:rPr>
          <w:rFonts w:ascii="Times New Roman" w:hAnsi="Times New Roman" w:cs="Times New Roman"/>
          <w:sz w:val="24"/>
          <w:szCs w:val="24"/>
        </w:rPr>
        <w:t>1</w:t>
      </w:r>
    </w:p>
    <w:p w14:paraId="557571D8" w14:textId="77777777" w:rsidR="002F162C" w:rsidRPr="002F162C" w:rsidRDefault="002F162C" w:rsidP="005A0A38">
      <w:pPr>
        <w:spacing w:line="480" w:lineRule="auto"/>
        <w:jc w:val="center"/>
        <w:rPr>
          <w:rFonts w:ascii="Times New Roman" w:hAnsi="Times New Roman" w:cs="Times New Roman"/>
          <w:sz w:val="24"/>
          <w:szCs w:val="24"/>
        </w:rPr>
      </w:pPr>
      <w:r w:rsidRPr="00262FD6">
        <w:rPr>
          <w:rFonts w:ascii="Times New Roman" w:hAnsi="Times New Roman" w:cs="Times New Roman"/>
          <w:b/>
          <w:bCs/>
          <w:sz w:val="24"/>
          <w:szCs w:val="24"/>
        </w:rPr>
        <w:t>Programme:</w:t>
      </w:r>
      <w:r w:rsidRPr="002F162C">
        <w:rPr>
          <w:rFonts w:ascii="Times New Roman" w:hAnsi="Times New Roman" w:cs="Times New Roman"/>
          <w:sz w:val="24"/>
          <w:szCs w:val="24"/>
        </w:rPr>
        <w:t xml:space="preserve"> BA (Hons) Leadership and Management Skills for the Workplace</w:t>
      </w:r>
    </w:p>
    <w:p w14:paraId="159D50A0" w14:textId="77777777" w:rsidR="002F162C" w:rsidRPr="002F162C" w:rsidRDefault="002F162C" w:rsidP="005A0A38">
      <w:pPr>
        <w:spacing w:line="480" w:lineRule="auto"/>
        <w:jc w:val="center"/>
        <w:rPr>
          <w:rFonts w:ascii="Times New Roman" w:hAnsi="Times New Roman" w:cs="Times New Roman"/>
          <w:sz w:val="24"/>
          <w:szCs w:val="24"/>
        </w:rPr>
      </w:pPr>
      <w:r w:rsidRPr="00262FD6">
        <w:rPr>
          <w:rFonts w:ascii="Times New Roman" w:hAnsi="Times New Roman" w:cs="Times New Roman"/>
          <w:b/>
          <w:bCs/>
          <w:sz w:val="24"/>
          <w:szCs w:val="24"/>
        </w:rPr>
        <w:t>Module Title:</w:t>
      </w:r>
      <w:r w:rsidRPr="002F162C">
        <w:rPr>
          <w:rFonts w:ascii="Times New Roman" w:hAnsi="Times New Roman" w:cs="Times New Roman"/>
          <w:sz w:val="24"/>
          <w:szCs w:val="24"/>
        </w:rPr>
        <w:t xml:space="preserve"> Understanding and Engaging Stakeholders</w:t>
      </w:r>
    </w:p>
    <w:p w14:paraId="36F4C064" w14:textId="53A4F663" w:rsidR="002F162C" w:rsidRPr="009F77FB" w:rsidRDefault="002F162C" w:rsidP="005A0A38">
      <w:pPr>
        <w:spacing w:line="480" w:lineRule="auto"/>
        <w:jc w:val="center"/>
        <w:rPr>
          <w:rFonts w:ascii="Times New Roman" w:hAnsi="Times New Roman" w:cs="Times New Roman"/>
          <w:sz w:val="24"/>
          <w:szCs w:val="24"/>
          <w:lang w:val="en-US"/>
        </w:rPr>
      </w:pPr>
      <w:r w:rsidRPr="00262FD6">
        <w:rPr>
          <w:rFonts w:ascii="Times New Roman" w:hAnsi="Times New Roman" w:cs="Times New Roman"/>
          <w:b/>
          <w:bCs/>
          <w:sz w:val="24"/>
          <w:szCs w:val="24"/>
        </w:rPr>
        <w:t>Assessment Title:</w:t>
      </w:r>
      <w:r w:rsidRPr="002F162C">
        <w:rPr>
          <w:rFonts w:ascii="Times New Roman" w:hAnsi="Times New Roman" w:cs="Times New Roman"/>
          <w:sz w:val="24"/>
          <w:szCs w:val="24"/>
        </w:rPr>
        <w:t xml:space="preserve"> </w:t>
      </w:r>
      <w:r w:rsidR="00145C48" w:rsidRPr="00145C48">
        <w:rPr>
          <w:rFonts w:ascii="Times New Roman" w:hAnsi="Times New Roman" w:cs="Times New Roman"/>
          <w:sz w:val="24"/>
          <w:szCs w:val="24"/>
          <w:lang w:val="en-US"/>
        </w:rPr>
        <w:t>UNDERSTANDING AND ENGAGING STAKEHOLDERS</w:t>
      </w:r>
    </w:p>
    <w:p w14:paraId="18B65FBE" w14:textId="3D5BEFCB" w:rsidR="00953CE2" w:rsidRDefault="002F162C" w:rsidP="005A0A38">
      <w:pPr>
        <w:pStyle w:val="BodyText2"/>
        <w:spacing w:line="480" w:lineRule="auto"/>
        <w:jc w:val="center"/>
      </w:pPr>
      <w:r w:rsidRPr="00262FD6">
        <w:rPr>
          <w:b/>
          <w:bCs/>
        </w:rPr>
        <w:t>Assessment Type:</w:t>
      </w:r>
      <w:r w:rsidRPr="002F162C">
        <w:t xml:space="preserve"> Coursework (Individual)</w:t>
      </w:r>
    </w:p>
    <w:p w14:paraId="0B0B05A2" w14:textId="13B1AFE7" w:rsidR="005D0143" w:rsidRDefault="005D0143" w:rsidP="005A0A38">
      <w:pPr>
        <w:pStyle w:val="BodyText2"/>
        <w:spacing w:line="480" w:lineRule="auto"/>
        <w:jc w:val="center"/>
        <w:rPr>
          <w:lang w:val="en-US"/>
        </w:rPr>
      </w:pPr>
      <w:r w:rsidRPr="00DD38B9">
        <w:rPr>
          <w:b/>
          <w:bCs/>
          <w:lang w:val="en-US"/>
        </w:rPr>
        <w:t>Student Name:</w:t>
      </w:r>
      <w:r w:rsidR="00145C48">
        <w:rPr>
          <w:lang w:val="en-US"/>
        </w:rPr>
        <w:t xml:space="preserve"> </w:t>
      </w:r>
      <w:r w:rsidR="00145C48" w:rsidRPr="00145C48">
        <w:rPr>
          <w:lang w:val="en-US"/>
        </w:rPr>
        <w:t>Fayza Boukhenifer</w:t>
      </w:r>
    </w:p>
    <w:p w14:paraId="4D5ED75F" w14:textId="684161D3" w:rsidR="005D0143" w:rsidRDefault="005D0143" w:rsidP="005A0A38">
      <w:pPr>
        <w:pStyle w:val="BodyText2"/>
        <w:spacing w:line="480" w:lineRule="auto"/>
        <w:jc w:val="center"/>
        <w:rPr>
          <w:lang w:val="en-US"/>
        </w:rPr>
      </w:pPr>
      <w:r w:rsidRPr="00DD38B9">
        <w:rPr>
          <w:b/>
          <w:bCs/>
          <w:lang w:val="en-US"/>
        </w:rPr>
        <w:t>Student ID:</w:t>
      </w:r>
      <w:r w:rsidR="00145C48">
        <w:rPr>
          <w:lang w:val="en-US"/>
        </w:rPr>
        <w:t xml:space="preserve"> </w:t>
      </w:r>
      <w:r w:rsidR="00145C48" w:rsidRPr="00145C48">
        <w:rPr>
          <w:lang w:val="en-US"/>
        </w:rPr>
        <w:t>2335538</w:t>
      </w:r>
    </w:p>
    <w:p w14:paraId="7A5F866C" w14:textId="09D9C113" w:rsidR="005D0143" w:rsidRDefault="005D0143" w:rsidP="005A0A38">
      <w:pPr>
        <w:pStyle w:val="BodyText2"/>
        <w:spacing w:line="480" w:lineRule="auto"/>
        <w:jc w:val="center"/>
        <w:rPr>
          <w:lang w:val="en-US"/>
        </w:rPr>
      </w:pPr>
      <w:r w:rsidRPr="00DD38B9">
        <w:rPr>
          <w:b/>
          <w:bCs/>
          <w:lang w:val="en-US"/>
        </w:rPr>
        <w:t>Date:</w:t>
      </w:r>
      <w:r>
        <w:rPr>
          <w:lang w:val="en-US"/>
        </w:rPr>
        <w:t xml:space="preserve"> 15.12.2025</w:t>
      </w:r>
    </w:p>
    <w:p w14:paraId="01D0AEB4" w14:textId="4BC8B10E" w:rsidR="005D0143" w:rsidRPr="005D0143" w:rsidRDefault="005D0143" w:rsidP="005A0A38">
      <w:pPr>
        <w:pStyle w:val="BodyText2"/>
        <w:spacing w:line="480" w:lineRule="auto"/>
        <w:jc w:val="center"/>
        <w:rPr>
          <w:lang w:val="en-US"/>
        </w:rPr>
      </w:pPr>
      <w:r w:rsidRPr="00DD38B9">
        <w:rPr>
          <w:b/>
          <w:bCs/>
          <w:lang w:val="en-US"/>
        </w:rPr>
        <w:t>Word count:</w:t>
      </w:r>
      <w:r>
        <w:rPr>
          <w:lang w:val="en-US"/>
        </w:rPr>
        <w:t xml:space="preserve"> 4000</w:t>
      </w:r>
    </w:p>
    <w:p w14:paraId="031E6599" w14:textId="402C46E5" w:rsidR="00953CE2" w:rsidRDefault="00953CE2" w:rsidP="004659F9">
      <w:pPr>
        <w:spacing w:line="240" w:lineRule="auto"/>
        <w:rPr>
          <w:rFonts w:ascii="Times New Roman" w:hAnsi="Times New Roman" w:cs="Times New Roman"/>
          <w:sz w:val="24"/>
          <w:szCs w:val="24"/>
        </w:rPr>
      </w:pPr>
    </w:p>
    <w:p w14:paraId="7DA88E64" w14:textId="466B82F2" w:rsidR="00953CE2" w:rsidRDefault="00953CE2" w:rsidP="004659F9">
      <w:pPr>
        <w:spacing w:line="240" w:lineRule="auto"/>
        <w:rPr>
          <w:rFonts w:ascii="Times New Roman" w:hAnsi="Times New Roman" w:cs="Times New Roman"/>
          <w:sz w:val="24"/>
          <w:szCs w:val="24"/>
        </w:rPr>
      </w:pPr>
    </w:p>
    <w:p w14:paraId="258B580E" w14:textId="6DBDD844" w:rsidR="00953CE2" w:rsidRDefault="00953CE2" w:rsidP="004659F9">
      <w:pPr>
        <w:spacing w:line="240" w:lineRule="auto"/>
        <w:rPr>
          <w:rFonts w:ascii="Times New Roman" w:hAnsi="Times New Roman" w:cs="Times New Roman"/>
          <w:sz w:val="24"/>
          <w:szCs w:val="24"/>
        </w:rPr>
      </w:pPr>
    </w:p>
    <w:p w14:paraId="6BEBB16E" w14:textId="4C02AC64" w:rsidR="00953CE2" w:rsidRDefault="00953CE2" w:rsidP="004659F9">
      <w:pPr>
        <w:spacing w:line="240" w:lineRule="auto"/>
        <w:rPr>
          <w:rFonts w:ascii="Times New Roman" w:hAnsi="Times New Roman" w:cs="Times New Roman"/>
          <w:sz w:val="24"/>
          <w:szCs w:val="24"/>
        </w:rPr>
      </w:pPr>
    </w:p>
    <w:p w14:paraId="1D9C53AB" w14:textId="01493ED7" w:rsidR="00953CE2" w:rsidRDefault="00953CE2" w:rsidP="004659F9">
      <w:pPr>
        <w:spacing w:line="240" w:lineRule="auto"/>
        <w:rPr>
          <w:rFonts w:ascii="Times New Roman" w:hAnsi="Times New Roman" w:cs="Times New Roman"/>
          <w:sz w:val="24"/>
          <w:szCs w:val="24"/>
        </w:rPr>
      </w:pPr>
    </w:p>
    <w:p w14:paraId="71FC5C73" w14:textId="79739745" w:rsidR="001A386F" w:rsidRDefault="001A386F" w:rsidP="004659F9">
      <w:pPr>
        <w:spacing w:line="240" w:lineRule="auto"/>
        <w:rPr>
          <w:rFonts w:ascii="Times New Roman" w:hAnsi="Times New Roman" w:cs="Times New Roman"/>
          <w:sz w:val="24"/>
          <w:szCs w:val="24"/>
        </w:rPr>
      </w:pPr>
    </w:p>
    <w:p w14:paraId="627F223B" w14:textId="42512E7D" w:rsidR="001A386F" w:rsidRDefault="001A386F" w:rsidP="004659F9">
      <w:pPr>
        <w:spacing w:line="240" w:lineRule="auto"/>
        <w:rPr>
          <w:rFonts w:ascii="Times New Roman" w:hAnsi="Times New Roman" w:cs="Times New Roman"/>
          <w:sz w:val="24"/>
          <w:szCs w:val="24"/>
        </w:rPr>
      </w:pPr>
    </w:p>
    <w:p w14:paraId="0990B510" w14:textId="77777777" w:rsidR="000A073D" w:rsidRPr="000A073D" w:rsidRDefault="000A073D" w:rsidP="006D4C9C">
      <w:pPr>
        <w:pStyle w:val="Heading1"/>
      </w:pPr>
      <w:bookmarkStart w:id="0" w:name="_Toc216698361"/>
      <w:r w:rsidRPr="000A073D">
        <w:lastRenderedPageBreak/>
        <w:t>Executive Summary</w:t>
      </w:r>
      <w:bookmarkEnd w:id="0"/>
    </w:p>
    <w:p w14:paraId="7332FBF9" w14:textId="331B98E0" w:rsidR="00923B4A" w:rsidRPr="00923B4A" w:rsidRDefault="00923B4A" w:rsidP="00923B4A">
      <w:pPr>
        <w:spacing w:line="480" w:lineRule="auto"/>
        <w:jc w:val="both"/>
        <w:rPr>
          <w:rFonts w:ascii="Times New Roman" w:hAnsi="Times New Roman" w:cs="Times New Roman"/>
          <w:sz w:val="24"/>
          <w:szCs w:val="24"/>
        </w:rPr>
      </w:pPr>
      <w:r w:rsidRPr="00923B4A">
        <w:rPr>
          <w:rFonts w:ascii="Times New Roman" w:hAnsi="Times New Roman" w:cs="Times New Roman"/>
          <w:sz w:val="24"/>
          <w:szCs w:val="24"/>
        </w:rPr>
        <w:t>This report focuses on stakeholder engagement strategies that must be used to ensure the successful introduction of the Apple Watch Series 11 to the UK healthcare industry. The Series 11 offers enhanced health tracking capabilities tailored to individuals who have chronic health conditions or are ageing with continuous heart rate and HRV, blood oxygen, hypertension alerts</w:t>
      </w:r>
      <w:r w:rsidR="001021AF">
        <w:rPr>
          <w:rFonts w:ascii="Times New Roman" w:hAnsi="Times New Roman" w:cs="Times New Roman"/>
          <w:sz w:val="24"/>
          <w:szCs w:val="24"/>
        </w:rPr>
        <w:t xml:space="preserve"> and</w:t>
      </w:r>
      <w:r w:rsidRPr="00923B4A">
        <w:rPr>
          <w:rFonts w:ascii="Times New Roman" w:hAnsi="Times New Roman" w:cs="Times New Roman"/>
          <w:sz w:val="24"/>
          <w:szCs w:val="24"/>
        </w:rPr>
        <w:t xml:space="preserve"> sleep analytics</w:t>
      </w:r>
      <w:r w:rsidR="001021AF">
        <w:rPr>
          <w:rFonts w:ascii="Times New Roman" w:hAnsi="Times New Roman" w:cs="Times New Roman"/>
          <w:sz w:val="24"/>
          <w:szCs w:val="24"/>
        </w:rPr>
        <w:t xml:space="preserve"> and</w:t>
      </w:r>
      <w:r w:rsidRPr="00923B4A">
        <w:rPr>
          <w:rFonts w:ascii="Times New Roman" w:hAnsi="Times New Roman" w:cs="Times New Roman"/>
          <w:sz w:val="24"/>
          <w:szCs w:val="24"/>
        </w:rPr>
        <w:t xml:space="preserve"> it targets the segment of the population whose health is considered to be at risk and the older generation. An integrated SWOT and PESTLE study demonstrates that Apple has technological advantages, a robust brand</w:t>
      </w:r>
      <w:r w:rsidR="001021AF">
        <w:rPr>
          <w:rFonts w:ascii="Times New Roman" w:hAnsi="Times New Roman" w:cs="Times New Roman"/>
          <w:sz w:val="24"/>
          <w:szCs w:val="24"/>
        </w:rPr>
        <w:t xml:space="preserve"> and</w:t>
      </w:r>
      <w:r w:rsidRPr="00923B4A">
        <w:rPr>
          <w:rFonts w:ascii="Times New Roman" w:hAnsi="Times New Roman" w:cs="Times New Roman"/>
          <w:sz w:val="24"/>
          <w:szCs w:val="24"/>
        </w:rPr>
        <w:t xml:space="preserve"> opportunities related to the use of AI and the NHS digitization effort with threats associated with high prices, regulatory compliance and competition.</w:t>
      </w:r>
    </w:p>
    <w:p w14:paraId="05F96703" w14:textId="46434BD3" w:rsidR="00923B4A" w:rsidRPr="00923B4A" w:rsidRDefault="00923B4A" w:rsidP="00923B4A">
      <w:pPr>
        <w:spacing w:line="480" w:lineRule="auto"/>
        <w:jc w:val="both"/>
        <w:rPr>
          <w:rFonts w:ascii="Times New Roman" w:hAnsi="Times New Roman" w:cs="Times New Roman"/>
          <w:sz w:val="24"/>
          <w:szCs w:val="24"/>
        </w:rPr>
      </w:pPr>
      <w:r w:rsidRPr="00923B4A">
        <w:rPr>
          <w:rFonts w:ascii="Times New Roman" w:hAnsi="Times New Roman" w:cs="Times New Roman"/>
          <w:sz w:val="24"/>
          <w:szCs w:val="24"/>
        </w:rPr>
        <w:t>The report recognizes both internal stakeholders (product development, data analytics, product development, QA, marketing, project manager) and external stakeholders (regulatory, NHS partners, suppliers, technology partners, consumers), mapping their roles and responsibilities, benefits</w:t>
      </w:r>
      <w:r w:rsidR="001021AF">
        <w:rPr>
          <w:rFonts w:ascii="Times New Roman" w:hAnsi="Times New Roman" w:cs="Times New Roman"/>
          <w:sz w:val="24"/>
          <w:szCs w:val="24"/>
        </w:rPr>
        <w:t xml:space="preserve"> and</w:t>
      </w:r>
      <w:r w:rsidRPr="00923B4A">
        <w:rPr>
          <w:rFonts w:ascii="Times New Roman" w:hAnsi="Times New Roman" w:cs="Times New Roman"/>
          <w:sz w:val="24"/>
          <w:szCs w:val="24"/>
        </w:rPr>
        <w:t xml:space="preserve"> possible challenges based on the stakeholder theory and RACI matrix. The use of the 4Cs model (Communication, Collaboration, Coordination and consideration) shows how systematic interaction helps to align, reduce conflicts and improve innovation.</w:t>
      </w:r>
    </w:p>
    <w:p w14:paraId="3F715152" w14:textId="63EFDB90" w:rsidR="001A386F" w:rsidRDefault="00923B4A" w:rsidP="00923B4A">
      <w:pPr>
        <w:spacing w:line="480" w:lineRule="auto"/>
        <w:jc w:val="both"/>
        <w:rPr>
          <w:rFonts w:ascii="Times New Roman" w:hAnsi="Times New Roman" w:cs="Times New Roman"/>
          <w:sz w:val="24"/>
          <w:szCs w:val="24"/>
        </w:rPr>
      </w:pPr>
      <w:r w:rsidRPr="00923B4A">
        <w:rPr>
          <w:rFonts w:ascii="Times New Roman" w:hAnsi="Times New Roman" w:cs="Times New Roman"/>
          <w:sz w:val="24"/>
          <w:szCs w:val="24"/>
        </w:rPr>
        <w:t>Lastly, the report measures success of stakeholder collaboration on business performance with a final statement on recommendations of integrating mechanisms of engagement into future product development. Stakeholder management is found to be crucial to the sustainable competitive advantage, regulatory conformity</w:t>
      </w:r>
      <w:r w:rsidR="001021AF">
        <w:rPr>
          <w:rFonts w:ascii="Times New Roman" w:hAnsi="Times New Roman" w:cs="Times New Roman"/>
          <w:sz w:val="24"/>
          <w:szCs w:val="24"/>
        </w:rPr>
        <w:t xml:space="preserve"> and</w:t>
      </w:r>
      <w:r w:rsidRPr="00923B4A">
        <w:rPr>
          <w:rFonts w:ascii="Times New Roman" w:hAnsi="Times New Roman" w:cs="Times New Roman"/>
          <w:sz w:val="24"/>
          <w:szCs w:val="24"/>
        </w:rPr>
        <w:t xml:space="preserve"> consumer confidence in the Apple health technology ecosystem.</w:t>
      </w:r>
    </w:p>
    <w:p w14:paraId="135E6345" w14:textId="2713146D" w:rsidR="001A386F" w:rsidRDefault="001A386F" w:rsidP="004659F9">
      <w:pPr>
        <w:spacing w:line="240" w:lineRule="auto"/>
        <w:rPr>
          <w:rFonts w:ascii="Times New Roman" w:hAnsi="Times New Roman" w:cs="Times New Roman"/>
          <w:sz w:val="24"/>
          <w:szCs w:val="24"/>
        </w:rPr>
      </w:pPr>
    </w:p>
    <w:p w14:paraId="22036294" w14:textId="76E99E74" w:rsidR="001A386F" w:rsidRDefault="001A386F" w:rsidP="004659F9">
      <w:pPr>
        <w:spacing w:line="240" w:lineRule="auto"/>
        <w:rPr>
          <w:rFonts w:ascii="Times New Roman" w:hAnsi="Times New Roman" w:cs="Times New Roman"/>
          <w:sz w:val="24"/>
          <w:szCs w:val="24"/>
        </w:rPr>
      </w:pPr>
    </w:p>
    <w:p w14:paraId="1AF33638" w14:textId="7F73B3A5" w:rsidR="001A386F" w:rsidRPr="006D4C9C" w:rsidRDefault="001A386F" w:rsidP="006D4C9C">
      <w:pPr>
        <w:pStyle w:val="NormalWeb"/>
        <w:spacing w:before="0" w:beforeAutospacing="0" w:after="160" w:afterAutospacing="0"/>
        <w:rPr>
          <w:rFonts w:eastAsiaTheme="minorHAnsi"/>
          <w:lang w:eastAsia="en-US"/>
        </w:rPr>
      </w:pPr>
    </w:p>
    <w:sdt>
      <w:sdtPr>
        <w:rPr>
          <w:rFonts w:ascii="Times New Roman" w:eastAsiaTheme="minorHAnsi" w:hAnsi="Times New Roman" w:cs="Times New Roman"/>
          <w:b/>
          <w:bCs/>
          <w:color w:val="auto"/>
          <w:sz w:val="28"/>
          <w:szCs w:val="28"/>
          <w:lang w:val="en-PK"/>
        </w:rPr>
        <w:id w:val="1528063453"/>
        <w:docPartObj>
          <w:docPartGallery w:val="Table of Contents"/>
          <w:docPartUnique/>
        </w:docPartObj>
      </w:sdtPr>
      <w:sdtEndPr>
        <w:rPr>
          <w:noProof/>
        </w:rPr>
      </w:sdtEndPr>
      <w:sdtContent>
        <w:p w14:paraId="47BF9A7E" w14:textId="25E567BC" w:rsidR="000A073D" w:rsidRPr="006D4C9C" w:rsidRDefault="000A073D" w:rsidP="006D4C9C">
          <w:pPr>
            <w:pStyle w:val="TOCHeading"/>
            <w:rPr>
              <w:rFonts w:ascii="Times New Roman" w:hAnsi="Times New Roman" w:cs="Times New Roman"/>
              <w:b/>
              <w:bCs/>
              <w:sz w:val="28"/>
              <w:szCs w:val="28"/>
            </w:rPr>
          </w:pPr>
          <w:r w:rsidRPr="006D4C9C">
            <w:rPr>
              <w:rFonts w:ascii="Times New Roman" w:hAnsi="Times New Roman" w:cs="Times New Roman"/>
              <w:b/>
              <w:bCs/>
              <w:sz w:val="28"/>
              <w:szCs w:val="28"/>
            </w:rPr>
            <w:t>Table of Contents</w:t>
          </w:r>
        </w:p>
        <w:p w14:paraId="48C8BA1C" w14:textId="2C224A6D" w:rsidR="006D4C9C" w:rsidRPr="006D4C9C" w:rsidRDefault="000A073D">
          <w:pPr>
            <w:pStyle w:val="TOC1"/>
            <w:tabs>
              <w:tab w:val="right" w:leader="dot" w:pos="9016"/>
            </w:tabs>
            <w:rPr>
              <w:rFonts w:ascii="Times New Roman" w:eastAsiaTheme="minorEastAsia" w:hAnsi="Times New Roman" w:cs="Times New Roman"/>
              <w:noProof/>
              <w:sz w:val="28"/>
              <w:szCs w:val="28"/>
              <w:lang w:eastAsia="en-PK"/>
            </w:rPr>
          </w:pPr>
          <w:r w:rsidRPr="006D4C9C">
            <w:rPr>
              <w:rFonts w:ascii="Times New Roman" w:hAnsi="Times New Roman" w:cs="Times New Roman"/>
              <w:sz w:val="28"/>
              <w:szCs w:val="28"/>
            </w:rPr>
            <w:fldChar w:fldCharType="begin"/>
          </w:r>
          <w:r w:rsidRPr="006D4C9C">
            <w:rPr>
              <w:rFonts w:ascii="Times New Roman" w:hAnsi="Times New Roman" w:cs="Times New Roman"/>
              <w:sz w:val="28"/>
              <w:szCs w:val="28"/>
            </w:rPr>
            <w:instrText xml:space="preserve"> TOC \o "1-3" \h \z \u </w:instrText>
          </w:r>
          <w:r w:rsidRPr="006D4C9C">
            <w:rPr>
              <w:rFonts w:ascii="Times New Roman" w:hAnsi="Times New Roman" w:cs="Times New Roman"/>
              <w:sz w:val="28"/>
              <w:szCs w:val="28"/>
            </w:rPr>
            <w:fldChar w:fldCharType="separate"/>
          </w:r>
          <w:hyperlink w:anchor="_Toc216698361" w:history="1">
            <w:r w:rsidR="006D4C9C" w:rsidRPr="006D4C9C">
              <w:rPr>
                <w:rStyle w:val="Hyperlink"/>
                <w:rFonts w:ascii="Times New Roman" w:hAnsi="Times New Roman" w:cs="Times New Roman"/>
                <w:noProof/>
                <w:sz w:val="28"/>
                <w:szCs w:val="28"/>
              </w:rPr>
              <w:t>Executive Summary</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_Toc216698361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2</w:t>
            </w:r>
            <w:r w:rsidR="006D4C9C" w:rsidRPr="006D4C9C">
              <w:rPr>
                <w:rFonts w:ascii="Times New Roman" w:hAnsi="Times New Roman" w:cs="Times New Roman"/>
                <w:noProof/>
                <w:webHidden/>
                <w:sz w:val="28"/>
                <w:szCs w:val="28"/>
              </w:rPr>
              <w:fldChar w:fldCharType="end"/>
            </w:r>
          </w:hyperlink>
        </w:p>
        <w:p w14:paraId="5798A162" w14:textId="2EF29431"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62" w:history="1">
            <w:r w:rsidR="006D4C9C" w:rsidRPr="006D4C9C">
              <w:rPr>
                <w:rStyle w:val="Hyperlink"/>
                <w:rFonts w:ascii="Times New Roman" w:hAnsi="Times New Roman" w:cs="Times New Roman"/>
                <w:noProof/>
                <w:sz w:val="28"/>
                <w:szCs w:val="28"/>
              </w:rPr>
              <w:t>1. Introduction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_Toc216698362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4</w:t>
            </w:r>
            <w:r w:rsidR="006D4C9C" w:rsidRPr="006D4C9C">
              <w:rPr>
                <w:rFonts w:ascii="Times New Roman" w:hAnsi="Times New Roman" w:cs="Times New Roman"/>
                <w:noProof/>
                <w:webHidden/>
                <w:sz w:val="28"/>
                <w:szCs w:val="28"/>
              </w:rPr>
              <w:fldChar w:fldCharType="end"/>
            </w:r>
          </w:hyperlink>
        </w:p>
        <w:p w14:paraId="157404F2" w14:textId="4E78DD66"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63" w:history="1">
            <w:r w:rsidR="006D4C9C" w:rsidRPr="006D4C9C">
              <w:rPr>
                <w:rStyle w:val="Hyperlink"/>
                <w:rFonts w:ascii="Times New Roman" w:hAnsi="Times New Roman" w:cs="Times New Roman"/>
                <w:noProof/>
                <w:sz w:val="28"/>
                <w:szCs w:val="28"/>
              </w:rPr>
              <w:t>2. Situational Analysis: SWOT and PESTLE</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_Toc216698363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5</w:t>
            </w:r>
            <w:r w:rsidR="006D4C9C" w:rsidRPr="006D4C9C">
              <w:rPr>
                <w:rFonts w:ascii="Times New Roman" w:hAnsi="Times New Roman" w:cs="Times New Roman"/>
                <w:noProof/>
                <w:webHidden/>
                <w:sz w:val="28"/>
                <w:szCs w:val="28"/>
              </w:rPr>
              <w:fldChar w:fldCharType="end"/>
            </w:r>
          </w:hyperlink>
        </w:p>
        <w:p w14:paraId="1EEE7150" w14:textId="5DC11382"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64" w:history="1">
            <w:r w:rsidR="006D4C9C" w:rsidRPr="006D4C9C">
              <w:rPr>
                <w:rStyle w:val="Hyperlink"/>
                <w:rFonts w:ascii="Times New Roman" w:hAnsi="Times New Roman" w:cs="Times New Roman"/>
                <w:noProof/>
                <w:sz w:val="28"/>
                <w:szCs w:val="28"/>
              </w:rPr>
              <w:t>2.1 SWOT Analysis</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_Toc216698364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5</w:t>
            </w:r>
            <w:r w:rsidR="006D4C9C" w:rsidRPr="006D4C9C">
              <w:rPr>
                <w:rFonts w:ascii="Times New Roman" w:hAnsi="Times New Roman" w:cs="Times New Roman"/>
                <w:noProof/>
                <w:webHidden/>
                <w:sz w:val="28"/>
                <w:szCs w:val="28"/>
              </w:rPr>
              <w:fldChar w:fldCharType="end"/>
            </w:r>
          </w:hyperlink>
        </w:p>
        <w:p w14:paraId="3C7DC2C9" w14:textId="176A0595"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65" w:history="1">
            <w:r w:rsidR="006D4C9C" w:rsidRPr="006D4C9C">
              <w:rPr>
                <w:rStyle w:val="Hyperlink"/>
                <w:rFonts w:ascii="Times New Roman" w:hAnsi="Times New Roman" w:cs="Times New Roman"/>
                <w:noProof/>
                <w:sz w:val="28"/>
                <w:szCs w:val="28"/>
              </w:rPr>
              <w:t>2.2 PESTLE Analysis</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_Toc216698365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6</w:t>
            </w:r>
            <w:r w:rsidR="006D4C9C" w:rsidRPr="006D4C9C">
              <w:rPr>
                <w:rFonts w:ascii="Times New Roman" w:hAnsi="Times New Roman" w:cs="Times New Roman"/>
                <w:noProof/>
                <w:webHidden/>
                <w:sz w:val="28"/>
                <w:szCs w:val="28"/>
              </w:rPr>
              <w:fldChar w:fldCharType="end"/>
            </w:r>
          </w:hyperlink>
        </w:p>
        <w:p w14:paraId="3FA65FC1" w14:textId="0F6306A0"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66" w:history="1">
            <w:r w:rsidR="006D4C9C" w:rsidRPr="006D4C9C">
              <w:rPr>
                <w:rStyle w:val="Hyperlink"/>
                <w:rFonts w:ascii="Times New Roman" w:hAnsi="Times New Roman" w:cs="Times New Roman"/>
                <w:noProof/>
                <w:sz w:val="28"/>
                <w:szCs w:val="28"/>
              </w:rPr>
              <w:t>3. Key Internal and External Stakeholders</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_Toc216698366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7</w:t>
            </w:r>
            <w:r w:rsidR="006D4C9C" w:rsidRPr="006D4C9C">
              <w:rPr>
                <w:rFonts w:ascii="Times New Roman" w:hAnsi="Times New Roman" w:cs="Times New Roman"/>
                <w:noProof/>
                <w:webHidden/>
                <w:sz w:val="28"/>
                <w:szCs w:val="28"/>
              </w:rPr>
              <w:fldChar w:fldCharType="end"/>
            </w:r>
          </w:hyperlink>
        </w:p>
        <w:p w14:paraId="6CB43492" w14:textId="16CAACA9"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67" w:history="1">
            <w:r w:rsidR="006D4C9C" w:rsidRPr="006D4C9C">
              <w:rPr>
                <w:rStyle w:val="Hyperlink"/>
                <w:rFonts w:ascii="Times New Roman" w:hAnsi="Times New Roman" w:cs="Times New Roman"/>
                <w:noProof/>
                <w:sz w:val="28"/>
                <w:szCs w:val="28"/>
              </w:rPr>
              <w:t>4. Roles, Responsibilities, Benefits and Challenges of Stakeholders</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_Toc216698367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9</w:t>
            </w:r>
            <w:r w:rsidR="006D4C9C" w:rsidRPr="006D4C9C">
              <w:rPr>
                <w:rFonts w:ascii="Times New Roman" w:hAnsi="Times New Roman" w:cs="Times New Roman"/>
                <w:noProof/>
                <w:webHidden/>
                <w:sz w:val="28"/>
                <w:szCs w:val="28"/>
              </w:rPr>
              <w:fldChar w:fldCharType="end"/>
            </w:r>
          </w:hyperlink>
        </w:p>
        <w:p w14:paraId="5851AD7D" w14:textId="75D1A443"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68" w:history="1">
            <w:r w:rsidR="006D4C9C" w:rsidRPr="006D4C9C">
              <w:rPr>
                <w:rStyle w:val="Hyperlink"/>
                <w:rFonts w:ascii="Times New Roman" w:hAnsi="Times New Roman" w:cs="Times New Roman"/>
                <w:noProof/>
                <w:sz w:val="28"/>
                <w:szCs w:val="28"/>
              </w:rPr>
              <w:t>5. Engagement and Communication Plan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_Toc216698368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12</w:t>
            </w:r>
            <w:r w:rsidR="006D4C9C" w:rsidRPr="006D4C9C">
              <w:rPr>
                <w:rFonts w:ascii="Times New Roman" w:hAnsi="Times New Roman" w:cs="Times New Roman"/>
                <w:noProof/>
                <w:webHidden/>
                <w:sz w:val="28"/>
                <w:szCs w:val="28"/>
              </w:rPr>
              <w:fldChar w:fldCharType="end"/>
            </w:r>
          </w:hyperlink>
        </w:p>
        <w:p w14:paraId="50797657" w14:textId="7D76FC9B"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69" w:history="1">
            <w:r w:rsidR="006D4C9C" w:rsidRPr="006D4C9C">
              <w:rPr>
                <w:rStyle w:val="Hyperlink"/>
                <w:rFonts w:ascii="Times New Roman" w:hAnsi="Times New Roman" w:cs="Times New Roman"/>
                <w:noProof/>
                <w:sz w:val="28"/>
                <w:szCs w:val="28"/>
                <w:lang w:val="en-US"/>
              </w:rPr>
              <w:t xml:space="preserve">5.1 </w:t>
            </w:r>
            <w:r w:rsidR="006D4C9C" w:rsidRPr="006D4C9C">
              <w:rPr>
                <w:rStyle w:val="Hyperlink"/>
                <w:rFonts w:ascii="Times New Roman" w:hAnsi="Times New Roman" w:cs="Times New Roman"/>
                <w:noProof/>
                <w:sz w:val="28"/>
                <w:szCs w:val="28"/>
              </w:rPr>
              <w:t>Communication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_Toc216698369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13</w:t>
            </w:r>
            <w:r w:rsidR="006D4C9C" w:rsidRPr="006D4C9C">
              <w:rPr>
                <w:rFonts w:ascii="Times New Roman" w:hAnsi="Times New Roman" w:cs="Times New Roman"/>
                <w:noProof/>
                <w:webHidden/>
                <w:sz w:val="28"/>
                <w:szCs w:val="28"/>
              </w:rPr>
              <w:fldChar w:fldCharType="end"/>
            </w:r>
          </w:hyperlink>
        </w:p>
        <w:p w14:paraId="5EBDD0F4" w14:textId="385A2A5F"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0" w:history="1">
            <w:r w:rsidR="006D4C9C" w:rsidRPr="006D4C9C">
              <w:rPr>
                <w:rStyle w:val="Hyperlink"/>
                <w:rFonts w:ascii="Times New Roman" w:hAnsi="Times New Roman" w:cs="Times New Roman"/>
                <w:noProof/>
                <w:sz w:val="28"/>
                <w:szCs w:val="28"/>
                <w:lang w:val="en-US"/>
              </w:rPr>
              <w:t xml:space="preserve">5.2 </w:t>
            </w:r>
            <w:r w:rsidR="006D4C9C" w:rsidRPr="006D4C9C">
              <w:rPr>
                <w:rStyle w:val="Hyperlink"/>
                <w:rFonts w:ascii="Times New Roman" w:hAnsi="Times New Roman" w:cs="Times New Roman"/>
                <w:noProof/>
                <w:sz w:val="28"/>
                <w:szCs w:val="28"/>
              </w:rPr>
              <w:t>Collaboration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_Toc216698370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13</w:t>
            </w:r>
            <w:r w:rsidR="006D4C9C" w:rsidRPr="006D4C9C">
              <w:rPr>
                <w:rFonts w:ascii="Times New Roman" w:hAnsi="Times New Roman" w:cs="Times New Roman"/>
                <w:noProof/>
                <w:webHidden/>
                <w:sz w:val="28"/>
                <w:szCs w:val="28"/>
              </w:rPr>
              <w:fldChar w:fldCharType="end"/>
            </w:r>
          </w:hyperlink>
        </w:p>
        <w:p w14:paraId="33060951" w14:textId="1EDCE80D"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1" w:history="1">
            <w:r w:rsidR="006D4C9C" w:rsidRPr="006D4C9C">
              <w:rPr>
                <w:rStyle w:val="Hyperlink"/>
                <w:rFonts w:ascii="Times New Roman" w:hAnsi="Times New Roman" w:cs="Times New Roman"/>
                <w:noProof/>
                <w:sz w:val="28"/>
                <w:szCs w:val="28"/>
                <w:lang w:val="en-US"/>
              </w:rPr>
              <w:t xml:space="preserve">5.3 </w:t>
            </w:r>
            <w:r w:rsidR="006D4C9C" w:rsidRPr="006D4C9C">
              <w:rPr>
                <w:rStyle w:val="Hyperlink"/>
                <w:rFonts w:ascii="Times New Roman" w:hAnsi="Times New Roman" w:cs="Times New Roman"/>
                <w:noProof/>
                <w:sz w:val="28"/>
                <w:szCs w:val="28"/>
              </w:rPr>
              <w:t>Coordination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_Toc216698371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14</w:t>
            </w:r>
            <w:r w:rsidR="006D4C9C" w:rsidRPr="006D4C9C">
              <w:rPr>
                <w:rFonts w:ascii="Times New Roman" w:hAnsi="Times New Roman" w:cs="Times New Roman"/>
                <w:noProof/>
                <w:webHidden/>
                <w:sz w:val="28"/>
                <w:szCs w:val="28"/>
              </w:rPr>
              <w:fldChar w:fldCharType="end"/>
            </w:r>
          </w:hyperlink>
        </w:p>
        <w:p w14:paraId="09A038C1" w14:textId="08FE1299"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2" w:history="1">
            <w:r w:rsidR="006D4C9C" w:rsidRPr="006D4C9C">
              <w:rPr>
                <w:rStyle w:val="Hyperlink"/>
                <w:rFonts w:ascii="Times New Roman" w:hAnsi="Times New Roman" w:cs="Times New Roman"/>
                <w:noProof/>
                <w:sz w:val="28"/>
                <w:szCs w:val="28"/>
                <w:lang w:val="en-US"/>
              </w:rPr>
              <w:t xml:space="preserve">5.4 </w:t>
            </w:r>
            <w:r w:rsidR="006D4C9C" w:rsidRPr="006D4C9C">
              <w:rPr>
                <w:rStyle w:val="Hyperlink"/>
                <w:rFonts w:ascii="Times New Roman" w:hAnsi="Times New Roman" w:cs="Times New Roman"/>
                <w:noProof/>
                <w:sz w:val="28"/>
                <w:szCs w:val="28"/>
              </w:rPr>
              <w:t>Consideration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_Toc216698372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14</w:t>
            </w:r>
            <w:r w:rsidR="006D4C9C" w:rsidRPr="006D4C9C">
              <w:rPr>
                <w:rFonts w:ascii="Times New Roman" w:hAnsi="Times New Roman" w:cs="Times New Roman"/>
                <w:noProof/>
                <w:webHidden/>
                <w:sz w:val="28"/>
                <w:szCs w:val="28"/>
              </w:rPr>
              <w:fldChar w:fldCharType="end"/>
            </w:r>
          </w:hyperlink>
        </w:p>
        <w:p w14:paraId="62ADECCC" w14:textId="500EC2BE"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73" w:history="1">
            <w:r w:rsidR="006D4C9C" w:rsidRPr="006D4C9C">
              <w:rPr>
                <w:rStyle w:val="Hyperlink"/>
                <w:rFonts w:ascii="Times New Roman" w:hAnsi="Times New Roman" w:cs="Times New Roman"/>
                <w:noProof/>
                <w:sz w:val="28"/>
                <w:szCs w:val="28"/>
              </w:rPr>
              <w:t>6. Critical Explanation and Evaluation of Stakeholder Management Using the 4Cs Model</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_Toc216698373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14</w:t>
            </w:r>
            <w:r w:rsidR="006D4C9C" w:rsidRPr="006D4C9C">
              <w:rPr>
                <w:rFonts w:ascii="Times New Roman" w:hAnsi="Times New Roman" w:cs="Times New Roman"/>
                <w:noProof/>
                <w:webHidden/>
                <w:sz w:val="28"/>
                <w:szCs w:val="28"/>
              </w:rPr>
              <w:fldChar w:fldCharType="end"/>
            </w:r>
          </w:hyperlink>
        </w:p>
        <w:p w14:paraId="45624026" w14:textId="1CCDADB2"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4" w:history="1">
            <w:r w:rsidR="006D4C9C" w:rsidRPr="006D4C9C">
              <w:rPr>
                <w:rStyle w:val="Hyperlink"/>
                <w:rFonts w:ascii="Times New Roman" w:hAnsi="Times New Roman" w:cs="Times New Roman"/>
                <w:noProof/>
                <w:sz w:val="28"/>
                <w:szCs w:val="28"/>
                <w:lang w:val="en-US"/>
              </w:rPr>
              <w:t xml:space="preserve">6.1 </w:t>
            </w:r>
            <w:r w:rsidR="006D4C9C" w:rsidRPr="006D4C9C">
              <w:rPr>
                <w:rStyle w:val="Hyperlink"/>
                <w:rFonts w:ascii="Times New Roman" w:hAnsi="Times New Roman" w:cs="Times New Roman"/>
                <w:noProof/>
                <w:sz w:val="28"/>
                <w:szCs w:val="28"/>
              </w:rPr>
              <w:t>Communication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_Toc216698374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15</w:t>
            </w:r>
            <w:r w:rsidR="006D4C9C" w:rsidRPr="006D4C9C">
              <w:rPr>
                <w:rFonts w:ascii="Times New Roman" w:hAnsi="Times New Roman" w:cs="Times New Roman"/>
                <w:noProof/>
                <w:webHidden/>
                <w:sz w:val="28"/>
                <w:szCs w:val="28"/>
              </w:rPr>
              <w:fldChar w:fldCharType="end"/>
            </w:r>
          </w:hyperlink>
        </w:p>
        <w:p w14:paraId="6543DD2D" w14:textId="5EBB335D"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5" w:history="1">
            <w:r w:rsidR="006D4C9C" w:rsidRPr="006D4C9C">
              <w:rPr>
                <w:rStyle w:val="Hyperlink"/>
                <w:rFonts w:ascii="Times New Roman" w:hAnsi="Times New Roman" w:cs="Times New Roman"/>
                <w:noProof/>
                <w:sz w:val="28"/>
                <w:szCs w:val="28"/>
                <w:lang w:val="en-US"/>
              </w:rPr>
              <w:t xml:space="preserve">6.2 </w:t>
            </w:r>
            <w:r w:rsidR="006D4C9C" w:rsidRPr="006D4C9C">
              <w:rPr>
                <w:rStyle w:val="Hyperlink"/>
                <w:rFonts w:ascii="Times New Roman" w:hAnsi="Times New Roman" w:cs="Times New Roman"/>
                <w:noProof/>
                <w:sz w:val="28"/>
                <w:szCs w:val="28"/>
              </w:rPr>
              <w:t>Collaboration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_Toc216698375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15</w:t>
            </w:r>
            <w:r w:rsidR="006D4C9C" w:rsidRPr="006D4C9C">
              <w:rPr>
                <w:rFonts w:ascii="Times New Roman" w:hAnsi="Times New Roman" w:cs="Times New Roman"/>
                <w:noProof/>
                <w:webHidden/>
                <w:sz w:val="28"/>
                <w:szCs w:val="28"/>
              </w:rPr>
              <w:fldChar w:fldCharType="end"/>
            </w:r>
          </w:hyperlink>
        </w:p>
        <w:p w14:paraId="7788EC59" w14:textId="113811B6"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6" w:history="1">
            <w:r w:rsidR="006D4C9C" w:rsidRPr="006D4C9C">
              <w:rPr>
                <w:rStyle w:val="Hyperlink"/>
                <w:rFonts w:ascii="Times New Roman" w:hAnsi="Times New Roman" w:cs="Times New Roman"/>
                <w:noProof/>
                <w:sz w:val="28"/>
                <w:szCs w:val="28"/>
                <w:lang w:val="en-US"/>
              </w:rPr>
              <w:t xml:space="preserve">6.3 </w:t>
            </w:r>
            <w:r w:rsidR="006D4C9C" w:rsidRPr="006D4C9C">
              <w:rPr>
                <w:rStyle w:val="Hyperlink"/>
                <w:rFonts w:ascii="Times New Roman" w:hAnsi="Times New Roman" w:cs="Times New Roman"/>
                <w:noProof/>
                <w:sz w:val="28"/>
                <w:szCs w:val="28"/>
              </w:rPr>
              <w:t>Coordination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_Toc216698376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16</w:t>
            </w:r>
            <w:r w:rsidR="006D4C9C" w:rsidRPr="006D4C9C">
              <w:rPr>
                <w:rFonts w:ascii="Times New Roman" w:hAnsi="Times New Roman" w:cs="Times New Roman"/>
                <w:noProof/>
                <w:webHidden/>
                <w:sz w:val="28"/>
                <w:szCs w:val="28"/>
              </w:rPr>
              <w:fldChar w:fldCharType="end"/>
            </w:r>
          </w:hyperlink>
        </w:p>
        <w:p w14:paraId="5AE00CD7" w14:textId="03B23E8C"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7" w:history="1">
            <w:r w:rsidR="006D4C9C" w:rsidRPr="006D4C9C">
              <w:rPr>
                <w:rStyle w:val="Hyperlink"/>
                <w:rFonts w:ascii="Times New Roman" w:hAnsi="Times New Roman" w:cs="Times New Roman"/>
                <w:noProof/>
                <w:sz w:val="28"/>
                <w:szCs w:val="28"/>
                <w:lang w:val="en-US"/>
              </w:rPr>
              <w:t xml:space="preserve">6.4 </w:t>
            </w:r>
            <w:r w:rsidR="006D4C9C" w:rsidRPr="006D4C9C">
              <w:rPr>
                <w:rStyle w:val="Hyperlink"/>
                <w:rFonts w:ascii="Times New Roman" w:hAnsi="Times New Roman" w:cs="Times New Roman"/>
                <w:noProof/>
                <w:sz w:val="28"/>
                <w:szCs w:val="28"/>
              </w:rPr>
              <w:t>Consideration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_Toc216698377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16</w:t>
            </w:r>
            <w:r w:rsidR="006D4C9C" w:rsidRPr="006D4C9C">
              <w:rPr>
                <w:rFonts w:ascii="Times New Roman" w:hAnsi="Times New Roman" w:cs="Times New Roman"/>
                <w:noProof/>
                <w:webHidden/>
                <w:sz w:val="28"/>
                <w:szCs w:val="28"/>
              </w:rPr>
              <w:fldChar w:fldCharType="end"/>
            </w:r>
          </w:hyperlink>
        </w:p>
        <w:p w14:paraId="60596D58" w14:textId="33DA7BD5"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78" w:history="1">
            <w:r w:rsidR="006D4C9C" w:rsidRPr="006D4C9C">
              <w:rPr>
                <w:rStyle w:val="Hyperlink"/>
                <w:rFonts w:ascii="Times New Roman" w:hAnsi="Times New Roman" w:cs="Times New Roman"/>
                <w:noProof/>
                <w:sz w:val="28"/>
                <w:szCs w:val="28"/>
                <w:lang w:val="en-US"/>
              </w:rPr>
              <w:t xml:space="preserve">6.5 </w:t>
            </w:r>
            <w:r w:rsidR="006D4C9C" w:rsidRPr="006D4C9C">
              <w:rPr>
                <w:rStyle w:val="Hyperlink"/>
                <w:rFonts w:ascii="Times New Roman" w:hAnsi="Times New Roman" w:cs="Times New Roman"/>
                <w:noProof/>
                <w:sz w:val="28"/>
                <w:szCs w:val="28"/>
              </w:rPr>
              <w:t>Evaluation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_Toc216698378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17</w:t>
            </w:r>
            <w:r w:rsidR="006D4C9C" w:rsidRPr="006D4C9C">
              <w:rPr>
                <w:rFonts w:ascii="Times New Roman" w:hAnsi="Times New Roman" w:cs="Times New Roman"/>
                <w:noProof/>
                <w:webHidden/>
                <w:sz w:val="28"/>
                <w:szCs w:val="28"/>
              </w:rPr>
              <w:fldChar w:fldCharType="end"/>
            </w:r>
          </w:hyperlink>
        </w:p>
        <w:p w14:paraId="61C4AF9E" w14:textId="67E4DA88"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79" w:history="1">
            <w:r w:rsidR="006D4C9C" w:rsidRPr="006D4C9C">
              <w:rPr>
                <w:rStyle w:val="Hyperlink"/>
                <w:rFonts w:ascii="Times New Roman" w:hAnsi="Times New Roman" w:cs="Times New Roman"/>
                <w:noProof/>
                <w:sz w:val="28"/>
                <w:szCs w:val="28"/>
              </w:rPr>
              <w:t>7. Evaluation of the Impact of Stakeholder Collaboration on Business Performance and Recommendations</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_Toc216698379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17</w:t>
            </w:r>
            <w:r w:rsidR="006D4C9C" w:rsidRPr="006D4C9C">
              <w:rPr>
                <w:rFonts w:ascii="Times New Roman" w:hAnsi="Times New Roman" w:cs="Times New Roman"/>
                <w:noProof/>
                <w:webHidden/>
                <w:sz w:val="28"/>
                <w:szCs w:val="28"/>
              </w:rPr>
              <w:fldChar w:fldCharType="end"/>
            </w:r>
          </w:hyperlink>
        </w:p>
        <w:p w14:paraId="51923AC1" w14:textId="14F2FFE3"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80" w:history="1">
            <w:r w:rsidR="006D4C9C" w:rsidRPr="006D4C9C">
              <w:rPr>
                <w:rStyle w:val="Hyperlink"/>
                <w:rFonts w:ascii="Times New Roman" w:hAnsi="Times New Roman" w:cs="Times New Roman"/>
                <w:noProof/>
                <w:sz w:val="28"/>
                <w:szCs w:val="28"/>
                <w:lang w:val="en-US"/>
              </w:rPr>
              <w:t xml:space="preserve">7.1 </w:t>
            </w:r>
            <w:r w:rsidR="006D4C9C" w:rsidRPr="006D4C9C">
              <w:rPr>
                <w:rStyle w:val="Hyperlink"/>
                <w:rFonts w:ascii="Times New Roman" w:hAnsi="Times New Roman" w:cs="Times New Roman"/>
                <w:noProof/>
                <w:sz w:val="28"/>
                <w:szCs w:val="28"/>
              </w:rPr>
              <w:t>Impact on Product Quality and Innovation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_Toc216698380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18</w:t>
            </w:r>
            <w:r w:rsidR="006D4C9C" w:rsidRPr="006D4C9C">
              <w:rPr>
                <w:rFonts w:ascii="Times New Roman" w:hAnsi="Times New Roman" w:cs="Times New Roman"/>
                <w:noProof/>
                <w:webHidden/>
                <w:sz w:val="28"/>
                <w:szCs w:val="28"/>
              </w:rPr>
              <w:fldChar w:fldCharType="end"/>
            </w:r>
          </w:hyperlink>
        </w:p>
        <w:p w14:paraId="71E4EFB4" w14:textId="0460A13A"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81" w:history="1">
            <w:r w:rsidR="006D4C9C" w:rsidRPr="006D4C9C">
              <w:rPr>
                <w:rStyle w:val="Hyperlink"/>
                <w:rFonts w:ascii="Times New Roman" w:hAnsi="Times New Roman" w:cs="Times New Roman"/>
                <w:noProof/>
                <w:sz w:val="28"/>
                <w:szCs w:val="28"/>
                <w:lang w:val="en-US"/>
              </w:rPr>
              <w:t xml:space="preserve">7.2 </w:t>
            </w:r>
            <w:r w:rsidR="006D4C9C" w:rsidRPr="006D4C9C">
              <w:rPr>
                <w:rStyle w:val="Hyperlink"/>
                <w:rFonts w:ascii="Times New Roman" w:hAnsi="Times New Roman" w:cs="Times New Roman"/>
                <w:noProof/>
                <w:sz w:val="28"/>
                <w:szCs w:val="28"/>
              </w:rPr>
              <w:t>Impact on Regulatory Compliance and Risk Mitigation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_Toc216698381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18</w:t>
            </w:r>
            <w:r w:rsidR="006D4C9C" w:rsidRPr="006D4C9C">
              <w:rPr>
                <w:rFonts w:ascii="Times New Roman" w:hAnsi="Times New Roman" w:cs="Times New Roman"/>
                <w:noProof/>
                <w:webHidden/>
                <w:sz w:val="28"/>
                <w:szCs w:val="28"/>
              </w:rPr>
              <w:fldChar w:fldCharType="end"/>
            </w:r>
          </w:hyperlink>
        </w:p>
        <w:p w14:paraId="76CCB450" w14:textId="04694A50"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82" w:history="1">
            <w:r w:rsidR="006D4C9C" w:rsidRPr="006D4C9C">
              <w:rPr>
                <w:rStyle w:val="Hyperlink"/>
                <w:rFonts w:ascii="Times New Roman" w:hAnsi="Times New Roman" w:cs="Times New Roman"/>
                <w:noProof/>
                <w:sz w:val="28"/>
                <w:szCs w:val="28"/>
                <w:lang w:val="en-US"/>
              </w:rPr>
              <w:t xml:space="preserve">7.3 </w:t>
            </w:r>
            <w:r w:rsidR="006D4C9C" w:rsidRPr="006D4C9C">
              <w:rPr>
                <w:rStyle w:val="Hyperlink"/>
                <w:rFonts w:ascii="Times New Roman" w:hAnsi="Times New Roman" w:cs="Times New Roman"/>
                <w:noProof/>
                <w:sz w:val="28"/>
                <w:szCs w:val="28"/>
              </w:rPr>
              <w:t>Impact on Market Adoption and Consumer Engagement</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_Toc216698382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19</w:t>
            </w:r>
            <w:r w:rsidR="006D4C9C" w:rsidRPr="006D4C9C">
              <w:rPr>
                <w:rFonts w:ascii="Times New Roman" w:hAnsi="Times New Roman" w:cs="Times New Roman"/>
                <w:noProof/>
                <w:webHidden/>
                <w:sz w:val="28"/>
                <w:szCs w:val="28"/>
              </w:rPr>
              <w:fldChar w:fldCharType="end"/>
            </w:r>
          </w:hyperlink>
        </w:p>
        <w:p w14:paraId="262E5EDE" w14:textId="036A221F"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83" w:history="1">
            <w:r w:rsidR="006D4C9C" w:rsidRPr="006D4C9C">
              <w:rPr>
                <w:rStyle w:val="Hyperlink"/>
                <w:rFonts w:ascii="Times New Roman" w:hAnsi="Times New Roman" w:cs="Times New Roman"/>
                <w:noProof/>
                <w:sz w:val="28"/>
                <w:szCs w:val="28"/>
                <w:lang w:val="en-US"/>
              </w:rPr>
              <w:t xml:space="preserve">7.4 </w:t>
            </w:r>
            <w:r w:rsidR="006D4C9C" w:rsidRPr="006D4C9C">
              <w:rPr>
                <w:rStyle w:val="Hyperlink"/>
                <w:rFonts w:ascii="Times New Roman" w:hAnsi="Times New Roman" w:cs="Times New Roman"/>
                <w:noProof/>
                <w:sz w:val="28"/>
                <w:szCs w:val="28"/>
              </w:rPr>
              <w:t>Operational and Supply Chain Efficiency</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_Toc216698383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19</w:t>
            </w:r>
            <w:r w:rsidR="006D4C9C" w:rsidRPr="006D4C9C">
              <w:rPr>
                <w:rFonts w:ascii="Times New Roman" w:hAnsi="Times New Roman" w:cs="Times New Roman"/>
                <w:noProof/>
                <w:webHidden/>
                <w:sz w:val="28"/>
                <w:szCs w:val="28"/>
              </w:rPr>
              <w:fldChar w:fldCharType="end"/>
            </w:r>
          </w:hyperlink>
        </w:p>
        <w:p w14:paraId="5BFA4396" w14:textId="6C03022C"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84" w:history="1">
            <w:r w:rsidR="006D4C9C" w:rsidRPr="006D4C9C">
              <w:rPr>
                <w:rStyle w:val="Hyperlink"/>
                <w:rFonts w:ascii="Times New Roman" w:hAnsi="Times New Roman" w:cs="Times New Roman"/>
                <w:noProof/>
                <w:sz w:val="28"/>
                <w:szCs w:val="28"/>
                <w:lang w:val="en-US"/>
              </w:rPr>
              <w:t xml:space="preserve">7.5 </w:t>
            </w:r>
            <w:r w:rsidR="006D4C9C" w:rsidRPr="006D4C9C">
              <w:rPr>
                <w:rStyle w:val="Hyperlink"/>
                <w:rFonts w:ascii="Times New Roman" w:hAnsi="Times New Roman" w:cs="Times New Roman"/>
                <w:noProof/>
                <w:sz w:val="28"/>
                <w:szCs w:val="28"/>
              </w:rPr>
              <w:t>Recommendations for Enhancing Stakeholder Collaboration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_Toc216698384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19</w:t>
            </w:r>
            <w:r w:rsidR="006D4C9C" w:rsidRPr="006D4C9C">
              <w:rPr>
                <w:rFonts w:ascii="Times New Roman" w:hAnsi="Times New Roman" w:cs="Times New Roman"/>
                <w:noProof/>
                <w:webHidden/>
                <w:sz w:val="28"/>
                <w:szCs w:val="28"/>
              </w:rPr>
              <w:fldChar w:fldCharType="end"/>
            </w:r>
          </w:hyperlink>
        </w:p>
        <w:p w14:paraId="2AFFC2A3" w14:textId="5DF7D46D" w:rsidR="006D4C9C" w:rsidRPr="006D4C9C" w:rsidRDefault="00E07F09">
          <w:pPr>
            <w:pStyle w:val="TOC2"/>
            <w:tabs>
              <w:tab w:val="right" w:leader="dot" w:pos="9016"/>
            </w:tabs>
            <w:rPr>
              <w:rFonts w:ascii="Times New Roman" w:eastAsiaTheme="minorEastAsia" w:hAnsi="Times New Roman" w:cs="Times New Roman"/>
              <w:noProof/>
              <w:sz w:val="28"/>
              <w:szCs w:val="28"/>
              <w:lang w:eastAsia="en-PK"/>
            </w:rPr>
          </w:pPr>
          <w:hyperlink w:anchor="_Toc216698385" w:history="1">
            <w:r w:rsidR="006D4C9C" w:rsidRPr="006D4C9C">
              <w:rPr>
                <w:rStyle w:val="Hyperlink"/>
                <w:rFonts w:ascii="Times New Roman" w:hAnsi="Times New Roman" w:cs="Times New Roman"/>
                <w:noProof/>
                <w:sz w:val="28"/>
                <w:szCs w:val="28"/>
                <w:lang w:val="en-US"/>
              </w:rPr>
              <w:t xml:space="preserve">7.6 </w:t>
            </w:r>
            <w:r w:rsidR="006D4C9C" w:rsidRPr="006D4C9C">
              <w:rPr>
                <w:rStyle w:val="Hyperlink"/>
                <w:rFonts w:ascii="Times New Roman" w:hAnsi="Times New Roman" w:cs="Times New Roman"/>
                <w:noProof/>
                <w:sz w:val="28"/>
                <w:szCs w:val="28"/>
              </w:rPr>
              <w:t>Critical Evaluation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_Toc216698385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20</w:t>
            </w:r>
            <w:r w:rsidR="006D4C9C" w:rsidRPr="006D4C9C">
              <w:rPr>
                <w:rFonts w:ascii="Times New Roman" w:hAnsi="Times New Roman" w:cs="Times New Roman"/>
                <w:noProof/>
                <w:webHidden/>
                <w:sz w:val="28"/>
                <w:szCs w:val="28"/>
              </w:rPr>
              <w:fldChar w:fldCharType="end"/>
            </w:r>
          </w:hyperlink>
        </w:p>
        <w:p w14:paraId="30DAA555" w14:textId="35DC3513"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86" w:history="1">
            <w:r w:rsidR="006D4C9C" w:rsidRPr="006D4C9C">
              <w:rPr>
                <w:rStyle w:val="Hyperlink"/>
                <w:rFonts w:ascii="Times New Roman" w:hAnsi="Times New Roman" w:cs="Times New Roman"/>
                <w:noProof/>
                <w:sz w:val="28"/>
                <w:szCs w:val="28"/>
                <w:lang w:val="en-US"/>
              </w:rPr>
              <w:t xml:space="preserve">8. </w:t>
            </w:r>
            <w:r w:rsidR="006D4C9C" w:rsidRPr="006D4C9C">
              <w:rPr>
                <w:rStyle w:val="Hyperlink"/>
                <w:rFonts w:ascii="Times New Roman" w:hAnsi="Times New Roman" w:cs="Times New Roman"/>
                <w:noProof/>
                <w:sz w:val="28"/>
                <w:szCs w:val="28"/>
              </w:rPr>
              <w:t>Conclusion</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_Toc216698386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21</w:t>
            </w:r>
            <w:r w:rsidR="006D4C9C" w:rsidRPr="006D4C9C">
              <w:rPr>
                <w:rFonts w:ascii="Times New Roman" w:hAnsi="Times New Roman" w:cs="Times New Roman"/>
                <w:noProof/>
                <w:webHidden/>
                <w:sz w:val="28"/>
                <w:szCs w:val="28"/>
              </w:rPr>
              <w:fldChar w:fldCharType="end"/>
            </w:r>
          </w:hyperlink>
        </w:p>
        <w:p w14:paraId="4F05779C" w14:textId="2B10800D" w:rsidR="006D4C9C" w:rsidRPr="006D4C9C" w:rsidRDefault="00E07F09">
          <w:pPr>
            <w:pStyle w:val="TOC1"/>
            <w:tabs>
              <w:tab w:val="right" w:leader="dot" w:pos="9016"/>
            </w:tabs>
            <w:rPr>
              <w:rFonts w:ascii="Times New Roman" w:eastAsiaTheme="minorEastAsia" w:hAnsi="Times New Roman" w:cs="Times New Roman"/>
              <w:noProof/>
              <w:sz w:val="28"/>
              <w:szCs w:val="28"/>
              <w:lang w:eastAsia="en-PK"/>
            </w:rPr>
          </w:pPr>
          <w:hyperlink w:anchor="_Toc216698387" w:history="1">
            <w:r w:rsidR="006D4C9C" w:rsidRPr="006D4C9C">
              <w:rPr>
                <w:rStyle w:val="Hyperlink"/>
                <w:rFonts w:ascii="Times New Roman" w:hAnsi="Times New Roman" w:cs="Times New Roman"/>
                <w:noProof/>
                <w:sz w:val="28"/>
                <w:szCs w:val="28"/>
                <w:lang w:val="en-US"/>
              </w:rPr>
              <w:t>References</w:t>
            </w:r>
            <w:r w:rsidR="006D4C9C" w:rsidRPr="006D4C9C">
              <w:rPr>
                <w:rFonts w:ascii="Times New Roman" w:hAnsi="Times New Roman" w:cs="Times New Roman"/>
                <w:noProof/>
                <w:webHidden/>
                <w:sz w:val="28"/>
                <w:szCs w:val="28"/>
              </w:rPr>
              <w:tab/>
            </w:r>
            <w:r w:rsidR="006D4C9C" w:rsidRPr="006D4C9C">
              <w:rPr>
                <w:rFonts w:ascii="Times New Roman" w:hAnsi="Times New Roman" w:cs="Times New Roman"/>
                <w:noProof/>
                <w:webHidden/>
                <w:sz w:val="28"/>
                <w:szCs w:val="28"/>
              </w:rPr>
              <w:fldChar w:fldCharType="begin"/>
            </w:r>
            <w:r w:rsidR="006D4C9C" w:rsidRPr="006D4C9C">
              <w:rPr>
                <w:rFonts w:ascii="Times New Roman" w:hAnsi="Times New Roman" w:cs="Times New Roman"/>
                <w:noProof/>
                <w:webHidden/>
                <w:sz w:val="28"/>
                <w:szCs w:val="28"/>
              </w:rPr>
              <w:instrText xml:space="preserve"> PAGEREF _Toc216698387 \h </w:instrText>
            </w:r>
            <w:r w:rsidR="006D4C9C" w:rsidRPr="006D4C9C">
              <w:rPr>
                <w:rFonts w:ascii="Times New Roman" w:hAnsi="Times New Roman" w:cs="Times New Roman"/>
                <w:noProof/>
                <w:webHidden/>
                <w:sz w:val="28"/>
                <w:szCs w:val="28"/>
              </w:rPr>
            </w:r>
            <w:r w:rsidR="006D4C9C" w:rsidRPr="006D4C9C">
              <w:rPr>
                <w:rFonts w:ascii="Times New Roman" w:hAnsi="Times New Roman" w:cs="Times New Roman"/>
                <w:noProof/>
                <w:webHidden/>
                <w:sz w:val="28"/>
                <w:szCs w:val="28"/>
              </w:rPr>
              <w:fldChar w:fldCharType="separate"/>
            </w:r>
            <w:r w:rsidR="006D7EDB">
              <w:rPr>
                <w:rFonts w:ascii="Times New Roman" w:hAnsi="Times New Roman" w:cs="Times New Roman"/>
                <w:noProof/>
                <w:webHidden/>
                <w:sz w:val="28"/>
                <w:szCs w:val="28"/>
              </w:rPr>
              <w:t>22</w:t>
            </w:r>
            <w:r w:rsidR="006D4C9C" w:rsidRPr="006D4C9C">
              <w:rPr>
                <w:rFonts w:ascii="Times New Roman" w:hAnsi="Times New Roman" w:cs="Times New Roman"/>
                <w:noProof/>
                <w:webHidden/>
                <w:sz w:val="28"/>
                <w:szCs w:val="28"/>
              </w:rPr>
              <w:fldChar w:fldCharType="end"/>
            </w:r>
          </w:hyperlink>
        </w:p>
        <w:p w14:paraId="171B49A0" w14:textId="249E20AC" w:rsidR="00953CE2" w:rsidRPr="00953CE2" w:rsidRDefault="000A073D" w:rsidP="00BF6F39">
          <w:pPr>
            <w:spacing w:line="240" w:lineRule="auto"/>
          </w:pPr>
          <w:r w:rsidRPr="006D4C9C">
            <w:rPr>
              <w:rFonts w:ascii="Times New Roman" w:hAnsi="Times New Roman" w:cs="Times New Roman"/>
              <w:b/>
              <w:bCs/>
              <w:noProof/>
              <w:sz w:val="28"/>
              <w:szCs w:val="28"/>
            </w:rPr>
            <w:fldChar w:fldCharType="end"/>
          </w:r>
        </w:p>
      </w:sdtContent>
    </w:sdt>
    <w:p w14:paraId="0CE4324E" w14:textId="77777777" w:rsidR="00953CE2" w:rsidRPr="00953CE2" w:rsidRDefault="00953CE2" w:rsidP="006D4C9C">
      <w:pPr>
        <w:pStyle w:val="Heading1"/>
      </w:pPr>
      <w:bookmarkStart w:id="1" w:name="_Toc216698362"/>
      <w:r w:rsidRPr="00953CE2">
        <w:lastRenderedPageBreak/>
        <w:t>1. Introduction</w:t>
      </w:r>
      <w:bookmarkEnd w:id="1"/>
    </w:p>
    <w:p w14:paraId="1E804A31" w14:textId="1B45A17A" w:rsidR="00F86613" w:rsidRPr="00F86613" w:rsidRDefault="00F86613" w:rsidP="00F86613">
      <w:pPr>
        <w:spacing w:line="480" w:lineRule="auto"/>
        <w:jc w:val="both"/>
        <w:rPr>
          <w:rFonts w:ascii="Times New Roman" w:hAnsi="Times New Roman" w:cs="Times New Roman"/>
          <w:sz w:val="24"/>
          <w:szCs w:val="24"/>
        </w:rPr>
      </w:pPr>
      <w:r w:rsidRPr="00F86613">
        <w:rPr>
          <w:rFonts w:ascii="Times New Roman" w:hAnsi="Times New Roman" w:cs="Times New Roman"/>
          <w:sz w:val="24"/>
          <w:szCs w:val="24"/>
        </w:rPr>
        <w:t>Apple Inc. is a multinational technology company that is popular due to innovative approaches to consumer electronics, digital services</w:t>
      </w:r>
      <w:r w:rsidR="001021AF">
        <w:rPr>
          <w:rFonts w:ascii="Times New Roman" w:hAnsi="Times New Roman" w:cs="Times New Roman"/>
          <w:sz w:val="24"/>
          <w:szCs w:val="24"/>
        </w:rPr>
        <w:t xml:space="preserve"> and</w:t>
      </w:r>
      <w:r w:rsidR="00152E7F">
        <w:rPr>
          <w:rFonts w:ascii="Times New Roman" w:hAnsi="Times New Roman" w:cs="Times New Roman"/>
          <w:sz w:val="24"/>
          <w:szCs w:val="24"/>
          <w:lang w:val="en-US"/>
        </w:rPr>
        <w:t xml:space="preserve"> </w:t>
      </w:r>
      <w:r w:rsidR="00152E7F" w:rsidRPr="00F86613">
        <w:rPr>
          <w:rFonts w:ascii="Times New Roman" w:hAnsi="Times New Roman" w:cs="Times New Roman"/>
          <w:sz w:val="24"/>
          <w:szCs w:val="24"/>
        </w:rPr>
        <w:t>health-oriented technologies</w:t>
      </w:r>
      <w:r w:rsidRPr="00F86613">
        <w:rPr>
          <w:rFonts w:ascii="Times New Roman" w:hAnsi="Times New Roman" w:cs="Times New Roman"/>
          <w:sz w:val="24"/>
          <w:szCs w:val="24"/>
        </w:rPr>
        <w:t xml:space="preserve"> in more recent years The use of advanced sensors, software</w:t>
      </w:r>
      <w:r w:rsidR="001021AF">
        <w:rPr>
          <w:rFonts w:ascii="Times New Roman" w:hAnsi="Times New Roman" w:cs="Times New Roman"/>
          <w:sz w:val="24"/>
          <w:szCs w:val="24"/>
        </w:rPr>
        <w:t xml:space="preserve"> and</w:t>
      </w:r>
      <w:r w:rsidRPr="00F86613">
        <w:rPr>
          <w:rFonts w:ascii="Times New Roman" w:hAnsi="Times New Roman" w:cs="Times New Roman"/>
          <w:sz w:val="24"/>
          <w:szCs w:val="24"/>
        </w:rPr>
        <w:t xml:space="preserve"> data analytics has enabled Apple to establish the Apple Watch as one of the main elements of the digital health ecosystem, which helps in the prevention and personalised health trackers (Apple, 2025). On the financial side, the fact that Apple has continued to invest in its research and development and have done so because of high global revenues is what has enabled the company to internationalize its innovative health technologies to the global market, including the UK (Apple, 2024).</w:t>
      </w:r>
    </w:p>
    <w:p w14:paraId="1C0E40F8" w14:textId="22FF36CB" w:rsidR="00FE38AB" w:rsidRDefault="00F86613" w:rsidP="00F86613">
      <w:pPr>
        <w:spacing w:line="480" w:lineRule="auto"/>
        <w:jc w:val="both"/>
        <w:rPr>
          <w:rFonts w:ascii="Times New Roman" w:hAnsi="Times New Roman" w:cs="Times New Roman"/>
          <w:sz w:val="24"/>
          <w:szCs w:val="24"/>
        </w:rPr>
      </w:pPr>
      <w:r w:rsidRPr="00F86613">
        <w:rPr>
          <w:rFonts w:ascii="Times New Roman" w:hAnsi="Times New Roman" w:cs="Times New Roman"/>
          <w:sz w:val="24"/>
          <w:szCs w:val="24"/>
        </w:rPr>
        <w:t>The proposed report concentrates on the launch of Apple Watch Series 11, a wearable health product in the UK, which is able to monitor heart rate, blood oxygen</w:t>
      </w:r>
      <w:r w:rsidR="001021AF">
        <w:rPr>
          <w:rFonts w:ascii="Times New Roman" w:hAnsi="Times New Roman" w:cs="Times New Roman"/>
          <w:sz w:val="24"/>
          <w:szCs w:val="24"/>
        </w:rPr>
        <w:t xml:space="preserve"> and</w:t>
      </w:r>
      <w:r w:rsidRPr="00F86613">
        <w:rPr>
          <w:rFonts w:ascii="Times New Roman" w:hAnsi="Times New Roman" w:cs="Times New Roman"/>
          <w:sz w:val="24"/>
          <w:szCs w:val="24"/>
        </w:rPr>
        <w:t xml:space="preserve"> sleep patterns and use big data analytics to provide enhanced health information (Apple, 2025). Regarded as a strategically significant market, the UK has an ageing population and an increased interest in digital health solutions, especially the long-term condition monitoring (ONS, 2025; Nomis, 2025). Nevertheless, technological excellence is not enough to achieve a successful entry into the market</w:t>
      </w:r>
      <w:r w:rsidR="001021AF">
        <w:rPr>
          <w:rFonts w:ascii="Times New Roman" w:hAnsi="Times New Roman" w:cs="Times New Roman"/>
          <w:sz w:val="24"/>
          <w:szCs w:val="24"/>
        </w:rPr>
        <w:t xml:space="preserve"> but</w:t>
      </w:r>
      <w:r w:rsidRPr="00F86613">
        <w:rPr>
          <w:rFonts w:ascii="Times New Roman" w:hAnsi="Times New Roman" w:cs="Times New Roman"/>
          <w:sz w:val="24"/>
          <w:szCs w:val="24"/>
        </w:rPr>
        <w:t xml:space="preserve"> this is achieved through the development of effective stakeholder engagement among internal teams, regulators, healthcare partners</w:t>
      </w:r>
      <w:r w:rsidR="001021AF">
        <w:rPr>
          <w:rFonts w:ascii="Times New Roman" w:hAnsi="Times New Roman" w:cs="Times New Roman"/>
          <w:sz w:val="24"/>
          <w:szCs w:val="24"/>
        </w:rPr>
        <w:t xml:space="preserve"> and</w:t>
      </w:r>
      <w:r w:rsidRPr="00F86613">
        <w:rPr>
          <w:rFonts w:ascii="Times New Roman" w:hAnsi="Times New Roman" w:cs="Times New Roman"/>
          <w:sz w:val="24"/>
          <w:szCs w:val="24"/>
        </w:rPr>
        <w:t xml:space="preserve"> consumers.</w:t>
      </w:r>
    </w:p>
    <w:p w14:paraId="5A023542" w14:textId="006E3CEA" w:rsidR="00CE144F" w:rsidRDefault="00CE144F" w:rsidP="007F2BC2">
      <w:pPr>
        <w:spacing w:line="240" w:lineRule="auto"/>
        <w:jc w:val="center"/>
        <w:rPr>
          <w:rFonts w:ascii="Times New Roman" w:hAnsi="Times New Roman" w:cs="Times New Roman"/>
          <w:sz w:val="24"/>
          <w:szCs w:val="24"/>
        </w:rPr>
      </w:pPr>
      <w:r>
        <w:rPr>
          <w:noProof/>
        </w:rPr>
        <w:drawing>
          <wp:inline distT="0" distB="0" distL="0" distR="0" wp14:anchorId="320A4053" wp14:editId="49E0DA9F">
            <wp:extent cx="4251960" cy="2391668"/>
            <wp:effectExtent l="0" t="0" r="0" b="8890"/>
            <wp:docPr id="4" name="Picture 4" descr="An angled close-up of a user’s watch face on Apple Watch Series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An angled close-up of a user’s watch face on Apple Watch Series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7523" cy="2400422"/>
                    </a:xfrm>
                    <a:prstGeom prst="rect">
                      <a:avLst/>
                    </a:prstGeom>
                    <a:noFill/>
                    <a:ln>
                      <a:noFill/>
                    </a:ln>
                  </pic:spPr>
                </pic:pic>
              </a:graphicData>
            </a:graphic>
          </wp:inline>
        </w:drawing>
      </w:r>
    </w:p>
    <w:p w14:paraId="2023871F" w14:textId="701FE86D" w:rsidR="00CE144F" w:rsidRPr="000F313C" w:rsidRDefault="000F313C" w:rsidP="00B216E1">
      <w:pPr>
        <w:spacing w:line="480" w:lineRule="auto"/>
        <w:jc w:val="center"/>
        <w:rPr>
          <w:rFonts w:ascii="Times New Roman" w:hAnsi="Times New Roman" w:cs="Times New Roman"/>
          <w:sz w:val="24"/>
          <w:szCs w:val="24"/>
          <w:lang w:val="en-US"/>
        </w:rPr>
      </w:pPr>
      <w:r w:rsidRPr="00E67986">
        <w:rPr>
          <w:rFonts w:ascii="Times New Roman" w:hAnsi="Times New Roman" w:cs="Times New Roman"/>
          <w:b/>
          <w:bCs/>
          <w:sz w:val="24"/>
          <w:szCs w:val="24"/>
          <w:lang w:val="en-US"/>
        </w:rPr>
        <w:t>Figure 1.</w:t>
      </w:r>
      <w:r>
        <w:rPr>
          <w:rFonts w:ascii="Times New Roman" w:hAnsi="Times New Roman" w:cs="Times New Roman"/>
          <w:sz w:val="24"/>
          <w:szCs w:val="24"/>
          <w:lang w:val="en-US"/>
        </w:rPr>
        <w:t xml:space="preserve"> </w:t>
      </w:r>
      <w:r w:rsidRPr="000F313C">
        <w:rPr>
          <w:rFonts w:ascii="Times New Roman" w:hAnsi="Times New Roman" w:cs="Times New Roman"/>
          <w:sz w:val="24"/>
          <w:szCs w:val="24"/>
          <w:lang w:val="en-US"/>
        </w:rPr>
        <w:t>Apple Watch Series 11</w:t>
      </w:r>
      <w:r>
        <w:rPr>
          <w:rFonts w:ascii="Times New Roman" w:hAnsi="Times New Roman" w:cs="Times New Roman"/>
          <w:sz w:val="24"/>
          <w:szCs w:val="24"/>
          <w:lang w:val="en-US"/>
        </w:rPr>
        <w:t xml:space="preserve"> (Apple, 2025)</w:t>
      </w:r>
    </w:p>
    <w:p w14:paraId="3EDAD9F3" w14:textId="6D8C88C3" w:rsidR="00953CE2" w:rsidRPr="00953CE2" w:rsidRDefault="003F6F58" w:rsidP="00B216E1">
      <w:pPr>
        <w:spacing w:line="480" w:lineRule="auto"/>
        <w:jc w:val="both"/>
        <w:rPr>
          <w:rFonts w:ascii="Times New Roman" w:hAnsi="Times New Roman" w:cs="Times New Roman"/>
          <w:sz w:val="24"/>
          <w:szCs w:val="24"/>
        </w:rPr>
      </w:pPr>
      <w:r w:rsidRPr="003F6F58">
        <w:rPr>
          <w:rFonts w:ascii="Times New Roman" w:hAnsi="Times New Roman" w:cs="Times New Roman"/>
          <w:sz w:val="24"/>
          <w:szCs w:val="24"/>
        </w:rPr>
        <w:lastRenderedPageBreak/>
        <w:t>This report is a critical evaluation of how well-organized and sustained stakeholders engagement mechanisms can be used to support regulatory compliance, risk mitigation</w:t>
      </w:r>
      <w:r w:rsidR="001021AF">
        <w:rPr>
          <w:rFonts w:ascii="Times New Roman" w:hAnsi="Times New Roman" w:cs="Times New Roman"/>
          <w:sz w:val="24"/>
          <w:szCs w:val="24"/>
        </w:rPr>
        <w:t xml:space="preserve"> and</w:t>
      </w:r>
      <w:r w:rsidRPr="003F6F58">
        <w:rPr>
          <w:rFonts w:ascii="Times New Roman" w:hAnsi="Times New Roman" w:cs="Times New Roman"/>
          <w:sz w:val="24"/>
          <w:szCs w:val="24"/>
        </w:rPr>
        <w:t xml:space="preserve"> improve the business performance with improved health outcomes in society as the project manager in charge of this internal product launch.</w:t>
      </w:r>
    </w:p>
    <w:p w14:paraId="6CE818D0" w14:textId="77777777" w:rsidR="00953CE2" w:rsidRPr="00953CE2" w:rsidRDefault="00953CE2" w:rsidP="006D4C9C">
      <w:pPr>
        <w:pStyle w:val="Heading1"/>
      </w:pPr>
      <w:bookmarkStart w:id="2" w:name="_Toc216698363"/>
      <w:r w:rsidRPr="00953CE2">
        <w:t>2. Situational Analysis: SWOT and PESTLE</w:t>
      </w:r>
      <w:bookmarkEnd w:id="2"/>
    </w:p>
    <w:p w14:paraId="1F0CE617" w14:textId="77777777" w:rsidR="00953CE2" w:rsidRPr="00953CE2" w:rsidRDefault="00953CE2" w:rsidP="00B216E1">
      <w:pPr>
        <w:pStyle w:val="Heading2"/>
        <w:spacing w:line="480" w:lineRule="auto"/>
      </w:pPr>
      <w:bookmarkStart w:id="3" w:name="_Toc216698364"/>
      <w:r w:rsidRPr="00953CE2">
        <w:t>2.1 SWOT Analysis</w:t>
      </w:r>
      <w:bookmarkEnd w:id="3"/>
    </w:p>
    <w:p w14:paraId="023618C6" w14:textId="25D9B040" w:rsidR="00953CE2" w:rsidRPr="00B47561" w:rsidRDefault="00B47561" w:rsidP="00B216E1">
      <w:pPr>
        <w:spacing w:line="480" w:lineRule="auto"/>
        <w:rPr>
          <w:rFonts w:ascii="Times New Roman" w:hAnsi="Times New Roman" w:cs="Times New Roman"/>
          <w:sz w:val="24"/>
          <w:szCs w:val="24"/>
          <w:lang w:val="en-US"/>
        </w:rPr>
      </w:pPr>
      <w:r>
        <w:rPr>
          <w:rFonts w:ascii="Times New Roman" w:hAnsi="Times New Roman" w:cs="Times New Roman"/>
          <w:sz w:val="24"/>
          <w:szCs w:val="24"/>
          <w:lang w:val="en-US"/>
        </w:rPr>
        <w:t>SWOT Analysis is done in Table 2.1 below.</w:t>
      </w:r>
    </w:p>
    <w:p w14:paraId="47501B07" w14:textId="3327CF0F" w:rsidR="00965844" w:rsidRPr="00965844" w:rsidRDefault="00965844" w:rsidP="00B216E1">
      <w:pPr>
        <w:spacing w:line="480" w:lineRule="auto"/>
        <w:rPr>
          <w:rFonts w:ascii="Times New Roman" w:hAnsi="Times New Roman" w:cs="Times New Roman"/>
          <w:b/>
          <w:bCs/>
          <w:sz w:val="24"/>
          <w:szCs w:val="24"/>
        </w:rPr>
      </w:pPr>
      <w:r w:rsidRPr="00965844">
        <w:rPr>
          <w:rFonts w:ascii="Times New Roman" w:hAnsi="Times New Roman" w:cs="Times New Roman"/>
          <w:b/>
          <w:bCs/>
          <w:sz w:val="24"/>
          <w:szCs w:val="24"/>
        </w:rPr>
        <w:t xml:space="preserve">Table </w:t>
      </w:r>
      <w:r w:rsidR="00331715">
        <w:rPr>
          <w:rFonts w:ascii="Times New Roman" w:hAnsi="Times New Roman" w:cs="Times New Roman"/>
          <w:b/>
          <w:bCs/>
          <w:sz w:val="24"/>
          <w:szCs w:val="24"/>
          <w:lang w:val="en-US"/>
        </w:rPr>
        <w:t>2.</w:t>
      </w:r>
      <w:r w:rsidRPr="00965844">
        <w:rPr>
          <w:rFonts w:ascii="Times New Roman" w:hAnsi="Times New Roman" w:cs="Times New Roman"/>
          <w:b/>
          <w:bCs/>
          <w:sz w:val="24"/>
          <w:szCs w:val="24"/>
        </w:rPr>
        <w:t xml:space="preserve">1: </w:t>
      </w:r>
      <w:r w:rsidRPr="00E67986">
        <w:rPr>
          <w:rFonts w:ascii="Times New Roman" w:hAnsi="Times New Roman" w:cs="Times New Roman"/>
          <w:sz w:val="24"/>
          <w:szCs w:val="24"/>
        </w:rPr>
        <w:t>SWOT Analysis for Apple Watch Series 11 (UK Market)</w:t>
      </w:r>
    </w:p>
    <w:tbl>
      <w:tblPr>
        <w:tblStyle w:val="GridTable4-Accent1"/>
        <w:tblW w:w="11335" w:type="dxa"/>
        <w:jc w:val="center"/>
        <w:tblLook w:val="04A0" w:firstRow="1" w:lastRow="0" w:firstColumn="1" w:lastColumn="0" w:noHBand="0" w:noVBand="1"/>
      </w:tblPr>
      <w:tblGrid>
        <w:gridCol w:w="1110"/>
        <w:gridCol w:w="4735"/>
        <w:gridCol w:w="5490"/>
      </w:tblGrid>
      <w:tr w:rsidR="00C9183E" w:rsidRPr="00965844" w14:paraId="2FAC50DB" w14:textId="77777777" w:rsidTr="008D625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729B934" w14:textId="56CA0018" w:rsidR="00965844" w:rsidRPr="00965844" w:rsidRDefault="00965844" w:rsidP="00B216E1">
            <w:pPr>
              <w:spacing w:after="160" w:line="480" w:lineRule="auto"/>
              <w:rPr>
                <w:rFonts w:ascii="Times New Roman" w:hAnsi="Times New Roman" w:cs="Times New Roman"/>
                <w:b w:val="0"/>
                <w:bCs w:val="0"/>
                <w:sz w:val="24"/>
                <w:szCs w:val="24"/>
              </w:rPr>
            </w:pPr>
          </w:p>
        </w:tc>
        <w:tc>
          <w:tcPr>
            <w:tcW w:w="4735" w:type="dxa"/>
            <w:hideMark/>
          </w:tcPr>
          <w:p w14:paraId="46B2DBAD" w14:textId="77777777" w:rsidR="00965844" w:rsidRPr="00965844" w:rsidRDefault="00965844" w:rsidP="00B216E1">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65844">
              <w:rPr>
                <w:rFonts w:ascii="Times New Roman" w:hAnsi="Times New Roman" w:cs="Times New Roman"/>
                <w:sz w:val="24"/>
                <w:szCs w:val="24"/>
              </w:rPr>
              <w:t>Strengths (S)</w:t>
            </w:r>
          </w:p>
        </w:tc>
        <w:tc>
          <w:tcPr>
            <w:tcW w:w="5490" w:type="dxa"/>
            <w:hideMark/>
          </w:tcPr>
          <w:p w14:paraId="56A2693E" w14:textId="77777777" w:rsidR="00965844" w:rsidRPr="00965844" w:rsidRDefault="00965844" w:rsidP="00B216E1">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965844">
              <w:rPr>
                <w:rFonts w:ascii="Times New Roman" w:hAnsi="Times New Roman" w:cs="Times New Roman"/>
                <w:sz w:val="24"/>
                <w:szCs w:val="24"/>
              </w:rPr>
              <w:t>Weaknesses (W)</w:t>
            </w:r>
          </w:p>
        </w:tc>
      </w:tr>
      <w:tr w:rsidR="00C9183E" w:rsidRPr="00965844" w14:paraId="0674CB07" w14:textId="77777777" w:rsidTr="008D62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A6B987" w14:textId="77777777" w:rsidR="00965844" w:rsidRPr="00965844" w:rsidRDefault="00965844" w:rsidP="00B216E1">
            <w:pPr>
              <w:spacing w:after="160" w:line="480" w:lineRule="auto"/>
              <w:rPr>
                <w:rFonts w:ascii="Times New Roman" w:hAnsi="Times New Roman" w:cs="Times New Roman"/>
                <w:sz w:val="24"/>
                <w:szCs w:val="24"/>
              </w:rPr>
            </w:pPr>
            <w:r w:rsidRPr="00965844">
              <w:rPr>
                <w:rFonts w:ascii="Times New Roman" w:hAnsi="Times New Roman" w:cs="Times New Roman"/>
                <w:sz w:val="24"/>
                <w:szCs w:val="24"/>
              </w:rPr>
              <w:t>Internal</w:t>
            </w:r>
          </w:p>
        </w:tc>
        <w:tc>
          <w:tcPr>
            <w:tcW w:w="4735" w:type="dxa"/>
            <w:hideMark/>
          </w:tcPr>
          <w:p w14:paraId="15E914EC" w14:textId="77777777" w:rsidR="00BA44B1" w:rsidRPr="00BA44B1" w:rsidRDefault="00BA44B1" w:rsidP="00B216E1">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A44B1">
              <w:rPr>
                <w:rFonts w:ascii="Times New Roman" w:hAnsi="Times New Roman" w:cs="Times New Roman"/>
                <w:sz w:val="24"/>
                <w:szCs w:val="24"/>
              </w:rPr>
              <w:t>Strong brand reputation and consumer trust (Apple, 2024)</w:t>
            </w:r>
          </w:p>
          <w:p w14:paraId="29D45D61" w14:textId="34E53BC2" w:rsidR="00BA44B1" w:rsidRPr="00BA44B1" w:rsidRDefault="00BA44B1" w:rsidP="00B216E1">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A44B1">
              <w:rPr>
                <w:rFonts w:ascii="Times New Roman" w:hAnsi="Times New Roman" w:cs="Times New Roman"/>
                <w:sz w:val="24"/>
                <w:szCs w:val="24"/>
              </w:rPr>
              <w:t>Advanced health monitoring using AI and sensors (Choe &amp; Kang, 2025)</w:t>
            </w:r>
          </w:p>
          <w:p w14:paraId="17282CF6" w14:textId="79C0FCCC" w:rsidR="00965844" w:rsidRPr="00C9183E" w:rsidRDefault="00BA44B1" w:rsidP="00B216E1">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BA44B1">
              <w:rPr>
                <w:rFonts w:ascii="Times New Roman" w:hAnsi="Times New Roman" w:cs="Times New Roman"/>
                <w:sz w:val="24"/>
                <w:szCs w:val="24"/>
              </w:rPr>
              <w:t>Robust financial resources supporting R&amp;D (Apple, 2024)</w:t>
            </w:r>
          </w:p>
        </w:tc>
        <w:tc>
          <w:tcPr>
            <w:tcW w:w="5490" w:type="dxa"/>
            <w:hideMark/>
          </w:tcPr>
          <w:p w14:paraId="4FA28EB0" w14:textId="77777777" w:rsidR="0042548D" w:rsidRPr="0042548D" w:rsidRDefault="0042548D" w:rsidP="00B216E1">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2548D">
              <w:rPr>
                <w:rFonts w:ascii="Times New Roman" w:hAnsi="Times New Roman" w:cs="Times New Roman"/>
                <w:sz w:val="24"/>
                <w:szCs w:val="24"/>
              </w:rPr>
              <w:t>Premium pricing may limit adoption among lower-income UK consumers (Statista, 2024)</w:t>
            </w:r>
          </w:p>
          <w:p w14:paraId="2A48CD9B" w14:textId="414CAC9B" w:rsidR="0042548D" w:rsidRPr="0042548D" w:rsidRDefault="0042548D" w:rsidP="00B216E1">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2548D">
              <w:rPr>
                <w:rFonts w:ascii="Times New Roman" w:hAnsi="Times New Roman" w:cs="Times New Roman"/>
                <w:sz w:val="24"/>
                <w:szCs w:val="24"/>
              </w:rPr>
              <w:t>Limited interoperability with non-Apple healthcare platforms (Hosseini et al., 2023)</w:t>
            </w:r>
          </w:p>
          <w:p w14:paraId="7B51A6B1" w14:textId="0806DFF4" w:rsidR="00965844" w:rsidRPr="00C9183E" w:rsidRDefault="0042548D" w:rsidP="00B216E1">
            <w:pPr>
              <w:pStyle w:val="ListParagraph"/>
              <w:numPr>
                <w:ilvl w:val="0"/>
                <w:numId w:val="12"/>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42548D">
              <w:rPr>
                <w:rFonts w:ascii="Times New Roman" w:hAnsi="Times New Roman" w:cs="Times New Roman"/>
                <w:sz w:val="24"/>
                <w:szCs w:val="24"/>
              </w:rPr>
              <w:t>Reliance on consumer self-management rather than full clinical integration (Lu et al., 2016)</w:t>
            </w:r>
          </w:p>
        </w:tc>
      </w:tr>
      <w:tr w:rsidR="00B70544" w:rsidRPr="00965844" w14:paraId="09DB8F8A" w14:textId="77777777" w:rsidTr="008D6252">
        <w:trPr>
          <w:jc w:val="center"/>
        </w:trPr>
        <w:tc>
          <w:tcPr>
            <w:cnfStyle w:val="001000000000" w:firstRow="0" w:lastRow="0" w:firstColumn="1" w:lastColumn="0" w:oddVBand="0" w:evenVBand="0" w:oddHBand="0" w:evenHBand="0" w:firstRowFirstColumn="0" w:firstRowLastColumn="0" w:lastRowFirstColumn="0" w:lastRowLastColumn="0"/>
            <w:tcW w:w="0" w:type="auto"/>
          </w:tcPr>
          <w:p w14:paraId="2B856602" w14:textId="36658589" w:rsidR="00B70544" w:rsidRPr="00965844" w:rsidRDefault="00B70544" w:rsidP="00B216E1">
            <w:pPr>
              <w:spacing w:line="480" w:lineRule="auto"/>
              <w:rPr>
                <w:rFonts w:ascii="Times New Roman" w:hAnsi="Times New Roman" w:cs="Times New Roman"/>
                <w:b w:val="0"/>
                <w:bCs w:val="0"/>
                <w:sz w:val="24"/>
                <w:szCs w:val="24"/>
              </w:rPr>
            </w:pPr>
          </w:p>
        </w:tc>
        <w:tc>
          <w:tcPr>
            <w:tcW w:w="4735" w:type="dxa"/>
          </w:tcPr>
          <w:p w14:paraId="37A7152C" w14:textId="1C3E8600" w:rsidR="00B70544" w:rsidRPr="00965844" w:rsidRDefault="00B70544" w:rsidP="00B216E1">
            <w:pPr>
              <w:pStyle w:val="BodyText2"/>
              <w:spacing w:line="480" w:lineRule="auto"/>
              <w:cnfStyle w:val="000000000000" w:firstRow="0" w:lastRow="0" w:firstColumn="0" w:lastColumn="0" w:oddVBand="0" w:evenVBand="0" w:oddHBand="0" w:evenHBand="0" w:firstRowFirstColumn="0" w:firstRowLastColumn="0" w:lastRowFirstColumn="0" w:lastRowLastColumn="0"/>
            </w:pPr>
            <w:r w:rsidRPr="00B70544">
              <w:rPr>
                <w:b/>
                <w:bCs/>
              </w:rPr>
              <w:t>Opportunities (O)</w:t>
            </w:r>
          </w:p>
        </w:tc>
        <w:tc>
          <w:tcPr>
            <w:tcW w:w="5490" w:type="dxa"/>
          </w:tcPr>
          <w:p w14:paraId="1FE4068A" w14:textId="517EA3DE" w:rsidR="00B70544" w:rsidRPr="00965844" w:rsidRDefault="00B70544" w:rsidP="00B216E1">
            <w:pPr>
              <w:pStyle w:val="BodyText2"/>
              <w:spacing w:line="480" w:lineRule="auto"/>
              <w:cnfStyle w:val="000000000000" w:firstRow="0" w:lastRow="0" w:firstColumn="0" w:lastColumn="0" w:oddVBand="0" w:evenVBand="0" w:oddHBand="0" w:evenHBand="0" w:firstRowFirstColumn="0" w:firstRowLastColumn="0" w:lastRowFirstColumn="0" w:lastRowLastColumn="0"/>
            </w:pPr>
            <w:r w:rsidRPr="00B70544">
              <w:rPr>
                <w:b/>
                <w:bCs/>
              </w:rPr>
              <w:t>Threats (T)</w:t>
            </w:r>
          </w:p>
        </w:tc>
      </w:tr>
      <w:tr w:rsidR="00C9183E" w:rsidRPr="00965844" w14:paraId="4E4DBF24" w14:textId="77777777" w:rsidTr="008D6252">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99D8B02" w14:textId="77777777" w:rsidR="00965844" w:rsidRPr="00965844" w:rsidRDefault="00965844" w:rsidP="00B216E1">
            <w:pPr>
              <w:spacing w:after="160" w:line="480" w:lineRule="auto"/>
              <w:rPr>
                <w:rFonts w:ascii="Times New Roman" w:hAnsi="Times New Roman" w:cs="Times New Roman"/>
                <w:sz w:val="24"/>
                <w:szCs w:val="24"/>
              </w:rPr>
            </w:pPr>
            <w:r w:rsidRPr="00965844">
              <w:rPr>
                <w:rFonts w:ascii="Times New Roman" w:hAnsi="Times New Roman" w:cs="Times New Roman"/>
                <w:sz w:val="24"/>
                <w:szCs w:val="24"/>
              </w:rPr>
              <w:t>External</w:t>
            </w:r>
          </w:p>
        </w:tc>
        <w:tc>
          <w:tcPr>
            <w:tcW w:w="4735" w:type="dxa"/>
            <w:hideMark/>
          </w:tcPr>
          <w:p w14:paraId="18A2DEC7" w14:textId="77777777" w:rsidR="001234DB" w:rsidRPr="001234DB" w:rsidRDefault="001234DB" w:rsidP="00B216E1">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234DB">
              <w:rPr>
                <w:rFonts w:ascii="Times New Roman" w:hAnsi="Times New Roman" w:cs="Times New Roman"/>
                <w:sz w:val="24"/>
                <w:szCs w:val="24"/>
              </w:rPr>
              <w:t>Growing UK ageing population, increasing demand for chronic disease monitoring (ONS, 2025)</w:t>
            </w:r>
          </w:p>
          <w:p w14:paraId="3B492939" w14:textId="0809578F" w:rsidR="001234DB" w:rsidRPr="001234DB" w:rsidRDefault="001234DB" w:rsidP="00B216E1">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234DB">
              <w:rPr>
                <w:rFonts w:ascii="Times New Roman" w:hAnsi="Times New Roman" w:cs="Times New Roman"/>
                <w:sz w:val="24"/>
                <w:szCs w:val="24"/>
              </w:rPr>
              <w:t>Potential NHS collaborations and pilot programs (Triantafyllidis et al., 2024)</w:t>
            </w:r>
          </w:p>
          <w:p w14:paraId="3BEA9FCC" w14:textId="25470FC8" w:rsidR="00965844" w:rsidRPr="00C9183E" w:rsidRDefault="001234DB" w:rsidP="00B216E1">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234DB">
              <w:rPr>
                <w:rFonts w:ascii="Times New Roman" w:hAnsi="Times New Roman" w:cs="Times New Roman"/>
                <w:sz w:val="24"/>
                <w:szCs w:val="24"/>
              </w:rPr>
              <w:t>Expansion of AI-based predictive health analytics (Khan et al., 2025)</w:t>
            </w:r>
          </w:p>
        </w:tc>
        <w:tc>
          <w:tcPr>
            <w:tcW w:w="5490" w:type="dxa"/>
            <w:hideMark/>
          </w:tcPr>
          <w:p w14:paraId="31E889A0" w14:textId="77777777" w:rsidR="001944A8" w:rsidRPr="001944A8" w:rsidRDefault="001944A8" w:rsidP="00B216E1">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944A8">
              <w:rPr>
                <w:rFonts w:ascii="Times New Roman" w:hAnsi="Times New Roman" w:cs="Times New Roman"/>
                <w:sz w:val="24"/>
                <w:szCs w:val="24"/>
              </w:rPr>
              <w:t>Regulatory scrutiny of wearable devices as medical tools (MHRA, 2014)</w:t>
            </w:r>
          </w:p>
          <w:p w14:paraId="40F4846F" w14:textId="525C58F1" w:rsidR="001944A8" w:rsidRPr="001944A8" w:rsidRDefault="001944A8" w:rsidP="00B216E1">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944A8">
              <w:rPr>
                <w:rFonts w:ascii="Times New Roman" w:hAnsi="Times New Roman" w:cs="Times New Roman"/>
                <w:sz w:val="24"/>
                <w:szCs w:val="24"/>
              </w:rPr>
              <w:t>GDPR compliance and data privacy concerns (ICO, 2024)</w:t>
            </w:r>
          </w:p>
          <w:p w14:paraId="3301274F" w14:textId="3FD7C333" w:rsidR="00965844" w:rsidRPr="00C9183E" w:rsidRDefault="001944A8" w:rsidP="00B216E1">
            <w:pPr>
              <w:pStyle w:val="ListParagraph"/>
              <w:numPr>
                <w:ilvl w:val="0"/>
                <w:numId w:val="11"/>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1944A8">
              <w:rPr>
                <w:rFonts w:ascii="Times New Roman" w:hAnsi="Times New Roman" w:cs="Times New Roman"/>
                <w:sz w:val="24"/>
                <w:szCs w:val="24"/>
              </w:rPr>
              <w:t>Competition from lower-cost wearable brands and emerging AI health platforms (Mordor Intelligence, 2023)</w:t>
            </w:r>
          </w:p>
        </w:tc>
      </w:tr>
    </w:tbl>
    <w:p w14:paraId="22A6E31E" w14:textId="6BE8E78C" w:rsidR="00965844" w:rsidRDefault="00965844" w:rsidP="00B216E1">
      <w:pPr>
        <w:spacing w:line="480" w:lineRule="auto"/>
        <w:rPr>
          <w:rFonts w:ascii="Times New Roman" w:hAnsi="Times New Roman" w:cs="Times New Roman"/>
          <w:sz w:val="24"/>
          <w:szCs w:val="24"/>
        </w:rPr>
      </w:pPr>
    </w:p>
    <w:p w14:paraId="3AAD906A" w14:textId="3E837054" w:rsidR="009876F0" w:rsidRPr="00953CE2" w:rsidRDefault="003F6F58" w:rsidP="00B216E1">
      <w:pPr>
        <w:spacing w:line="480" w:lineRule="auto"/>
        <w:jc w:val="both"/>
        <w:rPr>
          <w:rFonts w:ascii="Times New Roman" w:hAnsi="Times New Roman" w:cs="Times New Roman"/>
          <w:sz w:val="24"/>
          <w:szCs w:val="24"/>
        </w:rPr>
      </w:pPr>
      <w:r w:rsidRPr="003F6F58">
        <w:rPr>
          <w:rFonts w:ascii="Times New Roman" w:hAnsi="Times New Roman" w:cs="Times New Roman"/>
          <w:sz w:val="24"/>
          <w:szCs w:val="24"/>
        </w:rPr>
        <w:lastRenderedPageBreak/>
        <w:t>The high brand recognition and customer confidence in Apple provide it with a competitive advantage in the UK wearable market, increasing its adoption and loyalty. Its technological advancement (its features are a combination of HRV, heart rate, blood oxygen</w:t>
      </w:r>
      <w:r w:rsidR="001021AF">
        <w:rPr>
          <w:rFonts w:ascii="Times New Roman" w:hAnsi="Times New Roman" w:cs="Times New Roman"/>
          <w:sz w:val="24"/>
          <w:szCs w:val="24"/>
        </w:rPr>
        <w:t xml:space="preserve"> and</w:t>
      </w:r>
      <w:r w:rsidRPr="003F6F58">
        <w:rPr>
          <w:rFonts w:ascii="Times New Roman" w:hAnsi="Times New Roman" w:cs="Times New Roman"/>
          <w:sz w:val="24"/>
          <w:szCs w:val="24"/>
        </w:rPr>
        <w:t xml:space="preserve"> sleep monitoring) makes Series 11 one of the most advanced health-related wearables. The ability to invest in R&amp;D helps to maintain financial stability to develop new features and make constant upgrades. Pricing as a weakness such as high prices</w:t>
      </w:r>
      <w:r w:rsidR="001021AF">
        <w:rPr>
          <w:rFonts w:ascii="Times New Roman" w:hAnsi="Times New Roman" w:cs="Times New Roman"/>
          <w:sz w:val="24"/>
          <w:szCs w:val="24"/>
        </w:rPr>
        <w:t xml:space="preserve"> and</w:t>
      </w:r>
      <w:r w:rsidRPr="003F6F58">
        <w:rPr>
          <w:rFonts w:ascii="Times New Roman" w:hAnsi="Times New Roman" w:cs="Times New Roman"/>
          <w:sz w:val="24"/>
          <w:szCs w:val="24"/>
        </w:rPr>
        <w:t xml:space="preserve"> lack of cross-platform interoperability</w:t>
      </w:r>
      <w:r w:rsidR="00E67986">
        <w:rPr>
          <w:rFonts w:ascii="Times New Roman" w:hAnsi="Times New Roman" w:cs="Times New Roman"/>
          <w:sz w:val="24"/>
          <w:szCs w:val="24"/>
          <w:lang w:val="en-US"/>
        </w:rPr>
        <w:t xml:space="preserve"> </w:t>
      </w:r>
      <w:r w:rsidRPr="003F6F58">
        <w:rPr>
          <w:rFonts w:ascii="Times New Roman" w:hAnsi="Times New Roman" w:cs="Times New Roman"/>
          <w:sz w:val="24"/>
          <w:szCs w:val="24"/>
        </w:rPr>
        <w:t>as well as use of self-managed system, may limit adoption, particularly to consumers with lower income and NHS integration. The opportunities are the UK ageing population, the rise in preventive healthcare awareness</w:t>
      </w:r>
      <w:r w:rsidR="001021AF">
        <w:rPr>
          <w:rFonts w:ascii="Times New Roman" w:hAnsi="Times New Roman" w:cs="Times New Roman"/>
          <w:sz w:val="24"/>
          <w:szCs w:val="24"/>
        </w:rPr>
        <w:t xml:space="preserve"> and</w:t>
      </w:r>
      <w:r w:rsidRPr="003F6F58">
        <w:rPr>
          <w:rFonts w:ascii="Times New Roman" w:hAnsi="Times New Roman" w:cs="Times New Roman"/>
          <w:sz w:val="24"/>
          <w:szCs w:val="24"/>
        </w:rPr>
        <w:t xml:space="preserve"> the potential of NHS cooperation, which can make clinical validation and mass implementation. The threats include regulatory review, GDPR issues</w:t>
      </w:r>
      <w:r w:rsidR="001021AF">
        <w:rPr>
          <w:rFonts w:ascii="Times New Roman" w:hAnsi="Times New Roman" w:cs="Times New Roman"/>
          <w:sz w:val="24"/>
          <w:szCs w:val="24"/>
        </w:rPr>
        <w:t xml:space="preserve"> and</w:t>
      </w:r>
      <w:r w:rsidRPr="003F6F58">
        <w:rPr>
          <w:rFonts w:ascii="Times New Roman" w:hAnsi="Times New Roman" w:cs="Times New Roman"/>
          <w:sz w:val="24"/>
          <w:szCs w:val="24"/>
        </w:rPr>
        <w:t xml:space="preserve"> high competition</w:t>
      </w:r>
      <w:r w:rsidR="001021AF">
        <w:rPr>
          <w:rFonts w:ascii="Times New Roman" w:hAnsi="Times New Roman" w:cs="Times New Roman"/>
          <w:sz w:val="24"/>
          <w:szCs w:val="24"/>
        </w:rPr>
        <w:t xml:space="preserve"> and</w:t>
      </w:r>
      <w:r w:rsidRPr="003F6F58">
        <w:rPr>
          <w:rFonts w:ascii="Times New Roman" w:hAnsi="Times New Roman" w:cs="Times New Roman"/>
          <w:sz w:val="24"/>
          <w:szCs w:val="24"/>
        </w:rPr>
        <w:t xml:space="preserve"> special attention should be paid to planning and involving stakeholders in these situations to ensure credibility and market share.</w:t>
      </w:r>
    </w:p>
    <w:p w14:paraId="70611BC0" w14:textId="77777777" w:rsidR="00953CE2" w:rsidRPr="00953CE2" w:rsidRDefault="00953CE2" w:rsidP="00B216E1">
      <w:pPr>
        <w:pStyle w:val="Heading2"/>
        <w:spacing w:line="480" w:lineRule="auto"/>
      </w:pPr>
      <w:bookmarkStart w:id="4" w:name="_Toc216698365"/>
      <w:r w:rsidRPr="00953CE2">
        <w:t>2.2 PESTLE Analysis</w:t>
      </w:r>
      <w:bookmarkEnd w:id="4"/>
    </w:p>
    <w:p w14:paraId="6D917802" w14:textId="562ABA4A" w:rsidR="00953CE2" w:rsidRDefault="009F6AEE" w:rsidP="00B216E1">
      <w:pPr>
        <w:spacing w:line="480" w:lineRule="auto"/>
        <w:rPr>
          <w:rFonts w:ascii="Times New Roman" w:hAnsi="Times New Roman" w:cs="Times New Roman"/>
          <w:b/>
          <w:bCs/>
          <w:sz w:val="24"/>
          <w:szCs w:val="24"/>
        </w:rPr>
      </w:pPr>
      <w:r w:rsidRPr="009F6AEE">
        <w:rPr>
          <w:rFonts w:ascii="Times New Roman" w:hAnsi="Times New Roman" w:cs="Times New Roman"/>
          <w:b/>
          <w:bCs/>
          <w:sz w:val="24"/>
          <w:szCs w:val="24"/>
          <w:lang w:val="en-US"/>
        </w:rPr>
        <w:t xml:space="preserve">Table 2.2 </w:t>
      </w:r>
      <w:r w:rsidRPr="00E67986">
        <w:rPr>
          <w:rFonts w:ascii="Times New Roman" w:hAnsi="Times New Roman" w:cs="Times New Roman"/>
          <w:sz w:val="24"/>
          <w:szCs w:val="24"/>
        </w:rPr>
        <w:t>PESTLE Analysis – Apple Watch Series 11 (UK Market)</w:t>
      </w:r>
    </w:p>
    <w:p w14:paraId="403985DE" w14:textId="0F08F305" w:rsidR="00995FE8" w:rsidRPr="009F6AEE" w:rsidRDefault="00995FE8" w:rsidP="00B216E1">
      <w:pPr>
        <w:spacing w:line="480" w:lineRule="auto"/>
        <w:rPr>
          <w:rFonts w:ascii="Times New Roman" w:hAnsi="Times New Roman" w:cs="Times New Roman"/>
          <w:b/>
          <w:bCs/>
          <w:sz w:val="24"/>
          <w:szCs w:val="24"/>
        </w:rPr>
      </w:pPr>
      <w:r>
        <w:rPr>
          <w:rFonts w:ascii="Times New Roman" w:hAnsi="Times New Roman" w:cs="Times New Roman"/>
          <w:sz w:val="24"/>
          <w:szCs w:val="24"/>
          <w:lang w:val="en-US"/>
        </w:rPr>
        <w:t>PESTLE Analysis is done in Table 2.2 below.</w:t>
      </w:r>
    </w:p>
    <w:tbl>
      <w:tblPr>
        <w:tblStyle w:val="GridTable4-Accent1"/>
        <w:tblW w:w="11474" w:type="dxa"/>
        <w:jc w:val="center"/>
        <w:tblLook w:val="04A0" w:firstRow="1" w:lastRow="0" w:firstColumn="1" w:lastColumn="0" w:noHBand="0" w:noVBand="1"/>
      </w:tblPr>
      <w:tblGrid>
        <w:gridCol w:w="1933"/>
        <w:gridCol w:w="1660"/>
        <w:gridCol w:w="1908"/>
        <w:gridCol w:w="2063"/>
        <w:gridCol w:w="1797"/>
        <w:gridCol w:w="2113"/>
      </w:tblGrid>
      <w:tr w:rsidR="00DA5BE3" w:rsidRPr="00DA5BE3" w14:paraId="3A7A14E2" w14:textId="77777777" w:rsidTr="0043493B">
        <w:trPr>
          <w:cnfStyle w:val="100000000000" w:firstRow="1" w:lastRow="0" w:firstColumn="0" w:lastColumn="0" w:oddVBand="0" w:evenVBand="0" w:oddHBand="0" w:evenHBand="0" w:firstRowFirstColumn="0" w:firstRowLastColumn="0" w:lastRowFirstColumn="0" w:lastRowLastColumn="0"/>
          <w:trHeight w:val="40"/>
          <w:jc w:val="center"/>
        </w:trPr>
        <w:tc>
          <w:tcPr>
            <w:cnfStyle w:val="001000000000" w:firstRow="0" w:lastRow="0" w:firstColumn="1" w:lastColumn="0" w:oddVBand="0" w:evenVBand="0" w:oddHBand="0" w:evenHBand="0" w:firstRowFirstColumn="0" w:firstRowLastColumn="0" w:lastRowFirstColumn="0" w:lastRowLastColumn="0"/>
            <w:tcW w:w="1933" w:type="dxa"/>
            <w:hideMark/>
          </w:tcPr>
          <w:p w14:paraId="3DB05511" w14:textId="77777777" w:rsidR="00FD4ECB" w:rsidRPr="00345217" w:rsidRDefault="00FD4ECB" w:rsidP="00B216E1">
            <w:pPr>
              <w:spacing w:line="480" w:lineRule="auto"/>
              <w:rPr>
                <w:rFonts w:ascii="Times New Roman" w:hAnsi="Times New Roman" w:cs="Times New Roman"/>
                <w:b w:val="0"/>
                <w:bCs w:val="0"/>
              </w:rPr>
            </w:pPr>
            <w:r w:rsidRPr="00345217">
              <w:rPr>
                <w:rFonts w:ascii="Times New Roman" w:hAnsi="Times New Roman" w:cs="Times New Roman"/>
                <w:b w:val="0"/>
                <w:bCs w:val="0"/>
              </w:rPr>
              <w:t>P – Political</w:t>
            </w:r>
          </w:p>
        </w:tc>
        <w:tc>
          <w:tcPr>
            <w:tcW w:w="1662" w:type="dxa"/>
            <w:hideMark/>
          </w:tcPr>
          <w:p w14:paraId="30BC4EE2" w14:textId="77777777" w:rsidR="00FD4ECB" w:rsidRPr="00FD4ECB" w:rsidRDefault="00FD4ECB" w:rsidP="00B216E1">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D4ECB">
              <w:rPr>
                <w:rFonts w:ascii="Times New Roman" w:hAnsi="Times New Roman" w:cs="Times New Roman"/>
              </w:rPr>
              <w:t>E – Economic</w:t>
            </w:r>
          </w:p>
        </w:tc>
        <w:tc>
          <w:tcPr>
            <w:tcW w:w="1890" w:type="dxa"/>
            <w:hideMark/>
          </w:tcPr>
          <w:p w14:paraId="432B088C" w14:textId="77777777" w:rsidR="00FD4ECB" w:rsidRPr="00FD4ECB" w:rsidRDefault="00FD4ECB" w:rsidP="00B216E1">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D4ECB">
              <w:rPr>
                <w:rFonts w:ascii="Times New Roman" w:hAnsi="Times New Roman" w:cs="Times New Roman"/>
              </w:rPr>
              <w:t>S – Social</w:t>
            </w:r>
          </w:p>
        </w:tc>
        <w:tc>
          <w:tcPr>
            <w:tcW w:w="2070" w:type="dxa"/>
            <w:hideMark/>
          </w:tcPr>
          <w:p w14:paraId="64F3B188" w14:textId="77777777" w:rsidR="00FD4ECB" w:rsidRPr="00FD4ECB" w:rsidRDefault="00FD4ECB" w:rsidP="00B216E1">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D4ECB">
              <w:rPr>
                <w:rFonts w:ascii="Times New Roman" w:hAnsi="Times New Roman" w:cs="Times New Roman"/>
              </w:rPr>
              <w:t>T – Technological</w:t>
            </w:r>
          </w:p>
        </w:tc>
        <w:tc>
          <w:tcPr>
            <w:tcW w:w="1800" w:type="dxa"/>
            <w:hideMark/>
          </w:tcPr>
          <w:p w14:paraId="73EEA3F7" w14:textId="77777777" w:rsidR="00FD4ECB" w:rsidRPr="00FD4ECB" w:rsidRDefault="00FD4ECB" w:rsidP="00B216E1">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D4ECB">
              <w:rPr>
                <w:rFonts w:ascii="Times New Roman" w:hAnsi="Times New Roman" w:cs="Times New Roman"/>
              </w:rPr>
              <w:t>L – Legal</w:t>
            </w:r>
          </w:p>
        </w:tc>
        <w:tc>
          <w:tcPr>
            <w:tcW w:w="2119" w:type="dxa"/>
            <w:hideMark/>
          </w:tcPr>
          <w:p w14:paraId="25153AB6" w14:textId="77777777" w:rsidR="00FD4ECB" w:rsidRPr="00FD4ECB" w:rsidRDefault="00FD4ECB" w:rsidP="00B216E1">
            <w:pPr>
              <w:spacing w:after="160" w:line="48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rPr>
            </w:pPr>
            <w:r w:rsidRPr="00FD4ECB">
              <w:rPr>
                <w:rFonts w:ascii="Times New Roman" w:hAnsi="Times New Roman" w:cs="Times New Roman"/>
              </w:rPr>
              <w:t>E – Environmental</w:t>
            </w:r>
          </w:p>
        </w:tc>
      </w:tr>
      <w:tr w:rsidR="00DA5BE3" w:rsidRPr="00DA5BE3" w14:paraId="55BFA2B5" w14:textId="77777777" w:rsidTr="0043493B">
        <w:trPr>
          <w:cnfStyle w:val="000000100000" w:firstRow="0" w:lastRow="0" w:firstColumn="0" w:lastColumn="0" w:oddVBand="0" w:evenVBand="0" w:oddHBand="1" w:evenHBand="0" w:firstRowFirstColumn="0" w:firstRowLastColumn="0" w:lastRowFirstColumn="0" w:lastRowLastColumn="0"/>
          <w:trHeight w:val="438"/>
          <w:jc w:val="center"/>
        </w:trPr>
        <w:tc>
          <w:tcPr>
            <w:cnfStyle w:val="001000000000" w:firstRow="0" w:lastRow="0" w:firstColumn="1" w:lastColumn="0" w:oddVBand="0" w:evenVBand="0" w:oddHBand="0" w:evenHBand="0" w:firstRowFirstColumn="0" w:firstRowLastColumn="0" w:lastRowFirstColumn="0" w:lastRowLastColumn="0"/>
            <w:tcW w:w="1933" w:type="dxa"/>
          </w:tcPr>
          <w:p w14:paraId="1206C5AB" w14:textId="54003D8B" w:rsidR="00F445DA" w:rsidRPr="0043493B" w:rsidRDefault="00F445DA" w:rsidP="00B216E1">
            <w:pPr>
              <w:pStyle w:val="ListParagraph"/>
              <w:numPr>
                <w:ilvl w:val="0"/>
                <w:numId w:val="14"/>
              </w:numPr>
              <w:spacing w:line="480" w:lineRule="auto"/>
              <w:rPr>
                <w:rFonts w:ascii="Times New Roman" w:hAnsi="Times New Roman" w:cs="Times New Roman"/>
                <w:b w:val="0"/>
                <w:bCs w:val="0"/>
              </w:rPr>
            </w:pPr>
            <w:r w:rsidRPr="0043493B">
              <w:rPr>
                <w:rFonts w:ascii="Times New Roman" w:hAnsi="Times New Roman" w:cs="Times New Roman"/>
                <w:b w:val="0"/>
                <w:bCs w:val="0"/>
              </w:rPr>
              <w:t>UK healthcare policy encourages digital health adoption</w:t>
            </w:r>
          </w:p>
          <w:p w14:paraId="788007DA" w14:textId="3A380439" w:rsidR="00FD4ECB" w:rsidRPr="00DA5BE3" w:rsidRDefault="00F445DA" w:rsidP="00B216E1">
            <w:pPr>
              <w:pStyle w:val="ListParagraph"/>
              <w:numPr>
                <w:ilvl w:val="0"/>
                <w:numId w:val="14"/>
              </w:numPr>
              <w:spacing w:line="480" w:lineRule="auto"/>
              <w:rPr>
                <w:rFonts w:ascii="Times New Roman" w:hAnsi="Times New Roman" w:cs="Times New Roman"/>
              </w:rPr>
            </w:pPr>
            <w:r w:rsidRPr="0043493B">
              <w:rPr>
                <w:rFonts w:ascii="Times New Roman" w:hAnsi="Times New Roman" w:cs="Times New Roman"/>
                <w:b w:val="0"/>
                <w:bCs w:val="0"/>
              </w:rPr>
              <w:t xml:space="preserve">NHS interoperability initiatives </w:t>
            </w:r>
            <w:r w:rsidRPr="0043493B">
              <w:rPr>
                <w:rFonts w:ascii="Times New Roman" w:hAnsi="Times New Roman" w:cs="Times New Roman"/>
                <w:b w:val="0"/>
                <w:bCs w:val="0"/>
              </w:rPr>
              <w:lastRenderedPageBreak/>
              <w:t>support clinical integration (MHRA, 2014)</w:t>
            </w:r>
          </w:p>
        </w:tc>
        <w:tc>
          <w:tcPr>
            <w:tcW w:w="1662" w:type="dxa"/>
          </w:tcPr>
          <w:p w14:paraId="62BA29A8" w14:textId="7BB7C6EF" w:rsidR="00FD4ECB" w:rsidRPr="00DA5BE3" w:rsidRDefault="00F445DA" w:rsidP="00B216E1">
            <w:pPr>
              <w:pStyle w:val="ListParagraph"/>
              <w:numPr>
                <w:ilvl w:val="0"/>
                <w:numId w:val="14"/>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445DA">
              <w:rPr>
                <w:rFonts w:ascii="Times New Roman" w:hAnsi="Times New Roman" w:cs="Times New Roman"/>
              </w:rPr>
              <w:lastRenderedPageBreak/>
              <w:t xml:space="preserve">Disposable income pressures may limit spending on premium wearables </w:t>
            </w:r>
            <w:r w:rsidRPr="00F445DA">
              <w:rPr>
                <w:rFonts w:ascii="Times New Roman" w:hAnsi="Times New Roman" w:cs="Times New Roman"/>
              </w:rPr>
              <w:lastRenderedPageBreak/>
              <w:t>(Statista, 2024)</w:t>
            </w:r>
          </w:p>
        </w:tc>
        <w:tc>
          <w:tcPr>
            <w:tcW w:w="1890" w:type="dxa"/>
          </w:tcPr>
          <w:p w14:paraId="1ADD0ECA" w14:textId="0158F703" w:rsidR="00FD4ECB" w:rsidRPr="00DA5BE3" w:rsidRDefault="00F445DA" w:rsidP="00B216E1">
            <w:pPr>
              <w:pStyle w:val="ListParagraph"/>
              <w:numPr>
                <w:ilvl w:val="0"/>
                <w:numId w:val="18"/>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445DA">
              <w:rPr>
                <w:rFonts w:ascii="Times New Roman" w:hAnsi="Times New Roman" w:cs="Times New Roman"/>
              </w:rPr>
              <w:lastRenderedPageBreak/>
              <w:t xml:space="preserve">Rising health consciousness and preventive care culture among UK adults, especially older adults </w:t>
            </w:r>
            <w:r w:rsidRPr="00F445DA">
              <w:rPr>
                <w:rFonts w:ascii="Times New Roman" w:hAnsi="Times New Roman" w:cs="Times New Roman"/>
              </w:rPr>
              <w:lastRenderedPageBreak/>
              <w:t>(Triantafyllidis et al., 2024)</w:t>
            </w:r>
          </w:p>
        </w:tc>
        <w:tc>
          <w:tcPr>
            <w:tcW w:w="2070" w:type="dxa"/>
          </w:tcPr>
          <w:p w14:paraId="2D8D1F6B" w14:textId="36B5CA39" w:rsidR="00FD4ECB" w:rsidRPr="00DA5BE3" w:rsidRDefault="00F445DA" w:rsidP="00B216E1">
            <w:pPr>
              <w:pStyle w:val="ListParagraph"/>
              <w:numPr>
                <w:ilvl w:val="0"/>
                <w:numId w:val="17"/>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445DA">
              <w:rPr>
                <w:rFonts w:ascii="Times New Roman" w:hAnsi="Times New Roman" w:cs="Times New Roman"/>
              </w:rPr>
              <w:lastRenderedPageBreak/>
              <w:t>Advances in AI, biosensors</w:t>
            </w:r>
            <w:r w:rsidR="001021AF">
              <w:rPr>
                <w:rFonts w:ascii="Times New Roman" w:hAnsi="Times New Roman" w:cs="Times New Roman"/>
              </w:rPr>
              <w:t xml:space="preserve"> and</w:t>
            </w:r>
            <w:r w:rsidRPr="00F445DA">
              <w:rPr>
                <w:rFonts w:ascii="Times New Roman" w:hAnsi="Times New Roman" w:cs="Times New Roman"/>
              </w:rPr>
              <w:t xml:space="preserve"> predictive analytics improve real-time monitoring and personalized insights (Choe </w:t>
            </w:r>
            <w:r w:rsidRPr="00F445DA">
              <w:rPr>
                <w:rFonts w:ascii="Times New Roman" w:hAnsi="Times New Roman" w:cs="Times New Roman"/>
              </w:rPr>
              <w:lastRenderedPageBreak/>
              <w:t>&amp; Kang, 2025; Wang et al., 2025)</w:t>
            </w:r>
          </w:p>
        </w:tc>
        <w:tc>
          <w:tcPr>
            <w:tcW w:w="1800" w:type="dxa"/>
          </w:tcPr>
          <w:p w14:paraId="19FB2304" w14:textId="55E55E4F" w:rsidR="00FD4ECB" w:rsidRPr="00DA5BE3" w:rsidRDefault="00F445DA" w:rsidP="00B216E1">
            <w:pPr>
              <w:pStyle w:val="ListParagraph"/>
              <w:numPr>
                <w:ilvl w:val="0"/>
                <w:numId w:val="16"/>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445DA">
              <w:rPr>
                <w:rFonts w:ascii="Times New Roman" w:hAnsi="Times New Roman" w:cs="Times New Roman"/>
              </w:rPr>
              <w:lastRenderedPageBreak/>
              <w:t xml:space="preserve">GDPR and medical device regulations require strict compliance to avoid fines and </w:t>
            </w:r>
            <w:r w:rsidRPr="00F445DA">
              <w:rPr>
                <w:rFonts w:ascii="Times New Roman" w:hAnsi="Times New Roman" w:cs="Times New Roman"/>
              </w:rPr>
              <w:lastRenderedPageBreak/>
              <w:t>reputational damage (ICO, 2024)</w:t>
            </w:r>
          </w:p>
        </w:tc>
        <w:tc>
          <w:tcPr>
            <w:tcW w:w="2119" w:type="dxa"/>
          </w:tcPr>
          <w:p w14:paraId="527B0D72" w14:textId="41E6D74D" w:rsidR="00FD4ECB" w:rsidRPr="00DA5BE3" w:rsidRDefault="00F445DA" w:rsidP="00B216E1">
            <w:pPr>
              <w:pStyle w:val="ListParagraph"/>
              <w:numPr>
                <w:ilvl w:val="0"/>
                <w:numId w:val="15"/>
              </w:numPr>
              <w:spacing w:line="48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F445DA">
              <w:rPr>
                <w:rFonts w:ascii="Times New Roman" w:hAnsi="Times New Roman" w:cs="Times New Roman"/>
              </w:rPr>
              <w:lastRenderedPageBreak/>
              <w:t xml:space="preserve">Sustainability pressures, including use of recycled materials and e-waste management, support </w:t>
            </w:r>
            <w:r w:rsidRPr="00F445DA">
              <w:rPr>
                <w:rFonts w:ascii="Times New Roman" w:hAnsi="Times New Roman" w:cs="Times New Roman"/>
              </w:rPr>
              <w:lastRenderedPageBreak/>
              <w:t>regulatory alignment and brand reputation (Virgillito et al., 2025)</w:t>
            </w:r>
          </w:p>
        </w:tc>
      </w:tr>
    </w:tbl>
    <w:p w14:paraId="00B5DDAA" w14:textId="0E35EA52" w:rsidR="00953CE2" w:rsidRDefault="00953CE2" w:rsidP="00B216E1">
      <w:pPr>
        <w:spacing w:line="480" w:lineRule="auto"/>
        <w:rPr>
          <w:rFonts w:ascii="Times New Roman" w:hAnsi="Times New Roman" w:cs="Times New Roman"/>
          <w:sz w:val="24"/>
          <w:szCs w:val="24"/>
        </w:rPr>
      </w:pPr>
    </w:p>
    <w:p w14:paraId="77A19DF6" w14:textId="1458EEAD" w:rsidR="002F6F2E" w:rsidRPr="00953CE2" w:rsidRDefault="003F6F58" w:rsidP="00B216E1">
      <w:pPr>
        <w:pStyle w:val="BodyText"/>
        <w:spacing w:line="480" w:lineRule="auto"/>
      </w:pPr>
      <w:r w:rsidRPr="003F6F58">
        <w:t>At the political level, the UK is advocating digital health integration, which opens the possibility of adoption of Series 11 in concert with NHS initiatives. Premium pricing may restrict its use by consumers, especially economically</w:t>
      </w:r>
      <w:r w:rsidR="001021AF">
        <w:t xml:space="preserve"> but</w:t>
      </w:r>
      <w:r w:rsidRPr="003F6F58">
        <w:t xml:space="preserve"> the willingness of ageing population to use health technology is a mitigating factor. Market receptivity rises due to the growing health awareness and preventive care as a culture among the older adults. The technologies of AI, biosensors</w:t>
      </w:r>
      <w:r w:rsidR="001021AF">
        <w:t xml:space="preserve"> and</w:t>
      </w:r>
      <w:r w:rsidRPr="003F6F58">
        <w:t xml:space="preserve"> predictive analytics contribute to the value of the device, allowing it to monitor everything in real-time and provide personalized proposals. The compliance with the rules of GDPR and MHRA is essential in legal terms to prevent fines and retain the confidence of stakeholders. Sustainable design and e-waste management are environmentally friendly, allowing companies to be more responsible and meet consumer demands.</w:t>
      </w:r>
    </w:p>
    <w:p w14:paraId="5C057CD3" w14:textId="37E09A29" w:rsidR="00953CE2" w:rsidRPr="00953CE2" w:rsidRDefault="00953CE2" w:rsidP="006D4C9C">
      <w:pPr>
        <w:pStyle w:val="Heading1"/>
      </w:pPr>
      <w:bookmarkStart w:id="5" w:name="_Toc216698366"/>
      <w:r w:rsidRPr="00953CE2">
        <w:t xml:space="preserve">3. </w:t>
      </w:r>
      <w:r w:rsidR="008358F2">
        <w:t>Key Internal and External Stakeholders</w:t>
      </w:r>
      <w:bookmarkEnd w:id="5"/>
    </w:p>
    <w:p w14:paraId="3E3F4C1C" w14:textId="7C669A9A" w:rsidR="00E805BD" w:rsidRPr="00E805BD" w:rsidRDefault="00E805BD" w:rsidP="00E805BD">
      <w:pPr>
        <w:spacing w:line="480" w:lineRule="auto"/>
        <w:jc w:val="both"/>
        <w:rPr>
          <w:rFonts w:ascii="Times New Roman" w:hAnsi="Times New Roman" w:cs="Times New Roman"/>
          <w:sz w:val="24"/>
          <w:szCs w:val="24"/>
        </w:rPr>
      </w:pPr>
      <w:r w:rsidRPr="00E805BD">
        <w:rPr>
          <w:rFonts w:ascii="Times New Roman" w:hAnsi="Times New Roman" w:cs="Times New Roman"/>
          <w:sz w:val="24"/>
          <w:szCs w:val="24"/>
        </w:rPr>
        <w:t>The successful introduction of Apple Watch Series 11 requires a planned involvement of internal and external stakeholders, understanding their power, interest, legitimacy</w:t>
      </w:r>
      <w:r w:rsidR="001021AF">
        <w:rPr>
          <w:rFonts w:ascii="Times New Roman" w:hAnsi="Times New Roman" w:cs="Times New Roman"/>
          <w:sz w:val="24"/>
          <w:szCs w:val="24"/>
        </w:rPr>
        <w:t xml:space="preserve"> and</w:t>
      </w:r>
      <w:r w:rsidRPr="00E805BD">
        <w:rPr>
          <w:rFonts w:ascii="Times New Roman" w:hAnsi="Times New Roman" w:cs="Times New Roman"/>
          <w:sz w:val="24"/>
          <w:szCs w:val="24"/>
        </w:rPr>
        <w:t xml:space="preserve"> urgency as highlighted in the stakeholder theory (Freeman, 2010; Valentinov and Chia, 2022).</w:t>
      </w:r>
    </w:p>
    <w:p w14:paraId="5D3AA65D" w14:textId="20DA5A6C" w:rsidR="002A65F5" w:rsidRDefault="00E805BD" w:rsidP="00E805BD">
      <w:pPr>
        <w:spacing w:line="480" w:lineRule="auto"/>
        <w:jc w:val="both"/>
        <w:rPr>
          <w:rFonts w:ascii="Times New Roman" w:hAnsi="Times New Roman" w:cs="Times New Roman"/>
          <w:sz w:val="24"/>
          <w:szCs w:val="24"/>
        </w:rPr>
      </w:pPr>
      <w:r w:rsidRPr="00E805BD">
        <w:rPr>
          <w:rFonts w:ascii="Times New Roman" w:hAnsi="Times New Roman" w:cs="Times New Roman"/>
          <w:sz w:val="24"/>
          <w:szCs w:val="24"/>
        </w:rPr>
        <w:t>Figure 2 shows the stakeholder salience mapping of Apple Watch Series 11, which shows the use of power, legitimacy</w:t>
      </w:r>
      <w:r w:rsidR="001021AF">
        <w:rPr>
          <w:rFonts w:ascii="Times New Roman" w:hAnsi="Times New Roman" w:cs="Times New Roman"/>
          <w:sz w:val="24"/>
          <w:szCs w:val="24"/>
        </w:rPr>
        <w:t xml:space="preserve"> and</w:t>
      </w:r>
      <w:r w:rsidRPr="00E805BD">
        <w:rPr>
          <w:rFonts w:ascii="Times New Roman" w:hAnsi="Times New Roman" w:cs="Times New Roman"/>
          <w:sz w:val="24"/>
          <w:szCs w:val="24"/>
        </w:rPr>
        <w:t xml:space="preserve"> urgency to develop prioritised engagement strategies.</w:t>
      </w:r>
    </w:p>
    <w:p w14:paraId="70479C42" w14:textId="5ABB44A4" w:rsidR="007D380B" w:rsidRDefault="007D380B" w:rsidP="00B216E1">
      <w:pPr>
        <w:spacing w:line="480" w:lineRule="auto"/>
        <w:jc w:val="center"/>
        <w:rPr>
          <w:rFonts w:ascii="Times New Roman" w:hAnsi="Times New Roman" w:cs="Times New Roman"/>
          <w:sz w:val="24"/>
          <w:szCs w:val="24"/>
        </w:rPr>
      </w:pPr>
      <w:r>
        <w:rPr>
          <w:noProof/>
        </w:rPr>
        <w:lastRenderedPageBreak/>
        <w:drawing>
          <wp:inline distT="0" distB="0" distL="0" distR="0" wp14:anchorId="083A8817" wp14:editId="6B923581">
            <wp:extent cx="3985260" cy="38748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90751" cy="3880216"/>
                    </a:xfrm>
                    <a:prstGeom prst="rect">
                      <a:avLst/>
                    </a:prstGeom>
                    <a:noFill/>
                    <a:ln>
                      <a:noFill/>
                    </a:ln>
                  </pic:spPr>
                </pic:pic>
              </a:graphicData>
            </a:graphic>
          </wp:inline>
        </w:drawing>
      </w:r>
    </w:p>
    <w:p w14:paraId="5D453173" w14:textId="142A2D5F" w:rsidR="00DC3736" w:rsidRPr="008E5436" w:rsidRDefault="008E5436" w:rsidP="00B216E1">
      <w:pPr>
        <w:spacing w:line="480" w:lineRule="auto"/>
        <w:jc w:val="center"/>
        <w:rPr>
          <w:rFonts w:ascii="Times New Roman" w:hAnsi="Times New Roman" w:cs="Times New Roman"/>
          <w:sz w:val="24"/>
          <w:szCs w:val="24"/>
          <w:lang w:val="en-US"/>
        </w:rPr>
      </w:pPr>
      <w:r w:rsidRPr="00E67986">
        <w:rPr>
          <w:rFonts w:ascii="Times New Roman" w:hAnsi="Times New Roman" w:cs="Times New Roman"/>
          <w:b/>
          <w:bCs/>
          <w:sz w:val="24"/>
          <w:szCs w:val="24"/>
          <w:lang w:val="en-US"/>
        </w:rPr>
        <w:t xml:space="preserve">Figure </w:t>
      </w:r>
      <w:r w:rsidR="002163E6" w:rsidRPr="00E67986">
        <w:rPr>
          <w:rFonts w:ascii="Times New Roman" w:hAnsi="Times New Roman" w:cs="Times New Roman"/>
          <w:b/>
          <w:bCs/>
          <w:sz w:val="24"/>
          <w:szCs w:val="24"/>
          <w:lang w:val="en-US"/>
        </w:rPr>
        <w:t>2</w:t>
      </w:r>
      <w:r w:rsidR="005C69D4" w:rsidRPr="00E67986">
        <w:rPr>
          <w:rFonts w:ascii="Times New Roman" w:hAnsi="Times New Roman" w:cs="Times New Roman"/>
          <w:b/>
          <w:bCs/>
          <w:sz w:val="24"/>
          <w:szCs w:val="24"/>
          <w:lang w:val="en-US"/>
        </w:rPr>
        <w:t>.</w:t>
      </w:r>
      <w:r w:rsidR="002163E6">
        <w:rPr>
          <w:rFonts w:ascii="Times New Roman" w:hAnsi="Times New Roman" w:cs="Times New Roman"/>
          <w:sz w:val="24"/>
          <w:szCs w:val="24"/>
          <w:lang w:val="en-US"/>
        </w:rPr>
        <w:t xml:space="preserve"> </w:t>
      </w:r>
      <w:r w:rsidR="00E40AE6" w:rsidRPr="00E40AE6">
        <w:rPr>
          <w:rFonts w:ascii="Times New Roman" w:hAnsi="Times New Roman" w:cs="Times New Roman"/>
          <w:sz w:val="24"/>
          <w:szCs w:val="24"/>
          <w:lang w:val="en-US"/>
        </w:rPr>
        <w:t>Stakeholder Salience Matrix – Apple Watch Series 11 (UK)</w:t>
      </w:r>
    </w:p>
    <w:p w14:paraId="1321FCC2" w14:textId="01F0AEFE" w:rsidR="002F6BA3" w:rsidRPr="002F6BA3" w:rsidRDefault="002F6BA3" w:rsidP="002F6BA3">
      <w:pPr>
        <w:spacing w:line="480" w:lineRule="auto"/>
        <w:jc w:val="both"/>
        <w:rPr>
          <w:rFonts w:ascii="Times New Roman" w:hAnsi="Times New Roman" w:cs="Times New Roman"/>
          <w:sz w:val="24"/>
          <w:szCs w:val="24"/>
        </w:rPr>
      </w:pPr>
      <w:r w:rsidRPr="002F6BA3">
        <w:rPr>
          <w:rFonts w:ascii="Times New Roman" w:hAnsi="Times New Roman" w:cs="Times New Roman"/>
          <w:sz w:val="24"/>
          <w:szCs w:val="24"/>
        </w:rPr>
        <w:t>Internal stakeholders involve product development team, R&amp;D experts, marketing and sales team, quality assurance (QA) staff as well as senior management. The product development team has high influence and high interest</w:t>
      </w:r>
      <w:r w:rsidR="004B4559">
        <w:rPr>
          <w:rFonts w:ascii="Times New Roman" w:hAnsi="Times New Roman" w:cs="Times New Roman"/>
          <w:sz w:val="24"/>
          <w:szCs w:val="24"/>
          <w:lang w:val="en-US"/>
        </w:rPr>
        <w:t xml:space="preserve"> </w:t>
      </w:r>
      <w:r w:rsidRPr="002F6BA3">
        <w:rPr>
          <w:rFonts w:ascii="Times New Roman" w:hAnsi="Times New Roman" w:cs="Times New Roman"/>
          <w:sz w:val="24"/>
          <w:szCs w:val="24"/>
        </w:rPr>
        <w:t>since they convert technical requirements into feasible features; the stakeholder theory implies the focus on their input to provide the alignment with user requirements and clinical accuracy (Choe and Kang, 2025). The legitimacy of R&amp;D specialists, who are specialised in analytics based on AI, heart rate, HRV</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sleep monitoring, is high because they need to collaborate, as it is necessary to effectively implement predictive health features (Khan et al., 2025). Adoption and revenue are affected by marketing and sales teams; due to their medium power and high interest, they require constant communication to harmonize the message with the expectations and tendencies among consumers (Statista, 2024; Nomis, 2025). QA staffs play critical roles to make sure that devices are safe and compliant with regulations (MHRA, 2014), which are high power and urgency </w:t>
      </w:r>
      <w:r w:rsidRPr="002F6BA3">
        <w:rPr>
          <w:rFonts w:ascii="Times New Roman" w:hAnsi="Times New Roman" w:cs="Times New Roman"/>
          <w:sz w:val="24"/>
          <w:szCs w:val="24"/>
        </w:rPr>
        <w:lastRenderedPageBreak/>
        <w:t>stakeholders. The senior management offers strategy, resources distribution</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risk management, which are manifestations of power and legitimacy during decision-making (Apple, 2024).</w:t>
      </w:r>
    </w:p>
    <w:p w14:paraId="19EA527B" w14:textId="4BBF4003" w:rsidR="002F6BA3" w:rsidRPr="002F6BA3" w:rsidRDefault="002F6BA3" w:rsidP="002F6BA3">
      <w:pPr>
        <w:spacing w:line="480" w:lineRule="auto"/>
        <w:jc w:val="both"/>
        <w:rPr>
          <w:rFonts w:ascii="Times New Roman" w:hAnsi="Times New Roman" w:cs="Times New Roman"/>
          <w:sz w:val="24"/>
          <w:szCs w:val="24"/>
        </w:rPr>
      </w:pPr>
      <w:r w:rsidRPr="002F6BA3">
        <w:rPr>
          <w:rFonts w:ascii="Times New Roman" w:hAnsi="Times New Roman" w:cs="Times New Roman"/>
          <w:sz w:val="24"/>
          <w:szCs w:val="24"/>
        </w:rPr>
        <w:t>The external stakeholders include regulatory bodies (MHRA, ICO), suppliers, healthcare partners (e.g., NHS)</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consumers. The regulators are very powerful and legitimate, failure to comply may lead to either postponement of launch or legal punishment (ICO, 2024; MHRA, 2014). High-interest, moderate power stakeholders with high priority due to their role in high-quality sensors and components include suppliers</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they need to be coordinated to ensure supply chain reliability (Virgillito et al., 2025). Healthcare partners will offer clinical validation, which creates credibility among the ageing population and chronic disease patients; consequently, it has high legitimacy and influence in the area of adoption (Triantafyllidis et al., 2024). Even though consumers may be moderate in power, their legitimacy and interest are high; adoption, satisfaction</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trust are guaranteed through feedback loops (Adeghe et al., 2024).</w:t>
      </w:r>
    </w:p>
    <w:p w14:paraId="032D8E7C" w14:textId="628EAB7E" w:rsidR="00953CE2" w:rsidRPr="00953CE2" w:rsidRDefault="002F6BA3" w:rsidP="002F6BA3">
      <w:pPr>
        <w:spacing w:line="480" w:lineRule="auto"/>
        <w:jc w:val="both"/>
        <w:rPr>
          <w:rFonts w:ascii="Times New Roman" w:hAnsi="Times New Roman" w:cs="Times New Roman"/>
          <w:sz w:val="24"/>
          <w:szCs w:val="24"/>
        </w:rPr>
      </w:pPr>
      <w:r w:rsidRPr="002F6BA3">
        <w:rPr>
          <w:rFonts w:ascii="Times New Roman" w:hAnsi="Times New Roman" w:cs="Times New Roman"/>
          <w:sz w:val="24"/>
          <w:szCs w:val="24"/>
        </w:rPr>
        <w:t>By mapping these stakeholders vs stakeholder salience, Apple can prioritize its efforts on engaging employees and other stakeholders with competing interests, which would require balancing between conflicting interests and compliance, market acceptance</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product credibility. The organisation is able to employ the strategies that will maximize the collaboration, minimise conflict</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facilitate a successful launch of Series 11 by identifying the influence of stakeholders, legitimacy</w:t>
      </w:r>
      <w:r w:rsidR="001021AF">
        <w:rPr>
          <w:rFonts w:ascii="Times New Roman" w:hAnsi="Times New Roman" w:cs="Times New Roman"/>
          <w:sz w:val="24"/>
          <w:szCs w:val="24"/>
        </w:rPr>
        <w:t xml:space="preserve"> and</w:t>
      </w:r>
      <w:r w:rsidRPr="002F6BA3">
        <w:rPr>
          <w:rFonts w:ascii="Times New Roman" w:hAnsi="Times New Roman" w:cs="Times New Roman"/>
          <w:sz w:val="24"/>
          <w:szCs w:val="24"/>
        </w:rPr>
        <w:t xml:space="preserve"> urgency (Freeman, 2010; Valentinov &amp; Chia, 2022).</w:t>
      </w:r>
    </w:p>
    <w:p w14:paraId="05BFDAEE" w14:textId="73EC433C" w:rsidR="00953CE2" w:rsidRPr="00953CE2" w:rsidRDefault="00953CE2" w:rsidP="006D4C9C">
      <w:pPr>
        <w:pStyle w:val="Heading1"/>
      </w:pPr>
      <w:bookmarkStart w:id="6" w:name="_Toc216698367"/>
      <w:r w:rsidRPr="00953CE2">
        <w:t xml:space="preserve">4. </w:t>
      </w:r>
      <w:r w:rsidR="00DB1559" w:rsidRPr="00DB1559">
        <w:t>Roles, Responsibilities, Benefits and Challenges of Stakeholders</w:t>
      </w:r>
      <w:bookmarkEnd w:id="6"/>
    </w:p>
    <w:p w14:paraId="1976D7F0" w14:textId="4288BFBE" w:rsidR="00DB1559" w:rsidRPr="00DB1559" w:rsidRDefault="00C16589" w:rsidP="00B216E1">
      <w:pPr>
        <w:pStyle w:val="BodyText"/>
        <w:spacing w:line="480" w:lineRule="auto"/>
      </w:pPr>
      <w:r w:rsidRPr="00C16589">
        <w:t xml:space="preserve">It is essential to understand the roles and responsibilities of stakeholders in order to achieve both business and health outcomes to align with the stakeholder theory by launching the Apple </w:t>
      </w:r>
      <w:r w:rsidRPr="00C16589">
        <w:lastRenderedPageBreak/>
        <w:t>Watch Series 11 (Freeman, 2010; Valentinov and Chia, 2022). Roles in a RACI framework have been summarised in Table 1 below which helps to clarify accountabilities and alleviate conflicts.</w:t>
      </w:r>
    </w:p>
    <w:p w14:paraId="7F46D445" w14:textId="30C7E2F6" w:rsidR="00DB1559" w:rsidRPr="00DB1559" w:rsidRDefault="00DB1559" w:rsidP="00B216E1">
      <w:pPr>
        <w:spacing w:line="480" w:lineRule="auto"/>
        <w:rPr>
          <w:rFonts w:ascii="Times New Roman" w:hAnsi="Times New Roman" w:cs="Times New Roman"/>
          <w:sz w:val="24"/>
          <w:szCs w:val="24"/>
        </w:rPr>
      </w:pPr>
      <w:r w:rsidRPr="00DB1559">
        <w:rPr>
          <w:rFonts w:ascii="Times New Roman" w:hAnsi="Times New Roman" w:cs="Times New Roman"/>
          <w:b/>
          <w:bCs/>
          <w:sz w:val="24"/>
          <w:szCs w:val="24"/>
        </w:rPr>
        <w:t xml:space="preserve">Table </w:t>
      </w:r>
      <w:r w:rsidR="00E243CA">
        <w:rPr>
          <w:rFonts w:ascii="Times New Roman" w:hAnsi="Times New Roman" w:cs="Times New Roman"/>
          <w:b/>
          <w:bCs/>
          <w:sz w:val="24"/>
          <w:szCs w:val="24"/>
          <w:lang w:val="en-US"/>
        </w:rPr>
        <w:t>4.</w:t>
      </w:r>
      <w:r w:rsidRPr="00DB1559">
        <w:rPr>
          <w:rFonts w:ascii="Times New Roman" w:hAnsi="Times New Roman" w:cs="Times New Roman"/>
          <w:b/>
          <w:bCs/>
          <w:sz w:val="24"/>
          <w:szCs w:val="24"/>
        </w:rPr>
        <w:t xml:space="preserve">1: </w:t>
      </w:r>
      <w:r w:rsidRPr="00DB1559">
        <w:rPr>
          <w:rFonts w:ascii="Times New Roman" w:hAnsi="Times New Roman" w:cs="Times New Roman"/>
          <w:sz w:val="24"/>
          <w:szCs w:val="24"/>
        </w:rPr>
        <w:t>RACI Framework – Apple Watch Series 11 Launch</w:t>
      </w:r>
    </w:p>
    <w:tbl>
      <w:tblPr>
        <w:tblStyle w:val="GridTable4-Accent1"/>
        <w:tblW w:w="10985" w:type="dxa"/>
        <w:jc w:val="center"/>
        <w:tblLook w:val="04A0" w:firstRow="1" w:lastRow="0" w:firstColumn="1" w:lastColumn="0" w:noHBand="0" w:noVBand="1"/>
      </w:tblPr>
      <w:tblGrid>
        <w:gridCol w:w="2233"/>
        <w:gridCol w:w="1373"/>
        <w:gridCol w:w="2240"/>
        <w:gridCol w:w="1881"/>
        <w:gridCol w:w="3258"/>
      </w:tblGrid>
      <w:tr w:rsidR="0023251E" w:rsidRPr="00DB1559" w14:paraId="0B17C26B" w14:textId="77777777" w:rsidTr="00D50E61">
        <w:trPr>
          <w:cnfStyle w:val="100000000000" w:firstRow="1" w:lastRow="0" w:firstColumn="0" w:lastColumn="0" w:oddVBand="0" w:evenVBand="0" w:oddHBand="0" w:evenHBand="0" w:firstRowFirstColumn="0" w:firstRowLastColumn="0" w:lastRowFirstColumn="0" w:lastRowLastColumn="0"/>
          <w:trHeight w:val="647"/>
          <w:jc w:val="center"/>
        </w:trPr>
        <w:tc>
          <w:tcPr>
            <w:cnfStyle w:val="001000000000" w:firstRow="0" w:lastRow="0" w:firstColumn="1" w:lastColumn="0" w:oddVBand="0" w:evenVBand="0" w:oddHBand="0" w:evenHBand="0" w:firstRowFirstColumn="0" w:firstRowLastColumn="0" w:lastRowFirstColumn="0" w:lastRowLastColumn="0"/>
            <w:tcW w:w="2233" w:type="dxa"/>
            <w:hideMark/>
          </w:tcPr>
          <w:p w14:paraId="5B4A6336" w14:textId="77777777" w:rsidR="00DB1559" w:rsidRPr="00DB1559" w:rsidRDefault="00DB1559" w:rsidP="00B747C1">
            <w:pPr>
              <w:spacing w:after="160" w:line="360" w:lineRule="auto"/>
              <w:rPr>
                <w:rFonts w:ascii="Times New Roman" w:hAnsi="Times New Roman" w:cs="Times New Roman"/>
                <w:sz w:val="24"/>
                <w:szCs w:val="24"/>
              </w:rPr>
            </w:pPr>
            <w:r w:rsidRPr="00DB1559">
              <w:rPr>
                <w:rFonts w:ascii="Times New Roman" w:hAnsi="Times New Roman" w:cs="Times New Roman"/>
                <w:sz w:val="24"/>
                <w:szCs w:val="24"/>
              </w:rPr>
              <w:t>Activity</w:t>
            </w:r>
          </w:p>
        </w:tc>
        <w:tc>
          <w:tcPr>
            <w:tcW w:w="1373" w:type="dxa"/>
            <w:hideMark/>
          </w:tcPr>
          <w:p w14:paraId="4FCCEA1B" w14:textId="77777777" w:rsidR="00DB1559" w:rsidRPr="00DB1559" w:rsidRDefault="00DB1559" w:rsidP="00B747C1">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Project Manager</w:t>
            </w:r>
          </w:p>
        </w:tc>
        <w:tc>
          <w:tcPr>
            <w:tcW w:w="2240" w:type="dxa"/>
            <w:hideMark/>
          </w:tcPr>
          <w:p w14:paraId="033DDF56" w14:textId="77777777" w:rsidR="00DB1559" w:rsidRPr="00DB1559" w:rsidRDefault="00DB1559" w:rsidP="00B747C1">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Product Development Team</w:t>
            </w:r>
          </w:p>
        </w:tc>
        <w:tc>
          <w:tcPr>
            <w:tcW w:w="0" w:type="auto"/>
            <w:hideMark/>
          </w:tcPr>
          <w:p w14:paraId="77AD8B54" w14:textId="77777777" w:rsidR="00DB1559" w:rsidRPr="00DB1559" w:rsidRDefault="00DB1559" w:rsidP="00B747C1">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Marketing &amp; Sales Team</w:t>
            </w:r>
          </w:p>
        </w:tc>
        <w:tc>
          <w:tcPr>
            <w:tcW w:w="3258" w:type="dxa"/>
            <w:hideMark/>
          </w:tcPr>
          <w:p w14:paraId="57C71259" w14:textId="77777777" w:rsidR="00DB1559" w:rsidRPr="00DB1559" w:rsidRDefault="00DB1559" w:rsidP="00B747C1">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External Stakeholders (Suppliers, Regulators, NHS)</w:t>
            </w:r>
          </w:p>
        </w:tc>
      </w:tr>
      <w:tr w:rsidR="0023251E" w:rsidRPr="00DB1559" w14:paraId="342E8789" w14:textId="77777777" w:rsidTr="00437276">
        <w:trPr>
          <w:cnfStyle w:val="000000100000" w:firstRow="0" w:lastRow="0" w:firstColumn="0" w:lastColumn="0" w:oddVBand="0" w:evenVBand="0" w:oddHBand="1" w:evenHBand="0" w:firstRowFirstColumn="0" w:firstRowLastColumn="0" w:lastRowFirstColumn="0" w:lastRowLastColumn="0"/>
          <w:trHeight w:val="58"/>
          <w:jc w:val="center"/>
        </w:trPr>
        <w:tc>
          <w:tcPr>
            <w:cnfStyle w:val="001000000000" w:firstRow="0" w:lastRow="0" w:firstColumn="1" w:lastColumn="0" w:oddVBand="0" w:evenVBand="0" w:oddHBand="0" w:evenHBand="0" w:firstRowFirstColumn="0" w:firstRowLastColumn="0" w:lastRowFirstColumn="0" w:lastRowLastColumn="0"/>
            <w:tcW w:w="2233" w:type="dxa"/>
            <w:hideMark/>
          </w:tcPr>
          <w:p w14:paraId="298A2D6F" w14:textId="77777777" w:rsidR="00DB1559" w:rsidRPr="00DB1559" w:rsidRDefault="00DB1559" w:rsidP="00B747C1">
            <w:pPr>
              <w:spacing w:after="160" w:line="360" w:lineRule="auto"/>
              <w:rPr>
                <w:rFonts w:ascii="Times New Roman" w:hAnsi="Times New Roman" w:cs="Times New Roman"/>
                <w:b w:val="0"/>
                <w:bCs w:val="0"/>
                <w:sz w:val="24"/>
                <w:szCs w:val="24"/>
              </w:rPr>
            </w:pPr>
            <w:r w:rsidRPr="00DB1559">
              <w:rPr>
                <w:rFonts w:ascii="Times New Roman" w:hAnsi="Times New Roman" w:cs="Times New Roman"/>
                <w:b w:val="0"/>
                <w:bCs w:val="0"/>
                <w:sz w:val="24"/>
                <w:szCs w:val="24"/>
              </w:rPr>
              <w:t>Product Design</w:t>
            </w:r>
          </w:p>
        </w:tc>
        <w:tc>
          <w:tcPr>
            <w:tcW w:w="1373" w:type="dxa"/>
            <w:hideMark/>
          </w:tcPr>
          <w:p w14:paraId="34FDB565"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R</w:t>
            </w:r>
          </w:p>
        </w:tc>
        <w:tc>
          <w:tcPr>
            <w:tcW w:w="2240" w:type="dxa"/>
            <w:hideMark/>
          </w:tcPr>
          <w:p w14:paraId="0424B4C5"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A</w:t>
            </w:r>
          </w:p>
        </w:tc>
        <w:tc>
          <w:tcPr>
            <w:tcW w:w="0" w:type="auto"/>
            <w:hideMark/>
          </w:tcPr>
          <w:p w14:paraId="0F378B36"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3258" w:type="dxa"/>
            <w:hideMark/>
          </w:tcPr>
          <w:p w14:paraId="60E45F72"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I</w:t>
            </w:r>
          </w:p>
        </w:tc>
      </w:tr>
      <w:tr w:rsidR="00D50E61" w:rsidRPr="00DB1559" w14:paraId="258DE68E" w14:textId="77777777" w:rsidTr="00D50E61">
        <w:trPr>
          <w:trHeight w:val="287"/>
          <w:jc w:val="center"/>
        </w:trPr>
        <w:tc>
          <w:tcPr>
            <w:cnfStyle w:val="001000000000" w:firstRow="0" w:lastRow="0" w:firstColumn="1" w:lastColumn="0" w:oddVBand="0" w:evenVBand="0" w:oddHBand="0" w:evenHBand="0" w:firstRowFirstColumn="0" w:firstRowLastColumn="0" w:lastRowFirstColumn="0" w:lastRowLastColumn="0"/>
            <w:tcW w:w="2233" w:type="dxa"/>
            <w:hideMark/>
          </w:tcPr>
          <w:p w14:paraId="7812548E" w14:textId="77777777" w:rsidR="00DB1559" w:rsidRPr="00DB1559" w:rsidRDefault="00DB1559" w:rsidP="00B747C1">
            <w:pPr>
              <w:spacing w:after="160" w:line="360" w:lineRule="auto"/>
              <w:rPr>
                <w:rFonts w:ascii="Times New Roman" w:hAnsi="Times New Roman" w:cs="Times New Roman"/>
                <w:b w:val="0"/>
                <w:bCs w:val="0"/>
                <w:sz w:val="24"/>
                <w:szCs w:val="24"/>
              </w:rPr>
            </w:pPr>
            <w:r w:rsidRPr="00DB1559">
              <w:rPr>
                <w:rFonts w:ascii="Times New Roman" w:hAnsi="Times New Roman" w:cs="Times New Roman"/>
                <w:b w:val="0"/>
                <w:bCs w:val="0"/>
                <w:sz w:val="24"/>
                <w:szCs w:val="24"/>
              </w:rPr>
              <w:t>Testing &amp; Quality</w:t>
            </w:r>
          </w:p>
        </w:tc>
        <w:tc>
          <w:tcPr>
            <w:tcW w:w="1373" w:type="dxa"/>
            <w:hideMark/>
          </w:tcPr>
          <w:p w14:paraId="7242B7DB"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A</w:t>
            </w:r>
          </w:p>
        </w:tc>
        <w:tc>
          <w:tcPr>
            <w:tcW w:w="2240" w:type="dxa"/>
            <w:hideMark/>
          </w:tcPr>
          <w:p w14:paraId="04943889"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R</w:t>
            </w:r>
          </w:p>
        </w:tc>
        <w:tc>
          <w:tcPr>
            <w:tcW w:w="0" w:type="auto"/>
            <w:hideMark/>
          </w:tcPr>
          <w:p w14:paraId="45498981"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3258" w:type="dxa"/>
            <w:hideMark/>
          </w:tcPr>
          <w:p w14:paraId="312CFA5F"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I</w:t>
            </w:r>
          </w:p>
        </w:tc>
      </w:tr>
      <w:tr w:rsidR="0023251E" w:rsidRPr="00DB1559" w14:paraId="0847D57B" w14:textId="77777777" w:rsidTr="00D50E61">
        <w:trPr>
          <w:cnfStyle w:val="000000100000" w:firstRow="0" w:lastRow="0" w:firstColumn="0" w:lastColumn="0" w:oddVBand="0" w:evenVBand="0" w:oddHBand="1" w:evenHBand="0" w:firstRowFirstColumn="0" w:firstRowLastColumn="0" w:lastRowFirstColumn="0" w:lastRowLastColumn="0"/>
          <w:trHeight w:val="58"/>
          <w:jc w:val="center"/>
        </w:trPr>
        <w:tc>
          <w:tcPr>
            <w:cnfStyle w:val="001000000000" w:firstRow="0" w:lastRow="0" w:firstColumn="1" w:lastColumn="0" w:oddVBand="0" w:evenVBand="0" w:oddHBand="0" w:evenHBand="0" w:firstRowFirstColumn="0" w:firstRowLastColumn="0" w:lastRowFirstColumn="0" w:lastRowLastColumn="0"/>
            <w:tcW w:w="2233" w:type="dxa"/>
            <w:hideMark/>
          </w:tcPr>
          <w:p w14:paraId="4FD29978" w14:textId="77777777" w:rsidR="00DB1559" w:rsidRPr="00DB1559" w:rsidRDefault="00DB1559" w:rsidP="00B747C1">
            <w:pPr>
              <w:spacing w:after="160" w:line="360" w:lineRule="auto"/>
              <w:rPr>
                <w:rFonts w:ascii="Times New Roman" w:hAnsi="Times New Roman" w:cs="Times New Roman"/>
                <w:b w:val="0"/>
                <w:bCs w:val="0"/>
                <w:sz w:val="24"/>
                <w:szCs w:val="24"/>
              </w:rPr>
            </w:pPr>
            <w:r w:rsidRPr="00DB1559">
              <w:rPr>
                <w:rFonts w:ascii="Times New Roman" w:hAnsi="Times New Roman" w:cs="Times New Roman"/>
                <w:b w:val="0"/>
                <w:bCs w:val="0"/>
                <w:sz w:val="24"/>
                <w:szCs w:val="24"/>
              </w:rPr>
              <w:t>Market Research</w:t>
            </w:r>
          </w:p>
        </w:tc>
        <w:tc>
          <w:tcPr>
            <w:tcW w:w="1373" w:type="dxa"/>
            <w:hideMark/>
          </w:tcPr>
          <w:p w14:paraId="5D568029"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2240" w:type="dxa"/>
            <w:hideMark/>
          </w:tcPr>
          <w:p w14:paraId="5A7F907E"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0" w:type="auto"/>
            <w:hideMark/>
          </w:tcPr>
          <w:p w14:paraId="6AD70551"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R</w:t>
            </w:r>
          </w:p>
        </w:tc>
        <w:tc>
          <w:tcPr>
            <w:tcW w:w="3258" w:type="dxa"/>
            <w:hideMark/>
          </w:tcPr>
          <w:p w14:paraId="55F3E292"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I</w:t>
            </w:r>
          </w:p>
        </w:tc>
      </w:tr>
      <w:tr w:rsidR="00D50E61" w:rsidRPr="00DB1559" w14:paraId="1558A375" w14:textId="77777777" w:rsidTr="00D50E61">
        <w:trPr>
          <w:trHeight w:val="58"/>
          <w:jc w:val="center"/>
        </w:trPr>
        <w:tc>
          <w:tcPr>
            <w:cnfStyle w:val="001000000000" w:firstRow="0" w:lastRow="0" w:firstColumn="1" w:lastColumn="0" w:oddVBand="0" w:evenVBand="0" w:oddHBand="0" w:evenHBand="0" w:firstRowFirstColumn="0" w:firstRowLastColumn="0" w:lastRowFirstColumn="0" w:lastRowLastColumn="0"/>
            <w:tcW w:w="2233" w:type="dxa"/>
            <w:hideMark/>
          </w:tcPr>
          <w:p w14:paraId="46D58C60" w14:textId="77777777" w:rsidR="00DB1559" w:rsidRPr="00DB1559" w:rsidRDefault="00DB1559" w:rsidP="00B747C1">
            <w:pPr>
              <w:spacing w:after="160" w:line="360" w:lineRule="auto"/>
              <w:rPr>
                <w:rFonts w:ascii="Times New Roman" w:hAnsi="Times New Roman" w:cs="Times New Roman"/>
                <w:b w:val="0"/>
                <w:bCs w:val="0"/>
                <w:sz w:val="24"/>
                <w:szCs w:val="24"/>
              </w:rPr>
            </w:pPr>
            <w:r w:rsidRPr="00DB1559">
              <w:rPr>
                <w:rFonts w:ascii="Times New Roman" w:hAnsi="Times New Roman" w:cs="Times New Roman"/>
                <w:b w:val="0"/>
                <w:bCs w:val="0"/>
                <w:sz w:val="24"/>
                <w:szCs w:val="24"/>
              </w:rPr>
              <w:t>Launch Planning</w:t>
            </w:r>
          </w:p>
        </w:tc>
        <w:tc>
          <w:tcPr>
            <w:tcW w:w="1373" w:type="dxa"/>
            <w:hideMark/>
          </w:tcPr>
          <w:p w14:paraId="09771DAA"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A</w:t>
            </w:r>
          </w:p>
        </w:tc>
        <w:tc>
          <w:tcPr>
            <w:tcW w:w="2240" w:type="dxa"/>
            <w:hideMark/>
          </w:tcPr>
          <w:p w14:paraId="39B9AD9E"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0" w:type="auto"/>
            <w:hideMark/>
          </w:tcPr>
          <w:p w14:paraId="23465C58"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R</w:t>
            </w:r>
          </w:p>
        </w:tc>
        <w:tc>
          <w:tcPr>
            <w:tcW w:w="3258" w:type="dxa"/>
            <w:hideMark/>
          </w:tcPr>
          <w:p w14:paraId="5D515C8E" w14:textId="77777777" w:rsidR="00DB1559" w:rsidRPr="00DB1559" w:rsidRDefault="00DB1559" w:rsidP="00B747C1">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I</w:t>
            </w:r>
          </w:p>
        </w:tc>
      </w:tr>
      <w:tr w:rsidR="0023251E" w:rsidRPr="00DB1559" w14:paraId="63D7154C" w14:textId="77777777" w:rsidTr="00D50E61">
        <w:trPr>
          <w:cnfStyle w:val="000000100000" w:firstRow="0" w:lastRow="0" w:firstColumn="0" w:lastColumn="0" w:oddVBand="0" w:evenVBand="0" w:oddHBand="1" w:evenHBand="0" w:firstRowFirstColumn="0" w:firstRowLastColumn="0" w:lastRowFirstColumn="0" w:lastRowLastColumn="0"/>
          <w:trHeight w:val="58"/>
          <w:jc w:val="center"/>
        </w:trPr>
        <w:tc>
          <w:tcPr>
            <w:cnfStyle w:val="001000000000" w:firstRow="0" w:lastRow="0" w:firstColumn="1" w:lastColumn="0" w:oddVBand="0" w:evenVBand="0" w:oddHBand="0" w:evenHBand="0" w:firstRowFirstColumn="0" w:firstRowLastColumn="0" w:lastRowFirstColumn="0" w:lastRowLastColumn="0"/>
            <w:tcW w:w="2233" w:type="dxa"/>
            <w:hideMark/>
          </w:tcPr>
          <w:p w14:paraId="04837A40" w14:textId="77777777" w:rsidR="00DB1559" w:rsidRPr="00DB1559" w:rsidRDefault="00DB1559" w:rsidP="00B747C1">
            <w:pPr>
              <w:spacing w:after="160" w:line="360" w:lineRule="auto"/>
              <w:rPr>
                <w:rFonts w:ascii="Times New Roman" w:hAnsi="Times New Roman" w:cs="Times New Roman"/>
                <w:b w:val="0"/>
                <w:bCs w:val="0"/>
                <w:sz w:val="24"/>
                <w:szCs w:val="24"/>
              </w:rPr>
            </w:pPr>
            <w:r w:rsidRPr="00DB1559">
              <w:rPr>
                <w:rFonts w:ascii="Times New Roman" w:hAnsi="Times New Roman" w:cs="Times New Roman"/>
                <w:b w:val="0"/>
                <w:bCs w:val="0"/>
                <w:sz w:val="24"/>
                <w:szCs w:val="24"/>
              </w:rPr>
              <w:t>Feedback Collection</w:t>
            </w:r>
          </w:p>
        </w:tc>
        <w:tc>
          <w:tcPr>
            <w:tcW w:w="1373" w:type="dxa"/>
            <w:hideMark/>
          </w:tcPr>
          <w:p w14:paraId="42F5AC50"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2240" w:type="dxa"/>
            <w:hideMark/>
          </w:tcPr>
          <w:p w14:paraId="65E04257"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0" w:type="auto"/>
            <w:hideMark/>
          </w:tcPr>
          <w:p w14:paraId="675DF62B"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C</w:t>
            </w:r>
          </w:p>
        </w:tc>
        <w:tc>
          <w:tcPr>
            <w:tcW w:w="3258" w:type="dxa"/>
            <w:hideMark/>
          </w:tcPr>
          <w:p w14:paraId="1AB9C569" w14:textId="77777777" w:rsidR="00DB1559" w:rsidRPr="00DB1559" w:rsidRDefault="00DB1559" w:rsidP="00B747C1">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B1559">
              <w:rPr>
                <w:rFonts w:ascii="Times New Roman" w:hAnsi="Times New Roman" w:cs="Times New Roman"/>
                <w:sz w:val="24"/>
                <w:szCs w:val="24"/>
              </w:rPr>
              <w:t>R</w:t>
            </w:r>
          </w:p>
        </w:tc>
      </w:tr>
    </w:tbl>
    <w:p w14:paraId="48397132" w14:textId="20F6BE95" w:rsidR="00F44BFE" w:rsidRPr="00DB1559" w:rsidRDefault="00DB1559" w:rsidP="00B216E1">
      <w:pPr>
        <w:spacing w:line="480" w:lineRule="auto"/>
        <w:rPr>
          <w:rFonts w:ascii="Times New Roman" w:hAnsi="Times New Roman" w:cs="Times New Roman"/>
          <w:sz w:val="24"/>
          <w:szCs w:val="24"/>
        </w:rPr>
      </w:pPr>
      <w:r w:rsidRPr="00DB1559">
        <w:rPr>
          <w:rFonts w:ascii="Times New Roman" w:hAnsi="Times New Roman" w:cs="Times New Roman"/>
          <w:sz w:val="24"/>
          <w:szCs w:val="24"/>
        </w:rPr>
        <w:t>(R = Responsible, A = Accountable, C = Consulted, I = Informed)</w:t>
      </w:r>
    </w:p>
    <w:p w14:paraId="6AA49689" w14:textId="73C2861C" w:rsidR="00DB1559" w:rsidRPr="00A27311" w:rsidRDefault="00DB1559" w:rsidP="00B216E1">
      <w:pPr>
        <w:spacing w:line="480" w:lineRule="auto"/>
        <w:rPr>
          <w:rFonts w:ascii="Times New Roman" w:hAnsi="Times New Roman" w:cs="Times New Roman"/>
          <w:b/>
          <w:bCs/>
          <w:sz w:val="24"/>
          <w:szCs w:val="24"/>
          <w:lang w:val="en-US"/>
        </w:rPr>
      </w:pPr>
      <w:r w:rsidRPr="00A27311">
        <w:rPr>
          <w:rFonts w:ascii="Times New Roman" w:hAnsi="Times New Roman" w:cs="Times New Roman"/>
          <w:b/>
          <w:bCs/>
          <w:sz w:val="24"/>
          <w:szCs w:val="24"/>
        </w:rPr>
        <w:t>Internal Stakeholders</w:t>
      </w:r>
      <w:r w:rsidR="00A27311" w:rsidRPr="00A27311">
        <w:rPr>
          <w:rFonts w:ascii="Times New Roman" w:hAnsi="Times New Roman" w:cs="Times New Roman"/>
          <w:b/>
          <w:bCs/>
          <w:sz w:val="24"/>
          <w:szCs w:val="24"/>
          <w:lang w:val="en-US"/>
        </w:rPr>
        <w:t>:</w:t>
      </w:r>
    </w:p>
    <w:p w14:paraId="7879E67D" w14:textId="77777777" w:rsidR="00E243CA" w:rsidRDefault="00DB1559" w:rsidP="00B216E1">
      <w:pPr>
        <w:pStyle w:val="ListParagraph"/>
        <w:numPr>
          <w:ilvl w:val="0"/>
          <w:numId w:val="21"/>
        </w:numPr>
        <w:spacing w:line="480" w:lineRule="auto"/>
        <w:jc w:val="both"/>
        <w:rPr>
          <w:rFonts w:ascii="Times New Roman" w:hAnsi="Times New Roman" w:cs="Times New Roman"/>
          <w:sz w:val="24"/>
          <w:szCs w:val="24"/>
        </w:rPr>
      </w:pPr>
      <w:r w:rsidRPr="00E243CA">
        <w:rPr>
          <w:rFonts w:ascii="Times New Roman" w:hAnsi="Times New Roman" w:cs="Times New Roman"/>
          <w:b/>
          <w:bCs/>
          <w:sz w:val="24"/>
          <w:szCs w:val="24"/>
        </w:rPr>
        <w:t>Project Manager</w:t>
      </w:r>
    </w:p>
    <w:p w14:paraId="472FEEAB" w14:textId="5C7CDF06" w:rsidR="00DB1559" w:rsidRPr="00E243CA" w:rsidRDefault="00437276" w:rsidP="00B216E1">
      <w:pPr>
        <w:pStyle w:val="ListParagraph"/>
        <w:spacing w:line="480" w:lineRule="auto"/>
        <w:jc w:val="both"/>
        <w:rPr>
          <w:rFonts w:ascii="Times New Roman" w:hAnsi="Times New Roman" w:cs="Times New Roman"/>
          <w:sz w:val="24"/>
          <w:szCs w:val="24"/>
        </w:rPr>
      </w:pPr>
      <w:r w:rsidRPr="00437276">
        <w:rPr>
          <w:rFonts w:ascii="Times New Roman" w:hAnsi="Times New Roman" w:cs="Times New Roman"/>
          <w:sz w:val="24"/>
          <w:szCs w:val="24"/>
        </w:rPr>
        <w:t xml:space="preserve">In charge of </w:t>
      </w:r>
      <w:r>
        <w:rPr>
          <w:rFonts w:ascii="Times New Roman" w:hAnsi="Times New Roman" w:cs="Times New Roman"/>
          <w:sz w:val="24"/>
          <w:szCs w:val="24"/>
          <w:lang w:val="en-US"/>
        </w:rPr>
        <w:t>overall</w:t>
      </w:r>
      <w:r w:rsidRPr="00437276">
        <w:rPr>
          <w:rFonts w:ascii="Times New Roman" w:hAnsi="Times New Roman" w:cs="Times New Roman"/>
          <w:sz w:val="24"/>
          <w:szCs w:val="24"/>
        </w:rPr>
        <w:t xml:space="preserve"> coordination, risk management</w:t>
      </w:r>
      <w:r w:rsidR="001021AF">
        <w:rPr>
          <w:rFonts w:ascii="Times New Roman" w:hAnsi="Times New Roman" w:cs="Times New Roman"/>
          <w:sz w:val="24"/>
          <w:szCs w:val="24"/>
        </w:rPr>
        <w:t xml:space="preserve"> and</w:t>
      </w:r>
      <w:r w:rsidRPr="00437276">
        <w:rPr>
          <w:rFonts w:ascii="Times New Roman" w:hAnsi="Times New Roman" w:cs="Times New Roman"/>
          <w:sz w:val="24"/>
          <w:szCs w:val="24"/>
        </w:rPr>
        <w:t xml:space="preserve"> stakeholder involvement. Assures coordination and communication principles of the 4Cs model by ensuring that all internal and external stakeholders are aligned (Ashcroft, 2017). The difficulty is how to strike a balance between competing demands in technical, marketing</w:t>
      </w:r>
      <w:r w:rsidR="001021AF">
        <w:rPr>
          <w:rFonts w:ascii="Times New Roman" w:hAnsi="Times New Roman" w:cs="Times New Roman"/>
          <w:sz w:val="24"/>
          <w:szCs w:val="24"/>
        </w:rPr>
        <w:t xml:space="preserve"> and</w:t>
      </w:r>
      <w:r w:rsidRPr="00437276">
        <w:rPr>
          <w:rFonts w:ascii="Times New Roman" w:hAnsi="Times New Roman" w:cs="Times New Roman"/>
          <w:sz w:val="24"/>
          <w:szCs w:val="24"/>
        </w:rPr>
        <w:t xml:space="preserve"> regulatory spheres.</w:t>
      </w:r>
    </w:p>
    <w:p w14:paraId="42CC1C6E" w14:textId="77777777" w:rsidR="00E243CA" w:rsidRDefault="00DB1559" w:rsidP="00B216E1">
      <w:pPr>
        <w:pStyle w:val="ListParagraph"/>
        <w:numPr>
          <w:ilvl w:val="0"/>
          <w:numId w:val="21"/>
        </w:numPr>
        <w:spacing w:line="480" w:lineRule="auto"/>
        <w:jc w:val="both"/>
        <w:rPr>
          <w:rFonts w:ascii="Times New Roman" w:hAnsi="Times New Roman" w:cs="Times New Roman"/>
          <w:sz w:val="24"/>
          <w:szCs w:val="24"/>
        </w:rPr>
      </w:pPr>
      <w:r w:rsidRPr="00E243CA">
        <w:rPr>
          <w:rFonts w:ascii="Times New Roman" w:hAnsi="Times New Roman" w:cs="Times New Roman"/>
          <w:b/>
          <w:bCs/>
          <w:sz w:val="24"/>
          <w:szCs w:val="24"/>
        </w:rPr>
        <w:t>Product Development Team</w:t>
      </w:r>
    </w:p>
    <w:p w14:paraId="14E3FB5A" w14:textId="00D4D8B8" w:rsidR="00DB1559" w:rsidRPr="00E243CA" w:rsidRDefault="00761AC4" w:rsidP="00B216E1">
      <w:pPr>
        <w:pStyle w:val="ListParagraph"/>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Responsible to convert design needs into working features such as heart rate, HRV, oxygen and sleeping (Choe and Kang, 2025). Advantages consist of developing innovation and ensuring early technical validation. The challenges are the possibility of delays related to intricate integration of AI and predictive analytics (Khan et al., 2025).</w:t>
      </w:r>
    </w:p>
    <w:p w14:paraId="5B49710B" w14:textId="77777777" w:rsidR="00E243CA" w:rsidRDefault="00DB1559" w:rsidP="00B216E1">
      <w:pPr>
        <w:pStyle w:val="ListParagraph"/>
        <w:numPr>
          <w:ilvl w:val="0"/>
          <w:numId w:val="21"/>
        </w:numPr>
        <w:spacing w:line="480" w:lineRule="auto"/>
        <w:jc w:val="both"/>
        <w:rPr>
          <w:rFonts w:ascii="Times New Roman" w:hAnsi="Times New Roman" w:cs="Times New Roman"/>
          <w:sz w:val="24"/>
          <w:szCs w:val="24"/>
        </w:rPr>
      </w:pPr>
      <w:r w:rsidRPr="00E243CA">
        <w:rPr>
          <w:rFonts w:ascii="Times New Roman" w:hAnsi="Times New Roman" w:cs="Times New Roman"/>
          <w:b/>
          <w:bCs/>
          <w:sz w:val="24"/>
          <w:szCs w:val="24"/>
        </w:rPr>
        <w:lastRenderedPageBreak/>
        <w:t>Marketing &amp; Sales Team</w:t>
      </w:r>
    </w:p>
    <w:p w14:paraId="092E6E63" w14:textId="2DB554E3" w:rsidR="00DB1559" w:rsidRPr="00E243CA" w:rsidRDefault="00761AC4" w:rsidP="00B216E1">
      <w:pPr>
        <w:pStyle w:val="ListParagraph"/>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In charge of consumer insight, promotion</w:t>
      </w:r>
      <w:r w:rsidR="001021AF">
        <w:rPr>
          <w:rFonts w:ascii="Times New Roman" w:hAnsi="Times New Roman" w:cs="Times New Roman"/>
          <w:sz w:val="24"/>
          <w:szCs w:val="24"/>
        </w:rPr>
        <w:t xml:space="preserve"> and</w:t>
      </w:r>
      <w:r w:rsidRPr="00761AC4">
        <w:rPr>
          <w:rFonts w:ascii="Times New Roman" w:hAnsi="Times New Roman" w:cs="Times New Roman"/>
          <w:sz w:val="24"/>
          <w:szCs w:val="24"/>
        </w:rPr>
        <w:t xml:space="preserve"> adoption (Statista, 2024). These advantages are increased market penetration and revenues. Issues such as the need to balance the expectation of the consumers with technical feasibility and price restrictions are not easy.</w:t>
      </w:r>
    </w:p>
    <w:p w14:paraId="640C58AC" w14:textId="77777777" w:rsidR="00E243CA" w:rsidRDefault="00DB1559" w:rsidP="00B216E1">
      <w:pPr>
        <w:pStyle w:val="ListParagraph"/>
        <w:numPr>
          <w:ilvl w:val="0"/>
          <w:numId w:val="21"/>
        </w:numPr>
        <w:spacing w:line="480" w:lineRule="auto"/>
        <w:jc w:val="both"/>
        <w:rPr>
          <w:rFonts w:ascii="Times New Roman" w:hAnsi="Times New Roman" w:cs="Times New Roman"/>
          <w:sz w:val="24"/>
          <w:szCs w:val="24"/>
        </w:rPr>
      </w:pPr>
      <w:r w:rsidRPr="00E243CA">
        <w:rPr>
          <w:rFonts w:ascii="Times New Roman" w:hAnsi="Times New Roman" w:cs="Times New Roman"/>
          <w:b/>
          <w:bCs/>
          <w:sz w:val="24"/>
          <w:szCs w:val="24"/>
        </w:rPr>
        <w:t>QA Personnel</w:t>
      </w:r>
    </w:p>
    <w:p w14:paraId="554D7267" w14:textId="6F14697C" w:rsidR="00DB1559" w:rsidRPr="00E243CA" w:rsidRDefault="00761AC4" w:rsidP="00B216E1">
      <w:pPr>
        <w:pStyle w:val="ListParagraph"/>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Involved in product development and testing to confirm that the product meets the MHRA medical device standards (MHRA, 2014). Advantages are less regulatory risk and greater product reliability; the disadvantages are the ability to identify technical discrepancies in multifaceted sensor algorithms.</w:t>
      </w:r>
    </w:p>
    <w:p w14:paraId="172ABA3A" w14:textId="772BA001" w:rsidR="00DB1559" w:rsidRPr="00DB1559" w:rsidRDefault="00DB1559" w:rsidP="00B216E1">
      <w:pPr>
        <w:spacing w:line="480" w:lineRule="auto"/>
        <w:rPr>
          <w:rFonts w:ascii="Times New Roman" w:hAnsi="Times New Roman" w:cs="Times New Roman"/>
          <w:sz w:val="24"/>
          <w:szCs w:val="24"/>
          <w:lang w:val="en-US"/>
        </w:rPr>
      </w:pPr>
      <w:r w:rsidRPr="00DB1559">
        <w:rPr>
          <w:rFonts w:ascii="Times New Roman" w:hAnsi="Times New Roman" w:cs="Times New Roman"/>
          <w:b/>
          <w:bCs/>
          <w:sz w:val="24"/>
          <w:szCs w:val="24"/>
        </w:rPr>
        <w:t>External Stakeholders</w:t>
      </w:r>
      <w:r w:rsidR="00A27311">
        <w:rPr>
          <w:rFonts w:ascii="Times New Roman" w:hAnsi="Times New Roman" w:cs="Times New Roman"/>
          <w:b/>
          <w:bCs/>
          <w:sz w:val="24"/>
          <w:szCs w:val="24"/>
          <w:lang w:val="en-US"/>
        </w:rPr>
        <w:t>:</w:t>
      </w:r>
    </w:p>
    <w:p w14:paraId="21B08A8E" w14:textId="77777777" w:rsidR="00C3453D" w:rsidRDefault="00DB1559" w:rsidP="00B216E1">
      <w:pPr>
        <w:pStyle w:val="ListParagraph"/>
        <w:numPr>
          <w:ilvl w:val="0"/>
          <w:numId w:val="22"/>
        </w:numPr>
        <w:spacing w:line="480" w:lineRule="auto"/>
        <w:jc w:val="both"/>
        <w:rPr>
          <w:rFonts w:ascii="Times New Roman" w:hAnsi="Times New Roman" w:cs="Times New Roman"/>
          <w:sz w:val="24"/>
          <w:szCs w:val="24"/>
        </w:rPr>
      </w:pPr>
      <w:r w:rsidRPr="00C3453D">
        <w:rPr>
          <w:rFonts w:ascii="Times New Roman" w:hAnsi="Times New Roman" w:cs="Times New Roman"/>
          <w:b/>
          <w:bCs/>
          <w:sz w:val="24"/>
          <w:szCs w:val="24"/>
        </w:rPr>
        <w:t>Regulators (MHRA, ICO)</w:t>
      </w:r>
    </w:p>
    <w:p w14:paraId="5D37109F" w14:textId="2AE69D2A" w:rsidR="00DB1559" w:rsidRPr="00C3453D" w:rsidRDefault="00761AC4" w:rsidP="00B216E1">
      <w:pPr>
        <w:pStyle w:val="ListParagraph"/>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Consulted or informed according to the activity. The presence of high power and legitimacy entails cautious involvement to avoid legal or financial fines (ICO, 2024). UK GDPR and medical device regulations are important to comply with to be successfully launched.</w:t>
      </w:r>
    </w:p>
    <w:p w14:paraId="1CE73174" w14:textId="77777777" w:rsidR="00C3453D" w:rsidRDefault="00DB1559" w:rsidP="00B216E1">
      <w:pPr>
        <w:pStyle w:val="ListParagraph"/>
        <w:numPr>
          <w:ilvl w:val="0"/>
          <w:numId w:val="22"/>
        </w:numPr>
        <w:spacing w:line="480" w:lineRule="auto"/>
        <w:jc w:val="both"/>
        <w:rPr>
          <w:rFonts w:ascii="Times New Roman" w:hAnsi="Times New Roman" w:cs="Times New Roman"/>
          <w:sz w:val="24"/>
          <w:szCs w:val="24"/>
        </w:rPr>
      </w:pPr>
      <w:r w:rsidRPr="00C3453D">
        <w:rPr>
          <w:rFonts w:ascii="Times New Roman" w:hAnsi="Times New Roman" w:cs="Times New Roman"/>
          <w:b/>
          <w:bCs/>
          <w:sz w:val="24"/>
          <w:szCs w:val="24"/>
        </w:rPr>
        <w:t>Suppliers</w:t>
      </w:r>
    </w:p>
    <w:p w14:paraId="24857D87" w14:textId="5F30F39A" w:rsidR="00DB1559" w:rsidRPr="00C3453D" w:rsidRDefault="00761AC4" w:rsidP="00B216E1">
      <w:pPr>
        <w:pStyle w:val="ListParagraph"/>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Consulted regarding schedules of component deliveries, quality</w:t>
      </w:r>
      <w:r w:rsidR="001021AF">
        <w:rPr>
          <w:rFonts w:ascii="Times New Roman" w:hAnsi="Times New Roman" w:cs="Times New Roman"/>
          <w:sz w:val="24"/>
          <w:szCs w:val="24"/>
        </w:rPr>
        <w:t xml:space="preserve"> and</w:t>
      </w:r>
      <w:r w:rsidRPr="00761AC4">
        <w:rPr>
          <w:rFonts w:ascii="Times New Roman" w:hAnsi="Times New Roman" w:cs="Times New Roman"/>
          <w:sz w:val="24"/>
          <w:szCs w:val="24"/>
        </w:rPr>
        <w:t xml:space="preserve"> cost. The positive aspects are safe supply chains and the consistency of the products (Virgillito et al., 2025). The risks of dependency and possible delays in the availability of sensors or microchips are some of the challenges.</w:t>
      </w:r>
    </w:p>
    <w:p w14:paraId="10F63DE0" w14:textId="77777777" w:rsidR="00C3453D" w:rsidRDefault="00DB1559" w:rsidP="00B216E1">
      <w:pPr>
        <w:pStyle w:val="ListParagraph"/>
        <w:numPr>
          <w:ilvl w:val="0"/>
          <w:numId w:val="22"/>
        </w:numPr>
        <w:spacing w:line="480" w:lineRule="auto"/>
        <w:jc w:val="both"/>
        <w:rPr>
          <w:rFonts w:ascii="Times New Roman" w:hAnsi="Times New Roman" w:cs="Times New Roman"/>
          <w:sz w:val="24"/>
          <w:szCs w:val="24"/>
        </w:rPr>
      </w:pPr>
      <w:r w:rsidRPr="00C3453D">
        <w:rPr>
          <w:rFonts w:ascii="Times New Roman" w:hAnsi="Times New Roman" w:cs="Times New Roman"/>
          <w:b/>
          <w:bCs/>
          <w:sz w:val="24"/>
          <w:szCs w:val="24"/>
        </w:rPr>
        <w:t>Healthcare Partners (NHS, clinicians)</w:t>
      </w:r>
    </w:p>
    <w:p w14:paraId="302D6EBF" w14:textId="6012341A" w:rsidR="00DB1559" w:rsidRPr="00C3453D" w:rsidRDefault="00761AC4" w:rsidP="00B216E1">
      <w:pPr>
        <w:pStyle w:val="ListParagraph"/>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 xml:space="preserve">Clinically validated and pilot programs (Triantafyllidis et al., 2024). The advantages are related to increased credibility, adoption based on evidence and possible integration </w:t>
      </w:r>
      <w:r w:rsidRPr="00761AC4">
        <w:rPr>
          <w:rFonts w:ascii="Times New Roman" w:hAnsi="Times New Roman" w:cs="Times New Roman"/>
          <w:sz w:val="24"/>
          <w:szCs w:val="24"/>
        </w:rPr>
        <w:lastRenderedPageBreak/>
        <w:t>with clinical pathways. Business issues such as the coordination of data sharing and regulatory scrutiny are challenges.</w:t>
      </w:r>
    </w:p>
    <w:p w14:paraId="44AC7ED4" w14:textId="77777777" w:rsidR="00C3453D" w:rsidRDefault="00DB1559" w:rsidP="00B216E1">
      <w:pPr>
        <w:pStyle w:val="ListParagraph"/>
        <w:numPr>
          <w:ilvl w:val="0"/>
          <w:numId w:val="22"/>
        </w:numPr>
        <w:spacing w:line="480" w:lineRule="auto"/>
        <w:jc w:val="both"/>
        <w:rPr>
          <w:rFonts w:ascii="Times New Roman" w:hAnsi="Times New Roman" w:cs="Times New Roman"/>
          <w:sz w:val="24"/>
          <w:szCs w:val="24"/>
        </w:rPr>
      </w:pPr>
      <w:r w:rsidRPr="00C3453D">
        <w:rPr>
          <w:rFonts w:ascii="Times New Roman" w:hAnsi="Times New Roman" w:cs="Times New Roman"/>
          <w:b/>
          <w:bCs/>
          <w:sz w:val="24"/>
          <w:szCs w:val="24"/>
        </w:rPr>
        <w:t>Consumers</w:t>
      </w:r>
    </w:p>
    <w:p w14:paraId="4CEC31E2" w14:textId="08F42EAB" w:rsidR="00953CE2" w:rsidRDefault="00761AC4" w:rsidP="00B216E1">
      <w:pPr>
        <w:pStyle w:val="ListParagraph"/>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Consulted and informed with the help of surveys and pilot testing (Adeghe et al., 2024). Advantages are increased user satisfaction and adoption. Among the challenges are a difference in digital literacy and expectations of device accuracy.</w:t>
      </w:r>
    </w:p>
    <w:p w14:paraId="12040F5D" w14:textId="7A44744D" w:rsidR="000B2E7A" w:rsidRPr="000B2E7A" w:rsidRDefault="00761AC4" w:rsidP="00B216E1">
      <w:pPr>
        <w:spacing w:line="480" w:lineRule="auto"/>
        <w:jc w:val="both"/>
        <w:rPr>
          <w:rFonts w:ascii="Times New Roman" w:hAnsi="Times New Roman" w:cs="Times New Roman"/>
          <w:sz w:val="24"/>
          <w:szCs w:val="24"/>
        </w:rPr>
      </w:pPr>
      <w:r w:rsidRPr="00761AC4">
        <w:rPr>
          <w:rFonts w:ascii="Times New Roman" w:hAnsi="Times New Roman" w:cs="Times New Roman"/>
          <w:sz w:val="24"/>
          <w:szCs w:val="24"/>
        </w:rPr>
        <w:t>Figure 3 shows the Power-Interest matrix of Apple Watch Series 11 stakeholders that show that the top management, regulators</w:t>
      </w:r>
      <w:r w:rsidR="001021AF">
        <w:rPr>
          <w:rFonts w:ascii="Times New Roman" w:hAnsi="Times New Roman" w:cs="Times New Roman"/>
          <w:sz w:val="24"/>
          <w:szCs w:val="24"/>
        </w:rPr>
        <w:t xml:space="preserve"> and</w:t>
      </w:r>
      <w:r w:rsidRPr="00761AC4">
        <w:rPr>
          <w:rFonts w:ascii="Times New Roman" w:hAnsi="Times New Roman" w:cs="Times New Roman"/>
          <w:sz w:val="24"/>
          <w:szCs w:val="24"/>
        </w:rPr>
        <w:t xml:space="preserve"> healthcare partners are the stakeholders that should be managed closely since they have high power and interest, which is in line with the framework of stakeholder salience by Freeman (2010).</w:t>
      </w:r>
    </w:p>
    <w:p w14:paraId="0FCD2735" w14:textId="15DF226F" w:rsidR="00BC11E7" w:rsidRDefault="00DC3615" w:rsidP="00A97E22">
      <w:pPr>
        <w:spacing w:line="240" w:lineRule="auto"/>
        <w:jc w:val="center"/>
        <w:rPr>
          <w:rFonts w:ascii="Times New Roman" w:hAnsi="Times New Roman" w:cs="Times New Roman"/>
          <w:sz w:val="24"/>
          <w:szCs w:val="24"/>
        </w:rPr>
      </w:pPr>
      <w:r>
        <w:rPr>
          <w:noProof/>
        </w:rPr>
        <w:drawing>
          <wp:inline distT="0" distB="0" distL="0" distR="0" wp14:anchorId="15EC48C1" wp14:editId="5D159556">
            <wp:extent cx="5119719" cy="3634740"/>
            <wp:effectExtent l="0" t="0" r="508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2329" cy="3650792"/>
                    </a:xfrm>
                    <a:prstGeom prst="rect">
                      <a:avLst/>
                    </a:prstGeom>
                    <a:noFill/>
                    <a:ln>
                      <a:noFill/>
                    </a:ln>
                  </pic:spPr>
                </pic:pic>
              </a:graphicData>
            </a:graphic>
          </wp:inline>
        </w:drawing>
      </w:r>
    </w:p>
    <w:p w14:paraId="2C38B0C7" w14:textId="0D252D1C" w:rsidR="00A0179D" w:rsidRPr="0068626E" w:rsidRDefault="0068626E" w:rsidP="00B216E1">
      <w:pPr>
        <w:spacing w:line="480" w:lineRule="auto"/>
        <w:jc w:val="center"/>
        <w:rPr>
          <w:rFonts w:ascii="Times New Roman" w:hAnsi="Times New Roman" w:cs="Times New Roman"/>
          <w:sz w:val="24"/>
          <w:szCs w:val="24"/>
          <w:lang w:val="en-US"/>
        </w:rPr>
      </w:pPr>
      <w:r w:rsidRPr="00916959">
        <w:rPr>
          <w:rFonts w:ascii="Times New Roman" w:hAnsi="Times New Roman" w:cs="Times New Roman"/>
          <w:b/>
          <w:bCs/>
          <w:sz w:val="24"/>
          <w:szCs w:val="24"/>
          <w:lang w:val="en-US"/>
        </w:rPr>
        <w:t>Figure 3.</w:t>
      </w:r>
      <w:r>
        <w:rPr>
          <w:rFonts w:ascii="Times New Roman" w:hAnsi="Times New Roman" w:cs="Times New Roman"/>
          <w:sz w:val="24"/>
          <w:szCs w:val="24"/>
          <w:lang w:val="en-US"/>
        </w:rPr>
        <w:t xml:space="preserve"> </w:t>
      </w:r>
      <w:r w:rsidRPr="0068626E">
        <w:rPr>
          <w:rFonts w:ascii="Times New Roman" w:hAnsi="Times New Roman" w:cs="Times New Roman"/>
          <w:sz w:val="24"/>
          <w:szCs w:val="24"/>
          <w:lang w:val="en-US"/>
        </w:rPr>
        <w:t>Power</w:t>
      </w:r>
      <w:r w:rsidR="00892274">
        <w:rPr>
          <w:rFonts w:ascii="Times New Roman" w:hAnsi="Times New Roman" w:cs="Times New Roman"/>
          <w:sz w:val="24"/>
          <w:szCs w:val="24"/>
          <w:lang w:val="en-US"/>
        </w:rPr>
        <w:t xml:space="preserve"> - </w:t>
      </w:r>
      <w:r w:rsidRPr="0068626E">
        <w:rPr>
          <w:rFonts w:ascii="Times New Roman" w:hAnsi="Times New Roman" w:cs="Times New Roman"/>
          <w:sz w:val="24"/>
          <w:szCs w:val="24"/>
          <w:lang w:val="en-US"/>
        </w:rPr>
        <w:t>Interest Matrix: Apple Watch Series 11 Stakeholders</w:t>
      </w:r>
    </w:p>
    <w:p w14:paraId="1C4277E8" w14:textId="3064780B" w:rsidR="00953CE2" w:rsidRPr="00953CE2" w:rsidRDefault="00953CE2" w:rsidP="006D4C9C">
      <w:pPr>
        <w:pStyle w:val="Heading1"/>
      </w:pPr>
      <w:bookmarkStart w:id="7" w:name="_Toc216698368"/>
      <w:r w:rsidRPr="00953CE2">
        <w:t xml:space="preserve">5. </w:t>
      </w:r>
      <w:r w:rsidR="001964CF">
        <w:t>Engagement and Communication Plan</w:t>
      </w:r>
      <w:bookmarkEnd w:id="7"/>
    </w:p>
    <w:p w14:paraId="1A92448C" w14:textId="2AF41C15" w:rsidR="00761AC4" w:rsidRDefault="00761AC4" w:rsidP="00761AC4">
      <w:pPr>
        <w:pStyle w:val="BodyText"/>
        <w:spacing w:line="480" w:lineRule="auto"/>
      </w:pPr>
      <w:r>
        <w:t xml:space="preserve">An effective involvement of stakeholders is the core ingredient of successful introduction of the Apple Watch Series 11. Apple can use the 4Cs model to align the internal and external </w:t>
      </w:r>
      <w:r>
        <w:lastRenderedPageBreak/>
        <w:t>stakeholders and engage in managing expectations and maximising the project results by applying the 4Cs model Communication, Collaboration, Coordination</w:t>
      </w:r>
      <w:r w:rsidR="001021AF">
        <w:t xml:space="preserve"> and</w:t>
      </w:r>
      <w:r>
        <w:t xml:space="preserve"> Consideration (Ashcroft, 2017).</w:t>
      </w:r>
    </w:p>
    <w:p w14:paraId="651A6F72" w14:textId="22D9F1E7" w:rsidR="00351664" w:rsidRDefault="00761AC4" w:rsidP="00761AC4">
      <w:pPr>
        <w:pStyle w:val="BodyText"/>
        <w:spacing w:line="480" w:lineRule="auto"/>
      </w:pPr>
      <w:r>
        <w:t>Figure 4 demonstrates the stakeholder engagement framework implemented by the 4Cs model to facilitate coordination, compliance</w:t>
      </w:r>
      <w:r w:rsidR="001021AF">
        <w:t xml:space="preserve"> and</w:t>
      </w:r>
      <w:r>
        <w:t xml:space="preserve"> trust during the Apple Watch Series 11 launch.</w:t>
      </w:r>
    </w:p>
    <w:p w14:paraId="2016EA7F" w14:textId="22E518DB" w:rsidR="000A593A" w:rsidRDefault="000A593A" w:rsidP="00B216E1">
      <w:pPr>
        <w:pStyle w:val="BodyText"/>
        <w:spacing w:line="480" w:lineRule="auto"/>
        <w:jc w:val="center"/>
      </w:pPr>
      <w:r w:rsidRPr="000A593A">
        <w:rPr>
          <w:noProof/>
        </w:rPr>
        <w:drawing>
          <wp:inline distT="0" distB="0" distL="0" distR="0" wp14:anchorId="40CDC5B8" wp14:editId="51D50BB4">
            <wp:extent cx="5731510" cy="130048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300480"/>
                    </a:xfrm>
                    <a:prstGeom prst="rect">
                      <a:avLst/>
                    </a:prstGeom>
                  </pic:spPr>
                </pic:pic>
              </a:graphicData>
            </a:graphic>
          </wp:inline>
        </w:drawing>
      </w:r>
    </w:p>
    <w:p w14:paraId="49F74CEB" w14:textId="2512FD32" w:rsidR="006A7F69" w:rsidRPr="00BA3559" w:rsidRDefault="00BA3559" w:rsidP="00B216E1">
      <w:pPr>
        <w:pStyle w:val="BodyText"/>
        <w:spacing w:line="480" w:lineRule="auto"/>
        <w:jc w:val="center"/>
        <w:rPr>
          <w:lang w:val="en-US"/>
        </w:rPr>
      </w:pPr>
      <w:r w:rsidRPr="00916959">
        <w:rPr>
          <w:b/>
          <w:bCs/>
          <w:lang w:val="en-US"/>
        </w:rPr>
        <w:t>Figure 4.</w:t>
      </w:r>
      <w:r>
        <w:rPr>
          <w:lang w:val="en-US"/>
        </w:rPr>
        <w:t xml:space="preserve"> </w:t>
      </w:r>
      <w:r w:rsidR="00704B5B">
        <w:t>Stakeholder Engagement and Communication Plan Using the 4Cs Model</w:t>
      </w:r>
    </w:p>
    <w:p w14:paraId="139D61C0" w14:textId="2E17821B" w:rsidR="00A9685A" w:rsidRPr="00A9685A" w:rsidRDefault="00196E95" w:rsidP="00B216E1">
      <w:pPr>
        <w:pStyle w:val="Heading2"/>
        <w:spacing w:line="480" w:lineRule="auto"/>
      </w:pPr>
      <w:bookmarkStart w:id="8" w:name="_Toc216698369"/>
      <w:r>
        <w:rPr>
          <w:lang w:val="en-US"/>
        </w:rPr>
        <w:t xml:space="preserve">5.1 </w:t>
      </w:r>
      <w:r w:rsidR="00A9685A" w:rsidRPr="00A9685A">
        <w:t>Communication</w:t>
      </w:r>
      <w:bookmarkEnd w:id="8"/>
    </w:p>
    <w:p w14:paraId="17BBCFEE" w14:textId="22D07889" w:rsidR="00A9685A" w:rsidRPr="00A9685A" w:rsidRDefault="00844112" w:rsidP="00B216E1">
      <w:pPr>
        <w:pStyle w:val="BodyText"/>
        <w:spacing w:line="480" w:lineRule="auto"/>
      </w:pPr>
      <w:r w:rsidRPr="00844112">
        <w:t>Stakeholder engagement is based on clear, structured and timely communication. The project management platforms, video conferences</w:t>
      </w:r>
      <w:r w:rsidR="001021AF">
        <w:t xml:space="preserve"> and</w:t>
      </w:r>
      <w:r w:rsidRPr="00844112">
        <w:t xml:space="preserve"> common dashboards will provide weekly updates to internal stakeholders, including the product development and marketing teams (Freeman, 2010). Constant updates consist of design milestones, AI analytics validation milestones and regulatory compliance milestones. Bi-weekly reports with summarised information on development status, expected challenges</w:t>
      </w:r>
      <w:r w:rsidR="001021AF">
        <w:t xml:space="preserve"> and</w:t>
      </w:r>
      <w:r w:rsidRPr="00844112">
        <w:t xml:space="preserve"> needed approvals will be sent to external stakeholders, such as suppliers, regulators</w:t>
      </w:r>
      <w:r w:rsidR="001021AF">
        <w:t xml:space="preserve"> and</w:t>
      </w:r>
      <w:r w:rsidRPr="00844112">
        <w:t xml:space="preserve"> healthcare partners (MHRA, 2014; ICO, 2024). Pre-launch surveys and focus groups will be used to engage the consumers to capture usability feedback and adoption intentions (Adeghe et al., 2024).</w:t>
      </w:r>
    </w:p>
    <w:p w14:paraId="1B249463" w14:textId="278BFAB7" w:rsidR="00A9685A" w:rsidRPr="00A9685A" w:rsidRDefault="00B4168D" w:rsidP="00B216E1">
      <w:pPr>
        <w:pStyle w:val="Heading2"/>
        <w:spacing w:line="480" w:lineRule="auto"/>
      </w:pPr>
      <w:bookmarkStart w:id="9" w:name="_Toc216698370"/>
      <w:r>
        <w:rPr>
          <w:lang w:val="en-US"/>
        </w:rPr>
        <w:t xml:space="preserve">5.2 </w:t>
      </w:r>
      <w:r w:rsidR="00A9685A" w:rsidRPr="00A9685A">
        <w:t>Collaboration</w:t>
      </w:r>
      <w:bookmarkEnd w:id="9"/>
    </w:p>
    <w:p w14:paraId="655D52E9" w14:textId="7339532D" w:rsidR="00A9685A" w:rsidRPr="00A9685A" w:rsidRDefault="00844112" w:rsidP="00B216E1">
      <w:pPr>
        <w:pStyle w:val="BodyText"/>
        <w:spacing w:line="480" w:lineRule="auto"/>
      </w:pPr>
      <w:r w:rsidRPr="00844112">
        <w:t xml:space="preserve">Working together will ensure that skills and knowledge of the various stakeholders are valuable in the project. In cooperation with the QA staff and clinicians, product development teams are involved in combining sensor functionality with clinical validity (Choe and Kang, 2025; </w:t>
      </w:r>
      <w:r w:rsidRPr="00844112">
        <w:lastRenderedPageBreak/>
        <w:t>Triantafyllidis et al., 2024). In collaboration with consumer representatives, marketing teams develop promotional content and models of message delivery, appealing to various groups of demographics (Statista, 2024; Nomis, 2025). Suppliers also participate in production schedule planning and technical problems troubleshooting to ensure supply chain is continuous (Virgillito et al., 2025).</w:t>
      </w:r>
    </w:p>
    <w:p w14:paraId="48429048" w14:textId="18F07674" w:rsidR="00A9685A" w:rsidRPr="00A9685A" w:rsidRDefault="00B4168D" w:rsidP="00B216E1">
      <w:pPr>
        <w:pStyle w:val="Heading2"/>
        <w:spacing w:line="480" w:lineRule="auto"/>
      </w:pPr>
      <w:bookmarkStart w:id="10" w:name="_Toc216698371"/>
      <w:r>
        <w:rPr>
          <w:lang w:val="en-US"/>
        </w:rPr>
        <w:t xml:space="preserve">5.3 </w:t>
      </w:r>
      <w:r w:rsidR="00A9685A" w:rsidRPr="00A9685A">
        <w:t>Coordination</w:t>
      </w:r>
      <w:bookmarkEnd w:id="10"/>
    </w:p>
    <w:p w14:paraId="48D09574" w14:textId="34CAFA23" w:rsidR="00A9685A" w:rsidRPr="00DA3D82" w:rsidRDefault="00844112" w:rsidP="00B216E1">
      <w:pPr>
        <w:pStyle w:val="BodyText"/>
        <w:spacing w:line="480" w:lineRule="auto"/>
      </w:pPr>
      <w:r w:rsidRPr="00844112">
        <w:t xml:space="preserve">Coordination eliminates redundancy and results in a responsibility being distributed in accordance with the capacity of the stakeholders. The RACI matrix (Table </w:t>
      </w:r>
      <w:r w:rsidR="00A97E22">
        <w:rPr>
          <w:lang w:val="en-US"/>
        </w:rPr>
        <w:t>4.</w:t>
      </w:r>
      <w:r w:rsidRPr="00844112">
        <w:t>1) makes it clear who has the responsibility, accountability, consulted</w:t>
      </w:r>
      <w:r w:rsidR="001021AF">
        <w:t xml:space="preserve"> or</w:t>
      </w:r>
      <w:r w:rsidRPr="00844112">
        <w:t xml:space="preserve"> informed about each major project activity, which makes decision-making easier and faster. The project manager serves as the focal point of coordination, internal innovativeness versus external compliance needs, milestones</w:t>
      </w:r>
      <w:r w:rsidR="001021AF">
        <w:t xml:space="preserve"> and</w:t>
      </w:r>
      <w:r w:rsidRPr="00844112">
        <w:t xml:space="preserve"> conflict resolution between groups (Freeman, 2010).</w:t>
      </w:r>
    </w:p>
    <w:p w14:paraId="7D071C9B" w14:textId="67AD8F68" w:rsidR="00A9685A" w:rsidRPr="00A9685A" w:rsidRDefault="000E7BF0" w:rsidP="00B216E1">
      <w:pPr>
        <w:pStyle w:val="Heading2"/>
        <w:spacing w:line="480" w:lineRule="auto"/>
      </w:pPr>
      <w:bookmarkStart w:id="11" w:name="_Toc216698372"/>
      <w:r>
        <w:rPr>
          <w:lang w:val="en-US"/>
        </w:rPr>
        <w:t xml:space="preserve">5.4 </w:t>
      </w:r>
      <w:r w:rsidR="00A9685A" w:rsidRPr="00A9685A">
        <w:t>Consideration</w:t>
      </w:r>
      <w:bookmarkEnd w:id="11"/>
    </w:p>
    <w:p w14:paraId="7DFC1EE8" w14:textId="2565E781" w:rsidR="00953CE2" w:rsidRPr="00953CE2" w:rsidRDefault="00844112" w:rsidP="00B216E1">
      <w:pPr>
        <w:pStyle w:val="BodyText"/>
        <w:spacing w:line="480" w:lineRule="auto"/>
      </w:pPr>
      <w:r w:rsidRPr="00844112">
        <w:t>Consideration entails consideration of interests, issues</w:t>
      </w:r>
      <w:r w:rsidR="001021AF">
        <w:t xml:space="preserve"> and</w:t>
      </w:r>
      <w:r w:rsidRPr="00844112">
        <w:t xml:space="preserve"> limits of every group of stakeholders. In particular, regulatory authorities demand exhaustive documentation and compliance, suppliers demand flexible working hours</w:t>
      </w:r>
      <w:r w:rsidR="001021AF">
        <w:t xml:space="preserve"> and</w:t>
      </w:r>
      <w:r w:rsidRPr="00844112">
        <w:t xml:space="preserve"> customers demand privacy, accuracy</w:t>
      </w:r>
      <w:r w:rsidR="001021AF">
        <w:t xml:space="preserve"> and</w:t>
      </w:r>
      <w:r w:rsidRPr="00844112">
        <w:t xml:space="preserve"> reliability (ICO, 2024; Virgillito et al., 2025). Frequent feedback processes and consultation forces make sure that the decisions will take into consideration the priorities of the stakeholders and possible conflicts will be managed in advance.</w:t>
      </w:r>
    </w:p>
    <w:p w14:paraId="4C3AAC6E" w14:textId="4478A035" w:rsidR="00953CE2" w:rsidRPr="00953CE2" w:rsidRDefault="00953CE2" w:rsidP="006D4C9C">
      <w:pPr>
        <w:pStyle w:val="Heading1"/>
      </w:pPr>
      <w:bookmarkStart w:id="12" w:name="_Toc216698373"/>
      <w:r w:rsidRPr="00953CE2">
        <w:t xml:space="preserve">6. </w:t>
      </w:r>
      <w:r w:rsidR="00861673" w:rsidRPr="00861673">
        <w:t>Critical Explanation and Evaluation of Stakeholder Management Using the 4Cs Model</w:t>
      </w:r>
      <w:bookmarkEnd w:id="12"/>
    </w:p>
    <w:p w14:paraId="02C9246C" w14:textId="69EADBB7" w:rsidR="00FB27A4" w:rsidRPr="00FB27A4" w:rsidRDefault="00844112" w:rsidP="00B216E1">
      <w:pPr>
        <w:pStyle w:val="BodyText"/>
        <w:spacing w:line="480" w:lineRule="auto"/>
      </w:pPr>
      <w:r w:rsidRPr="00844112">
        <w:t>Stakeholder management is important towards the successful introduction of Apple Watch Series 11 into the UK market. According to the stakeholder theory</w:t>
      </w:r>
      <w:r w:rsidR="001021AF">
        <w:t xml:space="preserve"> or</w:t>
      </w:r>
      <w:r w:rsidRPr="00844112">
        <w:t>ganisations need to be aware of the reasonable interests of all stakeholders, both internal and external</w:t>
      </w:r>
      <w:r w:rsidR="001021AF">
        <w:t xml:space="preserve"> and</w:t>
      </w:r>
      <w:r w:rsidRPr="00844112">
        <w:t xml:space="preserve"> should manage relationships in a way that will generate value and competitive advantage (Freeman, </w:t>
      </w:r>
      <w:r w:rsidRPr="00844112">
        <w:lastRenderedPageBreak/>
        <w:t>2010; Valentinov and Chia, 2022). These principles are operationalised using a structured framework, 4Cs model</w:t>
      </w:r>
      <w:r w:rsidR="001021AF">
        <w:t xml:space="preserve"> or</w:t>
      </w:r>
      <w:r w:rsidRPr="00844112">
        <w:t xml:space="preserve"> Communication, Collaboration, Coordination</w:t>
      </w:r>
      <w:r w:rsidR="001021AF">
        <w:t xml:space="preserve"> and</w:t>
      </w:r>
      <w:r w:rsidRPr="00844112">
        <w:t xml:space="preserve"> Consideration to apply them in a complex multi-stakeholder health technology project (Ashcroft, 2017).</w:t>
      </w:r>
    </w:p>
    <w:p w14:paraId="7986E5B3" w14:textId="298E0322" w:rsidR="00FB27A4" w:rsidRPr="00FB27A4" w:rsidRDefault="00D462F2" w:rsidP="00B216E1">
      <w:pPr>
        <w:pStyle w:val="Heading2"/>
        <w:spacing w:line="480" w:lineRule="auto"/>
      </w:pPr>
      <w:bookmarkStart w:id="13" w:name="_Toc216698374"/>
      <w:r>
        <w:rPr>
          <w:lang w:val="en-US"/>
        </w:rPr>
        <w:t xml:space="preserve">6.1 </w:t>
      </w:r>
      <w:r w:rsidR="00FB27A4" w:rsidRPr="00FB27A4">
        <w:t>Communication</w:t>
      </w:r>
      <w:bookmarkEnd w:id="13"/>
    </w:p>
    <w:p w14:paraId="278EC92C" w14:textId="18F20A56" w:rsidR="00773620" w:rsidRDefault="00773620" w:rsidP="00773620">
      <w:pPr>
        <w:pStyle w:val="BodyText"/>
        <w:spacing w:line="480" w:lineRule="auto"/>
      </w:pPr>
      <w:r>
        <w:t>Communication plays a groundwork towards maintaining clarity, trust</w:t>
      </w:r>
      <w:r w:rsidR="001021AF">
        <w:t xml:space="preserve"> and</w:t>
      </w:r>
      <w:r>
        <w:t xml:space="preserve"> harmony in the stakeholders. Apple uses multi-channel communication strategies that are directed to different stakeholder groups. At the internal level, the structured weekly progress meetings, digital dashboard sharing</w:t>
      </w:r>
      <w:r w:rsidR="001021AF">
        <w:t xml:space="preserve"> and</w:t>
      </w:r>
      <w:r>
        <w:t xml:space="preserve"> product briefing help the product development, quality assurance</w:t>
      </w:r>
      <w:r w:rsidR="001021AF">
        <w:t xml:space="preserve"> and</w:t>
      </w:r>
      <w:r>
        <w:t xml:space="preserve"> marketing teams to stay informed of the situation, track the milestones</w:t>
      </w:r>
      <w:r w:rsidR="001021AF">
        <w:t xml:space="preserve"> and</w:t>
      </w:r>
      <w:r>
        <w:t xml:space="preserve"> predict challenges (Triantafyllidis et al., 2024). Formally, regulators (MHRA, 2014), NHS digital partners</w:t>
      </w:r>
      <w:r w:rsidR="001021AF">
        <w:t xml:space="preserve"> and</w:t>
      </w:r>
      <w:r>
        <w:t xml:space="preserve"> suppliers are provided with reports on compliance, risk reduction</w:t>
      </w:r>
      <w:r w:rsidR="001021AF">
        <w:t xml:space="preserve"> and</w:t>
      </w:r>
      <w:r>
        <w:t xml:space="preserve"> update on schedules. The active interaction with consumers with the help of surveys, beta and focus groups makes sure that the product design and marketing strategies are informed by actual user preferences and expectations (Adeghe et al., 2024; Statista, 2024).</w:t>
      </w:r>
    </w:p>
    <w:p w14:paraId="3C4AD198" w14:textId="2BC8661E" w:rsidR="00FB27A4" w:rsidRPr="00FB27A4" w:rsidRDefault="00773620" w:rsidP="00773620">
      <w:pPr>
        <w:pStyle w:val="BodyText"/>
        <w:spacing w:line="480" w:lineRule="auto"/>
      </w:pPr>
      <w:r>
        <w:t>Critical analysis shows that excessive communication can cause information overload, whereas insufficient communication can cause misalignment and slow-approving. Apple strikes the right balance between transparency and efficiency by customizing the frequency and content of its communications to be relevant to its stakeholders, which reduces the risks.</w:t>
      </w:r>
    </w:p>
    <w:p w14:paraId="1D57976D" w14:textId="23ADC311" w:rsidR="00FB27A4" w:rsidRPr="00FB27A4" w:rsidRDefault="00D462F2" w:rsidP="00B216E1">
      <w:pPr>
        <w:pStyle w:val="Heading2"/>
        <w:spacing w:line="480" w:lineRule="auto"/>
      </w:pPr>
      <w:bookmarkStart w:id="14" w:name="_Toc216698375"/>
      <w:r>
        <w:rPr>
          <w:lang w:val="en-US"/>
        </w:rPr>
        <w:t xml:space="preserve">6.2 </w:t>
      </w:r>
      <w:r w:rsidR="00FB27A4" w:rsidRPr="00FB27A4">
        <w:t>Collaboration</w:t>
      </w:r>
      <w:bookmarkEnd w:id="14"/>
    </w:p>
    <w:p w14:paraId="00C58282" w14:textId="331A05A0" w:rsidR="00773620" w:rsidRDefault="00773620" w:rsidP="00773620">
      <w:pPr>
        <w:pStyle w:val="BodyText"/>
        <w:spacing w:line="480" w:lineRule="auto"/>
      </w:pPr>
      <w:r>
        <w:t>Collaboration entails incorporation of varied competence to improve innovation and problem solving. In this project, cross-functional teams collaborate with clinicians, data scientists</w:t>
      </w:r>
      <w:r w:rsidR="001021AF">
        <w:t xml:space="preserve"> and</w:t>
      </w:r>
      <w:r>
        <w:t xml:space="preserve"> consumer representatives to optimise sensor quality, predictive algorithms</w:t>
      </w:r>
      <w:r w:rsidR="001021AF">
        <w:t xml:space="preserve"> and</w:t>
      </w:r>
      <w:r>
        <w:t xml:space="preserve"> user experience (Khan et al., 2025; Virgillito et al., 2025). Working with suppliers will also guarantee the delivery of components in time</w:t>
      </w:r>
      <w:r w:rsidR="001021AF">
        <w:t xml:space="preserve"> and</w:t>
      </w:r>
      <w:r>
        <w:t xml:space="preserve"> marketing teams will work together with consumer </w:t>
      </w:r>
      <w:r>
        <w:lastRenderedPageBreak/>
        <w:t>advocacy groups to develop messaging that satisfies both usability and privacy considerations (Nomis, 2025).</w:t>
      </w:r>
    </w:p>
    <w:p w14:paraId="2406DDFC" w14:textId="6A91FB7B" w:rsidR="00FB27A4" w:rsidRPr="00FB27A4" w:rsidRDefault="00773620" w:rsidP="00773620">
      <w:pPr>
        <w:pStyle w:val="BodyText"/>
        <w:spacing w:line="480" w:lineRule="auto"/>
      </w:pPr>
      <w:r>
        <w:t>Critically, cooperation may reveal some clashing priorities. As an example, clinical partners might be more focused on accuracy and regulatory compliance</w:t>
      </w:r>
      <w:r w:rsidR="001021AF">
        <w:t xml:space="preserve"> but</w:t>
      </w:r>
      <w:r>
        <w:t xml:space="preserve"> marketing teams might be more focused on time-to-market and end user engagement. The way Apple manages these tensions is by conducting design reviews in an iterative manner, stakeholder negotiation and consensus-building workshops, which are all in line with the stakeholder theory of emphasizing the need to balance competing interests (Freeman, 2010).</w:t>
      </w:r>
    </w:p>
    <w:p w14:paraId="367EE33D" w14:textId="7F284ACC" w:rsidR="00FB27A4" w:rsidRPr="00FB27A4" w:rsidRDefault="00693DDA" w:rsidP="00B216E1">
      <w:pPr>
        <w:pStyle w:val="Heading2"/>
        <w:spacing w:line="480" w:lineRule="auto"/>
      </w:pPr>
      <w:bookmarkStart w:id="15" w:name="_Toc216698376"/>
      <w:r>
        <w:rPr>
          <w:lang w:val="en-US"/>
        </w:rPr>
        <w:t xml:space="preserve">6.3 </w:t>
      </w:r>
      <w:r w:rsidR="00FB27A4" w:rsidRPr="00FB27A4">
        <w:t>Coordination</w:t>
      </w:r>
      <w:bookmarkEnd w:id="15"/>
    </w:p>
    <w:p w14:paraId="1259B383" w14:textId="1CF02B9E" w:rsidR="00773620" w:rsidRPr="00773620" w:rsidRDefault="00773620" w:rsidP="00773620">
      <w:pPr>
        <w:spacing w:line="480" w:lineRule="auto"/>
        <w:jc w:val="both"/>
        <w:rPr>
          <w:rFonts w:ascii="Times New Roman" w:hAnsi="Times New Roman" w:cs="Times New Roman"/>
          <w:sz w:val="24"/>
          <w:szCs w:val="24"/>
        </w:rPr>
      </w:pPr>
      <w:r w:rsidRPr="00773620">
        <w:rPr>
          <w:rFonts w:ascii="Times New Roman" w:hAnsi="Times New Roman" w:cs="Times New Roman"/>
          <w:sz w:val="24"/>
          <w:szCs w:val="24"/>
        </w:rPr>
        <w:t>Coordination makes sure that duties, schedules and decision making cycle are coordinated. RACI matrix can streamline responsibilities in product design, testing, market research</w:t>
      </w:r>
      <w:r w:rsidR="001021AF">
        <w:rPr>
          <w:rFonts w:ascii="Times New Roman" w:hAnsi="Times New Roman" w:cs="Times New Roman"/>
          <w:sz w:val="24"/>
          <w:szCs w:val="24"/>
        </w:rPr>
        <w:t xml:space="preserve"> and</w:t>
      </w:r>
      <w:r w:rsidRPr="00773620">
        <w:rPr>
          <w:rFonts w:ascii="Times New Roman" w:hAnsi="Times New Roman" w:cs="Times New Roman"/>
          <w:sz w:val="24"/>
          <w:szCs w:val="24"/>
        </w:rPr>
        <w:t xml:space="preserve"> the launch plan eliminating duplication and allowing rapid decisions to be made (Ashcroft, 2017). A project manager is the primary coordinator who is also a compilation of cross-functional inputs, regulation approvals</w:t>
      </w:r>
      <w:r w:rsidR="001021AF">
        <w:rPr>
          <w:rFonts w:ascii="Times New Roman" w:hAnsi="Times New Roman" w:cs="Times New Roman"/>
          <w:sz w:val="24"/>
          <w:szCs w:val="24"/>
        </w:rPr>
        <w:t xml:space="preserve"> and</w:t>
      </w:r>
      <w:r w:rsidRPr="00773620">
        <w:rPr>
          <w:rFonts w:ascii="Times New Roman" w:hAnsi="Times New Roman" w:cs="Times New Roman"/>
          <w:sz w:val="24"/>
          <w:szCs w:val="24"/>
        </w:rPr>
        <w:t xml:space="preserve"> dependencies.</w:t>
      </w:r>
    </w:p>
    <w:p w14:paraId="0ADE2833" w14:textId="216F5A9D" w:rsidR="00FB27A4" w:rsidRPr="00FB27A4" w:rsidRDefault="00773620" w:rsidP="00773620">
      <w:pPr>
        <w:spacing w:line="480" w:lineRule="auto"/>
        <w:jc w:val="both"/>
        <w:rPr>
          <w:rFonts w:ascii="Times New Roman" w:hAnsi="Times New Roman" w:cs="Times New Roman"/>
          <w:sz w:val="24"/>
          <w:szCs w:val="24"/>
        </w:rPr>
      </w:pPr>
      <w:r w:rsidRPr="00773620">
        <w:rPr>
          <w:rFonts w:ascii="Times New Roman" w:hAnsi="Times New Roman" w:cs="Times New Roman"/>
          <w:sz w:val="24"/>
          <w:szCs w:val="24"/>
        </w:rPr>
        <w:t>The coordination will be essential especially when it comes to health technology projects, as compliance, data security</w:t>
      </w:r>
      <w:r w:rsidR="001021AF">
        <w:rPr>
          <w:rFonts w:ascii="Times New Roman" w:hAnsi="Times New Roman" w:cs="Times New Roman"/>
          <w:sz w:val="24"/>
          <w:szCs w:val="24"/>
        </w:rPr>
        <w:t xml:space="preserve"> and</w:t>
      </w:r>
      <w:r w:rsidRPr="00773620">
        <w:rPr>
          <w:rFonts w:ascii="Times New Roman" w:hAnsi="Times New Roman" w:cs="Times New Roman"/>
          <w:sz w:val="24"/>
          <w:szCs w:val="24"/>
        </w:rPr>
        <w:t xml:space="preserve"> interoperability cannot be negotiated (MHRA, 2014; ICO, 2024). The absence of proper coordination may result in regulatory violations, delays in launching</w:t>
      </w:r>
      <w:r w:rsidR="001021AF">
        <w:rPr>
          <w:rFonts w:ascii="Times New Roman" w:hAnsi="Times New Roman" w:cs="Times New Roman"/>
          <w:sz w:val="24"/>
          <w:szCs w:val="24"/>
        </w:rPr>
        <w:t xml:space="preserve"> or</w:t>
      </w:r>
      <w:r w:rsidRPr="00773620">
        <w:rPr>
          <w:rFonts w:ascii="Times New Roman" w:hAnsi="Times New Roman" w:cs="Times New Roman"/>
          <w:sz w:val="24"/>
          <w:szCs w:val="24"/>
        </w:rPr>
        <w:t xml:space="preserve"> disruptions in the supply chain. Apple resolves these risks by use of milestone-based project management, real-time dashboard</w:t>
      </w:r>
      <w:r w:rsidR="001021AF">
        <w:rPr>
          <w:rFonts w:ascii="Times New Roman" w:hAnsi="Times New Roman" w:cs="Times New Roman"/>
          <w:sz w:val="24"/>
          <w:szCs w:val="24"/>
        </w:rPr>
        <w:t xml:space="preserve"> and</w:t>
      </w:r>
      <w:r w:rsidRPr="00773620">
        <w:rPr>
          <w:rFonts w:ascii="Times New Roman" w:hAnsi="Times New Roman" w:cs="Times New Roman"/>
          <w:sz w:val="24"/>
          <w:szCs w:val="24"/>
        </w:rPr>
        <w:t xml:space="preserve"> contingency planning, evidencing why the company is proactive and structured in engaging stakeholders.</w:t>
      </w:r>
    </w:p>
    <w:p w14:paraId="07B8EB05" w14:textId="1A6A38A6" w:rsidR="00FB27A4" w:rsidRPr="00FB27A4" w:rsidRDefault="00792345" w:rsidP="00B216E1">
      <w:pPr>
        <w:pStyle w:val="Heading2"/>
        <w:spacing w:line="480" w:lineRule="auto"/>
      </w:pPr>
      <w:bookmarkStart w:id="16" w:name="_Toc216698377"/>
      <w:r>
        <w:rPr>
          <w:lang w:val="en-US"/>
        </w:rPr>
        <w:t xml:space="preserve">6.4 </w:t>
      </w:r>
      <w:r w:rsidR="00FB27A4" w:rsidRPr="00FB27A4">
        <w:t>Consideration</w:t>
      </w:r>
      <w:bookmarkEnd w:id="16"/>
    </w:p>
    <w:p w14:paraId="4CB56409" w14:textId="66567F0F" w:rsidR="006F15C6" w:rsidRDefault="006F15C6" w:rsidP="006F15C6">
      <w:pPr>
        <w:pStyle w:val="BodyText"/>
        <w:spacing w:line="480" w:lineRule="auto"/>
      </w:pPr>
      <w:r>
        <w:t>Consideration entails identification and sensitivity to the needs, values</w:t>
      </w:r>
      <w:r w:rsidR="001021AF">
        <w:t xml:space="preserve"> and</w:t>
      </w:r>
      <w:r>
        <w:t xml:space="preserve"> constraints of the stakeholders. As an example, regulatory authorities insist on meticulous documentation, suppliers insist on predictable timetables and consumers insist on privacy, the accuracy of their </w:t>
      </w:r>
      <w:r>
        <w:lastRenderedPageBreak/>
        <w:t>data and usability (ICO, 2024; Virgillito et al., 2025). With feedback loops and participatory consultation processes, Apple expects concerns to be raised, minimize possible conflicts</w:t>
      </w:r>
      <w:r w:rsidR="001021AF">
        <w:t xml:space="preserve"> and</w:t>
      </w:r>
      <w:r>
        <w:t xml:space="preserve"> increase trust and legitimacy.</w:t>
      </w:r>
    </w:p>
    <w:p w14:paraId="5B8AF896" w14:textId="7374B2E1" w:rsidR="00FB27A4" w:rsidRPr="00FB27A4" w:rsidRDefault="006F15C6" w:rsidP="006F15C6">
      <w:pPr>
        <w:pStyle w:val="BodyText"/>
        <w:spacing w:line="480" w:lineRule="auto"/>
      </w:pPr>
      <w:r>
        <w:t>More importantly, stakeholder consideration is directly correlated with the principles of sustainable engagement that focuses on the ethical, inclusive</w:t>
      </w:r>
      <w:r w:rsidR="001021AF">
        <w:t xml:space="preserve"> and</w:t>
      </w:r>
      <w:r>
        <w:t xml:space="preserve"> long-term relationship management. The inability to take into account stakeholder views would lead to reputational losses, regulatory penalties</w:t>
      </w:r>
      <w:r w:rsidR="001021AF">
        <w:t xml:space="preserve"> or</w:t>
      </w:r>
      <w:r>
        <w:t xml:space="preserve"> ineffective adoption results</w:t>
      </w:r>
      <w:r w:rsidR="001021AF">
        <w:t xml:space="preserve"> and</w:t>
      </w:r>
      <w:r>
        <w:t xml:space="preserve"> this aspect of the 4C dimension is practical (Valentinov &amp; Chia, 2022).</w:t>
      </w:r>
    </w:p>
    <w:p w14:paraId="7D6F716C" w14:textId="6B3ACDFB" w:rsidR="00FB27A4" w:rsidRPr="00FB27A4" w:rsidRDefault="00EE6A73" w:rsidP="00B216E1">
      <w:pPr>
        <w:pStyle w:val="Heading2"/>
        <w:spacing w:line="480" w:lineRule="auto"/>
      </w:pPr>
      <w:bookmarkStart w:id="17" w:name="_Toc216698378"/>
      <w:r>
        <w:rPr>
          <w:lang w:val="en-US"/>
        </w:rPr>
        <w:t xml:space="preserve">6.5 </w:t>
      </w:r>
      <w:r w:rsidR="00FB27A4" w:rsidRPr="00FB27A4">
        <w:t>Evaluation</w:t>
      </w:r>
      <w:bookmarkEnd w:id="17"/>
    </w:p>
    <w:p w14:paraId="2F21ABC2" w14:textId="6B995936" w:rsidR="006F15C6" w:rsidRPr="006F15C6" w:rsidRDefault="006F15C6" w:rsidP="006F15C6">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The use of the 4Cs model shows practical advantages. Communication and cooperation will improve the quality and innovation of products, coordination will make sure that the working process is effective</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consideration will make the stakeholders trust it and comply with the regulation. The synergy effect is produced by these processes, whereby the better the internal alignment, the faster the problem-solving</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the external engagement leads to adoption and credibility.</w:t>
      </w:r>
    </w:p>
    <w:p w14:paraId="7F587A29" w14:textId="2A4A9DD5" w:rsidR="00953CE2" w:rsidRPr="00FB27A4" w:rsidRDefault="006F15C6" w:rsidP="006F15C6">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However, challenges persist. A balance between conflicting interests, control of information overload</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coordination of various stakeholder expectations involve complex leadership, negotiation and conflict management skills. The systematic process of applying stakeholder theory and the use of the 4Cs operational model can help Apple to overcome such complexities and maintain a competitive edge in the UK wearable health technology market.</w:t>
      </w:r>
    </w:p>
    <w:p w14:paraId="00537082" w14:textId="227B35C9" w:rsidR="00953CE2" w:rsidRPr="00953CE2" w:rsidRDefault="00953CE2" w:rsidP="006D4C9C">
      <w:pPr>
        <w:pStyle w:val="Heading1"/>
      </w:pPr>
      <w:bookmarkStart w:id="18" w:name="_Toc216698379"/>
      <w:r w:rsidRPr="00953CE2">
        <w:t xml:space="preserve">7. </w:t>
      </w:r>
      <w:r w:rsidR="0020716E" w:rsidRPr="0020716E">
        <w:t>Evaluation of the Impact of Stakeholder Collaboration on Business Performance and Recommendations</w:t>
      </w:r>
      <w:bookmarkEnd w:id="18"/>
    </w:p>
    <w:p w14:paraId="37D5EF44" w14:textId="6FC4A1D7" w:rsidR="00B053A8" w:rsidRPr="00B053A8" w:rsidRDefault="006F15C6" w:rsidP="00B216E1">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 xml:space="preserve">Stakeholder collaboration is a critical factor in determining organisational performance, especially in a multifaceted health technology project like the launch of Apple Watch Series </w:t>
      </w:r>
      <w:r w:rsidRPr="006F15C6">
        <w:rPr>
          <w:rFonts w:ascii="Times New Roman" w:hAnsi="Times New Roman" w:cs="Times New Roman"/>
          <w:sz w:val="24"/>
          <w:szCs w:val="24"/>
        </w:rPr>
        <w:lastRenderedPageBreak/>
        <w:t>11 in the UK. The stakeholder theory emphasises that a sustainable business success is based on the ability to identify and incorporate the interests, expectations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capabilities of internal and external stakeholders (Freeman, 2010; Valentinov and Chia, 2022). Through effective</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systematic coordination of functional units, regulatory organizations, suppliers, healthcare collaborators and end-users, Apple improves innovation, operational effectiveness, regulatory adherence</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acceptance in the marketplace, which generates real business value.</w:t>
      </w:r>
    </w:p>
    <w:p w14:paraId="2548D288" w14:textId="2F9A1F48" w:rsidR="00B053A8" w:rsidRPr="00B053A8" w:rsidRDefault="002C53F6" w:rsidP="00B216E1">
      <w:pPr>
        <w:pStyle w:val="Heading2"/>
        <w:spacing w:line="480" w:lineRule="auto"/>
        <w:jc w:val="both"/>
      </w:pPr>
      <w:bookmarkStart w:id="19" w:name="_Toc216698380"/>
      <w:r>
        <w:rPr>
          <w:lang w:val="en-US"/>
        </w:rPr>
        <w:t xml:space="preserve">7.1 </w:t>
      </w:r>
      <w:r w:rsidR="00B053A8" w:rsidRPr="00B053A8">
        <w:t>Impact on Product Quality and Innovation</w:t>
      </w:r>
      <w:bookmarkEnd w:id="19"/>
    </w:p>
    <w:p w14:paraId="75C1622D" w14:textId="0B6AF6AA" w:rsidR="00B053A8" w:rsidRPr="00B053A8" w:rsidRDefault="006F15C6" w:rsidP="00B216E1">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Cross-functional teams such as engineering, design, clinical advisors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data scientists work together to increase the product innovation and quality. The feedback of healthcare professionals and NHS digital partners will be used to guarantee the effectiveness of heart rate, HRV, blood oxygen</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sleep monitoring features in addressing the standards of clinical accuracy and usability (Choe and Kang, 2025; Triantafyllidis et al., 2024). Joint problem-solving workshops and iterative prototyping minimize the design errors and improve the predictive analytics functionality and speed up the validation process (Khan et al., 2025; Virgillito et al., 2025). Therefore, this partnership enhances consumer faith, coordinates the product with clinical requirements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increases the competitiveness of Apple in the UK wearable health technology market.</w:t>
      </w:r>
    </w:p>
    <w:p w14:paraId="16E05016" w14:textId="3CE49615" w:rsidR="00B053A8" w:rsidRPr="00B053A8" w:rsidRDefault="002C53F6" w:rsidP="00B216E1">
      <w:pPr>
        <w:pStyle w:val="Heading2"/>
        <w:spacing w:line="480" w:lineRule="auto"/>
        <w:jc w:val="both"/>
      </w:pPr>
      <w:bookmarkStart w:id="20" w:name="_Toc216698381"/>
      <w:r>
        <w:rPr>
          <w:lang w:val="en-US"/>
        </w:rPr>
        <w:t xml:space="preserve">7.2 </w:t>
      </w:r>
      <w:r w:rsidR="00B053A8" w:rsidRPr="00B053A8">
        <w:t>Impact on Regulatory Compliance and Risk Mitigation</w:t>
      </w:r>
      <w:bookmarkEnd w:id="20"/>
    </w:p>
    <w:p w14:paraId="366D19A9" w14:textId="30C2CF04" w:rsidR="00B053A8" w:rsidRPr="00B053A8" w:rsidRDefault="006F15C6" w:rsidP="00B216E1">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 xml:space="preserve">The cooperation with regulatory bodies like MHRA and ICO is a guarantee of adherence to the medical device regulation and UK GDPR (MHRA, 2014; ICO, 2024). Early interaction with regulators minimizes the delay in the approval and the threat of administrative penalties based on non-conformity. The structured recording and common data platforms will not only create transparency and help to simplify audit processes but also make Apple a responsible and credible developer of health technology. This business continuity as well as long term </w:t>
      </w:r>
      <w:r w:rsidRPr="006F15C6">
        <w:rPr>
          <w:rFonts w:ascii="Times New Roman" w:hAnsi="Times New Roman" w:cs="Times New Roman"/>
          <w:sz w:val="24"/>
          <w:szCs w:val="24"/>
        </w:rPr>
        <w:lastRenderedPageBreak/>
        <w:t>reputation management is directly facilitated by this strategic alignment of regulatory collaboration.</w:t>
      </w:r>
    </w:p>
    <w:p w14:paraId="127E2EAE" w14:textId="3A87F354" w:rsidR="00B053A8" w:rsidRPr="00B053A8" w:rsidRDefault="002C53F6" w:rsidP="00B216E1">
      <w:pPr>
        <w:pStyle w:val="Heading2"/>
        <w:spacing w:line="480" w:lineRule="auto"/>
        <w:jc w:val="both"/>
      </w:pPr>
      <w:bookmarkStart w:id="21" w:name="_Toc216698382"/>
      <w:r>
        <w:rPr>
          <w:lang w:val="en-US"/>
        </w:rPr>
        <w:t xml:space="preserve">7.3 </w:t>
      </w:r>
      <w:r w:rsidR="00B053A8" w:rsidRPr="00B053A8">
        <w:t>Impact on Market Adoption and Consumer Engagement</w:t>
      </w:r>
      <w:bookmarkEnd w:id="21"/>
    </w:p>
    <w:p w14:paraId="0DD18B3A" w14:textId="71FBF4DD" w:rsidR="00B053A8" w:rsidRPr="00B053A8" w:rsidRDefault="006F15C6" w:rsidP="00B216E1">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The partnership with external stakeholders such as consumers, advocacy groups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marketing partners can help Apple customize the product messaging, increase the level of accessibility</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resolve issues in privacy (Adeghe et al., 2024; Statista, 2024). These co-creation activities, beta testing programs and feedback loop create actionable insights into what the users want, which enhances adoption rates and consumer satisfaction. Apple maximises revenue creation and brand loyalty by incorporating the stakeholder views in the marketing and product design approach, using social proof, trust</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usability to achieve this.</w:t>
      </w:r>
    </w:p>
    <w:p w14:paraId="3AD6E485" w14:textId="1034DCDE" w:rsidR="00B053A8" w:rsidRPr="00B053A8" w:rsidRDefault="002C53F6" w:rsidP="00B216E1">
      <w:pPr>
        <w:pStyle w:val="Heading2"/>
        <w:spacing w:line="480" w:lineRule="auto"/>
        <w:jc w:val="both"/>
      </w:pPr>
      <w:bookmarkStart w:id="22" w:name="_Toc216698383"/>
      <w:r>
        <w:rPr>
          <w:lang w:val="en-US"/>
        </w:rPr>
        <w:t xml:space="preserve">7.4 </w:t>
      </w:r>
      <w:r w:rsidR="00B053A8" w:rsidRPr="00B053A8">
        <w:t>Operational and Supply Chain Efficiency</w:t>
      </w:r>
      <w:bookmarkEnd w:id="22"/>
    </w:p>
    <w:p w14:paraId="6109A1D9" w14:textId="166F7F96" w:rsidR="00B053A8" w:rsidRPr="00B053A8" w:rsidRDefault="006F15C6" w:rsidP="00B216E1">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Communication to the suppliers and logistics providers enhances the performance of operations and ensures that things are delivered at the right time, alleviates production bottlenecks and optimises resource allocation (Prestinoni, 2025). Good supply chain cooperation saves money, eliminates launch delays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increases the responsiveness to unanticipated disruptions. At the internal level, workflows are coordinated and shared responsibility with the help of the RACI matrix minimizes redundancy, establishes roles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makes the overall project process more efficient (Ashcroft, 2017).</w:t>
      </w:r>
    </w:p>
    <w:p w14:paraId="4992F260" w14:textId="0E1126FC" w:rsidR="00B053A8" w:rsidRPr="00B053A8" w:rsidRDefault="002C53F6" w:rsidP="00B216E1">
      <w:pPr>
        <w:pStyle w:val="Heading2"/>
        <w:spacing w:line="480" w:lineRule="auto"/>
      </w:pPr>
      <w:bookmarkStart w:id="23" w:name="_Toc216698384"/>
      <w:r>
        <w:rPr>
          <w:lang w:val="en-US"/>
        </w:rPr>
        <w:t xml:space="preserve">7.5 </w:t>
      </w:r>
      <w:r w:rsidR="00B053A8" w:rsidRPr="00B053A8">
        <w:t>Recommendations for Enhancing Stakeholder Collaboration</w:t>
      </w:r>
      <w:bookmarkEnd w:id="23"/>
    </w:p>
    <w:p w14:paraId="2E86D46A" w14:textId="77777777" w:rsidR="002C53F6" w:rsidRDefault="00B053A8" w:rsidP="00B216E1">
      <w:pPr>
        <w:pStyle w:val="ListParagraph"/>
        <w:numPr>
          <w:ilvl w:val="0"/>
          <w:numId w:val="24"/>
        </w:numPr>
        <w:spacing w:line="480" w:lineRule="auto"/>
        <w:jc w:val="both"/>
        <w:rPr>
          <w:rFonts w:ascii="Times New Roman" w:hAnsi="Times New Roman" w:cs="Times New Roman"/>
          <w:sz w:val="24"/>
          <w:szCs w:val="24"/>
        </w:rPr>
      </w:pPr>
      <w:r w:rsidRPr="002C53F6">
        <w:rPr>
          <w:rFonts w:ascii="Times New Roman" w:hAnsi="Times New Roman" w:cs="Times New Roman"/>
          <w:b/>
          <w:bCs/>
          <w:sz w:val="24"/>
          <w:szCs w:val="24"/>
        </w:rPr>
        <w:t>Institutionalise Continuous Feedback Mechanisms:</w:t>
      </w:r>
    </w:p>
    <w:p w14:paraId="25691FF9" w14:textId="042E0C72" w:rsidR="00B053A8" w:rsidRDefault="006F15C6" w:rsidP="00B216E1">
      <w:pPr>
        <w:pStyle w:val="ListParagraph"/>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The formalisation of regular stakeholder surveys, clinical advisory panels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consumer beta-testing programs should be established to reflect their changing expectations, risks to anticipate and improvements to make through the iterations.</w:t>
      </w:r>
    </w:p>
    <w:p w14:paraId="75A02EB4" w14:textId="77777777" w:rsidR="00B52D1F" w:rsidRPr="002C53F6" w:rsidRDefault="00B52D1F" w:rsidP="00B216E1">
      <w:pPr>
        <w:pStyle w:val="ListParagraph"/>
        <w:spacing w:line="480" w:lineRule="auto"/>
        <w:jc w:val="both"/>
        <w:rPr>
          <w:rFonts w:ascii="Times New Roman" w:hAnsi="Times New Roman" w:cs="Times New Roman"/>
          <w:sz w:val="24"/>
          <w:szCs w:val="24"/>
        </w:rPr>
      </w:pPr>
    </w:p>
    <w:p w14:paraId="710572DA" w14:textId="77777777" w:rsidR="002C53F6" w:rsidRDefault="00B053A8" w:rsidP="00B216E1">
      <w:pPr>
        <w:pStyle w:val="ListParagraph"/>
        <w:numPr>
          <w:ilvl w:val="0"/>
          <w:numId w:val="24"/>
        </w:numPr>
        <w:spacing w:line="480" w:lineRule="auto"/>
        <w:jc w:val="both"/>
        <w:rPr>
          <w:rFonts w:ascii="Times New Roman" w:hAnsi="Times New Roman" w:cs="Times New Roman"/>
          <w:sz w:val="24"/>
          <w:szCs w:val="24"/>
        </w:rPr>
      </w:pPr>
      <w:r w:rsidRPr="002C53F6">
        <w:rPr>
          <w:rFonts w:ascii="Times New Roman" w:hAnsi="Times New Roman" w:cs="Times New Roman"/>
          <w:b/>
          <w:bCs/>
          <w:sz w:val="24"/>
          <w:szCs w:val="24"/>
        </w:rPr>
        <w:lastRenderedPageBreak/>
        <w:t>Enhance Digital Collaboration Platforms:</w:t>
      </w:r>
    </w:p>
    <w:p w14:paraId="4CFC57CB" w14:textId="23BE21D8" w:rsidR="00B053A8" w:rsidRPr="002C53F6" w:rsidRDefault="006F15C6" w:rsidP="00B216E1">
      <w:pPr>
        <w:pStyle w:val="ListParagraph"/>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Real-time information sharing between internal teams, suppliers and regulators can be facilitated through secure cloud-based project management systems that will enhance the speed of decision making and minimise miscommunication.</w:t>
      </w:r>
    </w:p>
    <w:p w14:paraId="551AD267" w14:textId="77777777" w:rsidR="002C53F6" w:rsidRDefault="00B053A8" w:rsidP="00B216E1">
      <w:pPr>
        <w:pStyle w:val="ListParagraph"/>
        <w:numPr>
          <w:ilvl w:val="0"/>
          <w:numId w:val="24"/>
        </w:numPr>
        <w:spacing w:line="480" w:lineRule="auto"/>
        <w:jc w:val="both"/>
        <w:rPr>
          <w:rFonts w:ascii="Times New Roman" w:hAnsi="Times New Roman" w:cs="Times New Roman"/>
          <w:sz w:val="24"/>
          <w:szCs w:val="24"/>
        </w:rPr>
      </w:pPr>
      <w:r w:rsidRPr="002C53F6">
        <w:rPr>
          <w:rFonts w:ascii="Times New Roman" w:hAnsi="Times New Roman" w:cs="Times New Roman"/>
          <w:b/>
          <w:bCs/>
          <w:sz w:val="24"/>
          <w:szCs w:val="24"/>
        </w:rPr>
        <w:t>Embed Stakeholder Education Programs:</w:t>
      </w:r>
    </w:p>
    <w:p w14:paraId="07C0D367" w14:textId="7252D953" w:rsidR="00B053A8" w:rsidRPr="002C53F6" w:rsidRDefault="006F15C6" w:rsidP="00B216E1">
      <w:pPr>
        <w:pStyle w:val="ListParagraph"/>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Internal team and external partner training and awareness workshops, especially regarding the GDPR compliance, use of devices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clinical guidelines, can contribute to improving the effectiveness of collaboration and minimizing the risks of operations.</w:t>
      </w:r>
    </w:p>
    <w:p w14:paraId="0992BCFE" w14:textId="77777777" w:rsidR="002C53F6" w:rsidRDefault="00B053A8" w:rsidP="00B216E1">
      <w:pPr>
        <w:pStyle w:val="ListParagraph"/>
        <w:numPr>
          <w:ilvl w:val="0"/>
          <w:numId w:val="24"/>
        </w:numPr>
        <w:spacing w:line="480" w:lineRule="auto"/>
        <w:jc w:val="both"/>
        <w:rPr>
          <w:rFonts w:ascii="Times New Roman" w:hAnsi="Times New Roman" w:cs="Times New Roman"/>
          <w:sz w:val="24"/>
          <w:szCs w:val="24"/>
        </w:rPr>
      </w:pPr>
      <w:r w:rsidRPr="002C53F6">
        <w:rPr>
          <w:rFonts w:ascii="Times New Roman" w:hAnsi="Times New Roman" w:cs="Times New Roman"/>
          <w:b/>
          <w:bCs/>
          <w:sz w:val="24"/>
          <w:szCs w:val="24"/>
        </w:rPr>
        <w:t>Develop Strategic Partnerships:</w:t>
      </w:r>
    </w:p>
    <w:p w14:paraId="0B7AC2EE" w14:textId="0EC93F58" w:rsidR="00B053A8" w:rsidRPr="002C53F6" w:rsidRDefault="006F15C6" w:rsidP="00B216E1">
      <w:pPr>
        <w:pStyle w:val="ListParagraph"/>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Enhancing partnerships with NHS digital health units and healthcare research institutions will help in clinical validation, pilot programs</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post-market evidence creation, which will further improve credibility and adoption.</w:t>
      </w:r>
    </w:p>
    <w:p w14:paraId="49DA3D38" w14:textId="77777777" w:rsidR="002C53F6" w:rsidRDefault="00B053A8" w:rsidP="00B216E1">
      <w:pPr>
        <w:pStyle w:val="ListParagraph"/>
        <w:numPr>
          <w:ilvl w:val="0"/>
          <w:numId w:val="24"/>
        </w:numPr>
        <w:spacing w:line="480" w:lineRule="auto"/>
        <w:jc w:val="both"/>
        <w:rPr>
          <w:rFonts w:ascii="Times New Roman" w:hAnsi="Times New Roman" w:cs="Times New Roman"/>
          <w:sz w:val="24"/>
          <w:szCs w:val="24"/>
        </w:rPr>
      </w:pPr>
      <w:r w:rsidRPr="002C53F6">
        <w:rPr>
          <w:rFonts w:ascii="Times New Roman" w:hAnsi="Times New Roman" w:cs="Times New Roman"/>
          <w:b/>
          <w:bCs/>
          <w:sz w:val="24"/>
          <w:szCs w:val="24"/>
        </w:rPr>
        <w:t>Integrate 4Cs into Performance Metrics:</w:t>
      </w:r>
    </w:p>
    <w:p w14:paraId="7F94D3E3" w14:textId="7A97A246" w:rsidR="00B053A8" w:rsidRPr="002C53F6" w:rsidRDefault="006F15C6" w:rsidP="00B216E1">
      <w:pPr>
        <w:pStyle w:val="ListParagraph"/>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Incorporating Communication, Collaboration, Coordination</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Consideration into the project KPIs will mean that stakeholder engagement effectiveness will be monitored systematically and corrective action taken proactively.</w:t>
      </w:r>
    </w:p>
    <w:p w14:paraId="0B91AAD9" w14:textId="28F187DF" w:rsidR="00B053A8" w:rsidRPr="00B053A8" w:rsidRDefault="00D83011" w:rsidP="00B216E1">
      <w:pPr>
        <w:pStyle w:val="Heading2"/>
        <w:spacing w:line="480" w:lineRule="auto"/>
      </w:pPr>
      <w:bookmarkStart w:id="24" w:name="_Toc216698385"/>
      <w:r>
        <w:rPr>
          <w:lang w:val="en-US"/>
        </w:rPr>
        <w:t xml:space="preserve">7.6 </w:t>
      </w:r>
      <w:r w:rsidR="00B053A8" w:rsidRPr="00B053A8">
        <w:t>Critical Evaluation</w:t>
      </w:r>
      <w:bookmarkEnd w:id="24"/>
    </w:p>
    <w:p w14:paraId="433B5602" w14:textId="56B88C33" w:rsidR="00953CE2" w:rsidRPr="00953CE2" w:rsidRDefault="006F15C6" w:rsidP="00B216E1">
      <w:pPr>
        <w:spacing w:line="480" w:lineRule="auto"/>
        <w:jc w:val="both"/>
        <w:rPr>
          <w:rFonts w:ascii="Times New Roman" w:hAnsi="Times New Roman" w:cs="Times New Roman"/>
          <w:sz w:val="24"/>
          <w:szCs w:val="24"/>
        </w:rPr>
      </w:pPr>
      <w:r w:rsidRPr="006F15C6">
        <w:rPr>
          <w:rFonts w:ascii="Times New Roman" w:hAnsi="Times New Roman" w:cs="Times New Roman"/>
          <w:sz w:val="24"/>
          <w:szCs w:val="24"/>
        </w:rPr>
        <w:t>Although the collaboration between stakeholders can produce considerable returns in the areas of innovation, compliance, consumer engagement</w:t>
      </w:r>
      <w:r w:rsidR="001021AF">
        <w:rPr>
          <w:rFonts w:ascii="Times New Roman" w:hAnsi="Times New Roman" w:cs="Times New Roman"/>
          <w:sz w:val="24"/>
          <w:szCs w:val="24"/>
        </w:rPr>
        <w:t xml:space="preserve"> and</w:t>
      </w:r>
      <w:r w:rsidRPr="006F15C6">
        <w:rPr>
          <w:rFonts w:ascii="Times New Roman" w:hAnsi="Times New Roman" w:cs="Times New Roman"/>
          <w:sz w:val="24"/>
          <w:szCs w:val="24"/>
        </w:rPr>
        <w:t xml:space="preserve"> operational efficiency, there are still some challenges. Ineffective collaboration may be constrained by conflicting priorities, shortage of resources and overload of communication unless proactively addressed. Apple is able to counter these challenges by balancing competing interests by aligning the 4Cs framework with principles of the stakeholder theory, institutionalising the mechanisms of structured engagement. The strategy does not only sustain short-term success in launching</w:t>
      </w:r>
      <w:r w:rsidR="001021AF">
        <w:rPr>
          <w:rFonts w:ascii="Times New Roman" w:hAnsi="Times New Roman" w:cs="Times New Roman"/>
          <w:sz w:val="24"/>
          <w:szCs w:val="24"/>
        </w:rPr>
        <w:t xml:space="preserve"> but</w:t>
      </w:r>
      <w:r w:rsidRPr="006F15C6">
        <w:rPr>
          <w:rFonts w:ascii="Times New Roman" w:hAnsi="Times New Roman" w:cs="Times New Roman"/>
          <w:sz w:val="24"/>
          <w:szCs w:val="24"/>
        </w:rPr>
        <w:t xml:space="preserve"> also increases long-term organisational strength and strategic flexibility.</w:t>
      </w:r>
    </w:p>
    <w:p w14:paraId="3D8A4906" w14:textId="65D93B6F" w:rsidR="00953CE2" w:rsidRPr="00953CE2" w:rsidRDefault="00A97E22" w:rsidP="006D4C9C">
      <w:pPr>
        <w:pStyle w:val="Heading1"/>
      </w:pPr>
      <w:bookmarkStart w:id="25" w:name="_Toc216698386"/>
      <w:r>
        <w:rPr>
          <w:lang w:val="en-US"/>
        </w:rPr>
        <w:lastRenderedPageBreak/>
        <w:t xml:space="preserve">8. </w:t>
      </w:r>
      <w:r w:rsidR="00953CE2" w:rsidRPr="00953CE2">
        <w:t>Conclusion</w:t>
      </w:r>
      <w:bookmarkEnd w:id="25"/>
    </w:p>
    <w:p w14:paraId="4C8BFF31" w14:textId="0E9DF418" w:rsidR="00331715" w:rsidRDefault="006F15C6" w:rsidP="00B216E1">
      <w:pPr>
        <w:pStyle w:val="BodyText"/>
        <w:spacing w:line="480" w:lineRule="auto"/>
      </w:pPr>
      <w:r w:rsidRPr="006F15C6">
        <w:t>The stakeholder engagement is the key to the successful introduction of the Apple Watch Series 11 in the UK supported by both the stakeholder theory and the 4Cs paradigm of Communication, Collaboration, Coordination</w:t>
      </w:r>
      <w:r w:rsidR="001021AF">
        <w:t xml:space="preserve"> and</w:t>
      </w:r>
      <w:r w:rsidRPr="006F15C6">
        <w:t xml:space="preserve"> Consideration. This report has shown that the combined efforts of internal teams, such as product development, design, QA</w:t>
      </w:r>
      <w:r w:rsidR="001021AF">
        <w:t xml:space="preserve"> and</w:t>
      </w:r>
      <w:r w:rsidRPr="006F15C6">
        <w:t xml:space="preserve"> marketing</w:t>
      </w:r>
      <w:r w:rsidR="001021AF">
        <w:t xml:space="preserve"> and</w:t>
      </w:r>
      <w:r w:rsidRPr="006F15C6">
        <w:t xml:space="preserve"> external stakeholders, including regulatory bodies, NHS partners, suppliers</w:t>
      </w:r>
      <w:r w:rsidR="001021AF">
        <w:t xml:space="preserve"> and</w:t>
      </w:r>
      <w:r w:rsidRPr="006F15C6">
        <w:t xml:space="preserve"> consumers, contribute to making Apple innovative, regulatory compliant, efficient in its operations and able to adopt the market. Formal engagement systems, such as stakeholder mapping, RACI matrices</w:t>
      </w:r>
      <w:r w:rsidR="001021AF">
        <w:t xml:space="preserve"> and</w:t>
      </w:r>
      <w:r w:rsidRPr="006F15C6">
        <w:t xml:space="preserve"> feedback loops, help create expectation alignment and reduce conflicts and optimise decisions. More importantly, teamwork promotes the improvement of product quality, trust</w:t>
      </w:r>
      <w:r w:rsidR="001021AF">
        <w:t xml:space="preserve"> and</w:t>
      </w:r>
      <w:r w:rsidRPr="006F15C6">
        <w:t xml:space="preserve"> competitive edge, whereas long-term organisational resilience is enabled by the strategic factoring of stakeholder needs. In the future, formalising these engagement activities and implementing stakeholder feedback into ongoing development will make it possible to create sustainable value to both Apple and the broader ecosystem.</w:t>
      </w:r>
    </w:p>
    <w:p w14:paraId="64921F66" w14:textId="54CB7481" w:rsidR="00897B3A" w:rsidRDefault="00897B3A" w:rsidP="00B216E1">
      <w:pPr>
        <w:pStyle w:val="BodyText"/>
        <w:spacing w:line="480" w:lineRule="auto"/>
      </w:pPr>
    </w:p>
    <w:p w14:paraId="1C415AA6" w14:textId="6405AE9B" w:rsidR="00897B3A" w:rsidRDefault="00897B3A" w:rsidP="00B216E1">
      <w:pPr>
        <w:pStyle w:val="BodyText"/>
        <w:spacing w:line="480" w:lineRule="auto"/>
      </w:pPr>
    </w:p>
    <w:p w14:paraId="49086CC4" w14:textId="200ED937" w:rsidR="00897B3A" w:rsidRDefault="00897B3A" w:rsidP="00B216E1">
      <w:pPr>
        <w:pStyle w:val="BodyText"/>
        <w:spacing w:line="480" w:lineRule="auto"/>
      </w:pPr>
    </w:p>
    <w:p w14:paraId="74AFC5B4" w14:textId="16408979" w:rsidR="00B747C1" w:rsidRDefault="00B747C1" w:rsidP="00B216E1">
      <w:pPr>
        <w:pStyle w:val="BodyText"/>
        <w:spacing w:line="480" w:lineRule="auto"/>
      </w:pPr>
    </w:p>
    <w:p w14:paraId="44E69CD5" w14:textId="5E1B61DB" w:rsidR="00B747C1" w:rsidRDefault="00B747C1" w:rsidP="00B216E1">
      <w:pPr>
        <w:pStyle w:val="BodyText"/>
        <w:spacing w:line="480" w:lineRule="auto"/>
      </w:pPr>
    </w:p>
    <w:p w14:paraId="5B85FD87" w14:textId="77777777" w:rsidR="00B747C1" w:rsidRDefault="00B747C1" w:rsidP="00B216E1">
      <w:pPr>
        <w:pStyle w:val="BodyText"/>
        <w:spacing w:line="480" w:lineRule="auto"/>
      </w:pPr>
    </w:p>
    <w:p w14:paraId="1926484D" w14:textId="77777777" w:rsidR="00897B3A" w:rsidRDefault="00897B3A" w:rsidP="00B216E1">
      <w:pPr>
        <w:pStyle w:val="BodyText"/>
        <w:spacing w:line="480" w:lineRule="auto"/>
      </w:pPr>
    </w:p>
    <w:p w14:paraId="24D30191" w14:textId="33632531" w:rsidR="00331715" w:rsidRDefault="00331715" w:rsidP="006D4C9C">
      <w:pPr>
        <w:pStyle w:val="Heading1"/>
        <w:rPr>
          <w:lang w:val="en-US"/>
        </w:rPr>
      </w:pPr>
      <w:bookmarkStart w:id="26" w:name="_Toc216698387"/>
      <w:r>
        <w:rPr>
          <w:lang w:val="en-US"/>
        </w:rPr>
        <w:lastRenderedPageBreak/>
        <w:t>References</w:t>
      </w:r>
      <w:bookmarkEnd w:id="26"/>
    </w:p>
    <w:p w14:paraId="4B4436A5" w14:textId="6D136332" w:rsidR="000B2E7A" w:rsidRDefault="00526AF8" w:rsidP="000B2E7A">
      <w:pPr>
        <w:pStyle w:val="NormalWeb"/>
        <w:spacing w:before="0" w:beforeAutospacing="0" w:after="240" w:afterAutospacing="0" w:line="480" w:lineRule="auto"/>
      </w:pPr>
      <w:r>
        <w:t xml:space="preserve">Adeghe, E.P., Okolo, C.A. and Ojeyinka, O.T. (2024). A review of wearable technology in healthcare: Monitoring patient health and enhancing outcomes. </w:t>
      </w:r>
      <w:r>
        <w:rPr>
          <w:i/>
          <w:iCs/>
        </w:rPr>
        <w:t>Open Access Research Journal of Multidisciplinary Studies</w:t>
      </w:r>
      <w:r>
        <w:t>, [online] 7(1), pp.142–148. doi:</w:t>
      </w:r>
      <w:r>
        <w:rPr>
          <w:lang w:val="en-US"/>
        </w:rPr>
        <w:t xml:space="preserve"> </w:t>
      </w:r>
      <w:hyperlink r:id="rId12" w:history="1">
        <w:r w:rsidR="000B2E7A" w:rsidRPr="00250522">
          <w:rPr>
            <w:rStyle w:val="Hyperlink"/>
          </w:rPr>
          <w:t>https://doi.org/10.53022/oarjms.2024.7.1.0019</w:t>
        </w:r>
      </w:hyperlink>
      <w:r>
        <w:t>.</w:t>
      </w:r>
    </w:p>
    <w:p w14:paraId="4A828C12" w14:textId="4ED4CFE1" w:rsidR="000B2E7A" w:rsidRDefault="00526AF8" w:rsidP="000B2E7A">
      <w:pPr>
        <w:pStyle w:val="NormalWeb"/>
        <w:spacing w:before="0" w:beforeAutospacing="0" w:after="240" w:afterAutospacing="0" w:line="480" w:lineRule="auto"/>
      </w:pPr>
      <w:r>
        <w:t xml:space="preserve">Adil, M., Isha Atiq and Younus, S. (2024). Effectiveness of the Apple Watch as a mental health tracker. </w:t>
      </w:r>
      <w:r>
        <w:rPr>
          <w:i/>
          <w:iCs/>
        </w:rPr>
        <w:t>Journal of Global Health</w:t>
      </w:r>
      <w:r>
        <w:t>, 14. doi:</w:t>
      </w:r>
      <w:r>
        <w:rPr>
          <w:lang w:val="en-US"/>
        </w:rPr>
        <w:t xml:space="preserve"> </w:t>
      </w:r>
      <w:hyperlink r:id="rId13" w:history="1">
        <w:r w:rsidR="000B2E7A" w:rsidRPr="00250522">
          <w:rPr>
            <w:rStyle w:val="Hyperlink"/>
          </w:rPr>
          <w:t>https://doi.org/10.7189/jogh.14.03010</w:t>
        </w:r>
      </w:hyperlink>
      <w:r>
        <w:t>.</w:t>
      </w:r>
    </w:p>
    <w:p w14:paraId="589CA681" w14:textId="5E39440F" w:rsidR="000B2E7A" w:rsidRDefault="00526AF8" w:rsidP="000B2E7A">
      <w:pPr>
        <w:pStyle w:val="NormalWeb"/>
        <w:spacing w:before="0" w:beforeAutospacing="0" w:after="240" w:afterAutospacing="0" w:line="480" w:lineRule="auto"/>
      </w:pPr>
      <w:r>
        <w:t xml:space="preserve">Alzghaibi, H. (2025). Nurses’ perspectives on AI-Enabled wearable health technologies: opportunities and challenges in clinical practice. </w:t>
      </w:r>
      <w:r>
        <w:rPr>
          <w:i/>
          <w:iCs/>
        </w:rPr>
        <w:t>BMC Nursing</w:t>
      </w:r>
      <w:r>
        <w:t>, 24(1). doi:</w:t>
      </w:r>
      <w:r>
        <w:rPr>
          <w:lang w:val="en-US"/>
        </w:rPr>
        <w:t xml:space="preserve"> </w:t>
      </w:r>
      <w:hyperlink r:id="rId14" w:history="1">
        <w:r w:rsidR="000B2E7A" w:rsidRPr="00250522">
          <w:rPr>
            <w:rStyle w:val="Hyperlink"/>
          </w:rPr>
          <w:t>https://doi.org/10.1186/s12912-025-03343-y</w:t>
        </w:r>
      </w:hyperlink>
      <w:r>
        <w:t>.</w:t>
      </w:r>
    </w:p>
    <w:p w14:paraId="2BDEBCC5" w14:textId="4E00FBED" w:rsidR="000B2E7A" w:rsidRPr="00C66619" w:rsidRDefault="00526AF8" w:rsidP="000B2E7A">
      <w:pPr>
        <w:pStyle w:val="NormalWeb"/>
        <w:spacing w:before="0" w:beforeAutospacing="0" w:after="240" w:afterAutospacing="0" w:line="480" w:lineRule="auto"/>
        <w:rPr>
          <w:lang w:val="en-US"/>
        </w:rPr>
      </w:pPr>
      <w:r>
        <w:t xml:space="preserve">Apple (2024). </w:t>
      </w:r>
      <w:r>
        <w:rPr>
          <w:i/>
          <w:iCs/>
        </w:rPr>
        <w:t>Apple reports fourth quarter results</w:t>
      </w:r>
      <w:r>
        <w:t xml:space="preserve">. [online] Apple Newsroom . Available at: </w:t>
      </w:r>
      <w:hyperlink r:id="rId15" w:history="1">
        <w:r w:rsidR="000B2E7A" w:rsidRPr="00250522">
          <w:rPr>
            <w:rStyle w:val="Hyperlink"/>
          </w:rPr>
          <w:t>https://www.apple.com/newsroom/2024/10/apple-reports-fourth-quarter-results</w:t>
        </w:r>
      </w:hyperlink>
      <w:r w:rsidR="00C66619">
        <w:rPr>
          <w:lang w:val="en-US"/>
        </w:rPr>
        <w:t xml:space="preserve"> (Accessed: Dec 15, 2025)</w:t>
      </w:r>
      <w:r w:rsidR="009C3FC2">
        <w:rPr>
          <w:lang w:val="en-US"/>
        </w:rPr>
        <w:t>.</w:t>
      </w:r>
    </w:p>
    <w:p w14:paraId="64C4AB1E" w14:textId="7110F781" w:rsidR="000B2E7A" w:rsidRPr="009C3FC2" w:rsidRDefault="00526AF8" w:rsidP="000B2E7A">
      <w:pPr>
        <w:pStyle w:val="NormalWeb"/>
        <w:spacing w:before="0" w:beforeAutospacing="0" w:after="240" w:afterAutospacing="0" w:line="480" w:lineRule="auto"/>
        <w:rPr>
          <w:lang w:val="en-US"/>
        </w:rPr>
      </w:pPr>
      <w:r>
        <w:t xml:space="preserve">Apple (2025). </w:t>
      </w:r>
      <w:r>
        <w:rPr>
          <w:i/>
          <w:iCs/>
        </w:rPr>
        <w:t>Apple debuts Apple Watch Series 11, featuring groundbreaking health insights</w:t>
      </w:r>
      <w:r>
        <w:t xml:space="preserve">. [online] Apple Newsroom (United Kingdom). Available at: </w:t>
      </w:r>
      <w:hyperlink r:id="rId16" w:history="1">
        <w:r w:rsidR="000B2E7A" w:rsidRPr="00250522">
          <w:rPr>
            <w:rStyle w:val="Hyperlink"/>
          </w:rPr>
          <w:t>https://www.apple.com/uk/newsroom/2025/09/apple-debuts-apple-watch-series-11-featuring-groundbreaking-health-insights/</w:t>
        </w:r>
      </w:hyperlink>
      <w:r w:rsidR="009C3FC2">
        <w:rPr>
          <w:lang w:val="en-US"/>
        </w:rPr>
        <w:t xml:space="preserve"> (Accessed: Dec 15, 2025).</w:t>
      </w:r>
    </w:p>
    <w:p w14:paraId="36AE23A1" w14:textId="6AE39665" w:rsidR="000B2E7A" w:rsidRDefault="00526AF8" w:rsidP="000B2E7A">
      <w:pPr>
        <w:pStyle w:val="NormalWeb"/>
        <w:spacing w:before="0" w:beforeAutospacing="0" w:after="240" w:afterAutospacing="0" w:line="480" w:lineRule="auto"/>
      </w:pPr>
      <w:r>
        <w:t xml:space="preserve">Burnham, J.P., Lu, C., Yaeger, L.H., Bailey, T.C. and Kollef, M.H. (2018). Using wearable technology to predict health outcomes: a literature review. </w:t>
      </w:r>
      <w:r>
        <w:rPr>
          <w:i/>
          <w:iCs/>
        </w:rPr>
        <w:t>Journal of the American Medical Informatics Association</w:t>
      </w:r>
      <w:r>
        <w:t>, 25(9), pp.1221–1227. doi:</w:t>
      </w:r>
      <w:r>
        <w:rPr>
          <w:lang w:val="en-US"/>
        </w:rPr>
        <w:t xml:space="preserve"> </w:t>
      </w:r>
      <w:hyperlink r:id="rId17" w:history="1">
        <w:r w:rsidR="000B2E7A" w:rsidRPr="00250522">
          <w:rPr>
            <w:rStyle w:val="Hyperlink"/>
          </w:rPr>
          <w:t>https://doi.org/10.1093/jamia/ocy082</w:t>
        </w:r>
      </w:hyperlink>
      <w:r>
        <w:t>.</w:t>
      </w:r>
    </w:p>
    <w:p w14:paraId="7A530C02" w14:textId="34965373" w:rsidR="000B2E7A" w:rsidRDefault="00526AF8" w:rsidP="000B2E7A">
      <w:pPr>
        <w:pStyle w:val="NormalWeb"/>
        <w:spacing w:before="0" w:beforeAutospacing="0" w:after="240" w:afterAutospacing="0" w:line="480" w:lineRule="auto"/>
      </w:pPr>
      <w:r>
        <w:t xml:space="preserve">Choe, J.-P. and Kang, M. (2025). Apple watch accuracy in monitoring health metrics: a systematic review and meta-analysis. </w:t>
      </w:r>
      <w:r>
        <w:rPr>
          <w:i/>
          <w:iCs/>
        </w:rPr>
        <w:t>Physiological Measurement</w:t>
      </w:r>
      <w:r>
        <w:t>, 46(4). doi:</w:t>
      </w:r>
      <w:r>
        <w:rPr>
          <w:lang w:val="en-US"/>
        </w:rPr>
        <w:t xml:space="preserve"> </w:t>
      </w:r>
      <w:hyperlink r:id="rId18" w:history="1">
        <w:r w:rsidR="000B2E7A" w:rsidRPr="00250522">
          <w:rPr>
            <w:rStyle w:val="Hyperlink"/>
          </w:rPr>
          <w:t>https://doi.org/10.1088/1361-6579/adca82</w:t>
        </w:r>
      </w:hyperlink>
      <w:r>
        <w:t>.</w:t>
      </w:r>
    </w:p>
    <w:p w14:paraId="50B883E7" w14:textId="1096BAC4" w:rsidR="007B1A67" w:rsidRPr="007B1A67" w:rsidRDefault="00526AF8" w:rsidP="000B2E7A">
      <w:pPr>
        <w:pStyle w:val="NormalWeb"/>
        <w:spacing w:before="0" w:beforeAutospacing="0" w:after="240" w:afterAutospacing="0" w:line="480" w:lineRule="auto"/>
        <w:rPr>
          <w:lang w:val="en-US"/>
        </w:rPr>
      </w:pPr>
      <w:r>
        <w:lastRenderedPageBreak/>
        <w:t xml:space="preserve">Freeman, R.E. (2010). </w:t>
      </w:r>
      <w:r>
        <w:rPr>
          <w:i/>
          <w:iCs/>
        </w:rPr>
        <w:t>Stakeholder Theory: the State of the Art</w:t>
      </w:r>
      <w:r>
        <w:t>. Cambridge: Cambridge University Press.</w:t>
      </w:r>
      <w:r w:rsidR="007B1A67">
        <w:rPr>
          <w:lang w:val="en-US"/>
        </w:rPr>
        <w:t xml:space="preserve"> Available at: </w:t>
      </w:r>
      <w:hyperlink r:id="rId19" w:history="1">
        <w:r w:rsidR="007B1A67" w:rsidRPr="00250522">
          <w:rPr>
            <w:rStyle w:val="Hyperlink"/>
            <w:lang w:val="en-US"/>
          </w:rPr>
          <w:t>https://www.cambridge.org/core/books/stakeholder-theory/FEA0B845888E463076284961856724C9</w:t>
        </w:r>
      </w:hyperlink>
    </w:p>
    <w:p w14:paraId="1ECEC774" w14:textId="011CA10F" w:rsidR="000B2E7A" w:rsidRDefault="00526AF8" w:rsidP="000B2E7A">
      <w:pPr>
        <w:pStyle w:val="NormalWeb"/>
        <w:spacing w:before="0" w:beforeAutospacing="0" w:after="240" w:afterAutospacing="0" w:line="480" w:lineRule="auto"/>
      </w:pPr>
      <w:r>
        <w:t xml:space="preserve">Giancarlo Prestinoni (2025). Medical Devices: Market Environment &amp; Stakeholder Analysis. In: </w:t>
      </w:r>
      <w:r>
        <w:rPr>
          <w:i/>
          <w:iCs/>
        </w:rPr>
        <w:t>Medical Device Management A Comprehensive Guide to Markets, Marketing</w:t>
      </w:r>
      <w:r w:rsidR="001021AF">
        <w:rPr>
          <w:i/>
          <w:iCs/>
        </w:rPr>
        <w:t xml:space="preserve"> and</w:t>
      </w:r>
      <w:r>
        <w:rPr>
          <w:i/>
          <w:iCs/>
        </w:rPr>
        <w:t xml:space="preserve"> Regulations</w:t>
      </w:r>
      <w:r>
        <w:t>. Springer Series in Healthcare Management and Innovation (SSHMI), pp.67–91. doi:</w:t>
      </w:r>
      <w:r>
        <w:rPr>
          <w:lang w:val="en-US"/>
        </w:rPr>
        <w:t xml:space="preserve"> </w:t>
      </w:r>
      <w:hyperlink r:id="rId20" w:history="1">
        <w:r w:rsidR="000B2E7A" w:rsidRPr="00250522">
          <w:rPr>
            <w:rStyle w:val="Hyperlink"/>
          </w:rPr>
          <w:t>https://doi.org/10.1007/978-3-032-03577-6_4</w:t>
        </w:r>
      </w:hyperlink>
      <w:r>
        <w:t>.</w:t>
      </w:r>
    </w:p>
    <w:p w14:paraId="56E29555" w14:textId="1AD636E0" w:rsidR="000B2E7A" w:rsidRDefault="00526AF8" w:rsidP="000B2E7A">
      <w:pPr>
        <w:pStyle w:val="NormalWeb"/>
        <w:spacing w:before="0" w:beforeAutospacing="0" w:after="240" w:afterAutospacing="0" w:line="480" w:lineRule="auto"/>
      </w:pPr>
      <w:r>
        <w:t xml:space="preserve">Hosseini, M.M., Hosseini, S.T.M., Qayumi, K., Hosseinzadeh, S. and Tabar, S.S.S. (2023). Smartwatches in Healthcare medicine: Assistance and monitoring; a Scoping Review. </w:t>
      </w:r>
      <w:r>
        <w:rPr>
          <w:i/>
          <w:iCs/>
        </w:rPr>
        <w:t>BMC Medical Informatics and Decision Making</w:t>
      </w:r>
      <w:r>
        <w:t>, 23(1), p.248. doi:</w:t>
      </w:r>
      <w:r>
        <w:rPr>
          <w:lang w:val="en-US"/>
        </w:rPr>
        <w:t xml:space="preserve"> </w:t>
      </w:r>
      <w:hyperlink r:id="rId21" w:history="1">
        <w:r w:rsidR="000B2E7A" w:rsidRPr="00250522">
          <w:rPr>
            <w:rStyle w:val="Hyperlink"/>
          </w:rPr>
          <w:t>https://doi.org/10.1186/s12911-023-02350-w</w:t>
        </w:r>
      </w:hyperlink>
      <w:r>
        <w:t>.</w:t>
      </w:r>
    </w:p>
    <w:p w14:paraId="5E97EF09" w14:textId="471A8574" w:rsidR="000B2E7A" w:rsidRPr="00C02482" w:rsidRDefault="00526AF8" w:rsidP="000B2E7A">
      <w:pPr>
        <w:pStyle w:val="NormalWeb"/>
        <w:spacing w:before="0" w:beforeAutospacing="0" w:after="240" w:afterAutospacing="0" w:line="480" w:lineRule="auto"/>
        <w:rPr>
          <w:lang w:val="en-US"/>
        </w:rPr>
      </w:pPr>
      <w:r>
        <w:t xml:space="preserve">ICO (2024). </w:t>
      </w:r>
      <w:r>
        <w:rPr>
          <w:i/>
          <w:iCs/>
        </w:rPr>
        <w:t>The maximum amount of a fine under UK GDPR and DPA 2018</w:t>
      </w:r>
      <w:r>
        <w:t xml:space="preserve">. [online] Ico.org.uk. Available at: </w:t>
      </w:r>
      <w:hyperlink r:id="rId22" w:history="1">
        <w:r w:rsidR="000B2E7A" w:rsidRPr="00250522">
          <w:rPr>
            <w:rStyle w:val="Hyperlink"/>
          </w:rPr>
          <w:t>https://ico.org.uk/about-the-ico/our-information/policies-and-procedures/data-protection-fining-guidance/statutory-background/the-maximum-amount-of-a-fine-under-uk-gdpr-and-dpa-2018</w:t>
        </w:r>
      </w:hyperlink>
      <w:r w:rsidR="00C02482">
        <w:rPr>
          <w:lang w:val="en-US"/>
        </w:rPr>
        <w:t xml:space="preserve"> (Accessed: Dec 15, 2025).</w:t>
      </w:r>
    </w:p>
    <w:p w14:paraId="2812A1B8" w14:textId="55C262E1" w:rsidR="000B2E7A" w:rsidRDefault="00526AF8" w:rsidP="000B2E7A">
      <w:pPr>
        <w:pStyle w:val="NormalWeb"/>
        <w:spacing w:before="0" w:beforeAutospacing="0" w:after="240" w:afterAutospacing="0" w:line="480" w:lineRule="auto"/>
      </w:pPr>
      <w:r>
        <w:t xml:space="preserve">Khan, N., Deshpande, N., Singh, P. and Kadam, P. (2025). A review of AI-based health prediction using apple watch and Fitbit data. </w:t>
      </w:r>
      <w:r>
        <w:rPr>
          <w:i/>
          <w:iCs/>
        </w:rPr>
        <w:t>Discover Applied Sciences</w:t>
      </w:r>
      <w:r>
        <w:t>, 7(10). doi:</w:t>
      </w:r>
      <w:r>
        <w:rPr>
          <w:lang w:val="en-US"/>
        </w:rPr>
        <w:t xml:space="preserve"> </w:t>
      </w:r>
      <w:hyperlink r:id="rId23" w:history="1">
        <w:r w:rsidR="000B2E7A" w:rsidRPr="00250522">
          <w:rPr>
            <w:rStyle w:val="Hyperlink"/>
          </w:rPr>
          <w:t>https://doi.org/10.1007/s42452-025-07783-8</w:t>
        </w:r>
      </w:hyperlink>
      <w:r>
        <w:t>.</w:t>
      </w:r>
    </w:p>
    <w:p w14:paraId="5EA5CF3B" w14:textId="39FBD355" w:rsidR="000B2E7A" w:rsidRDefault="00526AF8" w:rsidP="000B2E7A">
      <w:pPr>
        <w:pStyle w:val="NormalWeb"/>
        <w:spacing w:before="0" w:beforeAutospacing="0" w:after="240" w:afterAutospacing="0" w:line="480" w:lineRule="auto"/>
      </w:pPr>
      <w:r>
        <w:t xml:space="preserve">Li, K., Cardoso, C., Moctezuma-Ramirez, A., Abdelmotagaly Elgalad and Perin, E.C. (2023). Heart Rate Variability Measurement through a Smart Wearable Device: Another Breakthrough for Personal Health Monitoring? </w:t>
      </w:r>
      <w:r>
        <w:rPr>
          <w:i/>
          <w:iCs/>
        </w:rPr>
        <w:t>International Journal of Environmental Research and Public Health</w:t>
      </w:r>
      <w:r>
        <w:t>, 20(24), pp.7146–7146. doi:</w:t>
      </w:r>
      <w:r>
        <w:rPr>
          <w:lang w:val="en-US"/>
        </w:rPr>
        <w:t xml:space="preserve"> </w:t>
      </w:r>
      <w:hyperlink r:id="rId24" w:history="1">
        <w:r w:rsidR="000B2E7A" w:rsidRPr="00250522">
          <w:rPr>
            <w:rStyle w:val="Hyperlink"/>
          </w:rPr>
          <w:t>https://doi.org/10.3390/ijerph20247146</w:t>
        </w:r>
      </w:hyperlink>
      <w:r>
        <w:t>.</w:t>
      </w:r>
    </w:p>
    <w:p w14:paraId="1B54CEC1" w14:textId="324D3DF1" w:rsidR="000B2E7A" w:rsidRDefault="00526AF8" w:rsidP="000B2E7A">
      <w:pPr>
        <w:pStyle w:val="NormalWeb"/>
        <w:spacing w:before="0" w:beforeAutospacing="0" w:after="240" w:afterAutospacing="0" w:line="480" w:lineRule="auto"/>
      </w:pPr>
      <w:r>
        <w:lastRenderedPageBreak/>
        <w:t xml:space="preserve">Lodewyk, K., Wiebe, M., Dennett, L., Larsson, J., Greenshaw, A. and Hayward, J. (2025). Wearables research for continuous monitoring of patient outcomes: A scoping review. </w:t>
      </w:r>
      <w:r>
        <w:rPr>
          <w:i/>
          <w:iCs/>
        </w:rPr>
        <w:t>PLOS Digital Health</w:t>
      </w:r>
      <w:r>
        <w:t>, 4(5), p.e0000860. doi:</w:t>
      </w:r>
      <w:r>
        <w:rPr>
          <w:lang w:val="en-US"/>
        </w:rPr>
        <w:t xml:space="preserve"> </w:t>
      </w:r>
      <w:hyperlink r:id="rId25" w:history="1">
        <w:r w:rsidR="000B2E7A" w:rsidRPr="00250522">
          <w:rPr>
            <w:rStyle w:val="Hyperlink"/>
          </w:rPr>
          <w:t>https://doi.org/10.1371/journal.pdig.0000860</w:t>
        </w:r>
      </w:hyperlink>
      <w:r>
        <w:t>.</w:t>
      </w:r>
    </w:p>
    <w:p w14:paraId="460A0759" w14:textId="73B8A08A" w:rsidR="000B2E7A" w:rsidRDefault="00526AF8" w:rsidP="000B2E7A">
      <w:pPr>
        <w:pStyle w:val="NormalWeb"/>
        <w:spacing w:before="0" w:beforeAutospacing="0" w:after="240" w:afterAutospacing="0" w:line="480" w:lineRule="auto"/>
      </w:pPr>
      <w:r>
        <w:t xml:space="preserve">Lu, T.-C., Fu, C.-M., Ma, M., Fang, C.-C. and Turner, A. (2016). Healthcare Applications of Smart Watches. </w:t>
      </w:r>
      <w:r>
        <w:rPr>
          <w:i/>
          <w:iCs/>
        </w:rPr>
        <w:t>Applied Clinical Informatics</w:t>
      </w:r>
      <w:r>
        <w:t>, [online] 07(03), pp.850–869. doi:</w:t>
      </w:r>
      <w:r>
        <w:rPr>
          <w:lang w:val="en-US"/>
        </w:rPr>
        <w:t xml:space="preserve"> </w:t>
      </w:r>
      <w:hyperlink r:id="rId26" w:history="1">
        <w:r w:rsidR="000B2E7A" w:rsidRPr="00250522">
          <w:rPr>
            <w:rStyle w:val="Hyperlink"/>
          </w:rPr>
          <w:t>https://doi.org/10.4338/aci-2016-03-r-0042</w:t>
        </w:r>
      </w:hyperlink>
      <w:r>
        <w:t>.</w:t>
      </w:r>
    </w:p>
    <w:p w14:paraId="7FC6D06B" w14:textId="0C229D5F" w:rsidR="000B2E7A" w:rsidRPr="00C02482" w:rsidRDefault="00526AF8" w:rsidP="000B2E7A">
      <w:pPr>
        <w:pStyle w:val="NormalWeb"/>
        <w:spacing w:before="0" w:beforeAutospacing="0" w:after="240" w:afterAutospacing="0" w:line="480" w:lineRule="auto"/>
        <w:rPr>
          <w:lang w:val="en-US"/>
        </w:rPr>
      </w:pPr>
      <w:r>
        <w:t xml:space="preserve">MHRA (2014). </w:t>
      </w:r>
      <w:r>
        <w:rPr>
          <w:i/>
          <w:iCs/>
        </w:rPr>
        <w:t>Medical devices: software applications (apps)</w:t>
      </w:r>
      <w:r>
        <w:t xml:space="preserve">. [online] GOV.UK. Available at: </w:t>
      </w:r>
      <w:hyperlink r:id="rId27" w:history="1">
        <w:r w:rsidR="000B2E7A" w:rsidRPr="00250522">
          <w:rPr>
            <w:rStyle w:val="Hyperlink"/>
          </w:rPr>
          <w:t>https://www.gov.uk/government/publications/medical-devices-software-applications-apps</w:t>
        </w:r>
      </w:hyperlink>
      <w:r w:rsidR="00C02482">
        <w:rPr>
          <w:lang w:val="en-US"/>
        </w:rPr>
        <w:t xml:space="preserve"> (Accessed: Dec 15, 2025).</w:t>
      </w:r>
    </w:p>
    <w:p w14:paraId="012A2C9A" w14:textId="4B4E8CD6" w:rsidR="000B2E7A" w:rsidRPr="00C02482" w:rsidRDefault="00526AF8" w:rsidP="000B2E7A">
      <w:pPr>
        <w:pStyle w:val="NormalWeb"/>
        <w:spacing w:before="0" w:beforeAutospacing="0" w:after="240" w:afterAutospacing="0" w:line="480" w:lineRule="auto"/>
        <w:rPr>
          <w:lang w:val="en-US"/>
        </w:rPr>
      </w:pPr>
      <w:r>
        <w:t xml:space="preserve">Mordor Intelligence (2023). </w:t>
      </w:r>
      <w:r>
        <w:rPr>
          <w:i/>
          <w:iCs/>
        </w:rPr>
        <w:t>United Kingdom Wearable Technology Market | Growth, Trends, COVID-19 Impact</w:t>
      </w:r>
      <w:r w:rsidR="001021AF">
        <w:rPr>
          <w:i/>
          <w:iCs/>
        </w:rPr>
        <w:t xml:space="preserve"> and</w:t>
      </w:r>
      <w:r>
        <w:rPr>
          <w:i/>
          <w:iCs/>
        </w:rPr>
        <w:t xml:space="preserve"> Forecasts (2022 - 2027)</w:t>
      </w:r>
      <w:r>
        <w:t xml:space="preserve">. [online] www.mordorintelligence.com. Available at: </w:t>
      </w:r>
      <w:hyperlink r:id="rId28" w:history="1">
        <w:r w:rsidR="000B2E7A" w:rsidRPr="00250522">
          <w:rPr>
            <w:rStyle w:val="Hyperlink"/>
          </w:rPr>
          <w:t>https://www.mordorintelligence.com/industry-reports/united-kingdom-wearable-technology-market</w:t>
        </w:r>
      </w:hyperlink>
      <w:r w:rsidR="00C02482">
        <w:rPr>
          <w:lang w:val="en-US"/>
        </w:rPr>
        <w:t xml:space="preserve"> (Accessed: Dec 15, 2025).</w:t>
      </w:r>
    </w:p>
    <w:p w14:paraId="0CDA1A09" w14:textId="5E48ACE8" w:rsidR="000B2E7A" w:rsidRDefault="00526AF8" w:rsidP="000B2E7A">
      <w:pPr>
        <w:pStyle w:val="NormalWeb"/>
        <w:spacing w:before="0" w:beforeAutospacing="0" w:after="240" w:afterAutospacing="0" w:line="480" w:lineRule="auto"/>
      </w:pPr>
      <w:r>
        <w:t xml:space="preserve">Mostafa Mohrag, Mojiri, M.E., Hakami, M.S., Alghamdi, M.S., Moafa, A.Y., Kreet, S.J., Alghamdi, S.M., Nasib, H.A., Alghamdi, O.R., Ayoub, S.M., Hakami, A.A., Tawashi, S.M., Tayeb, R.M., Kariry, A.A. and Ayyashi, S.M. (2024). The Impact of Wearable Technologies on Blood Pressure Control in Hypertensive Patients: A Systematic Review and Meta-Analysis. </w:t>
      </w:r>
      <w:r>
        <w:rPr>
          <w:i/>
          <w:iCs/>
        </w:rPr>
        <w:t>Cureus</w:t>
      </w:r>
      <w:r>
        <w:t>, 16(10). doi:</w:t>
      </w:r>
      <w:r>
        <w:rPr>
          <w:lang w:val="en-US"/>
        </w:rPr>
        <w:t xml:space="preserve"> </w:t>
      </w:r>
      <w:hyperlink r:id="rId29" w:history="1">
        <w:r w:rsidR="000B2E7A" w:rsidRPr="00250522">
          <w:rPr>
            <w:rStyle w:val="Hyperlink"/>
          </w:rPr>
          <w:t>https://doi.org/10.7759/cureus.71220</w:t>
        </w:r>
      </w:hyperlink>
      <w:r>
        <w:t>.</w:t>
      </w:r>
    </w:p>
    <w:p w14:paraId="10FB788C" w14:textId="4DE79665" w:rsidR="000B2E7A" w:rsidRPr="00C02482" w:rsidRDefault="00526AF8" w:rsidP="000B2E7A">
      <w:pPr>
        <w:pStyle w:val="NormalWeb"/>
        <w:spacing w:before="0" w:beforeAutospacing="0" w:after="240" w:afterAutospacing="0" w:line="480" w:lineRule="auto"/>
        <w:rPr>
          <w:lang w:val="en-US"/>
        </w:rPr>
      </w:pPr>
      <w:r>
        <w:t xml:space="preserve">Nomis (2025). </w:t>
      </w:r>
      <w:r>
        <w:rPr>
          <w:i/>
          <w:iCs/>
        </w:rPr>
        <w:t>Population estimates - local authority based by single year of age - Nomis - Official Labour Market Statistics</w:t>
      </w:r>
      <w:r>
        <w:t xml:space="preserve">. [online] www.nomisweb.co.uk. Available at: </w:t>
      </w:r>
      <w:hyperlink r:id="rId30" w:history="1">
        <w:r w:rsidR="000B2E7A" w:rsidRPr="00250522">
          <w:rPr>
            <w:rStyle w:val="Hyperlink"/>
          </w:rPr>
          <w:t>https://www.nomisweb.co.uk/datasets/pestsyoala</w:t>
        </w:r>
      </w:hyperlink>
      <w:r w:rsidR="00C02482">
        <w:rPr>
          <w:lang w:val="en-US"/>
        </w:rPr>
        <w:t xml:space="preserve"> (Accessed: Dec 15, 2025).</w:t>
      </w:r>
    </w:p>
    <w:p w14:paraId="3D0C7147" w14:textId="20000D8D" w:rsidR="000B2E7A" w:rsidRPr="00C02482" w:rsidRDefault="00526AF8" w:rsidP="000B2E7A">
      <w:pPr>
        <w:pStyle w:val="NormalWeb"/>
        <w:spacing w:before="0" w:beforeAutospacing="0" w:after="240" w:afterAutospacing="0" w:line="480" w:lineRule="auto"/>
        <w:rPr>
          <w:lang w:val="en-US"/>
        </w:rPr>
      </w:pPr>
      <w:r>
        <w:t xml:space="preserve">ONS (2025). </w:t>
      </w:r>
      <w:r>
        <w:rPr>
          <w:i/>
          <w:iCs/>
        </w:rPr>
        <w:t>Population estimates for the UK, England, Wales, Scotland and Northern Ireland</w:t>
      </w:r>
      <w:r>
        <w:t xml:space="preserve">. [online] Ons.gov.uk. Available at: </w:t>
      </w:r>
      <w:hyperlink r:id="rId31" w:history="1">
        <w:r w:rsidR="000B2E7A" w:rsidRPr="00250522">
          <w:rPr>
            <w:rStyle w:val="Hyperlink"/>
          </w:rPr>
          <w:t>https://www.ons.gov.uk/peoplepopulationandcommunity/populationandmigration/populationestimates/bulletins/annualmidyearpopulationestimates/mid2024</w:t>
        </w:r>
      </w:hyperlink>
      <w:r w:rsidR="00C02482">
        <w:rPr>
          <w:lang w:val="en-US"/>
        </w:rPr>
        <w:t xml:space="preserve"> (Accessed: Dec 15, 2025).</w:t>
      </w:r>
    </w:p>
    <w:p w14:paraId="5582522A" w14:textId="34534715" w:rsidR="000B2E7A" w:rsidRPr="00C02482" w:rsidRDefault="00526AF8" w:rsidP="000B2E7A">
      <w:pPr>
        <w:pStyle w:val="NormalWeb"/>
        <w:spacing w:before="0" w:beforeAutospacing="0" w:after="240" w:afterAutospacing="0" w:line="480" w:lineRule="auto"/>
        <w:rPr>
          <w:lang w:val="en-US"/>
        </w:rPr>
      </w:pPr>
      <w:r>
        <w:t xml:space="preserve">Stanford Medicine (2017). </w:t>
      </w:r>
      <w:r>
        <w:rPr>
          <w:i/>
          <w:iCs/>
        </w:rPr>
        <w:t>Stanford, Apple describe heart study with over 400,000 participants</w:t>
      </w:r>
      <w:r>
        <w:t xml:space="preserve">. [online] News Center. Available at: </w:t>
      </w:r>
      <w:hyperlink r:id="rId32" w:history="1">
        <w:r w:rsidR="000B2E7A" w:rsidRPr="00250522">
          <w:rPr>
            <w:rStyle w:val="Hyperlink"/>
          </w:rPr>
          <w:t>https://med.stanford.edu/news/all-news/2018/11/stanford-apple-describe-heart-study-with-over-400000-participants.html</w:t>
        </w:r>
      </w:hyperlink>
      <w:r w:rsidR="00C02482">
        <w:rPr>
          <w:lang w:val="en-US"/>
        </w:rPr>
        <w:t xml:space="preserve"> (Accessed: Dec 15, 2025).</w:t>
      </w:r>
    </w:p>
    <w:p w14:paraId="56EAE050" w14:textId="418E8958" w:rsidR="000B2E7A" w:rsidRPr="00C02482" w:rsidRDefault="00526AF8" w:rsidP="000B2E7A">
      <w:pPr>
        <w:pStyle w:val="NormalWeb"/>
        <w:spacing w:before="0" w:beforeAutospacing="0" w:after="240" w:afterAutospacing="0" w:line="480" w:lineRule="auto"/>
        <w:rPr>
          <w:lang w:val="en-US"/>
        </w:rPr>
      </w:pPr>
      <w:r>
        <w:t xml:space="preserve">Statista (2024). </w:t>
      </w:r>
      <w:r>
        <w:rPr>
          <w:i/>
          <w:iCs/>
        </w:rPr>
        <w:t>Wearables in the UK - statistics &amp; facts</w:t>
      </w:r>
      <w:r>
        <w:t xml:space="preserve">. [online] Statista. Available at: </w:t>
      </w:r>
      <w:hyperlink r:id="rId33" w:history="1">
        <w:r w:rsidR="000B2E7A" w:rsidRPr="00250522">
          <w:rPr>
            <w:rStyle w:val="Hyperlink"/>
          </w:rPr>
          <w:t>https://www.statista.com/topics/12225/wearables-in-the-uk</w:t>
        </w:r>
      </w:hyperlink>
      <w:r w:rsidR="00C02482">
        <w:rPr>
          <w:lang w:val="en-US"/>
        </w:rPr>
        <w:t xml:space="preserve"> (Accessed: Dec 15, 2025).</w:t>
      </w:r>
    </w:p>
    <w:p w14:paraId="449C57FD" w14:textId="16ADA5F7" w:rsidR="000B2E7A" w:rsidRDefault="00526AF8" w:rsidP="000B2E7A">
      <w:pPr>
        <w:pStyle w:val="NormalWeb"/>
        <w:spacing w:before="0" w:beforeAutospacing="0" w:after="240" w:afterAutospacing="0" w:line="480" w:lineRule="auto"/>
      </w:pPr>
      <w:r>
        <w:t xml:space="preserve">Triantafyllidis, A., Haridimos Kondylakis, Dimitrios Katehakis, Kouroubali, A., Anastasios Alexiadis, Segkouli, S., Konstantinos Votis and Dimitrios Tzovaras (2024). Smartwatch interventions in healthcare: A systematic review of the literature. </w:t>
      </w:r>
      <w:r>
        <w:rPr>
          <w:i/>
          <w:iCs/>
        </w:rPr>
        <w:t>International Journal of Medical Informatics</w:t>
      </w:r>
      <w:r>
        <w:t>, 190, pp.105560–105560. doi:</w:t>
      </w:r>
      <w:r>
        <w:rPr>
          <w:lang w:val="en-US"/>
        </w:rPr>
        <w:t xml:space="preserve"> </w:t>
      </w:r>
      <w:hyperlink r:id="rId34" w:history="1">
        <w:r w:rsidR="000B2E7A" w:rsidRPr="00250522">
          <w:rPr>
            <w:rStyle w:val="Hyperlink"/>
          </w:rPr>
          <w:t>https://doi.org/10.1016/j.ijmedinf.2024.105560</w:t>
        </w:r>
      </w:hyperlink>
      <w:r>
        <w:t>.</w:t>
      </w:r>
    </w:p>
    <w:p w14:paraId="7A925E1F" w14:textId="61133788" w:rsidR="000B2E7A" w:rsidRDefault="00526AF8" w:rsidP="000B2E7A">
      <w:pPr>
        <w:pStyle w:val="NormalWeb"/>
        <w:spacing w:before="0" w:beforeAutospacing="0" w:after="240" w:afterAutospacing="0" w:line="480" w:lineRule="auto"/>
      </w:pPr>
      <w:r>
        <w:t xml:space="preserve">Valentinov, V. and Chia, R. (2022). Stakeholder theory: A process‐ontological perspective. </w:t>
      </w:r>
      <w:r>
        <w:rPr>
          <w:i/>
          <w:iCs/>
        </w:rPr>
        <w:t>Business Ethics, the Environment &amp; Responsibility</w:t>
      </w:r>
      <w:r>
        <w:t>, [online] 31(3), pp.762–776. doi:</w:t>
      </w:r>
      <w:r w:rsidR="00DF3B25">
        <w:rPr>
          <w:lang w:val="en-US"/>
        </w:rPr>
        <w:t xml:space="preserve"> </w:t>
      </w:r>
      <w:hyperlink r:id="rId35" w:history="1">
        <w:r w:rsidR="000B2E7A" w:rsidRPr="00250522">
          <w:rPr>
            <w:rStyle w:val="Hyperlink"/>
          </w:rPr>
          <w:t>https://doi.org/10.1111/beer.12441</w:t>
        </w:r>
      </w:hyperlink>
      <w:r>
        <w:t>.</w:t>
      </w:r>
    </w:p>
    <w:p w14:paraId="56B593E2" w14:textId="06576C8F" w:rsidR="000B2E7A" w:rsidRDefault="00526AF8" w:rsidP="000B2E7A">
      <w:pPr>
        <w:pStyle w:val="NormalWeb"/>
        <w:spacing w:before="0" w:beforeAutospacing="0" w:after="240" w:afterAutospacing="0" w:line="480" w:lineRule="auto"/>
      </w:pPr>
      <w:r>
        <w:t>Virgillito, D., Pierluigi Catalfo and Ledda, C. (2025). Wearables in Healthcare Organizations: Implications for Occupational Health</w:t>
      </w:r>
      <w:r w:rsidR="001021AF">
        <w:t xml:space="preserve"> or</w:t>
      </w:r>
      <w:r>
        <w:t>ganizational Performance</w:t>
      </w:r>
      <w:r w:rsidR="001021AF">
        <w:t xml:space="preserve"> and</w:t>
      </w:r>
      <w:r>
        <w:t xml:space="preserve"> Economic Outcomes. </w:t>
      </w:r>
      <w:r>
        <w:rPr>
          <w:i/>
          <w:iCs/>
        </w:rPr>
        <w:t>Healthcare</w:t>
      </w:r>
      <w:r>
        <w:t>, [online] 13(18), pp.2289–2289. doi:</w:t>
      </w:r>
      <w:r w:rsidR="00DF3B25">
        <w:rPr>
          <w:lang w:val="en-US"/>
        </w:rPr>
        <w:t xml:space="preserve"> </w:t>
      </w:r>
      <w:hyperlink r:id="rId36" w:history="1">
        <w:r w:rsidR="000B2E7A" w:rsidRPr="00250522">
          <w:rPr>
            <w:rStyle w:val="Hyperlink"/>
          </w:rPr>
          <w:t>https://doi.org/10.3390/healthcare13182289</w:t>
        </w:r>
      </w:hyperlink>
      <w:r>
        <w:t>.</w:t>
      </w:r>
    </w:p>
    <w:p w14:paraId="36031589" w14:textId="5DD01E75" w:rsidR="000B2E7A" w:rsidRPr="00526AF8" w:rsidRDefault="00526AF8" w:rsidP="000B2E7A">
      <w:pPr>
        <w:pStyle w:val="NormalWeb"/>
        <w:spacing w:before="0" w:beforeAutospacing="0" w:after="240" w:afterAutospacing="0" w:line="480" w:lineRule="auto"/>
      </w:pPr>
      <w:r>
        <w:t xml:space="preserve">Wang, W.K., Yang, R., Pang, C., Natarajan, K., Liu, N., McDuff, D., Slotwiner, D., Wang, F. and Xu, X.O. (2025). Beyond the Clinic: A Large-Scale Evaluation of Augmenting EHR with Wearable Data for Diverse Health Prediction. </w:t>
      </w:r>
      <w:r>
        <w:rPr>
          <w:i/>
          <w:iCs/>
        </w:rPr>
        <w:t>arXiv (Cornell University)</w:t>
      </w:r>
      <w:r>
        <w:t>. doi:</w:t>
      </w:r>
      <w:r w:rsidR="002D2D3F">
        <w:rPr>
          <w:lang w:val="en-US"/>
        </w:rPr>
        <w:t xml:space="preserve"> </w:t>
      </w:r>
      <w:hyperlink r:id="rId37" w:history="1">
        <w:r w:rsidR="000B2E7A" w:rsidRPr="00250522">
          <w:rPr>
            <w:rStyle w:val="Hyperlink"/>
          </w:rPr>
          <w:t>https://doi.org/10.48550/arxiv.2509.22920</w:t>
        </w:r>
      </w:hyperlink>
      <w:r>
        <w:t>.</w:t>
      </w:r>
    </w:p>
    <w:sectPr w:rsidR="000B2E7A" w:rsidRPr="00526AF8">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4ACEA" w14:textId="77777777" w:rsidR="00E07F09" w:rsidRDefault="00E07F09" w:rsidP="004659F9">
      <w:pPr>
        <w:spacing w:after="0" w:line="240" w:lineRule="auto"/>
      </w:pPr>
      <w:r>
        <w:separator/>
      </w:r>
    </w:p>
  </w:endnote>
  <w:endnote w:type="continuationSeparator" w:id="0">
    <w:p w14:paraId="3D9AA7F3" w14:textId="77777777" w:rsidR="00E07F09" w:rsidRDefault="00E07F09" w:rsidP="00465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3075831"/>
      <w:docPartObj>
        <w:docPartGallery w:val="Page Numbers (Bottom of Page)"/>
        <w:docPartUnique/>
      </w:docPartObj>
    </w:sdtPr>
    <w:sdtEndPr>
      <w:rPr>
        <w:noProof/>
      </w:rPr>
    </w:sdtEndPr>
    <w:sdtContent>
      <w:p w14:paraId="5F3353D8" w14:textId="4323D774" w:rsidR="004659F9" w:rsidRDefault="004659F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A16609" w14:textId="77777777" w:rsidR="004659F9" w:rsidRDefault="00465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38932" w14:textId="77777777" w:rsidR="00E07F09" w:rsidRDefault="00E07F09" w:rsidP="004659F9">
      <w:pPr>
        <w:spacing w:after="0" w:line="240" w:lineRule="auto"/>
      </w:pPr>
      <w:r>
        <w:separator/>
      </w:r>
    </w:p>
  </w:footnote>
  <w:footnote w:type="continuationSeparator" w:id="0">
    <w:p w14:paraId="289F45F4" w14:textId="77777777" w:rsidR="00E07F09" w:rsidRDefault="00E07F09" w:rsidP="004659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A3172"/>
    <w:multiLevelType w:val="hybridMultilevel"/>
    <w:tmpl w:val="411AD48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C3E3F20"/>
    <w:multiLevelType w:val="hybridMultilevel"/>
    <w:tmpl w:val="8B22FD7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DAF02E2"/>
    <w:multiLevelType w:val="hybridMultilevel"/>
    <w:tmpl w:val="AF40A794"/>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3" w15:restartNumberingAfterBreak="0">
    <w:nsid w:val="24907285"/>
    <w:multiLevelType w:val="multilevel"/>
    <w:tmpl w:val="2DCA0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8601EC"/>
    <w:multiLevelType w:val="hybridMultilevel"/>
    <w:tmpl w:val="DAB4DF6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2A454713"/>
    <w:multiLevelType w:val="multilevel"/>
    <w:tmpl w:val="DC82220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6" w15:restartNumberingAfterBreak="0">
    <w:nsid w:val="2D0D0CE2"/>
    <w:multiLevelType w:val="multilevel"/>
    <w:tmpl w:val="CF629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F51E57"/>
    <w:multiLevelType w:val="multilevel"/>
    <w:tmpl w:val="5B44D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B9170BF"/>
    <w:multiLevelType w:val="hybridMultilevel"/>
    <w:tmpl w:val="57B654DA"/>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9" w15:restartNumberingAfterBreak="0">
    <w:nsid w:val="43B25913"/>
    <w:multiLevelType w:val="hybridMultilevel"/>
    <w:tmpl w:val="AF1C473E"/>
    <w:lvl w:ilvl="0" w:tplc="20000001">
      <w:start w:val="1"/>
      <w:numFmt w:val="bullet"/>
      <w:lvlText w:val=""/>
      <w:lvlJc w:val="left"/>
      <w:pPr>
        <w:ind w:left="720" w:hanging="360"/>
      </w:pPr>
      <w:rPr>
        <w:rFonts w:ascii="Symbol" w:hAnsi="Symbol"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440A705F"/>
    <w:multiLevelType w:val="hybridMultilevel"/>
    <w:tmpl w:val="765AE01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44EA1488"/>
    <w:multiLevelType w:val="multilevel"/>
    <w:tmpl w:val="C0202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5271996"/>
    <w:multiLevelType w:val="multilevel"/>
    <w:tmpl w:val="9F18C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99D3E56"/>
    <w:multiLevelType w:val="multilevel"/>
    <w:tmpl w:val="7496FF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AC1465"/>
    <w:multiLevelType w:val="multilevel"/>
    <w:tmpl w:val="28688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CE6E96"/>
    <w:multiLevelType w:val="hybridMultilevel"/>
    <w:tmpl w:val="FA00568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54A86872"/>
    <w:multiLevelType w:val="hybridMultilevel"/>
    <w:tmpl w:val="85101A54"/>
    <w:lvl w:ilvl="0" w:tplc="20000001">
      <w:start w:val="1"/>
      <w:numFmt w:val="bullet"/>
      <w:lvlText w:val=""/>
      <w:lvlJc w:val="left"/>
      <w:pPr>
        <w:ind w:left="360" w:hanging="360"/>
      </w:pPr>
      <w:rPr>
        <w:rFonts w:ascii="Symbol" w:hAnsi="Symbol"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7" w15:restartNumberingAfterBreak="0">
    <w:nsid w:val="556C5158"/>
    <w:multiLevelType w:val="multilevel"/>
    <w:tmpl w:val="D1A8D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F87222"/>
    <w:multiLevelType w:val="multilevel"/>
    <w:tmpl w:val="865E2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C630872"/>
    <w:multiLevelType w:val="hybridMultilevel"/>
    <w:tmpl w:val="3668868C"/>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0" w15:restartNumberingAfterBreak="0">
    <w:nsid w:val="61FB159C"/>
    <w:multiLevelType w:val="multilevel"/>
    <w:tmpl w:val="72EE7C1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1" w15:restartNumberingAfterBreak="0">
    <w:nsid w:val="64D50E30"/>
    <w:multiLevelType w:val="multilevel"/>
    <w:tmpl w:val="EB0E1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F553D5"/>
    <w:multiLevelType w:val="hybridMultilevel"/>
    <w:tmpl w:val="8B22FD7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3" w15:restartNumberingAfterBreak="0">
    <w:nsid w:val="6D0B1311"/>
    <w:multiLevelType w:val="hybridMultilevel"/>
    <w:tmpl w:val="5F3E514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4" w15:restartNumberingAfterBreak="0">
    <w:nsid w:val="7DBC6F49"/>
    <w:multiLevelType w:val="hybridMultilevel"/>
    <w:tmpl w:val="3508D7FC"/>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num w:numId="1">
    <w:abstractNumId w:val="6"/>
  </w:num>
  <w:num w:numId="2">
    <w:abstractNumId w:val="7"/>
  </w:num>
  <w:num w:numId="3">
    <w:abstractNumId w:val="17"/>
  </w:num>
  <w:num w:numId="4">
    <w:abstractNumId w:val="21"/>
  </w:num>
  <w:num w:numId="5">
    <w:abstractNumId w:val="12"/>
  </w:num>
  <w:num w:numId="6">
    <w:abstractNumId w:val="11"/>
  </w:num>
  <w:num w:numId="7">
    <w:abstractNumId w:val="3"/>
  </w:num>
  <w:num w:numId="8">
    <w:abstractNumId w:val="14"/>
  </w:num>
  <w:num w:numId="9">
    <w:abstractNumId w:val="18"/>
  </w:num>
  <w:num w:numId="10">
    <w:abstractNumId w:val="4"/>
  </w:num>
  <w:num w:numId="11">
    <w:abstractNumId w:val="9"/>
  </w:num>
  <w:num w:numId="12">
    <w:abstractNumId w:val="10"/>
  </w:num>
  <w:num w:numId="13">
    <w:abstractNumId w:val="0"/>
  </w:num>
  <w:num w:numId="14">
    <w:abstractNumId w:val="16"/>
  </w:num>
  <w:num w:numId="15">
    <w:abstractNumId w:val="8"/>
  </w:num>
  <w:num w:numId="16">
    <w:abstractNumId w:val="19"/>
  </w:num>
  <w:num w:numId="17">
    <w:abstractNumId w:val="2"/>
  </w:num>
  <w:num w:numId="18">
    <w:abstractNumId w:val="24"/>
  </w:num>
  <w:num w:numId="19">
    <w:abstractNumId w:val="5"/>
  </w:num>
  <w:num w:numId="20">
    <w:abstractNumId w:val="20"/>
  </w:num>
  <w:num w:numId="21">
    <w:abstractNumId w:val="15"/>
  </w:num>
  <w:num w:numId="22">
    <w:abstractNumId w:val="23"/>
  </w:num>
  <w:num w:numId="23">
    <w:abstractNumId w:val="13"/>
  </w:num>
  <w:num w:numId="24">
    <w:abstractNumId w:val="1"/>
  </w:num>
  <w:num w:numId="25">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59F9"/>
    <w:rsid w:val="00005F0E"/>
    <w:rsid w:val="00065A04"/>
    <w:rsid w:val="000A073D"/>
    <w:rsid w:val="000A593A"/>
    <w:rsid w:val="000B2E7A"/>
    <w:rsid w:val="000E7BF0"/>
    <w:rsid w:val="000F313C"/>
    <w:rsid w:val="000F65C3"/>
    <w:rsid w:val="001021AF"/>
    <w:rsid w:val="0011647B"/>
    <w:rsid w:val="001234DB"/>
    <w:rsid w:val="00145C48"/>
    <w:rsid w:val="00151A2E"/>
    <w:rsid w:val="00152E7F"/>
    <w:rsid w:val="001944A8"/>
    <w:rsid w:val="001964CF"/>
    <w:rsid w:val="00196E95"/>
    <w:rsid w:val="001A386F"/>
    <w:rsid w:val="001B0CBF"/>
    <w:rsid w:val="001D3E78"/>
    <w:rsid w:val="0020716E"/>
    <w:rsid w:val="002163E6"/>
    <w:rsid w:val="00217F55"/>
    <w:rsid w:val="0023251E"/>
    <w:rsid w:val="00262FD6"/>
    <w:rsid w:val="00271504"/>
    <w:rsid w:val="002A65F5"/>
    <w:rsid w:val="002B3F7D"/>
    <w:rsid w:val="002C4014"/>
    <w:rsid w:val="002C53F6"/>
    <w:rsid w:val="002D2D3F"/>
    <w:rsid w:val="002E7C7F"/>
    <w:rsid w:val="002F162C"/>
    <w:rsid w:val="002F6BA3"/>
    <w:rsid w:val="002F6F2E"/>
    <w:rsid w:val="00331715"/>
    <w:rsid w:val="00345217"/>
    <w:rsid w:val="00351664"/>
    <w:rsid w:val="0035398B"/>
    <w:rsid w:val="003A2D2F"/>
    <w:rsid w:val="003F6F58"/>
    <w:rsid w:val="00423CA4"/>
    <w:rsid w:val="0042548D"/>
    <w:rsid w:val="0043493B"/>
    <w:rsid w:val="00437276"/>
    <w:rsid w:val="00444228"/>
    <w:rsid w:val="004659F9"/>
    <w:rsid w:val="0046627E"/>
    <w:rsid w:val="004703D8"/>
    <w:rsid w:val="004B4559"/>
    <w:rsid w:val="004D3F52"/>
    <w:rsid w:val="00500C06"/>
    <w:rsid w:val="0050753D"/>
    <w:rsid w:val="00526AF8"/>
    <w:rsid w:val="00545078"/>
    <w:rsid w:val="00570EB1"/>
    <w:rsid w:val="005907D3"/>
    <w:rsid w:val="005A0A38"/>
    <w:rsid w:val="005C5CFB"/>
    <w:rsid w:val="005C69D4"/>
    <w:rsid w:val="005D0143"/>
    <w:rsid w:val="005E02AE"/>
    <w:rsid w:val="006271BE"/>
    <w:rsid w:val="006813E1"/>
    <w:rsid w:val="0068626E"/>
    <w:rsid w:val="00693DDA"/>
    <w:rsid w:val="006A7F69"/>
    <w:rsid w:val="006C7DEB"/>
    <w:rsid w:val="006D4C9C"/>
    <w:rsid w:val="006D7EDB"/>
    <w:rsid w:val="006E15AE"/>
    <w:rsid w:val="006F15C6"/>
    <w:rsid w:val="00704B5B"/>
    <w:rsid w:val="00733E6F"/>
    <w:rsid w:val="0073722F"/>
    <w:rsid w:val="00761AC4"/>
    <w:rsid w:val="00773620"/>
    <w:rsid w:val="00792345"/>
    <w:rsid w:val="007B1A67"/>
    <w:rsid w:val="007B74FD"/>
    <w:rsid w:val="007D380B"/>
    <w:rsid w:val="007F2BC2"/>
    <w:rsid w:val="00811FD9"/>
    <w:rsid w:val="008358F2"/>
    <w:rsid w:val="00844112"/>
    <w:rsid w:val="008465CF"/>
    <w:rsid w:val="00861673"/>
    <w:rsid w:val="00882803"/>
    <w:rsid w:val="00882B5C"/>
    <w:rsid w:val="00892274"/>
    <w:rsid w:val="00893C90"/>
    <w:rsid w:val="00897B3A"/>
    <w:rsid w:val="008D6252"/>
    <w:rsid w:val="008E4E21"/>
    <w:rsid w:val="008E5436"/>
    <w:rsid w:val="008F5B0B"/>
    <w:rsid w:val="009032CC"/>
    <w:rsid w:val="00916959"/>
    <w:rsid w:val="00923B4A"/>
    <w:rsid w:val="00953CE2"/>
    <w:rsid w:val="00965844"/>
    <w:rsid w:val="009876F0"/>
    <w:rsid w:val="00995FE8"/>
    <w:rsid w:val="009C3FC2"/>
    <w:rsid w:val="009E4A2E"/>
    <w:rsid w:val="009F6AEE"/>
    <w:rsid w:val="009F77FB"/>
    <w:rsid w:val="00A0179D"/>
    <w:rsid w:val="00A05352"/>
    <w:rsid w:val="00A24729"/>
    <w:rsid w:val="00A27311"/>
    <w:rsid w:val="00A338F8"/>
    <w:rsid w:val="00A9685A"/>
    <w:rsid w:val="00A97E22"/>
    <w:rsid w:val="00AB38D0"/>
    <w:rsid w:val="00AE24F5"/>
    <w:rsid w:val="00B053A8"/>
    <w:rsid w:val="00B216E1"/>
    <w:rsid w:val="00B4168D"/>
    <w:rsid w:val="00B47561"/>
    <w:rsid w:val="00B52D1F"/>
    <w:rsid w:val="00B70544"/>
    <w:rsid w:val="00B747C1"/>
    <w:rsid w:val="00BA3559"/>
    <w:rsid w:val="00BA44B1"/>
    <w:rsid w:val="00BA7842"/>
    <w:rsid w:val="00BC11E7"/>
    <w:rsid w:val="00BE1E2A"/>
    <w:rsid w:val="00BF685C"/>
    <w:rsid w:val="00BF6F39"/>
    <w:rsid w:val="00C02482"/>
    <w:rsid w:val="00C16589"/>
    <w:rsid w:val="00C3453D"/>
    <w:rsid w:val="00C66619"/>
    <w:rsid w:val="00C676D8"/>
    <w:rsid w:val="00C9183E"/>
    <w:rsid w:val="00CB1164"/>
    <w:rsid w:val="00CC79D8"/>
    <w:rsid w:val="00CE144F"/>
    <w:rsid w:val="00D34F2E"/>
    <w:rsid w:val="00D365A8"/>
    <w:rsid w:val="00D462F2"/>
    <w:rsid w:val="00D50E61"/>
    <w:rsid w:val="00D83011"/>
    <w:rsid w:val="00DA3D82"/>
    <w:rsid w:val="00DA5BE3"/>
    <w:rsid w:val="00DB1559"/>
    <w:rsid w:val="00DC3615"/>
    <w:rsid w:val="00DC3736"/>
    <w:rsid w:val="00DD38B9"/>
    <w:rsid w:val="00DF3B25"/>
    <w:rsid w:val="00E07F09"/>
    <w:rsid w:val="00E243CA"/>
    <w:rsid w:val="00E40AE6"/>
    <w:rsid w:val="00E56930"/>
    <w:rsid w:val="00E67986"/>
    <w:rsid w:val="00E805BD"/>
    <w:rsid w:val="00EC4A85"/>
    <w:rsid w:val="00EE6A73"/>
    <w:rsid w:val="00F445DA"/>
    <w:rsid w:val="00F44BFE"/>
    <w:rsid w:val="00F8174F"/>
    <w:rsid w:val="00F86613"/>
    <w:rsid w:val="00F934CB"/>
    <w:rsid w:val="00F96A82"/>
    <w:rsid w:val="00FB27A4"/>
    <w:rsid w:val="00FD2BB8"/>
    <w:rsid w:val="00FD4ECB"/>
    <w:rsid w:val="00FE38AB"/>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70941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PK"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6D4C9C"/>
    <w:pPr>
      <w:keepNext/>
      <w:keepLines/>
      <w:spacing w:before="240" w:after="0" w:line="480" w:lineRule="auto"/>
      <w:jc w:val="both"/>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953CE2"/>
    <w:pPr>
      <w:keepNext/>
      <w:keepLines/>
      <w:spacing w:before="40" w:after="0"/>
      <w:outlineLvl w:val="1"/>
    </w:pPr>
    <w:rPr>
      <w:rFonts w:ascii="Times New Roman" w:eastAsiaTheme="majorEastAsia" w:hAnsi="Times New Roman" w:cstheme="majorBidi"/>
      <w:b/>
      <w:sz w:val="24"/>
      <w:szCs w:val="26"/>
    </w:rPr>
  </w:style>
  <w:style w:type="paragraph" w:styleId="Heading3">
    <w:name w:val="heading 3"/>
    <w:basedOn w:val="Normal"/>
    <w:link w:val="Heading3Char"/>
    <w:autoRedefine/>
    <w:uiPriority w:val="9"/>
    <w:qFormat/>
    <w:rsid w:val="0011647B"/>
    <w:pPr>
      <w:spacing w:beforeAutospacing="1" w:after="0" w:afterAutospacing="1" w:line="240" w:lineRule="auto"/>
      <w:outlineLvl w:val="2"/>
    </w:pPr>
    <w:rPr>
      <w:rFonts w:ascii="Times New Roman" w:eastAsia="Times New Roman" w:hAnsi="Times New Roman" w:cs="Times New Roman"/>
      <w:b/>
      <w:bCs/>
      <w:sz w:val="24"/>
      <w:szCs w:val="27"/>
      <w:lang w:eastAsia="en-PK"/>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4C9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53CE2"/>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11647B"/>
    <w:rPr>
      <w:rFonts w:ascii="Times New Roman" w:eastAsia="Times New Roman" w:hAnsi="Times New Roman" w:cs="Times New Roman"/>
      <w:b/>
      <w:bCs/>
      <w:sz w:val="24"/>
      <w:szCs w:val="27"/>
      <w:lang w:eastAsia="en-PK"/>
    </w:rPr>
  </w:style>
  <w:style w:type="paragraph" w:styleId="Header">
    <w:name w:val="header"/>
    <w:basedOn w:val="Normal"/>
    <w:link w:val="HeaderChar"/>
    <w:uiPriority w:val="99"/>
    <w:unhideWhenUsed/>
    <w:rsid w:val="00465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9F9"/>
  </w:style>
  <w:style w:type="paragraph" w:styleId="Footer">
    <w:name w:val="footer"/>
    <w:basedOn w:val="Normal"/>
    <w:link w:val="FooterChar"/>
    <w:uiPriority w:val="99"/>
    <w:unhideWhenUsed/>
    <w:rsid w:val="00465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9F9"/>
  </w:style>
  <w:style w:type="paragraph" w:styleId="BodyText">
    <w:name w:val="Body Text"/>
    <w:basedOn w:val="Normal"/>
    <w:link w:val="BodyTextChar"/>
    <w:uiPriority w:val="99"/>
    <w:unhideWhenUsed/>
    <w:rsid w:val="00953CE2"/>
    <w:pPr>
      <w:spacing w:line="240" w:lineRule="auto"/>
      <w:jc w:val="both"/>
    </w:pPr>
    <w:rPr>
      <w:rFonts w:ascii="Times New Roman" w:hAnsi="Times New Roman" w:cs="Times New Roman"/>
      <w:sz w:val="24"/>
      <w:szCs w:val="24"/>
    </w:rPr>
  </w:style>
  <w:style w:type="character" w:customStyle="1" w:styleId="BodyTextChar">
    <w:name w:val="Body Text Char"/>
    <w:basedOn w:val="DefaultParagraphFont"/>
    <w:link w:val="BodyText"/>
    <w:uiPriority w:val="99"/>
    <w:rsid w:val="00953CE2"/>
    <w:rPr>
      <w:rFonts w:ascii="Times New Roman" w:hAnsi="Times New Roman" w:cs="Times New Roman"/>
      <w:sz w:val="24"/>
      <w:szCs w:val="24"/>
    </w:rPr>
  </w:style>
  <w:style w:type="paragraph" w:styleId="ListParagraph">
    <w:name w:val="List Paragraph"/>
    <w:basedOn w:val="Normal"/>
    <w:uiPriority w:val="34"/>
    <w:qFormat/>
    <w:rsid w:val="00C9183E"/>
    <w:pPr>
      <w:ind w:left="720"/>
      <w:contextualSpacing/>
    </w:pPr>
  </w:style>
  <w:style w:type="paragraph" w:styleId="BodyText2">
    <w:name w:val="Body Text 2"/>
    <w:basedOn w:val="Normal"/>
    <w:link w:val="BodyText2Char"/>
    <w:uiPriority w:val="99"/>
    <w:unhideWhenUsed/>
    <w:rsid w:val="00C9183E"/>
    <w:pPr>
      <w:spacing w:line="240" w:lineRule="auto"/>
    </w:pPr>
    <w:rPr>
      <w:rFonts w:ascii="Times New Roman" w:hAnsi="Times New Roman" w:cs="Times New Roman"/>
      <w:sz w:val="24"/>
      <w:szCs w:val="24"/>
    </w:rPr>
  </w:style>
  <w:style w:type="character" w:customStyle="1" w:styleId="BodyText2Char">
    <w:name w:val="Body Text 2 Char"/>
    <w:basedOn w:val="DefaultParagraphFont"/>
    <w:link w:val="BodyText2"/>
    <w:uiPriority w:val="99"/>
    <w:rsid w:val="00C9183E"/>
    <w:rPr>
      <w:rFonts w:ascii="Times New Roman" w:hAnsi="Times New Roman" w:cs="Times New Roman"/>
      <w:sz w:val="24"/>
      <w:szCs w:val="24"/>
    </w:rPr>
  </w:style>
  <w:style w:type="table" w:styleId="TableGridLight">
    <w:name w:val="Grid Table Light"/>
    <w:basedOn w:val="TableNormal"/>
    <w:uiPriority w:val="40"/>
    <w:rsid w:val="00C9183E"/>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DB155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0A073D"/>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A073D"/>
    <w:pPr>
      <w:spacing w:after="100"/>
    </w:pPr>
  </w:style>
  <w:style w:type="paragraph" w:styleId="TOC2">
    <w:name w:val="toc 2"/>
    <w:basedOn w:val="Normal"/>
    <w:next w:val="Normal"/>
    <w:autoRedefine/>
    <w:uiPriority w:val="39"/>
    <w:unhideWhenUsed/>
    <w:rsid w:val="000A073D"/>
    <w:pPr>
      <w:spacing w:after="100"/>
      <w:ind w:left="220"/>
    </w:pPr>
  </w:style>
  <w:style w:type="character" w:styleId="Hyperlink">
    <w:name w:val="Hyperlink"/>
    <w:basedOn w:val="DefaultParagraphFont"/>
    <w:uiPriority w:val="99"/>
    <w:unhideWhenUsed/>
    <w:rsid w:val="000A073D"/>
    <w:rPr>
      <w:color w:val="0563C1" w:themeColor="hyperlink"/>
      <w:u w:val="single"/>
    </w:rPr>
  </w:style>
  <w:style w:type="paragraph" w:styleId="NormalWeb">
    <w:name w:val="Normal (Web)"/>
    <w:basedOn w:val="Normal"/>
    <w:uiPriority w:val="99"/>
    <w:unhideWhenUsed/>
    <w:rsid w:val="00526AF8"/>
    <w:pPr>
      <w:spacing w:before="100" w:beforeAutospacing="1" w:after="100" w:afterAutospacing="1" w:line="240" w:lineRule="auto"/>
    </w:pPr>
    <w:rPr>
      <w:rFonts w:ascii="Times New Roman" w:eastAsia="Times New Roman" w:hAnsi="Times New Roman" w:cs="Times New Roman"/>
      <w:sz w:val="24"/>
      <w:szCs w:val="24"/>
      <w:lang w:eastAsia="en-PK"/>
    </w:rPr>
  </w:style>
  <w:style w:type="character" w:styleId="UnresolvedMention">
    <w:name w:val="Unresolved Mention"/>
    <w:basedOn w:val="DefaultParagraphFont"/>
    <w:uiPriority w:val="99"/>
    <w:semiHidden/>
    <w:unhideWhenUsed/>
    <w:rsid w:val="000B2E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9689">
      <w:bodyDiv w:val="1"/>
      <w:marLeft w:val="0"/>
      <w:marRight w:val="0"/>
      <w:marTop w:val="0"/>
      <w:marBottom w:val="0"/>
      <w:divBdr>
        <w:top w:val="none" w:sz="0" w:space="0" w:color="auto"/>
        <w:left w:val="none" w:sz="0" w:space="0" w:color="auto"/>
        <w:bottom w:val="none" w:sz="0" w:space="0" w:color="auto"/>
        <w:right w:val="none" w:sz="0" w:space="0" w:color="auto"/>
      </w:divBdr>
    </w:div>
    <w:div w:id="189608906">
      <w:bodyDiv w:val="1"/>
      <w:marLeft w:val="0"/>
      <w:marRight w:val="0"/>
      <w:marTop w:val="0"/>
      <w:marBottom w:val="0"/>
      <w:divBdr>
        <w:top w:val="none" w:sz="0" w:space="0" w:color="auto"/>
        <w:left w:val="none" w:sz="0" w:space="0" w:color="auto"/>
        <w:bottom w:val="none" w:sz="0" w:space="0" w:color="auto"/>
        <w:right w:val="none" w:sz="0" w:space="0" w:color="auto"/>
      </w:divBdr>
      <w:divsChild>
        <w:div w:id="640382301">
          <w:marLeft w:val="0"/>
          <w:marRight w:val="0"/>
          <w:marTop w:val="0"/>
          <w:marBottom w:val="0"/>
          <w:divBdr>
            <w:top w:val="none" w:sz="0" w:space="0" w:color="auto"/>
            <w:left w:val="none" w:sz="0" w:space="0" w:color="auto"/>
            <w:bottom w:val="none" w:sz="0" w:space="0" w:color="auto"/>
            <w:right w:val="none" w:sz="0" w:space="0" w:color="auto"/>
          </w:divBdr>
          <w:divsChild>
            <w:div w:id="22526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7970270">
      <w:bodyDiv w:val="1"/>
      <w:marLeft w:val="0"/>
      <w:marRight w:val="0"/>
      <w:marTop w:val="0"/>
      <w:marBottom w:val="0"/>
      <w:divBdr>
        <w:top w:val="none" w:sz="0" w:space="0" w:color="auto"/>
        <w:left w:val="none" w:sz="0" w:space="0" w:color="auto"/>
        <w:bottom w:val="none" w:sz="0" w:space="0" w:color="auto"/>
        <w:right w:val="none" w:sz="0" w:space="0" w:color="auto"/>
      </w:divBdr>
      <w:divsChild>
        <w:div w:id="1759328737">
          <w:marLeft w:val="0"/>
          <w:marRight w:val="0"/>
          <w:marTop w:val="0"/>
          <w:marBottom w:val="0"/>
          <w:divBdr>
            <w:top w:val="none" w:sz="0" w:space="0" w:color="auto"/>
            <w:left w:val="none" w:sz="0" w:space="0" w:color="auto"/>
            <w:bottom w:val="none" w:sz="0" w:space="0" w:color="auto"/>
            <w:right w:val="none" w:sz="0" w:space="0" w:color="auto"/>
          </w:divBdr>
          <w:divsChild>
            <w:div w:id="196958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448355">
      <w:bodyDiv w:val="1"/>
      <w:marLeft w:val="0"/>
      <w:marRight w:val="0"/>
      <w:marTop w:val="0"/>
      <w:marBottom w:val="0"/>
      <w:divBdr>
        <w:top w:val="none" w:sz="0" w:space="0" w:color="auto"/>
        <w:left w:val="none" w:sz="0" w:space="0" w:color="auto"/>
        <w:bottom w:val="none" w:sz="0" w:space="0" w:color="auto"/>
        <w:right w:val="none" w:sz="0" w:space="0" w:color="auto"/>
      </w:divBdr>
      <w:divsChild>
        <w:div w:id="1196042784">
          <w:marLeft w:val="0"/>
          <w:marRight w:val="0"/>
          <w:marTop w:val="0"/>
          <w:marBottom w:val="0"/>
          <w:divBdr>
            <w:top w:val="none" w:sz="0" w:space="0" w:color="auto"/>
            <w:left w:val="none" w:sz="0" w:space="0" w:color="auto"/>
            <w:bottom w:val="none" w:sz="0" w:space="0" w:color="auto"/>
            <w:right w:val="none" w:sz="0" w:space="0" w:color="auto"/>
          </w:divBdr>
          <w:divsChild>
            <w:div w:id="164554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9985067">
      <w:bodyDiv w:val="1"/>
      <w:marLeft w:val="0"/>
      <w:marRight w:val="0"/>
      <w:marTop w:val="0"/>
      <w:marBottom w:val="0"/>
      <w:divBdr>
        <w:top w:val="none" w:sz="0" w:space="0" w:color="auto"/>
        <w:left w:val="none" w:sz="0" w:space="0" w:color="auto"/>
        <w:bottom w:val="none" w:sz="0" w:space="0" w:color="auto"/>
        <w:right w:val="none" w:sz="0" w:space="0" w:color="auto"/>
      </w:divBdr>
    </w:div>
    <w:div w:id="872813609">
      <w:bodyDiv w:val="1"/>
      <w:marLeft w:val="0"/>
      <w:marRight w:val="0"/>
      <w:marTop w:val="0"/>
      <w:marBottom w:val="0"/>
      <w:divBdr>
        <w:top w:val="none" w:sz="0" w:space="0" w:color="auto"/>
        <w:left w:val="none" w:sz="0" w:space="0" w:color="auto"/>
        <w:bottom w:val="none" w:sz="0" w:space="0" w:color="auto"/>
        <w:right w:val="none" w:sz="0" w:space="0" w:color="auto"/>
      </w:divBdr>
      <w:divsChild>
        <w:div w:id="38672229">
          <w:marLeft w:val="0"/>
          <w:marRight w:val="0"/>
          <w:marTop w:val="0"/>
          <w:marBottom w:val="0"/>
          <w:divBdr>
            <w:top w:val="none" w:sz="0" w:space="0" w:color="auto"/>
            <w:left w:val="none" w:sz="0" w:space="0" w:color="auto"/>
            <w:bottom w:val="none" w:sz="0" w:space="0" w:color="auto"/>
            <w:right w:val="none" w:sz="0" w:space="0" w:color="auto"/>
          </w:divBdr>
          <w:divsChild>
            <w:div w:id="1196384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339862">
      <w:bodyDiv w:val="1"/>
      <w:marLeft w:val="0"/>
      <w:marRight w:val="0"/>
      <w:marTop w:val="0"/>
      <w:marBottom w:val="0"/>
      <w:divBdr>
        <w:top w:val="none" w:sz="0" w:space="0" w:color="auto"/>
        <w:left w:val="none" w:sz="0" w:space="0" w:color="auto"/>
        <w:bottom w:val="none" w:sz="0" w:space="0" w:color="auto"/>
        <w:right w:val="none" w:sz="0" w:space="0" w:color="auto"/>
      </w:divBdr>
      <w:divsChild>
        <w:div w:id="85227613">
          <w:marLeft w:val="0"/>
          <w:marRight w:val="0"/>
          <w:marTop w:val="0"/>
          <w:marBottom w:val="0"/>
          <w:divBdr>
            <w:top w:val="none" w:sz="0" w:space="0" w:color="auto"/>
            <w:left w:val="none" w:sz="0" w:space="0" w:color="auto"/>
            <w:bottom w:val="none" w:sz="0" w:space="0" w:color="auto"/>
            <w:right w:val="none" w:sz="0" w:space="0" w:color="auto"/>
          </w:divBdr>
        </w:div>
      </w:divsChild>
    </w:div>
    <w:div w:id="1109857722">
      <w:bodyDiv w:val="1"/>
      <w:marLeft w:val="0"/>
      <w:marRight w:val="0"/>
      <w:marTop w:val="0"/>
      <w:marBottom w:val="0"/>
      <w:divBdr>
        <w:top w:val="none" w:sz="0" w:space="0" w:color="auto"/>
        <w:left w:val="none" w:sz="0" w:space="0" w:color="auto"/>
        <w:bottom w:val="none" w:sz="0" w:space="0" w:color="auto"/>
        <w:right w:val="none" w:sz="0" w:space="0" w:color="auto"/>
      </w:divBdr>
    </w:div>
    <w:div w:id="1198006524">
      <w:bodyDiv w:val="1"/>
      <w:marLeft w:val="0"/>
      <w:marRight w:val="0"/>
      <w:marTop w:val="0"/>
      <w:marBottom w:val="0"/>
      <w:divBdr>
        <w:top w:val="none" w:sz="0" w:space="0" w:color="auto"/>
        <w:left w:val="none" w:sz="0" w:space="0" w:color="auto"/>
        <w:bottom w:val="none" w:sz="0" w:space="0" w:color="auto"/>
        <w:right w:val="none" w:sz="0" w:space="0" w:color="auto"/>
      </w:divBdr>
    </w:div>
    <w:div w:id="1270624775">
      <w:bodyDiv w:val="1"/>
      <w:marLeft w:val="0"/>
      <w:marRight w:val="0"/>
      <w:marTop w:val="0"/>
      <w:marBottom w:val="0"/>
      <w:divBdr>
        <w:top w:val="none" w:sz="0" w:space="0" w:color="auto"/>
        <w:left w:val="none" w:sz="0" w:space="0" w:color="auto"/>
        <w:bottom w:val="none" w:sz="0" w:space="0" w:color="auto"/>
        <w:right w:val="none" w:sz="0" w:space="0" w:color="auto"/>
      </w:divBdr>
    </w:div>
    <w:div w:id="1272518150">
      <w:bodyDiv w:val="1"/>
      <w:marLeft w:val="0"/>
      <w:marRight w:val="0"/>
      <w:marTop w:val="0"/>
      <w:marBottom w:val="0"/>
      <w:divBdr>
        <w:top w:val="none" w:sz="0" w:space="0" w:color="auto"/>
        <w:left w:val="none" w:sz="0" w:space="0" w:color="auto"/>
        <w:bottom w:val="none" w:sz="0" w:space="0" w:color="auto"/>
        <w:right w:val="none" w:sz="0" w:space="0" w:color="auto"/>
      </w:divBdr>
      <w:divsChild>
        <w:div w:id="235630661">
          <w:marLeft w:val="0"/>
          <w:marRight w:val="0"/>
          <w:marTop w:val="0"/>
          <w:marBottom w:val="0"/>
          <w:divBdr>
            <w:top w:val="none" w:sz="0" w:space="0" w:color="auto"/>
            <w:left w:val="none" w:sz="0" w:space="0" w:color="auto"/>
            <w:bottom w:val="none" w:sz="0" w:space="0" w:color="auto"/>
            <w:right w:val="none" w:sz="0" w:space="0" w:color="auto"/>
          </w:divBdr>
          <w:divsChild>
            <w:div w:id="1127358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777287">
      <w:bodyDiv w:val="1"/>
      <w:marLeft w:val="0"/>
      <w:marRight w:val="0"/>
      <w:marTop w:val="0"/>
      <w:marBottom w:val="0"/>
      <w:divBdr>
        <w:top w:val="none" w:sz="0" w:space="0" w:color="auto"/>
        <w:left w:val="none" w:sz="0" w:space="0" w:color="auto"/>
        <w:bottom w:val="none" w:sz="0" w:space="0" w:color="auto"/>
        <w:right w:val="none" w:sz="0" w:space="0" w:color="auto"/>
      </w:divBdr>
    </w:div>
    <w:div w:id="1363164200">
      <w:bodyDiv w:val="1"/>
      <w:marLeft w:val="0"/>
      <w:marRight w:val="0"/>
      <w:marTop w:val="0"/>
      <w:marBottom w:val="0"/>
      <w:divBdr>
        <w:top w:val="none" w:sz="0" w:space="0" w:color="auto"/>
        <w:left w:val="none" w:sz="0" w:space="0" w:color="auto"/>
        <w:bottom w:val="none" w:sz="0" w:space="0" w:color="auto"/>
        <w:right w:val="none" w:sz="0" w:space="0" w:color="auto"/>
      </w:divBdr>
    </w:div>
    <w:div w:id="1395353808">
      <w:bodyDiv w:val="1"/>
      <w:marLeft w:val="0"/>
      <w:marRight w:val="0"/>
      <w:marTop w:val="0"/>
      <w:marBottom w:val="0"/>
      <w:divBdr>
        <w:top w:val="none" w:sz="0" w:space="0" w:color="auto"/>
        <w:left w:val="none" w:sz="0" w:space="0" w:color="auto"/>
        <w:bottom w:val="none" w:sz="0" w:space="0" w:color="auto"/>
        <w:right w:val="none" w:sz="0" w:space="0" w:color="auto"/>
      </w:divBdr>
    </w:div>
    <w:div w:id="1441100434">
      <w:bodyDiv w:val="1"/>
      <w:marLeft w:val="0"/>
      <w:marRight w:val="0"/>
      <w:marTop w:val="0"/>
      <w:marBottom w:val="0"/>
      <w:divBdr>
        <w:top w:val="none" w:sz="0" w:space="0" w:color="auto"/>
        <w:left w:val="none" w:sz="0" w:space="0" w:color="auto"/>
        <w:bottom w:val="none" w:sz="0" w:space="0" w:color="auto"/>
        <w:right w:val="none" w:sz="0" w:space="0" w:color="auto"/>
      </w:divBdr>
      <w:divsChild>
        <w:div w:id="450630688">
          <w:marLeft w:val="0"/>
          <w:marRight w:val="0"/>
          <w:marTop w:val="0"/>
          <w:marBottom w:val="0"/>
          <w:divBdr>
            <w:top w:val="none" w:sz="0" w:space="0" w:color="auto"/>
            <w:left w:val="none" w:sz="0" w:space="0" w:color="auto"/>
            <w:bottom w:val="none" w:sz="0" w:space="0" w:color="auto"/>
            <w:right w:val="none" w:sz="0" w:space="0" w:color="auto"/>
          </w:divBdr>
          <w:divsChild>
            <w:div w:id="1231773320">
              <w:marLeft w:val="0"/>
              <w:marRight w:val="0"/>
              <w:marTop w:val="0"/>
              <w:marBottom w:val="0"/>
              <w:divBdr>
                <w:top w:val="none" w:sz="0" w:space="0" w:color="auto"/>
                <w:left w:val="none" w:sz="0" w:space="0" w:color="auto"/>
                <w:bottom w:val="none" w:sz="0" w:space="0" w:color="auto"/>
                <w:right w:val="none" w:sz="0" w:space="0" w:color="auto"/>
              </w:divBdr>
            </w:div>
          </w:divsChild>
        </w:div>
        <w:div w:id="1460414819">
          <w:marLeft w:val="0"/>
          <w:marRight w:val="0"/>
          <w:marTop w:val="0"/>
          <w:marBottom w:val="0"/>
          <w:divBdr>
            <w:top w:val="none" w:sz="0" w:space="0" w:color="auto"/>
            <w:left w:val="none" w:sz="0" w:space="0" w:color="auto"/>
            <w:bottom w:val="none" w:sz="0" w:space="0" w:color="auto"/>
            <w:right w:val="none" w:sz="0" w:space="0" w:color="auto"/>
          </w:divBdr>
          <w:divsChild>
            <w:div w:id="169476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649675">
      <w:bodyDiv w:val="1"/>
      <w:marLeft w:val="0"/>
      <w:marRight w:val="0"/>
      <w:marTop w:val="0"/>
      <w:marBottom w:val="0"/>
      <w:divBdr>
        <w:top w:val="none" w:sz="0" w:space="0" w:color="auto"/>
        <w:left w:val="none" w:sz="0" w:space="0" w:color="auto"/>
        <w:bottom w:val="none" w:sz="0" w:space="0" w:color="auto"/>
        <w:right w:val="none" w:sz="0" w:space="0" w:color="auto"/>
      </w:divBdr>
      <w:divsChild>
        <w:div w:id="638917903">
          <w:marLeft w:val="0"/>
          <w:marRight w:val="0"/>
          <w:marTop w:val="0"/>
          <w:marBottom w:val="0"/>
          <w:divBdr>
            <w:top w:val="none" w:sz="0" w:space="0" w:color="auto"/>
            <w:left w:val="none" w:sz="0" w:space="0" w:color="auto"/>
            <w:bottom w:val="none" w:sz="0" w:space="0" w:color="auto"/>
            <w:right w:val="none" w:sz="0" w:space="0" w:color="auto"/>
          </w:divBdr>
          <w:divsChild>
            <w:div w:id="131860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470880">
      <w:bodyDiv w:val="1"/>
      <w:marLeft w:val="0"/>
      <w:marRight w:val="0"/>
      <w:marTop w:val="0"/>
      <w:marBottom w:val="0"/>
      <w:divBdr>
        <w:top w:val="none" w:sz="0" w:space="0" w:color="auto"/>
        <w:left w:val="none" w:sz="0" w:space="0" w:color="auto"/>
        <w:bottom w:val="none" w:sz="0" w:space="0" w:color="auto"/>
        <w:right w:val="none" w:sz="0" w:space="0" w:color="auto"/>
      </w:divBdr>
      <w:divsChild>
        <w:div w:id="862934688">
          <w:marLeft w:val="0"/>
          <w:marRight w:val="0"/>
          <w:marTop w:val="0"/>
          <w:marBottom w:val="0"/>
          <w:divBdr>
            <w:top w:val="none" w:sz="0" w:space="0" w:color="auto"/>
            <w:left w:val="none" w:sz="0" w:space="0" w:color="auto"/>
            <w:bottom w:val="none" w:sz="0" w:space="0" w:color="auto"/>
            <w:right w:val="none" w:sz="0" w:space="0" w:color="auto"/>
          </w:divBdr>
          <w:divsChild>
            <w:div w:id="193208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693871">
      <w:bodyDiv w:val="1"/>
      <w:marLeft w:val="0"/>
      <w:marRight w:val="0"/>
      <w:marTop w:val="0"/>
      <w:marBottom w:val="0"/>
      <w:divBdr>
        <w:top w:val="none" w:sz="0" w:space="0" w:color="auto"/>
        <w:left w:val="none" w:sz="0" w:space="0" w:color="auto"/>
        <w:bottom w:val="none" w:sz="0" w:space="0" w:color="auto"/>
        <w:right w:val="none" w:sz="0" w:space="0" w:color="auto"/>
      </w:divBdr>
    </w:div>
    <w:div w:id="1641301470">
      <w:bodyDiv w:val="1"/>
      <w:marLeft w:val="0"/>
      <w:marRight w:val="0"/>
      <w:marTop w:val="0"/>
      <w:marBottom w:val="0"/>
      <w:divBdr>
        <w:top w:val="none" w:sz="0" w:space="0" w:color="auto"/>
        <w:left w:val="none" w:sz="0" w:space="0" w:color="auto"/>
        <w:bottom w:val="none" w:sz="0" w:space="0" w:color="auto"/>
        <w:right w:val="none" w:sz="0" w:space="0" w:color="auto"/>
      </w:divBdr>
      <w:divsChild>
        <w:div w:id="1017005544">
          <w:marLeft w:val="0"/>
          <w:marRight w:val="0"/>
          <w:marTop w:val="0"/>
          <w:marBottom w:val="0"/>
          <w:divBdr>
            <w:top w:val="none" w:sz="0" w:space="0" w:color="auto"/>
            <w:left w:val="none" w:sz="0" w:space="0" w:color="auto"/>
            <w:bottom w:val="none" w:sz="0" w:space="0" w:color="auto"/>
            <w:right w:val="none" w:sz="0" w:space="0" w:color="auto"/>
          </w:divBdr>
          <w:divsChild>
            <w:div w:id="204578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3241679">
      <w:bodyDiv w:val="1"/>
      <w:marLeft w:val="0"/>
      <w:marRight w:val="0"/>
      <w:marTop w:val="0"/>
      <w:marBottom w:val="0"/>
      <w:divBdr>
        <w:top w:val="none" w:sz="0" w:space="0" w:color="auto"/>
        <w:left w:val="none" w:sz="0" w:space="0" w:color="auto"/>
        <w:bottom w:val="none" w:sz="0" w:space="0" w:color="auto"/>
        <w:right w:val="none" w:sz="0" w:space="0" w:color="auto"/>
      </w:divBdr>
    </w:div>
    <w:div w:id="1695158039">
      <w:bodyDiv w:val="1"/>
      <w:marLeft w:val="0"/>
      <w:marRight w:val="0"/>
      <w:marTop w:val="0"/>
      <w:marBottom w:val="0"/>
      <w:divBdr>
        <w:top w:val="none" w:sz="0" w:space="0" w:color="auto"/>
        <w:left w:val="none" w:sz="0" w:space="0" w:color="auto"/>
        <w:bottom w:val="none" w:sz="0" w:space="0" w:color="auto"/>
        <w:right w:val="none" w:sz="0" w:space="0" w:color="auto"/>
      </w:divBdr>
      <w:divsChild>
        <w:div w:id="490755731">
          <w:marLeft w:val="0"/>
          <w:marRight w:val="0"/>
          <w:marTop w:val="0"/>
          <w:marBottom w:val="0"/>
          <w:divBdr>
            <w:top w:val="none" w:sz="0" w:space="0" w:color="auto"/>
            <w:left w:val="none" w:sz="0" w:space="0" w:color="auto"/>
            <w:bottom w:val="none" w:sz="0" w:space="0" w:color="auto"/>
            <w:right w:val="none" w:sz="0" w:space="0" w:color="auto"/>
          </w:divBdr>
        </w:div>
      </w:divsChild>
    </w:div>
    <w:div w:id="1892842110">
      <w:bodyDiv w:val="1"/>
      <w:marLeft w:val="0"/>
      <w:marRight w:val="0"/>
      <w:marTop w:val="0"/>
      <w:marBottom w:val="0"/>
      <w:divBdr>
        <w:top w:val="none" w:sz="0" w:space="0" w:color="auto"/>
        <w:left w:val="none" w:sz="0" w:space="0" w:color="auto"/>
        <w:bottom w:val="none" w:sz="0" w:space="0" w:color="auto"/>
        <w:right w:val="none" w:sz="0" w:space="0" w:color="auto"/>
      </w:divBdr>
      <w:divsChild>
        <w:div w:id="1654144583">
          <w:marLeft w:val="0"/>
          <w:marRight w:val="0"/>
          <w:marTop w:val="0"/>
          <w:marBottom w:val="0"/>
          <w:divBdr>
            <w:top w:val="none" w:sz="0" w:space="0" w:color="auto"/>
            <w:left w:val="none" w:sz="0" w:space="0" w:color="auto"/>
            <w:bottom w:val="none" w:sz="0" w:space="0" w:color="auto"/>
            <w:right w:val="none" w:sz="0" w:space="0" w:color="auto"/>
          </w:divBdr>
          <w:divsChild>
            <w:div w:id="1029374618">
              <w:marLeft w:val="0"/>
              <w:marRight w:val="0"/>
              <w:marTop w:val="0"/>
              <w:marBottom w:val="0"/>
              <w:divBdr>
                <w:top w:val="none" w:sz="0" w:space="0" w:color="auto"/>
                <w:left w:val="none" w:sz="0" w:space="0" w:color="auto"/>
                <w:bottom w:val="none" w:sz="0" w:space="0" w:color="auto"/>
                <w:right w:val="none" w:sz="0" w:space="0" w:color="auto"/>
              </w:divBdr>
            </w:div>
          </w:divsChild>
        </w:div>
        <w:div w:id="471295959">
          <w:marLeft w:val="0"/>
          <w:marRight w:val="0"/>
          <w:marTop w:val="0"/>
          <w:marBottom w:val="0"/>
          <w:divBdr>
            <w:top w:val="none" w:sz="0" w:space="0" w:color="auto"/>
            <w:left w:val="none" w:sz="0" w:space="0" w:color="auto"/>
            <w:bottom w:val="none" w:sz="0" w:space="0" w:color="auto"/>
            <w:right w:val="none" w:sz="0" w:space="0" w:color="auto"/>
          </w:divBdr>
          <w:divsChild>
            <w:div w:id="25273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2417526">
      <w:bodyDiv w:val="1"/>
      <w:marLeft w:val="0"/>
      <w:marRight w:val="0"/>
      <w:marTop w:val="0"/>
      <w:marBottom w:val="0"/>
      <w:divBdr>
        <w:top w:val="none" w:sz="0" w:space="0" w:color="auto"/>
        <w:left w:val="none" w:sz="0" w:space="0" w:color="auto"/>
        <w:bottom w:val="none" w:sz="0" w:space="0" w:color="auto"/>
        <w:right w:val="none" w:sz="0" w:space="0" w:color="auto"/>
      </w:divBdr>
    </w:div>
    <w:div w:id="1990556824">
      <w:bodyDiv w:val="1"/>
      <w:marLeft w:val="0"/>
      <w:marRight w:val="0"/>
      <w:marTop w:val="0"/>
      <w:marBottom w:val="0"/>
      <w:divBdr>
        <w:top w:val="none" w:sz="0" w:space="0" w:color="auto"/>
        <w:left w:val="none" w:sz="0" w:space="0" w:color="auto"/>
        <w:bottom w:val="none" w:sz="0" w:space="0" w:color="auto"/>
        <w:right w:val="none" w:sz="0" w:space="0" w:color="auto"/>
      </w:divBdr>
    </w:div>
    <w:div w:id="2015261942">
      <w:bodyDiv w:val="1"/>
      <w:marLeft w:val="0"/>
      <w:marRight w:val="0"/>
      <w:marTop w:val="0"/>
      <w:marBottom w:val="0"/>
      <w:divBdr>
        <w:top w:val="none" w:sz="0" w:space="0" w:color="auto"/>
        <w:left w:val="none" w:sz="0" w:space="0" w:color="auto"/>
        <w:bottom w:val="none" w:sz="0" w:space="0" w:color="auto"/>
        <w:right w:val="none" w:sz="0" w:space="0" w:color="auto"/>
      </w:divBdr>
      <w:divsChild>
        <w:div w:id="2121294087">
          <w:marLeft w:val="0"/>
          <w:marRight w:val="0"/>
          <w:marTop w:val="0"/>
          <w:marBottom w:val="0"/>
          <w:divBdr>
            <w:top w:val="none" w:sz="0" w:space="0" w:color="auto"/>
            <w:left w:val="none" w:sz="0" w:space="0" w:color="auto"/>
            <w:bottom w:val="none" w:sz="0" w:space="0" w:color="auto"/>
            <w:right w:val="none" w:sz="0" w:space="0" w:color="auto"/>
          </w:divBdr>
          <w:divsChild>
            <w:div w:id="1504970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189/jogh.14.03010" TargetMode="External"/><Relationship Id="rId18" Type="http://schemas.openxmlformats.org/officeDocument/2006/relationships/hyperlink" Target="https://doi.org/10.1088/1361-6579/adca82" TargetMode="External"/><Relationship Id="rId26" Type="http://schemas.openxmlformats.org/officeDocument/2006/relationships/hyperlink" Target="https://doi.org/10.4338/aci-2016-03-r-0042" TargetMode="External"/><Relationship Id="rId39" Type="http://schemas.openxmlformats.org/officeDocument/2006/relationships/fontTable" Target="fontTable.xml"/><Relationship Id="rId21" Type="http://schemas.openxmlformats.org/officeDocument/2006/relationships/hyperlink" Target="https://doi.org/10.1186/s12911-023-02350-w" TargetMode="External"/><Relationship Id="rId34" Type="http://schemas.openxmlformats.org/officeDocument/2006/relationships/hyperlink" Target="https://doi.org/10.1016/j.ijmedinf.2024.105560" TargetMode="External"/><Relationship Id="rId7" Type="http://schemas.openxmlformats.org/officeDocument/2006/relationships/endnotes" Target="endnotes.xml"/><Relationship Id="rId12" Type="http://schemas.openxmlformats.org/officeDocument/2006/relationships/hyperlink" Target="https://doi.org/10.53022/oarjms.2024.7.1.0019" TargetMode="External"/><Relationship Id="rId17" Type="http://schemas.openxmlformats.org/officeDocument/2006/relationships/hyperlink" Target="https://doi.org/10.1093/jamia/ocy082" TargetMode="External"/><Relationship Id="rId25" Type="http://schemas.openxmlformats.org/officeDocument/2006/relationships/hyperlink" Target="https://doi.org/10.1371/journal.pdig.0000860" TargetMode="External"/><Relationship Id="rId33" Type="http://schemas.openxmlformats.org/officeDocument/2006/relationships/hyperlink" Target="https://www.statista.com/topics/12225/wearables-in-the-uk"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pple.com/uk/newsroom/2025/09/apple-debuts-apple-watch-series-11-featuring-groundbreaking-health-insights/" TargetMode="External"/><Relationship Id="rId20" Type="http://schemas.openxmlformats.org/officeDocument/2006/relationships/hyperlink" Target="https://doi.org/10.1007/978-3-032-03577-6_4" TargetMode="External"/><Relationship Id="rId29" Type="http://schemas.openxmlformats.org/officeDocument/2006/relationships/hyperlink" Target="https://doi.org/10.7759/cureus.712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3390/ijerph20247146" TargetMode="External"/><Relationship Id="rId32" Type="http://schemas.openxmlformats.org/officeDocument/2006/relationships/hyperlink" Target="https://med.stanford.edu/news/all-news/2018/11/stanford-apple-describe-heart-study-with-over-400000-participants.html" TargetMode="External"/><Relationship Id="rId37" Type="http://schemas.openxmlformats.org/officeDocument/2006/relationships/hyperlink" Target="https://doi.org/10.48550/arxiv.2509.22920"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pple.com/newsroom/2024/10/apple-reports-fourth-quarter-results" TargetMode="External"/><Relationship Id="rId23" Type="http://schemas.openxmlformats.org/officeDocument/2006/relationships/hyperlink" Target="https://doi.org/10.1007/s42452-025-07783-8" TargetMode="External"/><Relationship Id="rId28" Type="http://schemas.openxmlformats.org/officeDocument/2006/relationships/hyperlink" Target="https://www.mordorintelligence.com/industry-reports/united-kingdom-wearable-technology-market" TargetMode="External"/><Relationship Id="rId36" Type="http://schemas.openxmlformats.org/officeDocument/2006/relationships/hyperlink" Target="https://doi.org/10.3390/healthcare13182289" TargetMode="External"/><Relationship Id="rId10" Type="http://schemas.openxmlformats.org/officeDocument/2006/relationships/image" Target="media/image3.png"/><Relationship Id="rId19" Type="http://schemas.openxmlformats.org/officeDocument/2006/relationships/hyperlink" Target="https://www.cambridge.org/core/books/stakeholder-theory/FEA0B845888E463076284961856724C9" TargetMode="External"/><Relationship Id="rId31" Type="http://schemas.openxmlformats.org/officeDocument/2006/relationships/hyperlink" Target="https://www.ons.gov.uk/peoplepopulationandcommunity/populationandmigration/populationestimates/bulletins/annualmidyearpopulationestimates/mid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86/s12912-025-03343-y" TargetMode="External"/><Relationship Id="rId22" Type="http://schemas.openxmlformats.org/officeDocument/2006/relationships/hyperlink" Target="https://ico.org.uk/about-the-ico/our-information/policies-and-procedures/data-protection-fining-guidance/statutory-background/the-maximum-amount-of-a-fine-under-uk-gdpr-and-dpa-2018" TargetMode="External"/><Relationship Id="rId27" Type="http://schemas.openxmlformats.org/officeDocument/2006/relationships/hyperlink" Target="https://www.gov.uk/government/publications/medical-devices-software-applications-apps" TargetMode="External"/><Relationship Id="rId30" Type="http://schemas.openxmlformats.org/officeDocument/2006/relationships/hyperlink" Target="https://www.nomisweb.co.uk/datasets/pestsyoala" TargetMode="External"/><Relationship Id="rId35" Type="http://schemas.openxmlformats.org/officeDocument/2006/relationships/hyperlink" Target="https://doi.org/10.1111/beer.12441" TargetMode="Externa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1512F0-E435-41BA-AC2C-BD989CDB18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6407</Words>
  <Characters>36520</Characters>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2025-12-13T07:41:00Z</dcterms:created>
  <dcterms:modified xsi:type="dcterms:W3CDTF">2025-12-15T08:54:00Z</dcterms:modified>
</cp:coreProperties>
</file>