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8029225"/>
        <w:docPartObj>
          <w:docPartGallery w:val="Table of Contents"/>
          <w:docPartUnique/>
        </w:docPartObj>
      </w:sdtPr>
      <w:sdtEndPr>
        <w:rPr>
          <w:rFonts w:asciiTheme="minorHAnsi" w:eastAsiaTheme="minorEastAsia" w:hAnsiTheme="minorHAnsi" w:cstheme="minorBidi"/>
          <w:b/>
          <w:bCs/>
          <w:noProof/>
          <w:color w:val="auto"/>
          <w:sz w:val="24"/>
          <w:szCs w:val="24"/>
          <w:lang w:val="en-GB" w:eastAsia="zh-CN"/>
        </w:rPr>
      </w:sdtEndPr>
      <w:sdtContent>
        <w:p w14:paraId="1EDD7692" w14:textId="6C530B92" w:rsidR="00EE4A7D" w:rsidRPr="00EE4A7D" w:rsidRDefault="00EE4A7D" w:rsidP="00EE4A7D">
          <w:pPr>
            <w:pStyle w:val="TOCHeading"/>
            <w:rPr>
              <w:spacing w:val="-10"/>
              <w:kern w:val="28"/>
              <w:sz w:val="56"/>
              <w:szCs w:val="56"/>
              <w:lang w:val="en-GB" w:eastAsia="zh-CN"/>
            </w:rPr>
          </w:pPr>
          <w:r w:rsidRPr="00EE4A7D">
            <w:rPr>
              <w:rStyle w:val="TitleChar"/>
              <w:lang w:val="en-GB"/>
            </w:rPr>
            <w:t>Strategic Analysis of Renaissance Technologies: Navigating Competition, Innovation, and Sustainability</w:t>
          </w:r>
          <w:r>
            <w:rPr>
              <w:rStyle w:val="TitleChar"/>
              <w:rFonts w:hint="eastAsia"/>
              <w:lang w:val="en-GB" w:eastAsia="zh-CN"/>
            </w:rPr>
            <w:t xml:space="preserve"> </w:t>
          </w:r>
          <w:r>
            <w:br w:type="page"/>
          </w:r>
        </w:p>
        <w:p w14:paraId="41FC9BD1" w14:textId="23EB8F19" w:rsidR="00EE4A7D" w:rsidRDefault="00EE4A7D">
          <w:pPr>
            <w:pStyle w:val="TOCHeading"/>
          </w:pPr>
          <w:r>
            <w:lastRenderedPageBreak/>
            <w:t>Contents</w:t>
          </w:r>
        </w:p>
        <w:p w14:paraId="0B1C8DC7" w14:textId="08FCD560" w:rsidR="00EE4A7D" w:rsidRDefault="00EE4A7D">
          <w:pPr>
            <w:pStyle w:val="TOC1"/>
            <w:tabs>
              <w:tab w:val="left" w:pos="480"/>
              <w:tab w:val="right" w:leader="dot" w:pos="8296"/>
            </w:tabs>
            <w:rPr>
              <w:noProof/>
              <w:kern w:val="2"/>
              <w14:ligatures w14:val="standardContextual"/>
            </w:rPr>
          </w:pPr>
          <w:r>
            <w:fldChar w:fldCharType="begin"/>
          </w:r>
          <w:r>
            <w:instrText xml:space="preserve"> TOC \o "1-3" \h \z \u </w:instrText>
          </w:r>
          <w:r>
            <w:fldChar w:fldCharType="separate"/>
          </w:r>
          <w:hyperlink w:anchor="_Toc193493589" w:history="1">
            <w:r w:rsidRPr="009B1D93">
              <w:rPr>
                <w:rStyle w:val="Hyperlink"/>
                <w:rFonts w:ascii="Arial" w:hAnsi="Arial" w:cs="Arial"/>
                <w:noProof/>
              </w:rPr>
              <w:t>1.</w:t>
            </w:r>
            <w:r>
              <w:rPr>
                <w:noProof/>
                <w:kern w:val="2"/>
                <w14:ligatures w14:val="standardContextual"/>
              </w:rPr>
              <w:tab/>
            </w:r>
            <w:r w:rsidRPr="009B1D9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_Toc193493589 \h </w:instrText>
            </w:r>
            <w:r>
              <w:rPr>
                <w:noProof/>
                <w:webHidden/>
              </w:rPr>
            </w:r>
            <w:r>
              <w:rPr>
                <w:noProof/>
                <w:webHidden/>
              </w:rPr>
              <w:fldChar w:fldCharType="separate"/>
            </w:r>
            <w:r>
              <w:rPr>
                <w:noProof/>
                <w:webHidden/>
              </w:rPr>
              <w:t>1</w:t>
            </w:r>
            <w:r>
              <w:rPr>
                <w:noProof/>
                <w:webHidden/>
              </w:rPr>
              <w:fldChar w:fldCharType="end"/>
            </w:r>
          </w:hyperlink>
        </w:p>
        <w:p w14:paraId="6177CA75" w14:textId="56750A94" w:rsidR="00EE4A7D" w:rsidRDefault="00EE4A7D">
          <w:pPr>
            <w:pStyle w:val="TOC1"/>
            <w:tabs>
              <w:tab w:val="left" w:pos="480"/>
              <w:tab w:val="right" w:leader="dot" w:pos="8296"/>
            </w:tabs>
            <w:rPr>
              <w:noProof/>
              <w:kern w:val="2"/>
              <w14:ligatures w14:val="standardContextual"/>
            </w:rPr>
          </w:pPr>
          <w:hyperlink w:anchor="_Toc193493590" w:history="1">
            <w:r w:rsidRPr="009B1D93">
              <w:rPr>
                <w:rStyle w:val="Hyperlink"/>
                <w:rFonts w:ascii="Arial" w:hAnsi="Arial" w:cs="Arial"/>
                <w:noProof/>
              </w:rPr>
              <w:t>1.</w:t>
            </w:r>
            <w:r>
              <w:rPr>
                <w:noProof/>
                <w:kern w:val="2"/>
                <w14:ligatures w14:val="standardContextual"/>
              </w:rPr>
              <w:tab/>
            </w:r>
            <w:r w:rsidRPr="009B1D93">
              <w:rPr>
                <w:rStyle w:val="Hyperlink"/>
                <w:rFonts w:ascii="Arial" w:hAnsi="Arial" w:cs="Arial"/>
                <w:noProof/>
              </w:rPr>
              <w:t>External analysis</w:t>
            </w:r>
            <w:r>
              <w:rPr>
                <w:noProof/>
                <w:webHidden/>
              </w:rPr>
              <w:tab/>
            </w:r>
            <w:r>
              <w:rPr>
                <w:noProof/>
                <w:webHidden/>
              </w:rPr>
              <w:fldChar w:fldCharType="begin"/>
            </w:r>
            <w:r>
              <w:rPr>
                <w:noProof/>
                <w:webHidden/>
              </w:rPr>
              <w:instrText xml:space="preserve"> PAGEREF _Toc193493590 \h </w:instrText>
            </w:r>
            <w:r>
              <w:rPr>
                <w:noProof/>
                <w:webHidden/>
              </w:rPr>
            </w:r>
            <w:r>
              <w:rPr>
                <w:noProof/>
                <w:webHidden/>
              </w:rPr>
              <w:fldChar w:fldCharType="separate"/>
            </w:r>
            <w:r>
              <w:rPr>
                <w:noProof/>
                <w:webHidden/>
              </w:rPr>
              <w:t>3</w:t>
            </w:r>
            <w:r>
              <w:rPr>
                <w:noProof/>
                <w:webHidden/>
              </w:rPr>
              <w:fldChar w:fldCharType="end"/>
            </w:r>
          </w:hyperlink>
        </w:p>
        <w:p w14:paraId="4B9EC910" w14:textId="593A27B0" w:rsidR="00EE4A7D" w:rsidRDefault="00EE4A7D">
          <w:pPr>
            <w:pStyle w:val="TOC2"/>
            <w:tabs>
              <w:tab w:val="right" w:leader="dot" w:pos="8296"/>
            </w:tabs>
            <w:rPr>
              <w:noProof/>
              <w:kern w:val="2"/>
              <w14:ligatures w14:val="standardContextual"/>
            </w:rPr>
          </w:pPr>
          <w:hyperlink w:anchor="_Toc193493591" w:history="1">
            <w:r w:rsidRPr="009B1D93">
              <w:rPr>
                <w:rStyle w:val="Hyperlink"/>
                <w:rFonts w:ascii="Arial" w:hAnsi="Arial" w:cs="Arial"/>
                <w:noProof/>
              </w:rPr>
              <w:t>Political</w:t>
            </w:r>
            <w:r>
              <w:rPr>
                <w:noProof/>
                <w:webHidden/>
              </w:rPr>
              <w:tab/>
            </w:r>
            <w:r>
              <w:rPr>
                <w:noProof/>
                <w:webHidden/>
              </w:rPr>
              <w:fldChar w:fldCharType="begin"/>
            </w:r>
            <w:r>
              <w:rPr>
                <w:noProof/>
                <w:webHidden/>
              </w:rPr>
              <w:instrText xml:space="preserve"> PAGEREF _Toc193493591 \h </w:instrText>
            </w:r>
            <w:r>
              <w:rPr>
                <w:noProof/>
                <w:webHidden/>
              </w:rPr>
            </w:r>
            <w:r>
              <w:rPr>
                <w:noProof/>
                <w:webHidden/>
              </w:rPr>
              <w:fldChar w:fldCharType="separate"/>
            </w:r>
            <w:r>
              <w:rPr>
                <w:noProof/>
                <w:webHidden/>
              </w:rPr>
              <w:t>4</w:t>
            </w:r>
            <w:r>
              <w:rPr>
                <w:noProof/>
                <w:webHidden/>
              </w:rPr>
              <w:fldChar w:fldCharType="end"/>
            </w:r>
          </w:hyperlink>
        </w:p>
        <w:p w14:paraId="25944D7F" w14:textId="7C93B8A1" w:rsidR="00EE4A7D" w:rsidRDefault="00EE4A7D">
          <w:pPr>
            <w:pStyle w:val="TOC2"/>
            <w:tabs>
              <w:tab w:val="right" w:leader="dot" w:pos="8296"/>
            </w:tabs>
            <w:rPr>
              <w:noProof/>
              <w:kern w:val="2"/>
              <w14:ligatures w14:val="standardContextual"/>
            </w:rPr>
          </w:pPr>
          <w:hyperlink w:anchor="_Toc193493592" w:history="1">
            <w:r w:rsidRPr="009B1D93">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_Toc193493592 \h </w:instrText>
            </w:r>
            <w:r>
              <w:rPr>
                <w:noProof/>
                <w:webHidden/>
              </w:rPr>
            </w:r>
            <w:r>
              <w:rPr>
                <w:noProof/>
                <w:webHidden/>
              </w:rPr>
              <w:fldChar w:fldCharType="separate"/>
            </w:r>
            <w:r>
              <w:rPr>
                <w:noProof/>
                <w:webHidden/>
              </w:rPr>
              <w:t>5</w:t>
            </w:r>
            <w:r>
              <w:rPr>
                <w:noProof/>
                <w:webHidden/>
              </w:rPr>
              <w:fldChar w:fldCharType="end"/>
            </w:r>
          </w:hyperlink>
        </w:p>
        <w:p w14:paraId="456DBD14" w14:textId="47C5AA4A" w:rsidR="00EE4A7D" w:rsidRDefault="00EE4A7D">
          <w:pPr>
            <w:pStyle w:val="TOC1"/>
            <w:tabs>
              <w:tab w:val="left" w:pos="480"/>
              <w:tab w:val="right" w:leader="dot" w:pos="8296"/>
            </w:tabs>
            <w:rPr>
              <w:noProof/>
              <w:kern w:val="2"/>
              <w14:ligatures w14:val="standardContextual"/>
            </w:rPr>
          </w:pPr>
          <w:hyperlink w:anchor="_Toc193493593" w:history="1">
            <w:r w:rsidRPr="009B1D93">
              <w:rPr>
                <w:rStyle w:val="Hyperlink"/>
                <w:rFonts w:ascii="Arial" w:hAnsi="Arial" w:cs="Arial"/>
                <w:noProof/>
              </w:rPr>
              <w:t>2.</w:t>
            </w:r>
            <w:r>
              <w:rPr>
                <w:noProof/>
                <w:kern w:val="2"/>
                <w14:ligatures w14:val="standardContextual"/>
              </w:rPr>
              <w:tab/>
            </w:r>
            <w:r w:rsidRPr="009B1D93">
              <w:rPr>
                <w:rStyle w:val="Hyperlink"/>
                <w:rFonts w:ascii="Arial" w:hAnsi="Arial" w:cs="Arial"/>
                <w:noProof/>
              </w:rPr>
              <w:t>Internal analysis</w:t>
            </w:r>
            <w:r>
              <w:rPr>
                <w:noProof/>
                <w:webHidden/>
              </w:rPr>
              <w:tab/>
            </w:r>
            <w:r>
              <w:rPr>
                <w:noProof/>
                <w:webHidden/>
              </w:rPr>
              <w:fldChar w:fldCharType="begin"/>
            </w:r>
            <w:r>
              <w:rPr>
                <w:noProof/>
                <w:webHidden/>
              </w:rPr>
              <w:instrText xml:space="preserve"> PAGEREF _Toc193493593 \h </w:instrText>
            </w:r>
            <w:r>
              <w:rPr>
                <w:noProof/>
                <w:webHidden/>
              </w:rPr>
            </w:r>
            <w:r>
              <w:rPr>
                <w:noProof/>
                <w:webHidden/>
              </w:rPr>
              <w:fldChar w:fldCharType="separate"/>
            </w:r>
            <w:r>
              <w:rPr>
                <w:noProof/>
                <w:webHidden/>
              </w:rPr>
              <w:t>7</w:t>
            </w:r>
            <w:r>
              <w:rPr>
                <w:noProof/>
                <w:webHidden/>
              </w:rPr>
              <w:fldChar w:fldCharType="end"/>
            </w:r>
          </w:hyperlink>
        </w:p>
        <w:p w14:paraId="1DFB8E18" w14:textId="37B4935A" w:rsidR="00EE4A7D" w:rsidRDefault="00EE4A7D">
          <w:pPr>
            <w:pStyle w:val="TOC1"/>
            <w:tabs>
              <w:tab w:val="left" w:pos="480"/>
              <w:tab w:val="right" w:leader="dot" w:pos="8296"/>
            </w:tabs>
            <w:rPr>
              <w:noProof/>
              <w:kern w:val="2"/>
              <w14:ligatures w14:val="standardContextual"/>
            </w:rPr>
          </w:pPr>
          <w:hyperlink w:anchor="_Toc193493594" w:history="1">
            <w:r w:rsidRPr="009B1D93">
              <w:rPr>
                <w:rStyle w:val="Hyperlink"/>
                <w:rFonts w:ascii="Arial" w:hAnsi="Arial" w:cs="Arial"/>
                <w:noProof/>
              </w:rPr>
              <w:t>3.</w:t>
            </w:r>
            <w:r>
              <w:rPr>
                <w:noProof/>
                <w:kern w:val="2"/>
                <w14:ligatures w14:val="standardContextual"/>
              </w:rPr>
              <w:tab/>
            </w:r>
            <w:r w:rsidRPr="009B1D93">
              <w:rPr>
                <w:rStyle w:val="Hyperlink"/>
                <w:rFonts w:ascii="Arial" w:hAnsi="Arial" w:cs="Arial"/>
                <w:noProof/>
              </w:rPr>
              <w:t>Strategy Formulation &amp; Competitive Positioning</w:t>
            </w:r>
            <w:r>
              <w:rPr>
                <w:noProof/>
                <w:webHidden/>
              </w:rPr>
              <w:tab/>
            </w:r>
            <w:r>
              <w:rPr>
                <w:noProof/>
                <w:webHidden/>
              </w:rPr>
              <w:fldChar w:fldCharType="begin"/>
            </w:r>
            <w:r>
              <w:rPr>
                <w:noProof/>
                <w:webHidden/>
              </w:rPr>
              <w:instrText xml:space="preserve"> PAGEREF _Toc193493594 \h </w:instrText>
            </w:r>
            <w:r>
              <w:rPr>
                <w:noProof/>
                <w:webHidden/>
              </w:rPr>
            </w:r>
            <w:r>
              <w:rPr>
                <w:noProof/>
                <w:webHidden/>
              </w:rPr>
              <w:fldChar w:fldCharType="separate"/>
            </w:r>
            <w:r>
              <w:rPr>
                <w:noProof/>
                <w:webHidden/>
              </w:rPr>
              <w:t>7</w:t>
            </w:r>
            <w:r>
              <w:rPr>
                <w:noProof/>
                <w:webHidden/>
              </w:rPr>
              <w:fldChar w:fldCharType="end"/>
            </w:r>
          </w:hyperlink>
        </w:p>
        <w:p w14:paraId="568702CA" w14:textId="2ECE347D" w:rsidR="00EE4A7D" w:rsidRDefault="00EE4A7D">
          <w:pPr>
            <w:pStyle w:val="TOC1"/>
            <w:tabs>
              <w:tab w:val="left" w:pos="480"/>
              <w:tab w:val="right" w:leader="dot" w:pos="8296"/>
            </w:tabs>
            <w:rPr>
              <w:noProof/>
              <w:kern w:val="2"/>
              <w14:ligatures w14:val="standardContextual"/>
            </w:rPr>
          </w:pPr>
          <w:hyperlink w:anchor="_Toc193493595" w:history="1">
            <w:r w:rsidRPr="009B1D93">
              <w:rPr>
                <w:rStyle w:val="Hyperlink"/>
                <w:rFonts w:ascii="Arial" w:hAnsi="Arial" w:cs="Arial"/>
                <w:noProof/>
              </w:rPr>
              <w:t>4.</w:t>
            </w:r>
            <w:r>
              <w:rPr>
                <w:noProof/>
                <w:kern w:val="2"/>
                <w14:ligatures w14:val="standardContextual"/>
              </w:rPr>
              <w:tab/>
            </w:r>
            <w:r w:rsidRPr="009B1D93">
              <w:rPr>
                <w:rStyle w:val="Hyperlink"/>
                <w:rFonts w:ascii="Arial" w:hAnsi="Arial" w:cs="Arial"/>
                <w:noProof/>
              </w:rPr>
              <w:t>Sustainability &amp; Strategic Recommendations</w:t>
            </w:r>
            <w:r>
              <w:rPr>
                <w:noProof/>
                <w:webHidden/>
              </w:rPr>
              <w:tab/>
            </w:r>
            <w:r>
              <w:rPr>
                <w:noProof/>
                <w:webHidden/>
              </w:rPr>
              <w:fldChar w:fldCharType="begin"/>
            </w:r>
            <w:r>
              <w:rPr>
                <w:noProof/>
                <w:webHidden/>
              </w:rPr>
              <w:instrText xml:space="preserve"> PAGEREF _Toc193493595 \h </w:instrText>
            </w:r>
            <w:r>
              <w:rPr>
                <w:noProof/>
                <w:webHidden/>
              </w:rPr>
            </w:r>
            <w:r>
              <w:rPr>
                <w:noProof/>
                <w:webHidden/>
              </w:rPr>
              <w:fldChar w:fldCharType="separate"/>
            </w:r>
            <w:r>
              <w:rPr>
                <w:noProof/>
                <w:webHidden/>
              </w:rPr>
              <w:t>7</w:t>
            </w:r>
            <w:r>
              <w:rPr>
                <w:noProof/>
                <w:webHidden/>
              </w:rPr>
              <w:fldChar w:fldCharType="end"/>
            </w:r>
          </w:hyperlink>
        </w:p>
        <w:p w14:paraId="1482D195" w14:textId="76B35D4C" w:rsidR="00EE4A7D" w:rsidRDefault="00EE4A7D">
          <w:pPr>
            <w:pStyle w:val="TOC1"/>
            <w:tabs>
              <w:tab w:val="left" w:pos="480"/>
              <w:tab w:val="right" w:leader="dot" w:pos="8296"/>
            </w:tabs>
            <w:rPr>
              <w:noProof/>
              <w:kern w:val="2"/>
              <w14:ligatures w14:val="standardContextual"/>
            </w:rPr>
          </w:pPr>
          <w:hyperlink w:anchor="_Toc193493596" w:history="1">
            <w:r w:rsidRPr="009B1D93">
              <w:rPr>
                <w:rStyle w:val="Hyperlink"/>
                <w:rFonts w:ascii="Arial" w:hAnsi="Arial" w:cs="Arial"/>
                <w:noProof/>
              </w:rPr>
              <w:t>5.</w:t>
            </w:r>
            <w:r>
              <w:rPr>
                <w:noProof/>
                <w:kern w:val="2"/>
                <w14:ligatures w14:val="standardContextual"/>
              </w:rPr>
              <w:tab/>
            </w:r>
            <w:r w:rsidRPr="009B1D9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_Toc193493596 \h </w:instrText>
            </w:r>
            <w:r>
              <w:rPr>
                <w:noProof/>
                <w:webHidden/>
              </w:rPr>
            </w:r>
            <w:r>
              <w:rPr>
                <w:noProof/>
                <w:webHidden/>
              </w:rPr>
              <w:fldChar w:fldCharType="separate"/>
            </w:r>
            <w:r>
              <w:rPr>
                <w:noProof/>
                <w:webHidden/>
              </w:rPr>
              <w:t>7</w:t>
            </w:r>
            <w:r>
              <w:rPr>
                <w:noProof/>
                <w:webHidden/>
              </w:rPr>
              <w:fldChar w:fldCharType="end"/>
            </w:r>
          </w:hyperlink>
        </w:p>
        <w:p w14:paraId="79AEFE91" w14:textId="55465910" w:rsidR="00EE4A7D" w:rsidRDefault="00EE4A7D">
          <w:pPr>
            <w:pStyle w:val="TOC1"/>
            <w:tabs>
              <w:tab w:val="right" w:leader="dot" w:pos="8296"/>
            </w:tabs>
            <w:rPr>
              <w:noProof/>
              <w:kern w:val="2"/>
              <w14:ligatures w14:val="standardContextual"/>
            </w:rPr>
          </w:pPr>
          <w:hyperlink w:anchor="_Toc193493597" w:history="1">
            <w:r w:rsidRPr="009B1D93">
              <w:rPr>
                <w:rStyle w:val="Hyperlink"/>
                <w:rFonts w:ascii="Arial" w:hAnsi="Arial" w:cs="Arial"/>
                <w:noProof/>
              </w:rPr>
              <w:t>Reference</w:t>
            </w:r>
            <w:r>
              <w:rPr>
                <w:noProof/>
                <w:webHidden/>
              </w:rPr>
              <w:tab/>
            </w:r>
            <w:r>
              <w:rPr>
                <w:noProof/>
                <w:webHidden/>
              </w:rPr>
              <w:fldChar w:fldCharType="begin"/>
            </w:r>
            <w:r>
              <w:rPr>
                <w:noProof/>
                <w:webHidden/>
              </w:rPr>
              <w:instrText xml:space="preserve"> PAGEREF _Toc193493597 \h </w:instrText>
            </w:r>
            <w:r>
              <w:rPr>
                <w:noProof/>
                <w:webHidden/>
              </w:rPr>
            </w:r>
            <w:r>
              <w:rPr>
                <w:noProof/>
                <w:webHidden/>
              </w:rPr>
              <w:fldChar w:fldCharType="separate"/>
            </w:r>
            <w:r>
              <w:rPr>
                <w:noProof/>
                <w:webHidden/>
              </w:rPr>
              <w:t>7</w:t>
            </w:r>
            <w:r>
              <w:rPr>
                <w:noProof/>
                <w:webHidden/>
              </w:rPr>
              <w:fldChar w:fldCharType="end"/>
            </w:r>
          </w:hyperlink>
        </w:p>
        <w:p w14:paraId="1185C0B1" w14:textId="77777777" w:rsidR="00EE4A7D" w:rsidRDefault="00EE4A7D" w:rsidP="00EE4A7D">
          <w:pPr>
            <w:rPr>
              <w:b/>
              <w:bCs/>
              <w:noProof/>
            </w:rPr>
          </w:pPr>
          <w:r>
            <w:rPr>
              <w:b/>
              <w:bCs/>
              <w:noProof/>
            </w:rPr>
            <w:fldChar w:fldCharType="end"/>
          </w:r>
        </w:p>
        <w:p w14:paraId="0A387954" w14:textId="77777777" w:rsidR="00EE4A7D" w:rsidRDefault="00EE4A7D" w:rsidP="00EE4A7D">
          <w:pPr>
            <w:rPr>
              <w:b/>
              <w:bCs/>
              <w:noProof/>
            </w:rPr>
          </w:pPr>
        </w:p>
        <w:p w14:paraId="335482E7" w14:textId="77777777" w:rsidR="00EE4A7D" w:rsidRDefault="00EE4A7D" w:rsidP="00EE4A7D">
          <w:pPr>
            <w:rPr>
              <w:b/>
              <w:bCs/>
              <w:noProof/>
            </w:rPr>
          </w:pPr>
        </w:p>
        <w:p w14:paraId="353E1E78" w14:textId="77777777" w:rsidR="00EE4A7D" w:rsidRDefault="00EE4A7D" w:rsidP="00EE4A7D">
          <w:pPr>
            <w:rPr>
              <w:b/>
              <w:bCs/>
              <w:noProof/>
            </w:rPr>
          </w:pPr>
        </w:p>
        <w:p w14:paraId="1527FF82" w14:textId="77777777" w:rsidR="00EE4A7D" w:rsidRDefault="00EE4A7D" w:rsidP="00EE4A7D">
          <w:pPr>
            <w:rPr>
              <w:b/>
              <w:bCs/>
              <w:noProof/>
            </w:rPr>
          </w:pPr>
        </w:p>
        <w:p w14:paraId="21D8123F" w14:textId="77777777" w:rsidR="00EE4A7D" w:rsidRDefault="00EE4A7D" w:rsidP="00EE4A7D">
          <w:pPr>
            <w:rPr>
              <w:b/>
              <w:bCs/>
              <w:noProof/>
            </w:rPr>
          </w:pPr>
        </w:p>
        <w:p w14:paraId="56522066" w14:textId="3A81D513" w:rsidR="00EE4A7D" w:rsidRPr="00EE4A7D" w:rsidRDefault="00EE4A7D" w:rsidP="00EE4A7D"/>
      </w:sdtContent>
    </w:sdt>
    <w:p w14:paraId="795DDF73" w14:textId="09D454EA" w:rsidR="005744CF" w:rsidRDefault="005744CF" w:rsidP="00EE4A7D">
      <w:pPr>
        <w:pStyle w:val="Heading1"/>
        <w:numPr>
          <w:ilvl w:val="0"/>
          <w:numId w:val="2"/>
        </w:numPr>
        <w:rPr>
          <w:rFonts w:ascii="Arial" w:hAnsi="Arial" w:cs="Arial"/>
          <w:color w:val="auto"/>
          <w:sz w:val="24"/>
          <w:szCs w:val="24"/>
        </w:rPr>
      </w:pPr>
      <w:bookmarkStart w:id="0" w:name="_Toc193493589"/>
      <w:r w:rsidRPr="005744CF">
        <w:rPr>
          <w:rFonts w:ascii="Arial" w:hAnsi="Arial" w:cs="Arial"/>
          <w:color w:val="auto"/>
          <w:sz w:val="24"/>
          <w:szCs w:val="24"/>
        </w:rPr>
        <w:lastRenderedPageBreak/>
        <w:t>Introduction</w:t>
      </w:r>
      <w:bookmarkEnd w:id="0"/>
    </w:p>
    <w:p w14:paraId="5E726A62" w14:textId="0FA0A07D" w:rsidR="005744CF" w:rsidRDefault="005744CF" w:rsidP="006A4D81">
      <w:pPr>
        <w:ind w:firstLine="430"/>
        <w:jc w:val="both"/>
        <w:rPr>
          <w:rFonts w:ascii="Arial" w:hAnsi="Arial" w:cs="Arial"/>
        </w:rPr>
      </w:pPr>
      <w:r w:rsidRPr="005744CF">
        <w:rPr>
          <w:rFonts w:ascii="Arial" w:hAnsi="Arial" w:cs="Arial"/>
        </w:rPr>
        <w:t xml:space="preserve">The world of investment could be broadly divided into two categories: one trades traditional assets like stocks and bonds whereby investors normally take long </w:t>
      </w:r>
      <w:r>
        <w:rPr>
          <w:rFonts w:ascii="Arial" w:hAnsi="Arial" w:cs="Arial"/>
        </w:rPr>
        <w:t>positions</w:t>
      </w:r>
      <w:r w:rsidRPr="005744CF">
        <w:rPr>
          <w:rFonts w:ascii="Arial" w:hAnsi="Arial" w:cs="Arial"/>
        </w:rPr>
        <w:t xml:space="preserve"> and have predictable returns with moderate risk and high liquidity, </w:t>
      </w:r>
      <w:r>
        <w:rPr>
          <w:rFonts w:ascii="Arial" w:hAnsi="Arial" w:cs="Arial"/>
        </w:rPr>
        <w:t xml:space="preserve">and </w:t>
      </w:r>
      <w:r w:rsidRPr="005744CF">
        <w:rPr>
          <w:rFonts w:ascii="Arial" w:hAnsi="Arial" w:cs="Arial"/>
        </w:rPr>
        <w:t xml:space="preserve">the other one trades alternative assets like private equity, real estate and hedge funds which could be a short side and provide higher returns with greater risk and low liquidity. Since alternative assets have </w:t>
      </w:r>
      <w:r>
        <w:rPr>
          <w:rFonts w:ascii="Arial" w:hAnsi="Arial" w:cs="Arial"/>
        </w:rPr>
        <w:t xml:space="preserve">a </w:t>
      </w:r>
      <w:r w:rsidRPr="005744CF">
        <w:rPr>
          <w:rFonts w:ascii="Arial" w:hAnsi="Arial" w:cs="Arial"/>
        </w:rPr>
        <w:t xml:space="preserve">low correlation with traditional assets and are substantially diversified, </w:t>
      </w:r>
      <w:r>
        <w:rPr>
          <w:rFonts w:ascii="Arial" w:hAnsi="Arial" w:cs="Arial"/>
        </w:rPr>
        <w:t>they are</w:t>
      </w:r>
      <w:r w:rsidRPr="005744CF">
        <w:rPr>
          <w:rFonts w:ascii="Arial" w:hAnsi="Arial" w:cs="Arial"/>
        </w:rPr>
        <w:t xml:space="preserve"> preferred by professionals. For example, the investment allocation </w:t>
      </w:r>
      <w:r>
        <w:rPr>
          <w:rFonts w:ascii="Arial" w:hAnsi="Arial" w:cs="Arial"/>
        </w:rPr>
        <w:t xml:space="preserve">of </w:t>
      </w:r>
      <w:r w:rsidRPr="005744CF">
        <w:rPr>
          <w:rFonts w:ascii="Arial" w:hAnsi="Arial" w:cs="Arial"/>
        </w:rPr>
        <w:t xml:space="preserve">more than 60% of the Yale University </w:t>
      </w:r>
      <w:r>
        <w:rPr>
          <w:rFonts w:ascii="Arial" w:hAnsi="Arial" w:cs="Arial"/>
        </w:rPr>
        <w:t>endowment</w:t>
      </w:r>
      <w:r w:rsidRPr="005744CF">
        <w:rPr>
          <w:rFonts w:ascii="Arial" w:hAnsi="Arial" w:cs="Arial"/>
        </w:rPr>
        <w:t xml:space="preserve"> depends on alternative investment. According to its annual report (Yale University, 2018), the pricing of alternative assets </w:t>
      </w:r>
      <w:proofErr w:type="gramStart"/>
      <w:r w:rsidRPr="005744CF">
        <w:rPr>
          <w:rFonts w:ascii="Arial" w:hAnsi="Arial" w:cs="Arial"/>
        </w:rPr>
        <w:t>are</w:t>
      </w:r>
      <w:proofErr w:type="gramEnd"/>
      <w:r w:rsidRPr="005744CF">
        <w:rPr>
          <w:rFonts w:ascii="Arial" w:hAnsi="Arial" w:cs="Arial"/>
        </w:rPr>
        <w:t xml:space="preserve"> usually less efficient hence, could be exploited by active trading. Technically it is feasible to build an alternative investment portfolio with above average risk-return profile to beat the market, but it would require risk-return trade-off (equity hedge), opportunities (event driven hedge), extra information (relative value hedge) or a </w:t>
      </w:r>
      <w:proofErr w:type="gramStart"/>
      <w:r w:rsidRPr="005744CF">
        <w:rPr>
          <w:rFonts w:ascii="Arial" w:hAnsi="Arial" w:cs="Arial"/>
        </w:rPr>
        <w:t>long time</w:t>
      </w:r>
      <w:proofErr w:type="gramEnd"/>
      <w:r w:rsidRPr="005744CF">
        <w:rPr>
          <w:rFonts w:ascii="Arial" w:hAnsi="Arial" w:cs="Arial"/>
        </w:rPr>
        <w:t xml:space="preserve"> span (macro and CTA strategies). However, </w:t>
      </w:r>
      <w:proofErr w:type="gramStart"/>
      <w:r w:rsidRPr="005744CF">
        <w:rPr>
          <w:rFonts w:ascii="Arial" w:hAnsi="Arial" w:cs="Arial"/>
        </w:rPr>
        <w:t>these restriction</w:t>
      </w:r>
      <w:proofErr w:type="gramEnd"/>
      <w:r w:rsidRPr="005744CF">
        <w:rPr>
          <w:rFonts w:ascii="Arial" w:hAnsi="Arial" w:cs="Arial"/>
        </w:rPr>
        <w:t xml:space="preserve"> are broke by Renaissance Technologies, which is the hedge fund founded by Jim Simmons in 1982 who first used advanced mathematical models, statistical and machine learning methods to drive trading decisions by algorithm (Terzo, 2009). </w:t>
      </w:r>
      <w:proofErr w:type="spellStart"/>
      <w:r w:rsidRPr="005744CF">
        <w:rPr>
          <w:rFonts w:ascii="Arial" w:hAnsi="Arial" w:cs="Arial"/>
        </w:rPr>
        <w:t>RenTech</w:t>
      </w:r>
      <w:proofErr w:type="spellEnd"/>
      <w:r w:rsidRPr="005744CF">
        <w:rPr>
          <w:rFonts w:ascii="Arial" w:hAnsi="Arial" w:cs="Arial"/>
        </w:rPr>
        <w:t xml:space="preserve"> is known for its flagship fund, Medallion as shown in Figure 1, which is legendary for its astronomical annual returns averaging around 66% grossly and 39% after fees. </w:t>
      </w:r>
    </w:p>
    <w:p w14:paraId="27BC08FC" w14:textId="7B378591" w:rsidR="006A4D81" w:rsidRDefault="006A4D81" w:rsidP="006A4D81">
      <w:pPr>
        <w:rPr>
          <w:rFonts w:ascii="Arial" w:hAnsi="Arial" w:cs="Arial"/>
        </w:rPr>
      </w:pPr>
      <w:r w:rsidRPr="005744CF">
        <w:rPr>
          <w:rFonts w:ascii="Arial" w:hAnsi="Arial" w:cs="Arial"/>
        </w:rPr>
        <w:t>Figure 1</w:t>
      </w:r>
    </w:p>
    <w:p w14:paraId="21211507" w14:textId="13A99A14" w:rsidR="005744CF" w:rsidRDefault="006A4D81" w:rsidP="005744CF">
      <w:pPr>
        <w:rPr>
          <w:rFonts w:ascii="Arial" w:hAnsi="Arial" w:cs="Arial"/>
        </w:rPr>
      </w:pPr>
      <w:r w:rsidRPr="005744CF">
        <w:rPr>
          <w:rFonts w:ascii="Arial" w:hAnsi="Arial" w:cs="Arial"/>
        </w:rPr>
        <w:lastRenderedPageBreak/>
        <w:t>Medallion gross return and net return</w:t>
      </w:r>
      <w:r>
        <w:rPr>
          <w:rFonts w:ascii="Arial" w:hAnsi="Arial" w:cs="Arial"/>
          <w:noProof/>
        </w:rPr>
        <w:drawing>
          <wp:inline distT="0" distB="0" distL="0" distR="0" wp14:anchorId="655EC248" wp14:editId="5C93580E">
            <wp:extent cx="3299383" cy="5759450"/>
            <wp:effectExtent l="0" t="0" r="0" b="0"/>
            <wp:docPr id="917485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04931" cy="5769135"/>
                    </a:xfrm>
                    <a:prstGeom prst="rect">
                      <a:avLst/>
                    </a:prstGeom>
                    <a:noFill/>
                    <a:ln>
                      <a:noFill/>
                    </a:ln>
                  </pic:spPr>
                </pic:pic>
              </a:graphicData>
            </a:graphic>
          </wp:inline>
        </w:drawing>
      </w:r>
    </w:p>
    <w:p w14:paraId="0BDD3339" w14:textId="5B320CA7" w:rsidR="006A4D81" w:rsidRDefault="006A4D81" w:rsidP="005744CF">
      <w:pPr>
        <w:rPr>
          <w:rFonts w:ascii="Arial" w:hAnsi="Arial" w:cs="Arial"/>
        </w:rPr>
      </w:pPr>
      <w:r w:rsidRPr="006A4D81">
        <w:rPr>
          <w:rFonts w:ascii="Arial" w:hAnsi="Arial" w:cs="Arial"/>
          <w:i/>
          <w:iCs/>
        </w:rPr>
        <w:t>Note.</w:t>
      </w:r>
      <w:r w:rsidRPr="006A4D81">
        <w:rPr>
          <w:rFonts w:ascii="Arial" w:hAnsi="Arial" w:cs="Arial"/>
        </w:rPr>
        <w:t xml:space="preserve"> </w:t>
      </w:r>
      <w:r w:rsidRPr="006A4D81">
        <w:rPr>
          <w:rFonts w:ascii="Arial" w:hAnsi="Arial" w:cs="Arial"/>
          <w:i/>
          <w:iCs/>
        </w:rPr>
        <w:t xml:space="preserve">From Medallion Fund: The Ultimate </w:t>
      </w:r>
      <w:proofErr w:type="gramStart"/>
      <w:r w:rsidRPr="006A4D81">
        <w:rPr>
          <w:rFonts w:ascii="Arial" w:hAnsi="Arial" w:cs="Arial"/>
          <w:i/>
          <w:iCs/>
        </w:rPr>
        <w:t>Counterexample?,</w:t>
      </w:r>
      <w:proofErr w:type="gramEnd"/>
      <w:r w:rsidRPr="006A4D81">
        <w:rPr>
          <w:rFonts w:ascii="Arial" w:hAnsi="Arial" w:cs="Arial"/>
        </w:rPr>
        <w:t xml:space="preserve"> by Cornell, 2020.</w:t>
      </w:r>
    </w:p>
    <w:p w14:paraId="1CD364A7" w14:textId="407D2534" w:rsidR="006A4D81" w:rsidRPr="005744CF" w:rsidRDefault="006A4D81" w:rsidP="006A4D81">
      <w:pPr>
        <w:ind w:firstLine="430"/>
        <w:jc w:val="both"/>
        <w:rPr>
          <w:rFonts w:ascii="Arial" w:hAnsi="Arial" w:cs="Arial"/>
        </w:rPr>
      </w:pPr>
      <w:r w:rsidRPr="006A4D81">
        <w:rPr>
          <w:rFonts w:ascii="Arial" w:hAnsi="Arial" w:cs="Arial"/>
        </w:rPr>
        <w:t xml:space="preserve">However, it is also noticed that the fund size had stopped increase since 2010, which also implies there are some concerns on hedge fund scalability other than data and algorithm and should be discussed using strategic analysis. The main </w:t>
      </w:r>
      <w:r>
        <w:rPr>
          <w:rFonts w:ascii="Arial" w:hAnsi="Arial" w:cs="Arial"/>
        </w:rPr>
        <w:t>challenge</w:t>
      </w:r>
      <w:r w:rsidRPr="006A4D81">
        <w:rPr>
          <w:rFonts w:ascii="Arial" w:hAnsi="Arial" w:cs="Arial"/>
        </w:rPr>
        <w:t xml:space="preserve"> it faced </w:t>
      </w:r>
      <w:r>
        <w:rPr>
          <w:rFonts w:ascii="Arial" w:hAnsi="Arial" w:cs="Arial"/>
        </w:rPr>
        <w:t>was</w:t>
      </w:r>
      <w:r w:rsidRPr="006A4D81">
        <w:rPr>
          <w:rFonts w:ascii="Arial" w:hAnsi="Arial" w:cs="Arial"/>
        </w:rPr>
        <w:t xml:space="preserve"> the emerging new competitors, which </w:t>
      </w:r>
      <w:r>
        <w:rPr>
          <w:rFonts w:ascii="Arial" w:hAnsi="Arial" w:cs="Arial"/>
        </w:rPr>
        <w:t>made</w:t>
      </w:r>
      <w:r w:rsidRPr="006A4D81">
        <w:rPr>
          <w:rFonts w:ascii="Arial" w:hAnsi="Arial" w:cs="Arial"/>
        </w:rPr>
        <w:t xml:space="preserve"> the alpha decay since the markets </w:t>
      </w:r>
      <w:r>
        <w:rPr>
          <w:rFonts w:ascii="Arial" w:hAnsi="Arial" w:cs="Arial"/>
        </w:rPr>
        <w:t>were</w:t>
      </w:r>
      <w:r w:rsidRPr="006A4D81">
        <w:rPr>
          <w:rFonts w:ascii="Arial" w:hAnsi="Arial" w:cs="Arial"/>
        </w:rPr>
        <w:t xml:space="preserve"> more efficient and competitive </w:t>
      </w:r>
      <w:r w:rsidRPr="006A4D81">
        <w:rPr>
          <w:rFonts w:ascii="Arial" w:hAnsi="Arial" w:cs="Arial"/>
        </w:rPr>
        <w:lastRenderedPageBreak/>
        <w:t>(</w:t>
      </w:r>
      <w:proofErr w:type="spellStart"/>
      <w:r w:rsidRPr="006A4D81">
        <w:rPr>
          <w:rFonts w:ascii="Arial" w:hAnsi="Arial" w:cs="Arial"/>
        </w:rPr>
        <w:t>Benmahi</w:t>
      </w:r>
      <w:proofErr w:type="spellEnd"/>
      <w:r w:rsidRPr="006A4D81">
        <w:rPr>
          <w:rFonts w:ascii="Arial" w:hAnsi="Arial" w:cs="Arial"/>
        </w:rPr>
        <w:t xml:space="preserve"> and Avci, 2022). Other economic challenges include regulatory and tax policy changes and scrutiny from policymakers and the public. Hence, this report will first apply external analysis to </w:t>
      </w:r>
      <w:r>
        <w:rPr>
          <w:rFonts w:ascii="Arial" w:hAnsi="Arial" w:cs="Arial"/>
        </w:rPr>
        <w:t xml:space="preserve">the </w:t>
      </w:r>
      <w:r w:rsidRPr="006A4D81">
        <w:rPr>
          <w:rFonts w:ascii="Arial" w:hAnsi="Arial" w:cs="Arial"/>
        </w:rPr>
        <w:t xml:space="preserve">hedge fund industry, then specifically analyse Renaissance Technology internally, then discuss </w:t>
      </w:r>
      <w:proofErr w:type="spellStart"/>
      <w:r w:rsidRPr="006A4D81">
        <w:rPr>
          <w:rFonts w:ascii="Arial" w:hAnsi="Arial" w:cs="Arial"/>
        </w:rPr>
        <w:t>Rentech's</w:t>
      </w:r>
      <w:proofErr w:type="spellEnd"/>
      <w:r w:rsidRPr="006A4D81">
        <w:rPr>
          <w:rFonts w:ascii="Arial" w:hAnsi="Arial" w:cs="Arial"/>
        </w:rPr>
        <w:t xml:space="preserve"> strategy and competitive positioning based on </w:t>
      </w:r>
      <w:r>
        <w:rPr>
          <w:rFonts w:ascii="Arial" w:hAnsi="Arial" w:cs="Arial"/>
        </w:rPr>
        <w:t xml:space="preserve">the </w:t>
      </w:r>
      <w:r w:rsidRPr="006A4D81">
        <w:rPr>
          <w:rFonts w:ascii="Arial" w:hAnsi="Arial" w:cs="Arial"/>
        </w:rPr>
        <w:t xml:space="preserve">former </w:t>
      </w:r>
      <w:proofErr w:type="gramStart"/>
      <w:r w:rsidRPr="006A4D81">
        <w:rPr>
          <w:rFonts w:ascii="Arial" w:hAnsi="Arial" w:cs="Arial"/>
        </w:rPr>
        <w:t xml:space="preserve">discussion, </w:t>
      </w:r>
      <w:r>
        <w:rPr>
          <w:rFonts w:ascii="Arial" w:hAnsi="Arial" w:cs="Arial"/>
        </w:rPr>
        <w:t>and</w:t>
      </w:r>
      <w:proofErr w:type="gramEnd"/>
      <w:r>
        <w:rPr>
          <w:rFonts w:ascii="Arial" w:hAnsi="Arial" w:cs="Arial"/>
        </w:rPr>
        <w:t xml:space="preserve"> </w:t>
      </w:r>
      <w:r w:rsidRPr="006A4D81">
        <w:rPr>
          <w:rFonts w:ascii="Arial" w:hAnsi="Arial" w:cs="Arial"/>
        </w:rPr>
        <w:t>finally provide recommendations within the boundary of sustainability.</w:t>
      </w:r>
    </w:p>
    <w:p w14:paraId="46BDCAEE" w14:textId="24C04A05" w:rsidR="005744CF" w:rsidRDefault="005744CF" w:rsidP="005744CF">
      <w:pPr>
        <w:pStyle w:val="Heading1"/>
        <w:numPr>
          <w:ilvl w:val="0"/>
          <w:numId w:val="1"/>
        </w:numPr>
        <w:rPr>
          <w:rFonts w:ascii="Arial" w:hAnsi="Arial" w:cs="Arial"/>
          <w:color w:val="auto"/>
          <w:sz w:val="24"/>
          <w:szCs w:val="24"/>
        </w:rPr>
      </w:pPr>
      <w:bookmarkStart w:id="1" w:name="_Toc193493590"/>
      <w:r>
        <w:rPr>
          <w:rFonts w:ascii="Arial" w:hAnsi="Arial" w:cs="Arial" w:hint="eastAsia"/>
          <w:color w:val="auto"/>
          <w:sz w:val="24"/>
          <w:szCs w:val="24"/>
        </w:rPr>
        <w:t>External analysis</w:t>
      </w:r>
      <w:bookmarkEnd w:id="1"/>
    </w:p>
    <w:p w14:paraId="664B7D52" w14:textId="3581030D" w:rsidR="006A4D81" w:rsidRPr="006A4D81" w:rsidRDefault="006A4D81" w:rsidP="006A4D81">
      <w:pPr>
        <w:ind w:firstLine="430"/>
        <w:jc w:val="both"/>
        <w:rPr>
          <w:rFonts w:ascii="Arial" w:hAnsi="Arial" w:cs="Arial"/>
        </w:rPr>
      </w:pPr>
      <w:r w:rsidRPr="006A4D81">
        <w:rPr>
          <w:rFonts w:ascii="Arial" w:hAnsi="Arial" w:cs="Arial"/>
        </w:rPr>
        <w:t xml:space="preserve">Although macroeconomy has a significant impact on hedge funds, influencing their strategies by interest rates, inflation, currency exchange rates and other macroeconomic indexes, the strategies by Renaissance Technology </w:t>
      </w:r>
      <w:proofErr w:type="gramStart"/>
      <w:r w:rsidRPr="006A4D81">
        <w:rPr>
          <w:rFonts w:ascii="Arial" w:hAnsi="Arial" w:cs="Arial"/>
        </w:rPr>
        <w:t>has</w:t>
      </w:r>
      <w:proofErr w:type="gramEnd"/>
      <w:r w:rsidRPr="006A4D81">
        <w:rPr>
          <w:rFonts w:ascii="Arial" w:hAnsi="Arial" w:cs="Arial"/>
        </w:rPr>
        <w:t xml:space="preserve"> incorporated the macroeconomic factors well and even maintains approximately 30% returns steadily during the economic depression between 2000 and 2003, as shown in Figure 2. Using PESTEL (Political, Economic, Social, Technological and Legal) model, which is a </w:t>
      </w:r>
      <w:proofErr w:type="spellStart"/>
      <w:r w:rsidRPr="006A4D81">
        <w:rPr>
          <w:rFonts w:ascii="Arial" w:hAnsi="Arial" w:cs="Arial"/>
        </w:rPr>
        <w:t>well recognised</w:t>
      </w:r>
      <w:proofErr w:type="spellEnd"/>
      <w:r w:rsidRPr="006A4D81">
        <w:rPr>
          <w:rFonts w:ascii="Arial" w:hAnsi="Arial" w:cs="Arial"/>
        </w:rPr>
        <w:t xml:space="preserve"> framework with versatility and comprehensive nature (Dinçer and Yüksel, 2019), we could see the only changes which might be challenging to </w:t>
      </w:r>
      <w:proofErr w:type="spellStart"/>
      <w:r w:rsidRPr="006A4D81">
        <w:rPr>
          <w:rFonts w:ascii="Arial" w:hAnsi="Arial" w:cs="Arial"/>
        </w:rPr>
        <w:t>RenTech</w:t>
      </w:r>
      <w:proofErr w:type="spellEnd"/>
      <w:r w:rsidRPr="006A4D81">
        <w:rPr>
          <w:rFonts w:ascii="Arial" w:hAnsi="Arial" w:cs="Arial"/>
        </w:rPr>
        <w:t xml:space="preserve"> occur in political and environmental areas.</w:t>
      </w:r>
    </w:p>
    <w:p w14:paraId="791396D1" w14:textId="1E7E11CF" w:rsidR="006A4D81" w:rsidRPr="006A4D81" w:rsidRDefault="006A4D81" w:rsidP="006A4D81">
      <w:pPr>
        <w:jc w:val="both"/>
        <w:rPr>
          <w:rFonts w:ascii="Arial" w:hAnsi="Arial" w:cs="Arial"/>
        </w:rPr>
      </w:pPr>
      <w:r w:rsidRPr="006A4D81">
        <w:rPr>
          <w:rFonts w:ascii="Arial" w:hAnsi="Arial" w:cs="Arial"/>
        </w:rPr>
        <w:t xml:space="preserve">Figure 2 </w:t>
      </w:r>
    </w:p>
    <w:p w14:paraId="53C34DD8" w14:textId="2B81BCC5" w:rsidR="006A4D81" w:rsidRDefault="006A4D81" w:rsidP="006A4D81">
      <w:pPr>
        <w:jc w:val="both"/>
        <w:rPr>
          <w:rFonts w:ascii="Arial" w:hAnsi="Arial" w:cs="Arial"/>
        </w:rPr>
      </w:pPr>
      <w:r w:rsidRPr="006A4D81">
        <w:rPr>
          <w:rFonts w:ascii="Arial" w:hAnsi="Arial" w:cs="Arial"/>
        </w:rPr>
        <w:t>Annual for S&amp;P500 vs. Medallion Fund</w:t>
      </w:r>
    </w:p>
    <w:p w14:paraId="16855973" w14:textId="51707742" w:rsidR="006A4D81" w:rsidRDefault="006A4D81" w:rsidP="006A4D81">
      <w:pPr>
        <w:jc w:val="both"/>
        <w:rPr>
          <w:rFonts w:ascii="Arial" w:hAnsi="Arial" w:cs="Arial"/>
        </w:rPr>
      </w:pPr>
      <w:r>
        <w:rPr>
          <w:noProof/>
        </w:rPr>
        <w:lastRenderedPageBreak/>
        <w:drawing>
          <wp:inline distT="0" distB="0" distL="0" distR="0" wp14:anchorId="5E275B82" wp14:editId="64E8868A">
            <wp:extent cx="5274310" cy="3336290"/>
            <wp:effectExtent l="0" t="0" r="2540" b="0"/>
            <wp:docPr id="16102777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3336290"/>
                    </a:xfrm>
                    <a:prstGeom prst="rect">
                      <a:avLst/>
                    </a:prstGeom>
                    <a:noFill/>
                    <a:ln>
                      <a:noFill/>
                    </a:ln>
                  </pic:spPr>
                </pic:pic>
              </a:graphicData>
            </a:graphic>
          </wp:inline>
        </w:drawing>
      </w:r>
    </w:p>
    <w:p w14:paraId="6846DFC6" w14:textId="62792528" w:rsidR="006A4D81" w:rsidRDefault="006A4D81" w:rsidP="006A4D81">
      <w:pPr>
        <w:jc w:val="both"/>
        <w:rPr>
          <w:rFonts w:ascii="Arial" w:hAnsi="Arial" w:cs="Arial"/>
        </w:rPr>
      </w:pPr>
      <w:r w:rsidRPr="006A4D81">
        <w:rPr>
          <w:rFonts w:ascii="Arial" w:hAnsi="Arial" w:cs="Arial"/>
          <w:i/>
          <w:iCs/>
        </w:rPr>
        <w:t>Note</w:t>
      </w:r>
      <w:r>
        <w:rPr>
          <w:rFonts w:ascii="Arial" w:hAnsi="Arial" w:cs="Arial" w:hint="eastAsia"/>
        </w:rPr>
        <w:t>.</w:t>
      </w:r>
      <w:r w:rsidRPr="006A4D81">
        <w:rPr>
          <w:rFonts w:ascii="Arial" w:hAnsi="Arial" w:cs="Arial"/>
        </w:rPr>
        <w:t xml:space="preserve"> The annual return from Medallion is net of fees. From </w:t>
      </w:r>
      <w:r w:rsidRPr="006A4D81">
        <w:rPr>
          <w:rFonts w:ascii="Arial" w:hAnsi="Arial" w:cs="Arial"/>
          <w:i/>
          <w:iCs/>
        </w:rPr>
        <w:t xml:space="preserve">Why the Medallion Fund is the Greatest Money-Making Machine of All </w:t>
      </w:r>
      <w:proofErr w:type="gramStart"/>
      <w:r w:rsidRPr="006A4D81">
        <w:rPr>
          <w:rFonts w:ascii="Arial" w:hAnsi="Arial" w:cs="Arial"/>
          <w:i/>
          <w:iCs/>
        </w:rPr>
        <w:t>Time?</w:t>
      </w:r>
      <w:r w:rsidRPr="006A4D81">
        <w:rPr>
          <w:rFonts w:ascii="Arial" w:hAnsi="Arial" w:cs="Arial"/>
        </w:rPr>
        <w:t>,</w:t>
      </w:r>
      <w:proofErr w:type="gramEnd"/>
      <w:r w:rsidRPr="006A4D81">
        <w:rPr>
          <w:rFonts w:ascii="Arial" w:hAnsi="Arial" w:cs="Arial"/>
        </w:rPr>
        <w:t xml:space="preserve"> by </w:t>
      </w:r>
      <w:proofErr w:type="spellStart"/>
      <w:r w:rsidRPr="006A4D81">
        <w:rPr>
          <w:rFonts w:ascii="Arial" w:hAnsi="Arial" w:cs="Arial"/>
        </w:rPr>
        <w:t>Maggiulli</w:t>
      </w:r>
      <w:proofErr w:type="spellEnd"/>
      <w:r w:rsidRPr="006A4D81">
        <w:rPr>
          <w:rFonts w:ascii="Arial" w:hAnsi="Arial" w:cs="Arial"/>
        </w:rPr>
        <w:t>, 2023.</w:t>
      </w:r>
    </w:p>
    <w:p w14:paraId="37F9AB94" w14:textId="77777777" w:rsidR="000F4429" w:rsidRPr="000F4429" w:rsidRDefault="000F4429" w:rsidP="000F4429">
      <w:pPr>
        <w:pStyle w:val="Heading2"/>
        <w:rPr>
          <w:rFonts w:ascii="Arial" w:hAnsi="Arial" w:cs="Arial"/>
          <w:color w:val="000000" w:themeColor="text1"/>
          <w:sz w:val="24"/>
          <w:szCs w:val="24"/>
        </w:rPr>
      </w:pPr>
      <w:r w:rsidRPr="000F4429">
        <w:rPr>
          <w:rFonts w:ascii="Arial" w:hAnsi="Arial" w:cs="Arial"/>
          <w:color w:val="000000" w:themeColor="text1"/>
          <w:sz w:val="24"/>
          <w:szCs w:val="24"/>
        </w:rPr>
        <w:t xml:space="preserve"> </w:t>
      </w:r>
      <w:bookmarkStart w:id="2" w:name="_Toc193493591"/>
      <w:r w:rsidRPr="000F4429">
        <w:rPr>
          <w:rFonts w:ascii="Arial" w:hAnsi="Arial" w:cs="Arial"/>
          <w:color w:val="000000" w:themeColor="text1"/>
          <w:sz w:val="24"/>
          <w:szCs w:val="24"/>
        </w:rPr>
        <w:t>Political</w:t>
      </w:r>
      <w:bookmarkEnd w:id="2"/>
    </w:p>
    <w:p w14:paraId="17BD3B1A" w14:textId="1B10514F" w:rsidR="000F4429" w:rsidRDefault="000F4429" w:rsidP="000F4429">
      <w:pPr>
        <w:jc w:val="both"/>
        <w:rPr>
          <w:rFonts w:ascii="Arial" w:hAnsi="Arial" w:cs="Arial"/>
        </w:rPr>
      </w:pPr>
      <w:r w:rsidRPr="000F4429">
        <w:rPr>
          <w:rFonts w:ascii="Arial" w:hAnsi="Arial" w:cs="Arial"/>
        </w:rPr>
        <w:tab/>
        <w:t>Government regulators have raised concerns over algorithmic trading and high-frequency trading in financial markets, including market manipulation by placing fake orders to deceive other market participants (Jansen, 2021), systemic instability such as flash crashes in the U.S. in 2010 (Jansen, 2021) and Swiss Franc spike in 2015 (Auer, Burstein and Lein, 2021), and unfair advantages through fast and active responsive algorithms. Hence new regulatory policies have been developed by the U.S. government (Securities and Exchange Commission, 2011) and the EU (European Security and Markets Authority, 2014). Hence, the increased compliance requirements raise operational costs for hedge funds, resulting in lower return rates.</w:t>
      </w:r>
    </w:p>
    <w:p w14:paraId="422C2631" w14:textId="77777777" w:rsidR="000F4429" w:rsidRPr="000F4429" w:rsidRDefault="000F4429" w:rsidP="000F4429">
      <w:pPr>
        <w:pStyle w:val="Heading2"/>
        <w:rPr>
          <w:rFonts w:ascii="Arial" w:hAnsi="Arial" w:cs="Arial"/>
          <w:color w:val="000000" w:themeColor="text1"/>
          <w:sz w:val="24"/>
          <w:szCs w:val="24"/>
        </w:rPr>
      </w:pPr>
      <w:bookmarkStart w:id="3" w:name="_Toc193493592"/>
      <w:r w:rsidRPr="000F4429">
        <w:rPr>
          <w:rFonts w:ascii="Arial" w:hAnsi="Arial" w:cs="Arial"/>
          <w:color w:val="000000" w:themeColor="text1"/>
          <w:sz w:val="24"/>
          <w:szCs w:val="24"/>
        </w:rPr>
        <w:lastRenderedPageBreak/>
        <w:t>Environmental</w:t>
      </w:r>
      <w:bookmarkEnd w:id="3"/>
    </w:p>
    <w:p w14:paraId="245952D9" w14:textId="11CC2035" w:rsidR="000F4429" w:rsidRDefault="000F4429" w:rsidP="000F4429">
      <w:pPr>
        <w:ind w:firstLine="430"/>
        <w:jc w:val="both"/>
        <w:rPr>
          <w:rFonts w:ascii="Arial" w:hAnsi="Arial" w:cs="Arial"/>
        </w:rPr>
      </w:pPr>
      <w:r w:rsidRPr="000F4429">
        <w:rPr>
          <w:rFonts w:ascii="Arial" w:hAnsi="Arial" w:cs="Arial"/>
        </w:rPr>
        <w:t xml:space="preserve">Climate change policies are reshaping financial markets by government policing on environmental regulations, carbon pricing, and sustainability mandates, which would transit risks to other industries and affect asset valuations, industry dynamics, and investment strategies of hedge funds (Gao, Guo and Wei, 2023). Meanwhile, this could bring opportunities in industries such as renewable energy, </w:t>
      </w:r>
      <w:r>
        <w:rPr>
          <w:rFonts w:ascii="Arial" w:hAnsi="Arial" w:cs="Arial"/>
        </w:rPr>
        <w:t xml:space="preserve">and </w:t>
      </w:r>
      <w:r w:rsidRPr="000F4429">
        <w:rPr>
          <w:rFonts w:ascii="Arial" w:hAnsi="Arial" w:cs="Arial"/>
        </w:rPr>
        <w:t xml:space="preserve">clean tech hence, financial instruments related to sustainable infrastructure could benefit. </w:t>
      </w:r>
    </w:p>
    <w:p w14:paraId="1066BA47" w14:textId="1C05FE6D" w:rsidR="000F4429" w:rsidRDefault="000F4429" w:rsidP="000F4429">
      <w:pPr>
        <w:ind w:firstLine="430"/>
        <w:jc w:val="both"/>
        <w:rPr>
          <w:rFonts w:ascii="Arial" w:hAnsi="Arial" w:cs="Arial"/>
        </w:rPr>
      </w:pPr>
      <w:r w:rsidRPr="000F4429">
        <w:rPr>
          <w:rFonts w:ascii="Arial" w:hAnsi="Arial" w:cs="Arial"/>
        </w:rPr>
        <w:t xml:space="preserve">Overall, regulatory and compliance risks of </w:t>
      </w:r>
      <w:r>
        <w:rPr>
          <w:rFonts w:ascii="Arial" w:hAnsi="Arial" w:cs="Arial"/>
        </w:rPr>
        <w:t xml:space="preserve">the </w:t>
      </w:r>
      <w:r w:rsidRPr="000F4429">
        <w:rPr>
          <w:rFonts w:ascii="Arial" w:hAnsi="Arial" w:cs="Arial"/>
        </w:rPr>
        <w:t xml:space="preserve">hedge fund industry are increasing, which is a bed sign for the profit of the industry. While environmental, social, and governance factors could shape the </w:t>
      </w:r>
      <w:r>
        <w:rPr>
          <w:rFonts w:ascii="Arial" w:hAnsi="Arial" w:cs="Arial"/>
        </w:rPr>
        <w:t>investor's</w:t>
      </w:r>
      <w:r w:rsidRPr="000F4429">
        <w:rPr>
          <w:rFonts w:ascii="Arial" w:hAnsi="Arial" w:cs="Arial"/>
        </w:rPr>
        <w:t xml:space="preserve"> preference, which </w:t>
      </w:r>
      <w:r>
        <w:rPr>
          <w:rFonts w:ascii="Arial" w:hAnsi="Arial" w:cs="Arial"/>
        </w:rPr>
        <w:t>requires</w:t>
      </w:r>
      <w:r w:rsidRPr="000F4429">
        <w:rPr>
          <w:rFonts w:ascii="Arial" w:hAnsi="Arial" w:cs="Arial"/>
        </w:rPr>
        <w:t xml:space="preserve"> hedge funds to change strategies based on social signals.</w:t>
      </w:r>
    </w:p>
    <w:p w14:paraId="21CCB649" w14:textId="06510215" w:rsidR="00EE4A7D" w:rsidRDefault="00EE4A7D" w:rsidP="000F4429">
      <w:pPr>
        <w:ind w:firstLine="430"/>
        <w:jc w:val="both"/>
        <w:rPr>
          <w:rFonts w:ascii="Arial" w:hAnsi="Arial" w:cs="Arial" w:hint="eastAsia"/>
        </w:rPr>
      </w:pPr>
      <w:r w:rsidRPr="00EE4A7D">
        <w:rPr>
          <w:rFonts w:ascii="Arial" w:hAnsi="Arial" w:cs="Arial"/>
        </w:rPr>
        <w:t>Due to the competitive dynamics and market forces that directly impact Renaissance Technology, conducting a microeconomic analysis is necessary. Porter's Five Forces is a suitable model</w:t>
      </w:r>
      <w:r>
        <w:rPr>
          <w:rFonts w:ascii="Arial" w:hAnsi="Arial" w:cs="Arial" w:hint="eastAsia"/>
        </w:rPr>
        <w:t xml:space="preserve"> for microeconomic analysis.</w:t>
      </w:r>
    </w:p>
    <w:p w14:paraId="476F7FDC" w14:textId="77777777" w:rsidR="00EE4A7D" w:rsidRPr="00EE4A7D" w:rsidRDefault="00EE4A7D" w:rsidP="00EE4A7D">
      <w:pPr>
        <w:ind w:firstLine="430"/>
        <w:jc w:val="both"/>
        <w:rPr>
          <w:rFonts w:ascii="Arial" w:eastAsiaTheme="majorEastAsia" w:hAnsi="Arial" w:cs="Arial"/>
          <w:color w:val="000000" w:themeColor="text1"/>
        </w:rPr>
      </w:pPr>
      <w:r w:rsidRPr="00EE4A7D">
        <w:rPr>
          <w:rFonts w:ascii="Arial" w:eastAsiaTheme="majorEastAsia" w:hAnsi="Arial" w:cs="Arial"/>
          <w:color w:val="000000" w:themeColor="text1"/>
        </w:rPr>
        <w:t xml:space="preserve">1. Threat of New Entrants: The threat of new entrants is moderate. While barriers to entry in the hedge fund industry are high due to the need for substantial capital and technical expertise, the increasing democratization of algorithmic trading tools could allow smaller players to enter the market. However,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established reputation, proprietary algorithms, and data infrastructure create significant competitive barriers.</w:t>
      </w:r>
    </w:p>
    <w:p w14:paraId="1B890386" w14:textId="77777777" w:rsidR="00EE4A7D" w:rsidRPr="00EE4A7D" w:rsidRDefault="00EE4A7D" w:rsidP="00EE4A7D">
      <w:pPr>
        <w:ind w:firstLine="430"/>
        <w:jc w:val="both"/>
        <w:rPr>
          <w:rFonts w:ascii="Arial" w:eastAsiaTheme="majorEastAsia" w:hAnsi="Arial" w:cs="Arial"/>
          <w:color w:val="000000" w:themeColor="text1"/>
        </w:rPr>
      </w:pPr>
      <w:r w:rsidRPr="00EE4A7D">
        <w:rPr>
          <w:rFonts w:ascii="Arial" w:eastAsiaTheme="majorEastAsia" w:hAnsi="Arial" w:cs="Arial"/>
          <w:color w:val="000000" w:themeColor="text1"/>
        </w:rPr>
        <w:t xml:space="preserve">2. Bargaining Power of Suppliers: The bargaining power of suppliers is low.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success depends heavily on its ability to source and process vast amounts of data, which it largely obtains from various public and private </w:t>
      </w:r>
      <w:r w:rsidRPr="00EE4A7D">
        <w:rPr>
          <w:rFonts w:ascii="Arial" w:eastAsiaTheme="majorEastAsia" w:hAnsi="Arial" w:cs="Arial"/>
          <w:color w:val="000000" w:themeColor="text1"/>
        </w:rPr>
        <w:lastRenderedPageBreak/>
        <w:t xml:space="preserve">sources. As data becomes increasingly abundant,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reliance on any single supplier diminishes.</w:t>
      </w:r>
    </w:p>
    <w:p w14:paraId="7258F508" w14:textId="77777777" w:rsidR="00EE4A7D" w:rsidRPr="00EE4A7D" w:rsidRDefault="00EE4A7D" w:rsidP="00EE4A7D">
      <w:pPr>
        <w:ind w:firstLine="430"/>
        <w:jc w:val="both"/>
        <w:rPr>
          <w:rFonts w:ascii="Arial" w:eastAsiaTheme="majorEastAsia" w:hAnsi="Arial" w:cs="Arial"/>
          <w:color w:val="000000" w:themeColor="text1"/>
        </w:rPr>
      </w:pPr>
      <w:r w:rsidRPr="00EE4A7D">
        <w:rPr>
          <w:rFonts w:ascii="Arial" w:eastAsiaTheme="majorEastAsia" w:hAnsi="Arial" w:cs="Arial"/>
          <w:color w:val="000000" w:themeColor="text1"/>
        </w:rPr>
        <w:t xml:space="preserve">3. Bargaining Power of Buyers: The bargaining power of buyers, in this case, investors, is high. Investors are increasingly demanding greater transparency, lower fees, and sustainable investment options. Additionally,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investors are sophisticated and can easily switch to alternative hedge funds offering similar performance metrics. However,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track </w:t>
      </w:r>
      <w:proofErr w:type="gramStart"/>
      <w:r w:rsidRPr="00EE4A7D">
        <w:rPr>
          <w:rFonts w:ascii="Arial" w:eastAsiaTheme="majorEastAsia" w:hAnsi="Arial" w:cs="Arial"/>
          <w:color w:val="000000" w:themeColor="text1"/>
        </w:rPr>
        <w:t>record</w:t>
      </w:r>
      <w:proofErr w:type="gramEnd"/>
      <w:r w:rsidRPr="00EE4A7D">
        <w:rPr>
          <w:rFonts w:ascii="Arial" w:eastAsiaTheme="majorEastAsia" w:hAnsi="Arial" w:cs="Arial"/>
          <w:color w:val="000000" w:themeColor="text1"/>
        </w:rPr>
        <w:t xml:space="preserve"> and proprietary models mitigate some of this pressure.</w:t>
      </w:r>
    </w:p>
    <w:p w14:paraId="59BD2D70" w14:textId="77777777" w:rsidR="00EE4A7D" w:rsidRPr="00EE4A7D" w:rsidRDefault="00EE4A7D" w:rsidP="00EE4A7D">
      <w:pPr>
        <w:ind w:firstLine="430"/>
        <w:jc w:val="both"/>
        <w:rPr>
          <w:rFonts w:ascii="Arial" w:eastAsiaTheme="majorEastAsia" w:hAnsi="Arial" w:cs="Arial"/>
          <w:color w:val="000000" w:themeColor="text1"/>
        </w:rPr>
      </w:pPr>
      <w:r w:rsidRPr="00EE4A7D">
        <w:rPr>
          <w:rFonts w:ascii="Arial" w:eastAsiaTheme="majorEastAsia" w:hAnsi="Arial" w:cs="Arial"/>
          <w:color w:val="000000" w:themeColor="text1"/>
        </w:rPr>
        <w:t xml:space="preserve">4. Threat of Substitute Products: The threat of substitutes is moderate. While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algorithmic trading models are highly specialized, other hedge funds and asset managers are also adopting similar technologies. However, </w:t>
      </w:r>
      <w:proofErr w:type="spellStart"/>
      <w:r w:rsidRPr="00EE4A7D">
        <w:rPr>
          <w:rFonts w:ascii="Arial" w:eastAsiaTheme="majorEastAsia" w:hAnsi="Arial" w:cs="Arial"/>
          <w:color w:val="000000" w:themeColor="text1"/>
        </w:rPr>
        <w:t>RenTech’s</w:t>
      </w:r>
      <w:proofErr w:type="spellEnd"/>
      <w:r w:rsidRPr="00EE4A7D">
        <w:rPr>
          <w:rFonts w:ascii="Arial" w:eastAsiaTheme="majorEastAsia" w:hAnsi="Arial" w:cs="Arial"/>
          <w:color w:val="000000" w:themeColor="text1"/>
        </w:rPr>
        <w:t xml:space="preserve"> historical performance and proprietary methods provide a degree of insulation from direct substitution.</w:t>
      </w:r>
    </w:p>
    <w:p w14:paraId="49851381" w14:textId="77777777" w:rsidR="00EE4A7D" w:rsidRPr="00EE4A7D" w:rsidRDefault="00EE4A7D" w:rsidP="00EE4A7D">
      <w:pPr>
        <w:ind w:firstLine="430"/>
        <w:jc w:val="both"/>
        <w:rPr>
          <w:rFonts w:ascii="Arial" w:eastAsiaTheme="majorEastAsia" w:hAnsi="Arial" w:cs="Arial"/>
          <w:color w:val="000000" w:themeColor="text1"/>
        </w:rPr>
      </w:pPr>
      <w:r w:rsidRPr="00EE4A7D">
        <w:rPr>
          <w:rFonts w:ascii="Arial" w:eastAsiaTheme="majorEastAsia" w:hAnsi="Arial" w:cs="Arial"/>
          <w:color w:val="000000" w:themeColor="text1"/>
        </w:rPr>
        <w:t xml:space="preserve">5. Industry Rivalry: The competitive rivalry is high. </w:t>
      </w:r>
      <w:proofErr w:type="spellStart"/>
      <w:r w:rsidRPr="00EE4A7D">
        <w:rPr>
          <w:rFonts w:ascii="Arial" w:eastAsiaTheme="majorEastAsia" w:hAnsi="Arial" w:cs="Arial"/>
          <w:color w:val="000000" w:themeColor="text1"/>
        </w:rPr>
        <w:t>RenTech</w:t>
      </w:r>
      <w:proofErr w:type="spellEnd"/>
      <w:r w:rsidRPr="00EE4A7D">
        <w:rPr>
          <w:rFonts w:ascii="Arial" w:eastAsiaTheme="majorEastAsia" w:hAnsi="Arial" w:cs="Arial"/>
          <w:color w:val="000000" w:themeColor="text1"/>
        </w:rPr>
        <w:t xml:space="preserve"> operates in a sector populated by other prominent hedge funds, including Two Sigma, D.E. Shaw, and Citadel, all of which use similar quantitative models. This intense competition pressures </w:t>
      </w:r>
      <w:proofErr w:type="spellStart"/>
      <w:r w:rsidRPr="00EE4A7D">
        <w:rPr>
          <w:rFonts w:ascii="Arial" w:eastAsiaTheme="majorEastAsia" w:hAnsi="Arial" w:cs="Arial"/>
          <w:color w:val="000000" w:themeColor="text1"/>
        </w:rPr>
        <w:t>RenTech</w:t>
      </w:r>
      <w:proofErr w:type="spellEnd"/>
      <w:r w:rsidRPr="00EE4A7D">
        <w:rPr>
          <w:rFonts w:ascii="Arial" w:eastAsiaTheme="majorEastAsia" w:hAnsi="Arial" w:cs="Arial"/>
          <w:color w:val="000000" w:themeColor="text1"/>
        </w:rPr>
        <w:t xml:space="preserve"> to continually innovate its trading algorithms and improve operational efficiency.</w:t>
      </w:r>
    </w:p>
    <w:p w14:paraId="64F959F1" w14:textId="77777777" w:rsidR="00EE4A7D" w:rsidRPr="006A4D81" w:rsidRDefault="00EE4A7D" w:rsidP="000F4429">
      <w:pPr>
        <w:ind w:firstLine="430"/>
        <w:jc w:val="both"/>
        <w:rPr>
          <w:rFonts w:ascii="Arial" w:hAnsi="Arial" w:cs="Arial" w:hint="eastAsia"/>
        </w:rPr>
      </w:pPr>
    </w:p>
    <w:p w14:paraId="78802F32" w14:textId="756AA8BC" w:rsidR="005744CF" w:rsidRDefault="005744CF" w:rsidP="005744CF">
      <w:pPr>
        <w:pStyle w:val="Heading1"/>
        <w:numPr>
          <w:ilvl w:val="0"/>
          <w:numId w:val="1"/>
        </w:numPr>
        <w:rPr>
          <w:rFonts w:ascii="Arial" w:hAnsi="Arial" w:cs="Arial"/>
          <w:color w:val="auto"/>
          <w:sz w:val="24"/>
          <w:szCs w:val="24"/>
        </w:rPr>
      </w:pPr>
      <w:bookmarkStart w:id="4" w:name="_Toc193493593"/>
      <w:r>
        <w:rPr>
          <w:rFonts w:ascii="Arial" w:hAnsi="Arial" w:cs="Arial" w:hint="eastAsia"/>
          <w:color w:val="auto"/>
          <w:sz w:val="24"/>
          <w:szCs w:val="24"/>
        </w:rPr>
        <w:t>Internal</w:t>
      </w:r>
      <w:r>
        <w:rPr>
          <w:rFonts w:ascii="Arial" w:hAnsi="Arial" w:cs="Arial" w:hint="eastAsia"/>
          <w:color w:val="auto"/>
          <w:sz w:val="24"/>
          <w:szCs w:val="24"/>
        </w:rPr>
        <w:t xml:space="preserve"> analysis</w:t>
      </w:r>
      <w:bookmarkEnd w:id="4"/>
    </w:p>
    <w:p w14:paraId="79DBB74A" w14:textId="77777777" w:rsidR="006A2AFE" w:rsidRPr="006A2AFE" w:rsidRDefault="006A2AFE" w:rsidP="006A2AFE">
      <w:pPr>
        <w:rPr>
          <w:rFonts w:ascii="Arial" w:hAnsi="Arial" w:cs="Arial"/>
        </w:rPr>
      </w:pPr>
      <w:r w:rsidRPr="006A2AFE">
        <w:rPr>
          <w:rFonts w:ascii="Arial" w:hAnsi="Arial" w:cs="Arial"/>
        </w:rPr>
        <w:t>Resource-Based View (RBV)</w:t>
      </w:r>
    </w:p>
    <w:p w14:paraId="7D139D52" w14:textId="77777777" w:rsidR="006A2AFE" w:rsidRPr="006A2AFE" w:rsidRDefault="006A2AFE" w:rsidP="006A2AFE">
      <w:pPr>
        <w:rPr>
          <w:rFonts w:ascii="Arial" w:hAnsi="Arial" w:cs="Arial"/>
        </w:rPr>
      </w:pPr>
      <w:proofErr w:type="spellStart"/>
      <w:r w:rsidRPr="006A2AFE">
        <w:rPr>
          <w:rFonts w:ascii="Arial" w:hAnsi="Arial" w:cs="Arial"/>
        </w:rPr>
        <w:t>RenTech’s</w:t>
      </w:r>
      <w:proofErr w:type="spellEnd"/>
      <w:r w:rsidRPr="006A2AFE">
        <w:rPr>
          <w:rFonts w:ascii="Arial" w:hAnsi="Arial" w:cs="Arial"/>
        </w:rPr>
        <w:t xml:space="preserve"> key resources include its proprietary algorithms, talented workforce, and vast data sets. The firm’s algorithms, developed by </w:t>
      </w:r>
      <w:r w:rsidRPr="006A2AFE">
        <w:rPr>
          <w:rFonts w:ascii="Arial" w:hAnsi="Arial" w:cs="Arial"/>
        </w:rPr>
        <w:lastRenderedPageBreak/>
        <w:t xml:space="preserve">mathematicians, data scientists, and engineers, represent a significant barrier to entry for competitors. </w:t>
      </w:r>
      <w:proofErr w:type="spellStart"/>
      <w:r w:rsidRPr="006A2AFE">
        <w:rPr>
          <w:rFonts w:ascii="Arial" w:hAnsi="Arial" w:cs="Arial"/>
        </w:rPr>
        <w:t>RenTech's</w:t>
      </w:r>
      <w:proofErr w:type="spellEnd"/>
      <w:r w:rsidRPr="006A2AFE">
        <w:rPr>
          <w:rFonts w:ascii="Arial" w:hAnsi="Arial" w:cs="Arial"/>
        </w:rPr>
        <w:t xml:space="preserve"> talent pool is another critical resource, attracting top-tier professionals from fields such as mathematics, physics, and computer science. Moreover, </w:t>
      </w:r>
      <w:proofErr w:type="spellStart"/>
      <w:r w:rsidRPr="006A2AFE">
        <w:rPr>
          <w:rFonts w:ascii="Arial" w:hAnsi="Arial" w:cs="Arial"/>
        </w:rPr>
        <w:t>RenTech</w:t>
      </w:r>
      <w:proofErr w:type="spellEnd"/>
      <w:r w:rsidRPr="006A2AFE">
        <w:rPr>
          <w:rFonts w:ascii="Arial" w:hAnsi="Arial" w:cs="Arial"/>
        </w:rPr>
        <w:t xml:space="preserve"> has invested heavily in its data infrastructure, which allows it to process and </w:t>
      </w:r>
      <w:proofErr w:type="spellStart"/>
      <w:r w:rsidRPr="006A2AFE">
        <w:rPr>
          <w:rFonts w:ascii="Arial" w:hAnsi="Arial" w:cs="Arial"/>
        </w:rPr>
        <w:t>analyze</w:t>
      </w:r>
      <w:proofErr w:type="spellEnd"/>
      <w:r w:rsidRPr="006A2AFE">
        <w:rPr>
          <w:rFonts w:ascii="Arial" w:hAnsi="Arial" w:cs="Arial"/>
        </w:rPr>
        <w:t xml:space="preserve"> vast amounts of market data.</w:t>
      </w:r>
    </w:p>
    <w:p w14:paraId="74875456" w14:textId="77777777" w:rsidR="006A2AFE" w:rsidRPr="006A2AFE" w:rsidRDefault="006A2AFE" w:rsidP="006A2AFE">
      <w:pPr>
        <w:rPr>
          <w:rFonts w:ascii="Arial" w:hAnsi="Arial" w:cs="Arial"/>
        </w:rPr>
      </w:pPr>
      <w:proofErr w:type="spellStart"/>
      <w:r w:rsidRPr="006A2AFE">
        <w:rPr>
          <w:rFonts w:ascii="Arial" w:hAnsi="Arial" w:cs="Arial"/>
        </w:rPr>
        <w:t>RenTech’s</w:t>
      </w:r>
      <w:proofErr w:type="spellEnd"/>
      <w:r w:rsidRPr="006A2AFE">
        <w:rPr>
          <w:rFonts w:ascii="Arial" w:hAnsi="Arial" w:cs="Arial"/>
        </w:rPr>
        <w:t xml:space="preserve"> capabilities are embedded in its strong technological infrastructure and data processing systems, enabling the company to execute high-frequency trades across multiple asset classes. The firm’s internal culture of innovation and secrecy further strengthens its ability to maintain a competitive edge.</w:t>
      </w:r>
    </w:p>
    <w:p w14:paraId="06BB69B2" w14:textId="77777777" w:rsidR="006A2AFE" w:rsidRPr="006A2AFE" w:rsidRDefault="006A2AFE" w:rsidP="006A2AFE">
      <w:pPr>
        <w:rPr>
          <w:rFonts w:ascii="Arial" w:hAnsi="Arial" w:cs="Arial"/>
        </w:rPr>
      </w:pPr>
      <w:r w:rsidRPr="006A2AFE">
        <w:rPr>
          <w:rFonts w:ascii="Arial" w:hAnsi="Arial" w:cs="Arial"/>
        </w:rPr>
        <w:t>Value Chain Analysis</w:t>
      </w:r>
    </w:p>
    <w:p w14:paraId="5ED28E48" w14:textId="77777777" w:rsidR="006A2AFE" w:rsidRPr="006A2AFE" w:rsidRDefault="006A2AFE" w:rsidP="006A2AFE">
      <w:pPr>
        <w:rPr>
          <w:rFonts w:ascii="Arial" w:hAnsi="Arial" w:cs="Arial"/>
        </w:rPr>
      </w:pPr>
      <w:proofErr w:type="spellStart"/>
      <w:r w:rsidRPr="006A2AFE">
        <w:rPr>
          <w:rFonts w:ascii="Arial" w:hAnsi="Arial" w:cs="Arial"/>
        </w:rPr>
        <w:t>RenTech’s</w:t>
      </w:r>
      <w:proofErr w:type="spellEnd"/>
      <w:r w:rsidRPr="006A2AFE">
        <w:rPr>
          <w:rFonts w:ascii="Arial" w:hAnsi="Arial" w:cs="Arial"/>
        </w:rPr>
        <w:t xml:space="preserve"> value chain is </w:t>
      </w:r>
      <w:proofErr w:type="spellStart"/>
      <w:r w:rsidRPr="006A2AFE">
        <w:rPr>
          <w:rFonts w:ascii="Arial" w:hAnsi="Arial" w:cs="Arial"/>
        </w:rPr>
        <w:t>centered</w:t>
      </w:r>
      <w:proofErr w:type="spellEnd"/>
      <w:r w:rsidRPr="006A2AFE">
        <w:rPr>
          <w:rFonts w:ascii="Arial" w:hAnsi="Arial" w:cs="Arial"/>
        </w:rPr>
        <w:t xml:space="preserve"> around its data acquisition, algorithm development, and trading execution. Each step of the value chain is highly optimized, with a focus on operational efficiency and scalability. The firm's investment in advanced computational technologies allows it to process large datasets in real-time, which enhances the accuracy of its predictive models.</w:t>
      </w:r>
    </w:p>
    <w:p w14:paraId="4EA937F9" w14:textId="77777777" w:rsidR="006A2AFE" w:rsidRPr="006A2AFE" w:rsidRDefault="006A2AFE" w:rsidP="006A2AFE">
      <w:pPr>
        <w:rPr>
          <w:rFonts w:ascii="Arial" w:hAnsi="Arial" w:cs="Arial"/>
        </w:rPr>
      </w:pPr>
      <w:r w:rsidRPr="006A2AFE">
        <w:rPr>
          <w:rFonts w:ascii="Arial" w:hAnsi="Arial" w:cs="Arial"/>
        </w:rPr>
        <w:t xml:space="preserve">While </w:t>
      </w:r>
      <w:proofErr w:type="spellStart"/>
      <w:r w:rsidRPr="006A2AFE">
        <w:rPr>
          <w:rFonts w:ascii="Arial" w:hAnsi="Arial" w:cs="Arial"/>
        </w:rPr>
        <w:t>RenTech</w:t>
      </w:r>
      <w:proofErr w:type="spellEnd"/>
      <w:r w:rsidRPr="006A2AFE">
        <w:rPr>
          <w:rFonts w:ascii="Arial" w:hAnsi="Arial" w:cs="Arial"/>
        </w:rPr>
        <w:t xml:space="preserve"> excels at the core activities of data processing and model execution, it faces challenges in areas such as regulatory compliance and client relations. These areas require constant attention to ensure that the firm can maintain its competitive advantage while adhering to legal requirements.</w:t>
      </w:r>
    </w:p>
    <w:p w14:paraId="4CD520CD" w14:textId="77777777" w:rsidR="006A2AFE" w:rsidRPr="006A2AFE" w:rsidRDefault="006A2AFE" w:rsidP="006A2AFE">
      <w:pPr>
        <w:rPr>
          <w:rFonts w:ascii="Arial" w:hAnsi="Arial" w:cs="Arial"/>
        </w:rPr>
      </w:pPr>
      <w:r w:rsidRPr="006A2AFE">
        <w:rPr>
          <w:rFonts w:ascii="Arial" w:hAnsi="Arial" w:cs="Arial"/>
        </w:rPr>
        <w:t>SWOT/TOWS Analysis</w:t>
      </w:r>
    </w:p>
    <w:p w14:paraId="27582E0B" w14:textId="77777777" w:rsidR="006A2AFE" w:rsidRPr="006A2AFE" w:rsidRDefault="006A2AFE" w:rsidP="006A2AFE">
      <w:pPr>
        <w:rPr>
          <w:rFonts w:ascii="Arial" w:hAnsi="Arial" w:cs="Arial"/>
        </w:rPr>
      </w:pPr>
      <w:r w:rsidRPr="006A2AFE">
        <w:rPr>
          <w:rFonts w:ascii="Arial" w:hAnsi="Arial" w:cs="Arial"/>
        </w:rPr>
        <w:t>Strengths:</w:t>
      </w:r>
    </w:p>
    <w:p w14:paraId="7CEB201A" w14:textId="77777777" w:rsidR="006A2AFE" w:rsidRPr="006A2AFE" w:rsidRDefault="006A2AFE" w:rsidP="006A2AFE">
      <w:pPr>
        <w:numPr>
          <w:ilvl w:val="0"/>
          <w:numId w:val="3"/>
        </w:numPr>
        <w:rPr>
          <w:rFonts w:ascii="Arial" w:hAnsi="Arial" w:cs="Arial"/>
        </w:rPr>
      </w:pPr>
      <w:r w:rsidRPr="006A2AFE">
        <w:rPr>
          <w:rFonts w:ascii="Arial" w:hAnsi="Arial" w:cs="Arial"/>
        </w:rPr>
        <w:lastRenderedPageBreak/>
        <w:t>Proprietary algorithms and cutting-edge technology.</w:t>
      </w:r>
    </w:p>
    <w:p w14:paraId="633B89EB" w14:textId="77777777" w:rsidR="006A2AFE" w:rsidRPr="006A2AFE" w:rsidRDefault="006A2AFE" w:rsidP="006A2AFE">
      <w:pPr>
        <w:numPr>
          <w:ilvl w:val="0"/>
          <w:numId w:val="3"/>
        </w:numPr>
        <w:rPr>
          <w:rFonts w:ascii="Arial" w:hAnsi="Arial" w:cs="Arial"/>
        </w:rPr>
      </w:pPr>
      <w:r w:rsidRPr="006A2AFE">
        <w:rPr>
          <w:rFonts w:ascii="Arial" w:hAnsi="Arial" w:cs="Arial"/>
        </w:rPr>
        <w:t>Strong brand reputation with a history of superior returns.</w:t>
      </w:r>
    </w:p>
    <w:p w14:paraId="7E26DB9A" w14:textId="77777777" w:rsidR="006A2AFE" w:rsidRPr="006A2AFE" w:rsidRDefault="006A2AFE" w:rsidP="006A2AFE">
      <w:pPr>
        <w:numPr>
          <w:ilvl w:val="0"/>
          <w:numId w:val="3"/>
        </w:numPr>
        <w:rPr>
          <w:rFonts w:ascii="Arial" w:hAnsi="Arial" w:cs="Arial"/>
        </w:rPr>
      </w:pPr>
      <w:r w:rsidRPr="006A2AFE">
        <w:rPr>
          <w:rFonts w:ascii="Arial" w:hAnsi="Arial" w:cs="Arial"/>
        </w:rPr>
        <w:t>Talented workforce with expertise in quantitative finance and data science.</w:t>
      </w:r>
    </w:p>
    <w:p w14:paraId="33C39DFB" w14:textId="77777777" w:rsidR="006A2AFE" w:rsidRPr="006A2AFE" w:rsidRDefault="006A2AFE" w:rsidP="006A2AFE">
      <w:pPr>
        <w:rPr>
          <w:rFonts w:ascii="Arial" w:hAnsi="Arial" w:cs="Arial"/>
        </w:rPr>
      </w:pPr>
      <w:r w:rsidRPr="006A2AFE">
        <w:rPr>
          <w:rFonts w:ascii="Arial" w:hAnsi="Arial" w:cs="Arial"/>
        </w:rPr>
        <w:t>Weaknesses:</w:t>
      </w:r>
    </w:p>
    <w:p w14:paraId="7290638C" w14:textId="77777777" w:rsidR="006A2AFE" w:rsidRPr="006A2AFE" w:rsidRDefault="006A2AFE" w:rsidP="006A2AFE">
      <w:pPr>
        <w:numPr>
          <w:ilvl w:val="0"/>
          <w:numId w:val="4"/>
        </w:numPr>
        <w:rPr>
          <w:rFonts w:ascii="Arial" w:hAnsi="Arial" w:cs="Arial"/>
        </w:rPr>
      </w:pPr>
      <w:r w:rsidRPr="006A2AFE">
        <w:rPr>
          <w:rFonts w:ascii="Arial" w:hAnsi="Arial" w:cs="Arial"/>
        </w:rPr>
        <w:t xml:space="preserve">Limited focus on ESG factors may alienate </w:t>
      </w:r>
      <w:proofErr w:type="gramStart"/>
      <w:r w:rsidRPr="006A2AFE">
        <w:rPr>
          <w:rFonts w:ascii="Arial" w:hAnsi="Arial" w:cs="Arial"/>
        </w:rPr>
        <w:t>socially-conscious</w:t>
      </w:r>
      <w:proofErr w:type="gramEnd"/>
      <w:r w:rsidRPr="006A2AFE">
        <w:rPr>
          <w:rFonts w:ascii="Arial" w:hAnsi="Arial" w:cs="Arial"/>
        </w:rPr>
        <w:t xml:space="preserve"> investors.</w:t>
      </w:r>
    </w:p>
    <w:p w14:paraId="2847E8FF" w14:textId="77777777" w:rsidR="006A2AFE" w:rsidRPr="006A2AFE" w:rsidRDefault="006A2AFE" w:rsidP="006A2AFE">
      <w:pPr>
        <w:numPr>
          <w:ilvl w:val="0"/>
          <w:numId w:val="4"/>
        </w:numPr>
        <w:rPr>
          <w:rFonts w:ascii="Arial" w:hAnsi="Arial" w:cs="Arial"/>
        </w:rPr>
      </w:pPr>
      <w:r w:rsidRPr="006A2AFE">
        <w:rPr>
          <w:rFonts w:ascii="Arial" w:hAnsi="Arial" w:cs="Arial"/>
        </w:rPr>
        <w:t>High dependence on technology, making the firm vulnerable to cybersecurity risks.</w:t>
      </w:r>
    </w:p>
    <w:p w14:paraId="69C25148" w14:textId="77777777" w:rsidR="006A2AFE" w:rsidRPr="006A2AFE" w:rsidRDefault="006A2AFE" w:rsidP="006A2AFE">
      <w:pPr>
        <w:numPr>
          <w:ilvl w:val="0"/>
          <w:numId w:val="4"/>
        </w:numPr>
        <w:rPr>
          <w:rFonts w:ascii="Arial" w:hAnsi="Arial" w:cs="Arial"/>
        </w:rPr>
      </w:pPr>
      <w:r w:rsidRPr="006A2AFE">
        <w:rPr>
          <w:rFonts w:ascii="Arial" w:hAnsi="Arial" w:cs="Arial"/>
        </w:rPr>
        <w:t>Secrecy around its models could limit potential partnerships and collaborations.</w:t>
      </w:r>
    </w:p>
    <w:p w14:paraId="5EB51E68" w14:textId="77777777" w:rsidR="006A2AFE" w:rsidRPr="006A2AFE" w:rsidRDefault="006A2AFE" w:rsidP="006A2AFE">
      <w:pPr>
        <w:rPr>
          <w:rFonts w:ascii="Arial" w:hAnsi="Arial" w:cs="Arial"/>
        </w:rPr>
      </w:pPr>
      <w:r w:rsidRPr="006A2AFE">
        <w:rPr>
          <w:rFonts w:ascii="Arial" w:hAnsi="Arial" w:cs="Arial"/>
        </w:rPr>
        <w:t>Opportunities:</w:t>
      </w:r>
    </w:p>
    <w:p w14:paraId="655C6128" w14:textId="77777777" w:rsidR="006A2AFE" w:rsidRPr="006A2AFE" w:rsidRDefault="006A2AFE" w:rsidP="006A2AFE">
      <w:pPr>
        <w:numPr>
          <w:ilvl w:val="0"/>
          <w:numId w:val="5"/>
        </w:numPr>
        <w:rPr>
          <w:rFonts w:ascii="Arial" w:hAnsi="Arial" w:cs="Arial"/>
        </w:rPr>
      </w:pPr>
      <w:r w:rsidRPr="006A2AFE">
        <w:rPr>
          <w:rFonts w:ascii="Arial" w:hAnsi="Arial" w:cs="Arial"/>
        </w:rPr>
        <w:t>Growing demand for sustainable and ESG-focused investments.</w:t>
      </w:r>
    </w:p>
    <w:p w14:paraId="24083285" w14:textId="77777777" w:rsidR="006A2AFE" w:rsidRPr="006A2AFE" w:rsidRDefault="006A2AFE" w:rsidP="006A2AFE">
      <w:pPr>
        <w:numPr>
          <w:ilvl w:val="0"/>
          <w:numId w:val="5"/>
        </w:numPr>
        <w:rPr>
          <w:rFonts w:ascii="Arial" w:hAnsi="Arial" w:cs="Arial"/>
        </w:rPr>
      </w:pPr>
      <w:r w:rsidRPr="006A2AFE">
        <w:rPr>
          <w:rFonts w:ascii="Arial" w:hAnsi="Arial" w:cs="Arial"/>
        </w:rPr>
        <w:t>Expansion into new markets and asset classes, such as cryptocurrency trading.</w:t>
      </w:r>
    </w:p>
    <w:p w14:paraId="6986DCE0" w14:textId="77777777" w:rsidR="006A2AFE" w:rsidRPr="006A2AFE" w:rsidRDefault="006A2AFE" w:rsidP="006A2AFE">
      <w:pPr>
        <w:numPr>
          <w:ilvl w:val="0"/>
          <w:numId w:val="5"/>
        </w:numPr>
        <w:rPr>
          <w:rFonts w:ascii="Arial" w:hAnsi="Arial" w:cs="Arial"/>
        </w:rPr>
      </w:pPr>
      <w:r w:rsidRPr="006A2AFE">
        <w:rPr>
          <w:rFonts w:ascii="Arial" w:hAnsi="Arial" w:cs="Arial"/>
        </w:rPr>
        <w:t>Strategic partnerships or acquisitions to enhance technological capabilities.</w:t>
      </w:r>
    </w:p>
    <w:p w14:paraId="75D45EEE" w14:textId="77777777" w:rsidR="006A2AFE" w:rsidRPr="006A2AFE" w:rsidRDefault="006A2AFE" w:rsidP="006A2AFE">
      <w:pPr>
        <w:rPr>
          <w:rFonts w:ascii="Arial" w:hAnsi="Arial" w:cs="Arial"/>
        </w:rPr>
      </w:pPr>
      <w:r w:rsidRPr="006A2AFE">
        <w:rPr>
          <w:rFonts w:ascii="Arial" w:hAnsi="Arial" w:cs="Arial"/>
        </w:rPr>
        <w:t>Threats:</w:t>
      </w:r>
    </w:p>
    <w:p w14:paraId="6F4ABD54" w14:textId="77777777" w:rsidR="006A2AFE" w:rsidRPr="006A2AFE" w:rsidRDefault="006A2AFE" w:rsidP="006A2AFE">
      <w:pPr>
        <w:numPr>
          <w:ilvl w:val="0"/>
          <w:numId w:val="6"/>
        </w:numPr>
        <w:rPr>
          <w:rFonts w:ascii="Arial" w:hAnsi="Arial" w:cs="Arial"/>
        </w:rPr>
      </w:pPr>
      <w:r w:rsidRPr="006A2AFE">
        <w:rPr>
          <w:rFonts w:ascii="Arial" w:hAnsi="Arial" w:cs="Arial"/>
        </w:rPr>
        <w:t>Increased regulatory scrutiny of algorithmic and high-frequency trading.</w:t>
      </w:r>
    </w:p>
    <w:p w14:paraId="214E3CDF" w14:textId="77777777" w:rsidR="006A2AFE" w:rsidRPr="006A2AFE" w:rsidRDefault="006A2AFE" w:rsidP="006A2AFE">
      <w:pPr>
        <w:numPr>
          <w:ilvl w:val="0"/>
          <w:numId w:val="6"/>
        </w:numPr>
        <w:rPr>
          <w:rFonts w:ascii="Arial" w:hAnsi="Arial" w:cs="Arial"/>
        </w:rPr>
      </w:pPr>
      <w:r w:rsidRPr="006A2AFE">
        <w:rPr>
          <w:rFonts w:ascii="Arial" w:hAnsi="Arial" w:cs="Arial"/>
        </w:rPr>
        <w:t>Intense competition from other quant-focused hedge funds.</w:t>
      </w:r>
    </w:p>
    <w:p w14:paraId="0A0295FE" w14:textId="06DF99B5" w:rsidR="006A2AFE" w:rsidRPr="006A2AFE" w:rsidRDefault="006A2AFE" w:rsidP="006A2AFE">
      <w:pPr>
        <w:numPr>
          <w:ilvl w:val="0"/>
          <w:numId w:val="6"/>
        </w:numPr>
      </w:pPr>
      <w:r w:rsidRPr="006A2AFE">
        <w:rPr>
          <w:rFonts w:ascii="Arial" w:hAnsi="Arial" w:cs="Arial"/>
        </w:rPr>
        <w:lastRenderedPageBreak/>
        <w:t>Vulnerability to market crashes or extreme volatility, which could negatively</w:t>
      </w:r>
      <w:r w:rsidRPr="006A2AFE">
        <w:t xml:space="preserve"> impact algorithmic predictions.</w:t>
      </w:r>
    </w:p>
    <w:p w14:paraId="1EF1A5B0" w14:textId="50DD00F3" w:rsidR="005744CF" w:rsidRDefault="005744CF" w:rsidP="005744CF">
      <w:pPr>
        <w:pStyle w:val="Heading1"/>
        <w:numPr>
          <w:ilvl w:val="0"/>
          <w:numId w:val="1"/>
        </w:numPr>
        <w:rPr>
          <w:rFonts w:ascii="Arial" w:hAnsi="Arial" w:cs="Arial"/>
          <w:color w:val="auto"/>
          <w:sz w:val="24"/>
          <w:szCs w:val="24"/>
        </w:rPr>
      </w:pPr>
      <w:bookmarkStart w:id="5" w:name="_Toc193493594"/>
      <w:r w:rsidRPr="005744CF">
        <w:rPr>
          <w:rFonts w:ascii="Arial" w:hAnsi="Arial" w:cs="Arial"/>
          <w:color w:val="auto"/>
          <w:sz w:val="24"/>
          <w:szCs w:val="24"/>
        </w:rPr>
        <w:t>Strategy Formulation &amp; Competitive Positioning</w:t>
      </w:r>
      <w:bookmarkEnd w:id="5"/>
    </w:p>
    <w:p w14:paraId="51EAECBF" w14:textId="77777777" w:rsidR="006A2AFE" w:rsidRPr="006A2AFE" w:rsidRDefault="006A2AFE" w:rsidP="006A2AFE">
      <w:pPr>
        <w:rPr>
          <w:rFonts w:ascii="Arial" w:hAnsi="Arial" w:cs="Arial"/>
        </w:rPr>
      </w:pPr>
      <w:r w:rsidRPr="006A2AFE">
        <w:rPr>
          <w:rFonts w:ascii="Arial" w:hAnsi="Arial" w:cs="Arial"/>
        </w:rPr>
        <w:t>Current Strategic Positioning</w:t>
      </w:r>
    </w:p>
    <w:p w14:paraId="3C894EB4" w14:textId="77777777" w:rsidR="006A2AFE" w:rsidRPr="006A2AFE" w:rsidRDefault="006A2AFE" w:rsidP="006A2AFE">
      <w:pPr>
        <w:rPr>
          <w:rFonts w:ascii="Arial" w:hAnsi="Arial" w:cs="Arial"/>
        </w:rPr>
      </w:pPr>
      <w:proofErr w:type="spellStart"/>
      <w:r w:rsidRPr="006A2AFE">
        <w:rPr>
          <w:rFonts w:ascii="Arial" w:hAnsi="Arial" w:cs="Arial"/>
        </w:rPr>
        <w:t>RenTech</w:t>
      </w:r>
      <w:proofErr w:type="spellEnd"/>
      <w:r w:rsidRPr="006A2AFE">
        <w:rPr>
          <w:rFonts w:ascii="Arial" w:hAnsi="Arial" w:cs="Arial"/>
        </w:rPr>
        <w:t xml:space="preserve"> currently employs a differentiation strategy based on its proprietary algorithms, data analysis, and superior returns. This strategy positions the firm as a leader in the quantitative trading space. Unlike traditional hedge funds, </w:t>
      </w:r>
      <w:proofErr w:type="spellStart"/>
      <w:r w:rsidRPr="006A2AFE">
        <w:rPr>
          <w:rFonts w:ascii="Arial" w:hAnsi="Arial" w:cs="Arial"/>
        </w:rPr>
        <w:t>RenTech</w:t>
      </w:r>
      <w:proofErr w:type="spellEnd"/>
      <w:r w:rsidRPr="006A2AFE">
        <w:rPr>
          <w:rFonts w:ascii="Arial" w:hAnsi="Arial" w:cs="Arial"/>
        </w:rPr>
        <w:t xml:space="preserve"> focuses heavily on using advanced mathematical models and computational methods to predict market movements, giving it a technological edge over competitors.</w:t>
      </w:r>
    </w:p>
    <w:p w14:paraId="7A9D17C5" w14:textId="77777777" w:rsidR="006A2AFE" w:rsidRPr="006A2AFE" w:rsidRDefault="006A2AFE" w:rsidP="006A2AFE">
      <w:pPr>
        <w:rPr>
          <w:rFonts w:ascii="Arial" w:hAnsi="Arial" w:cs="Arial"/>
        </w:rPr>
      </w:pPr>
      <w:r w:rsidRPr="006A2AFE">
        <w:rPr>
          <w:rFonts w:ascii="Arial" w:hAnsi="Arial" w:cs="Arial"/>
        </w:rPr>
        <w:t>Growth Strategies</w:t>
      </w:r>
    </w:p>
    <w:p w14:paraId="77A5CC3C" w14:textId="77777777" w:rsidR="006A2AFE" w:rsidRPr="006A2AFE" w:rsidRDefault="006A2AFE" w:rsidP="006A2AFE">
      <w:pPr>
        <w:rPr>
          <w:rFonts w:ascii="Arial" w:hAnsi="Arial" w:cs="Arial"/>
        </w:rPr>
      </w:pPr>
      <w:r w:rsidRPr="006A2AFE">
        <w:rPr>
          <w:rFonts w:ascii="Arial" w:hAnsi="Arial" w:cs="Arial"/>
        </w:rPr>
        <w:t xml:space="preserve">To sustain its competitive position, </w:t>
      </w:r>
      <w:proofErr w:type="spellStart"/>
      <w:r w:rsidRPr="006A2AFE">
        <w:rPr>
          <w:rFonts w:ascii="Arial" w:hAnsi="Arial" w:cs="Arial"/>
        </w:rPr>
        <w:t>RenTech</w:t>
      </w:r>
      <w:proofErr w:type="spellEnd"/>
      <w:r w:rsidRPr="006A2AFE">
        <w:rPr>
          <w:rFonts w:ascii="Arial" w:hAnsi="Arial" w:cs="Arial"/>
        </w:rPr>
        <w:t xml:space="preserve"> could explore potential growth strategies:</w:t>
      </w:r>
    </w:p>
    <w:p w14:paraId="2E991AC0" w14:textId="77777777" w:rsidR="006A2AFE" w:rsidRPr="006A2AFE" w:rsidRDefault="006A2AFE" w:rsidP="006A2AFE">
      <w:pPr>
        <w:numPr>
          <w:ilvl w:val="0"/>
          <w:numId w:val="7"/>
        </w:numPr>
        <w:rPr>
          <w:rFonts w:ascii="Arial" w:hAnsi="Arial" w:cs="Arial"/>
        </w:rPr>
      </w:pPr>
      <w:r w:rsidRPr="006A2AFE">
        <w:rPr>
          <w:rFonts w:ascii="Arial" w:hAnsi="Arial" w:cs="Arial"/>
        </w:rPr>
        <w:t>Market Penetration: Expanding its client base by offering new investment products or strategies tailored to emerging markets.</w:t>
      </w:r>
    </w:p>
    <w:p w14:paraId="42A40274" w14:textId="77777777" w:rsidR="006A2AFE" w:rsidRPr="006A2AFE" w:rsidRDefault="006A2AFE" w:rsidP="006A2AFE">
      <w:pPr>
        <w:numPr>
          <w:ilvl w:val="0"/>
          <w:numId w:val="7"/>
        </w:numPr>
        <w:rPr>
          <w:rFonts w:ascii="Arial" w:hAnsi="Arial" w:cs="Arial"/>
        </w:rPr>
      </w:pPr>
      <w:r w:rsidRPr="006A2AFE">
        <w:rPr>
          <w:rFonts w:ascii="Arial" w:hAnsi="Arial" w:cs="Arial"/>
        </w:rPr>
        <w:t>Product Development: Developing new algorithms for trading in alternative asset classes, such as cryptocurrencies or commodities.</w:t>
      </w:r>
    </w:p>
    <w:p w14:paraId="28FEF9A7" w14:textId="77777777" w:rsidR="006A2AFE" w:rsidRPr="006A2AFE" w:rsidRDefault="006A2AFE" w:rsidP="006A2AFE">
      <w:pPr>
        <w:numPr>
          <w:ilvl w:val="0"/>
          <w:numId w:val="7"/>
        </w:numPr>
        <w:rPr>
          <w:rFonts w:ascii="Arial" w:hAnsi="Arial" w:cs="Arial"/>
          <w:b/>
          <w:bCs/>
        </w:rPr>
      </w:pPr>
      <w:r w:rsidRPr="006A2AFE">
        <w:rPr>
          <w:rFonts w:ascii="Arial" w:hAnsi="Arial" w:cs="Arial"/>
        </w:rPr>
        <w:t>Strategic Alliances or Acquisitions: Partnering with or acquiring firms with complementary technology to enhance its capabilities.</w:t>
      </w:r>
    </w:p>
    <w:p w14:paraId="005288E8" w14:textId="77777777" w:rsidR="006A2AFE" w:rsidRPr="006A2AFE" w:rsidRDefault="006A2AFE" w:rsidP="006A2AFE"/>
    <w:p w14:paraId="48F716F3" w14:textId="3A1C09DF" w:rsidR="005744CF" w:rsidRDefault="005744CF" w:rsidP="005744CF">
      <w:pPr>
        <w:pStyle w:val="Heading1"/>
        <w:numPr>
          <w:ilvl w:val="0"/>
          <w:numId w:val="1"/>
        </w:numPr>
        <w:rPr>
          <w:rFonts w:ascii="Arial" w:hAnsi="Arial" w:cs="Arial"/>
          <w:color w:val="auto"/>
          <w:sz w:val="24"/>
          <w:szCs w:val="24"/>
        </w:rPr>
      </w:pPr>
      <w:bookmarkStart w:id="6" w:name="_Toc193493595"/>
      <w:r w:rsidRPr="005744CF">
        <w:rPr>
          <w:rFonts w:ascii="Arial" w:hAnsi="Arial" w:cs="Arial"/>
          <w:color w:val="auto"/>
          <w:sz w:val="24"/>
          <w:szCs w:val="24"/>
        </w:rPr>
        <w:lastRenderedPageBreak/>
        <w:t>Sustainability &amp; Strategic Recommendations</w:t>
      </w:r>
      <w:bookmarkEnd w:id="6"/>
    </w:p>
    <w:p w14:paraId="7B797F80" w14:textId="77777777" w:rsidR="006A2AFE" w:rsidRPr="006A2AFE" w:rsidRDefault="006A2AFE" w:rsidP="006A2AFE">
      <w:pPr>
        <w:rPr>
          <w:rFonts w:ascii="Arial" w:hAnsi="Arial" w:cs="Arial"/>
        </w:rPr>
      </w:pPr>
      <w:r w:rsidRPr="006A2AFE">
        <w:rPr>
          <w:rFonts w:ascii="Arial" w:hAnsi="Arial" w:cs="Arial"/>
        </w:rPr>
        <w:t>Sustainability Initiatives</w:t>
      </w:r>
    </w:p>
    <w:p w14:paraId="7F1D5A64" w14:textId="77777777" w:rsidR="006A2AFE" w:rsidRPr="006A2AFE" w:rsidRDefault="006A2AFE" w:rsidP="006A2AFE">
      <w:pPr>
        <w:rPr>
          <w:rFonts w:ascii="Arial" w:hAnsi="Arial" w:cs="Arial"/>
        </w:rPr>
      </w:pPr>
      <w:proofErr w:type="spellStart"/>
      <w:r w:rsidRPr="006A2AFE">
        <w:rPr>
          <w:rFonts w:ascii="Arial" w:hAnsi="Arial" w:cs="Arial"/>
        </w:rPr>
        <w:t>RenTech’s</w:t>
      </w:r>
      <w:proofErr w:type="spellEnd"/>
      <w:r w:rsidRPr="006A2AFE">
        <w:rPr>
          <w:rFonts w:ascii="Arial" w:hAnsi="Arial" w:cs="Arial"/>
        </w:rPr>
        <w:t xml:space="preserve"> sustainability efforts have been minimal compared to traditional asset management firms, as its primary focus remains on performance-driven results. However, increasing pressure from investors for ESG integration is compelling </w:t>
      </w:r>
      <w:proofErr w:type="spellStart"/>
      <w:r w:rsidRPr="006A2AFE">
        <w:rPr>
          <w:rFonts w:ascii="Arial" w:hAnsi="Arial" w:cs="Arial"/>
        </w:rPr>
        <w:t>RenTech</w:t>
      </w:r>
      <w:proofErr w:type="spellEnd"/>
      <w:r w:rsidRPr="006A2AFE">
        <w:rPr>
          <w:rFonts w:ascii="Arial" w:hAnsi="Arial" w:cs="Arial"/>
        </w:rPr>
        <w:t xml:space="preserve"> to explore how it can adapt its models to reflect sustainability criteria.</w:t>
      </w:r>
    </w:p>
    <w:p w14:paraId="2421A923" w14:textId="77777777" w:rsidR="006A2AFE" w:rsidRPr="006A2AFE" w:rsidRDefault="006A2AFE" w:rsidP="006A2AFE">
      <w:pPr>
        <w:rPr>
          <w:rFonts w:ascii="Arial" w:hAnsi="Arial" w:cs="Arial"/>
        </w:rPr>
      </w:pPr>
      <w:r w:rsidRPr="006A2AFE">
        <w:rPr>
          <w:rFonts w:ascii="Arial" w:hAnsi="Arial" w:cs="Arial"/>
        </w:rPr>
        <w:t>Recommendations for Strategic Positioning:</w:t>
      </w:r>
    </w:p>
    <w:p w14:paraId="3A627277" w14:textId="77777777" w:rsidR="006A2AFE" w:rsidRPr="006A2AFE" w:rsidRDefault="006A2AFE" w:rsidP="006A2AFE">
      <w:pPr>
        <w:numPr>
          <w:ilvl w:val="0"/>
          <w:numId w:val="8"/>
        </w:numPr>
        <w:rPr>
          <w:rFonts w:ascii="Arial" w:hAnsi="Arial" w:cs="Arial"/>
        </w:rPr>
      </w:pPr>
      <w:r w:rsidRPr="006A2AFE">
        <w:rPr>
          <w:rFonts w:ascii="Arial" w:hAnsi="Arial" w:cs="Arial"/>
        </w:rPr>
        <w:t xml:space="preserve">Integrate ESG Metrics: </w:t>
      </w:r>
      <w:proofErr w:type="spellStart"/>
      <w:r w:rsidRPr="006A2AFE">
        <w:rPr>
          <w:rFonts w:ascii="Arial" w:hAnsi="Arial" w:cs="Arial"/>
        </w:rPr>
        <w:t>RenTech</w:t>
      </w:r>
      <w:proofErr w:type="spellEnd"/>
      <w:r w:rsidRPr="006A2AFE">
        <w:rPr>
          <w:rFonts w:ascii="Arial" w:hAnsi="Arial" w:cs="Arial"/>
        </w:rPr>
        <w:t xml:space="preserve"> should explore ways to incorporate environmental and social factors into its trading algorithms, aligning with investor preferences for ethical investing.</w:t>
      </w:r>
    </w:p>
    <w:p w14:paraId="6DCE1565" w14:textId="77777777" w:rsidR="006A2AFE" w:rsidRPr="006A2AFE" w:rsidRDefault="006A2AFE" w:rsidP="006A2AFE">
      <w:pPr>
        <w:numPr>
          <w:ilvl w:val="0"/>
          <w:numId w:val="8"/>
        </w:numPr>
        <w:rPr>
          <w:rFonts w:ascii="Arial" w:hAnsi="Arial" w:cs="Arial"/>
        </w:rPr>
      </w:pPr>
      <w:r w:rsidRPr="006A2AFE">
        <w:rPr>
          <w:rFonts w:ascii="Arial" w:hAnsi="Arial" w:cs="Arial"/>
        </w:rPr>
        <w:t>Innovate in Sustainable Investing: The firm could develop specialized funds that target sustainable industries, such as renewable energy or green technology, ensuring long-term growth and profitability.</w:t>
      </w:r>
    </w:p>
    <w:p w14:paraId="1617BF8D" w14:textId="77777777" w:rsidR="006A2AFE" w:rsidRPr="006A2AFE" w:rsidRDefault="006A2AFE" w:rsidP="006A2AFE">
      <w:pPr>
        <w:numPr>
          <w:ilvl w:val="0"/>
          <w:numId w:val="8"/>
        </w:numPr>
        <w:rPr>
          <w:rFonts w:ascii="Arial" w:hAnsi="Arial" w:cs="Arial"/>
        </w:rPr>
      </w:pPr>
      <w:r w:rsidRPr="006A2AFE">
        <w:rPr>
          <w:rFonts w:ascii="Arial" w:hAnsi="Arial" w:cs="Arial"/>
        </w:rPr>
        <w:t xml:space="preserve">Enhance Transparency: As transparency becomes more important, </w:t>
      </w:r>
      <w:proofErr w:type="spellStart"/>
      <w:r w:rsidRPr="006A2AFE">
        <w:rPr>
          <w:rFonts w:ascii="Arial" w:hAnsi="Arial" w:cs="Arial"/>
        </w:rPr>
        <w:t>RenTech</w:t>
      </w:r>
      <w:proofErr w:type="spellEnd"/>
      <w:r w:rsidRPr="006A2AFE">
        <w:rPr>
          <w:rFonts w:ascii="Arial" w:hAnsi="Arial" w:cs="Arial"/>
        </w:rPr>
        <w:t xml:space="preserve"> could offer more insight into its models while maintaining proprietary protection, helping to build trust with investors.</w:t>
      </w:r>
    </w:p>
    <w:p w14:paraId="557F5D0A" w14:textId="77777777" w:rsidR="006A2AFE" w:rsidRPr="006A2AFE" w:rsidRDefault="006A2AFE" w:rsidP="006A2AFE"/>
    <w:p w14:paraId="622C257D" w14:textId="613EF208" w:rsidR="005744CF" w:rsidRDefault="005744CF" w:rsidP="005744CF">
      <w:pPr>
        <w:pStyle w:val="Heading1"/>
        <w:numPr>
          <w:ilvl w:val="0"/>
          <w:numId w:val="1"/>
        </w:numPr>
        <w:rPr>
          <w:rFonts w:ascii="Arial" w:hAnsi="Arial" w:cs="Arial"/>
          <w:color w:val="auto"/>
          <w:sz w:val="24"/>
          <w:szCs w:val="24"/>
        </w:rPr>
      </w:pPr>
      <w:bookmarkStart w:id="7" w:name="_Toc193493596"/>
      <w:r w:rsidRPr="005744CF">
        <w:rPr>
          <w:rFonts w:ascii="Arial" w:hAnsi="Arial" w:cs="Arial"/>
          <w:color w:val="auto"/>
          <w:sz w:val="24"/>
          <w:szCs w:val="24"/>
        </w:rPr>
        <w:t>Conclusion</w:t>
      </w:r>
      <w:bookmarkEnd w:id="7"/>
    </w:p>
    <w:p w14:paraId="61355374" w14:textId="6F9E9377" w:rsidR="005744CF" w:rsidRPr="005744CF" w:rsidRDefault="006A2AFE" w:rsidP="005744CF">
      <w:r w:rsidRPr="006A2AFE">
        <w:rPr>
          <w:rFonts w:ascii="Arial" w:hAnsi="Arial" w:cs="Arial"/>
        </w:rPr>
        <w:t xml:space="preserve">In conclusion, Renaissance Technologies remains a leader in the hedge fund industry, driven by its proprietary algorithms and technological capabilities. However, it faces challenges such as increasing competition, regulatory </w:t>
      </w:r>
      <w:r w:rsidRPr="006A2AFE">
        <w:rPr>
          <w:rFonts w:ascii="Arial" w:hAnsi="Arial" w:cs="Arial"/>
        </w:rPr>
        <w:lastRenderedPageBreak/>
        <w:t xml:space="preserve">pressures, and the need for sustainability in its operations. By strategically aligning its strengths with emerging trends such as ESG investing, </w:t>
      </w:r>
      <w:proofErr w:type="spellStart"/>
      <w:r w:rsidRPr="006A2AFE">
        <w:rPr>
          <w:rFonts w:ascii="Arial" w:hAnsi="Arial" w:cs="Arial"/>
        </w:rPr>
        <w:t>RenTech</w:t>
      </w:r>
      <w:proofErr w:type="spellEnd"/>
      <w:r w:rsidRPr="006A2AFE">
        <w:rPr>
          <w:rFonts w:ascii="Arial" w:hAnsi="Arial" w:cs="Arial"/>
        </w:rPr>
        <w:t xml:space="preserve"> can continue to maintain its competitive</w:t>
      </w:r>
      <w:r w:rsidRPr="006A2AFE">
        <w:t xml:space="preserve"> advantage while fostering long-term sustainable growth.</w:t>
      </w:r>
    </w:p>
    <w:p w14:paraId="72E48D38" w14:textId="77777777" w:rsidR="005744CF" w:rsidRPr="005744CF" w:rsidRDefault="005744CF" w:rsidP="005744CF"/>
    <w:p w14:paraId="0A02F406" w14:textId="77777777" w:rsidR="005744CF" w:rsidRPr="005744CF" w:rsidRDefault="005744CF" w:rsidP="005744CF"/>
    <w:p w14:paraId="01AB7448" w14:textId="77777777" w:rsidR="005744CF" w:rsidRPr="005744CF" w:rsidRDefault="005744CF" w:rsidP="005744CF"/>
    <w:p w14:paraId="4B6C2FFC" w14:textId="71F905BC" w:rsidR="005744CF" w:rsidRPr="005744CF" w:rsidRDefault="005744CF" w:rsidP="005744CF">
      <w:pPr>
        <w:pStyle w:val="Heading1"/>
        <w:rPr>
          <w:rFonts w:ascii="Arial" w:hAnsi="Arial" w:cs="Arial"/>
          <w:color w:val="auto"/>
          <w:sz w:val="24"/>
          <w:szCs w:val="24"/>
        </w:rPr>
      </w:pPr>
      <w:bookmarkStart w:id="8" w:name="_Toc193493597"/>
      <w:r w:rsidRPr="005744CF">
        <w:rPr>
          <w:rFonts w:ascii="Arial" w:hAnsi="Arial" w:cs="Arial"/>
          <w:color w:val="auto"/>
          <w:sz w:val="24"/>
          <w:szCs w:val="24"/>
        </w:rPr>
        <w:t>Reference</w:t>
      </w:r>
      <w:bookmarkEnd w:id="8"/>
    </w:p>
    <w:p w14:paraId="6B26685F" w14:textId="0231CC03" w:rsidR="001B73B1" w:rsidRDefault="001B73B1" w:rsidP="001B73B1">
      <w:pPr>
        <w:ind w:left="720" w:hanging="720"/>
        <w:rPr>
          <w:rFonts w:ascii="Arial" w:hAnsi="Arial" w:cs="Arial" w:hint="eastAsia"/>
        </w:rPr>
      </w:pPr>
      <w:r w:rsidRPr="001B73B1">
        <w:rPr>
          <w:rFonts w:ascii="Arial" w:hAnsi="Arial" w:cs="Arial"/>
        </w:rPr>
        <w:t xml:space="preserve">Auer, R., Burstein, A. and Lein, S.M. (2021) ‘Exchange Rates and Prices: Evidence from the 2015 Swiss Franc Appreciation’, </w:t>
      </w:r>
      <w:r w:rsidRPr="001B73B1">
        <w:rPr>
          <w:rFonts w:ascii="Arial" w:hAnsi="Arial" w:cs="Arial"/>
          <w:i/>
          <w:iCs/>
        </w:rPr>
        <w:t>NBER Working Paper Series</w:t>
      </w:r>
      <w:r w:rsidRPr="001B73B1">
        <w:rPr>
          <w:rFonts w:ascii="Arial" w:hAnsi="Arial" w:cs="Arial"/>
        </w:rPr>
        <w:t xml:space="preserve"> [Preprint]. Available at: </w:t>
      </w:r>
      <w:hyperlink r:id="rId7" w:history="1">
        <w:r w:rsidRPr="001B73B1">
          <w:rPr>
            <w:rStyle w:val="Hyperlink"/>
            <w:rFonts w:ascii="Arial" w:hAnsi="Arial" w:cs="Arial"/>
          </w:rPr>
          <w:t>https://doi.org/10.3386/w28404</w:t>
        </w:r>
      </w:hyperlink>
      <w:r>
        <w:rPr>
          <w:rFonts w:ascii="Arial" w:hAnsi="Arial" w:cs="Arial" w:hint="eastAsia"/>
        </w:rPr>
        <w:t xml:space="preserve"> </w:t>
      </w:r>
    </w:p>
    <w:p w14:paraId="3E1F5D11" w14:textId="1B2EBD71" w:rsidR="002736C2" w:rsidRDefault="002736C2" w:rsidP="002736C2">
      <w:pPr>
        <w:ind w:left="720" w:hanging="720"/>
        <w:rPr>
          <w:rFonts w:ascii="Arial" w:hAnsi="Arial" w:cs="Arial"/>
        </w:rPr>
      </w:pPr>
      <w:proofErr w:type="spellStart"/>
      <w:r w:rsidRPr="002736C2">
        <w:rPr>
          <w:rFonts w:ascii="Arial" w:hAnsi="Arial" w:cs="Arial"/>
        </w:rPr>
        <w:t>B</w:t>
      </w:r>
      <w:r>
        <w:rPr>
          <w:rFonts w:ascii="Arial" w:hAnsi="Arial" w:cs="Arial" w:hint="eastAsia"/>
        </w:rPr>
        <w:t>enmahi</w:t>
      </w:r>
      <w:proofErr w:type="spellEnd"/>
      <w:r w:rsidRPr="002736C2">
        <w:rPr>
          <w:rFonts w:ascii="Arial" w:hAnsi="Arial" w:cs="Arial"/>
        </w:rPr>
        <w:t>, H. and A</w:t>
      </w:r>
      <w:r>
        <w:rPr>
          <w:rFonts w:ascii="Arial" w:hAnsi="Arial" w:cs="Arial" w:hint="eastAsia"/>
        </w:rPr>
        <w:t>vci</w:t>
      </w:r>
      <w:r w:rsidRPr="002736C2">
        <w:rPr>
          <w:rFonts w:ascii="Arial" w:hAnsi="Arial" w:cs="Arial"/>
        </w:rPr>
        <w:t>, E. (2022) ‘HEDGE FUND STRATEGIES: PERFORMANCE, RISK AND DIVERSIFICATION OPPORTUNITIES</w:t>
      </w:r>
      <w:r>
        <w:rPr>
          <w:rFonts w:ascii="Arial" w:hAnsi="Arial" w:cs="Arial"/>
        </w:rPr>
        <w:t>’</w:t>
      </w:r>
      <w:r w:rsidRPr="002736C2">
        <w:rPr>
          <w:rFonts w:ascii="Arial" w:hAnsi="Arial" w:cs="Arial"/>
        </w:rPr>
        <w:t xml:space="preserve">, </w:t>
      </w:r>
      <w:r w:rsidRPr="002736C2">
        <w:rPr>
          <w:rFonts w:ascii="Arial" w:hAnsi="Arial" w:cs="Arial"/>
          <w:i/>
          <w:iCs/>
        </w:rPr>
        <w:t>Uluslararası Ekonomi, İşletme ve Politika Dergisi</w:t>
      </w:r>
      <w:r w:rsidRPr="002736C2">
        <w:rPr>
          <w:rFonts w:ascii="Arial" w:hAnsi="Arial" w:cs="Arial"/>
        </w:rPr>
        <w:t xml:space="preserve">, 6(1), pp. 172–196. Available at: </w:t>
      </w:r>
      <w:hyperlink r:id="rId8" w:history="1">
        <w:r w:rsidRPr="002736C2">
          <w:rPr>
            <w:rStyle w:val="Hyperlink"/>
            <w:rFonts w:ascii="Arial" w:hAnsi="Arial" w:cs="Arial"/>
          </w:rPr>
          <w:t>https://doi.org/10.29216/ueip.1092959</w:t>
        </w:r>
      </w:hyperlink>
      <w:r>
        <w:rPr>
          <w:rFonts w:ascii="Arial" w:hAnsi="Arial" w:cs="Arial" w:hint="eastAsia"/>
        </w:rPr>
        <w:t xml:space="preserve"> (Accessed: </w:t>
      </w:r>
      <w:r>
        <w:rPr>
          <w:rFonts w:ascii="Arial" w:hAnsi="Arial" w:cs="Arial"/>
        </w:rPr>
        <w:t>21 Mar</w:t>
      </w:r>
      <w:r>
        <w:rPr>
          <w:rFonts w:ascii="Arial" w:hAnsi="Arial" w:cs="Arial" w:hint="eastAsia"/>
        </w:rPr>
        <w:t xml:space="preserve"> 2025).</w:t>
      </w:r>
    </w:p>
    <w:p w14:paraId="50BF3E9B" w14:textId="1F395B8B" w:rsidR="002736C2" w:rsidRDefault="002736C2" w:rsidP="002736C2">
      <w:pPr>
        <w:ind w:left="720" w:hanging="720"/>
        <w:rPr>
          <w:rFonts w:ascii="Arial" w:hAnsi="Arial" w:cs="Arial"/>
        </w:rPr>
      </w:pPr>
      <w:r w:rsidRPr="002736C2">
        <w:rPr>
          <w:rFonts w:ascii="Arial" w:hAnsi="Arial" w:cs="Arial"/>
        </w:rPr>
        <w:t xml:space="preserve">Cornell, B. (2020) ‘Medallion Fund: The Ultimate Counterexample?’, </w:t>
      </w:r>
      <w:r w:rsidRPr="002736C2">
        <w:rPr>
          <w:rFonts w:ascii="Arial" w:hAnsi="Arial" w:cs="Arial"/>
          <w:i/>
          <w:iCs/>
        </w:rPr>
        <w:t xml:space="preserve">Journal of </w:t>
      </w:r>
      <w:r w:rsidR="00CE2C34">
        <w:rPr>
          <w:rFonts w:ascii="Arial" w:hAnsi="Arial" w:cs="Arial"/>
          <w:i/>
          <w:iCs/>
        </w:rPr>
        <w:t>Portfolio Management</w:t>
      </w:r>
      <w:r w:rsidRPr="002736C2">
        <w:rPr>
          <w:rFonts w:ascii="Arial" w:hAnsi="Arial" w:cs="Arial"/>
        </w:rPr>
        <w:t xml:space="preserve">, 46(4), pp. 156–159. Available at: </w:t>
      </w:r>
      <w:hyperlink r:id="rId9" w:history="1">
        <w:r w:rsidRPr="002736C2">
          <w:rPr>
            <w:rStyle w:val="Hyperlink"/>
            <w:rFonts w:ascii="Arial" w:hAnsi="Arial" w:cs="Arial"/>
          </w:rPr>
          <w:t>https://doi.org/10.3905/jpm.2020.1.128</w:t>
        </w:r>
      </w:hyperlink>
      <w:r>
        <w:rPr>
          <w:rFonts w:ascii="Arial" w:hAnsi="Arial" w:cs="Arial" w:hint="eastAsia"/>
        </w:rPr>
        <w:t xml:space="preserve"> </w:t>
      </w:r>
    </w:p>
    <w:p w14:paraId="0EEA7168" w14:textId="051DD225" w:rsidR="00B35B1E" w:rsidRDefault="00B35B1E" w:rsidP="00B35B1E">
      <w:pPr>
        <w:ind w:left="720" w:hanging="720"/>
        <w:rPr>
          <w:rFonts w:ascii="Arial" w:hAnsi="Arial" w:cs="Arial"/>
        </w:rPr>
      </w:pPr>
      <w:r w:rsidRPr="00B35B1E">
        <w:rPr>
          <w:rFonts w:ascii="Arial" w:hAnsi="Arial" w:cs="Arial"/>
        </w:rPr>
        <w:t xml:space="preserve">Dinçer, H. and Yüksel, S. (2019) ‘The Importance of PESTEL Analysis for Environmental Scanning Process’, in </w:t>
      </w:r>
      <w:r w:rsidRPr="00B35B1E">
        <w:rPr>
          <w:rFonts w:ascii="Arial" w:hAnsi="Arial" w:cs="Arial"/>
          <w:i/>
          <w:iCs/>
        </w:rPr>
        <w:t>Handbook of Research on Decision-Making Techniques in Financial Marketing</w:t>
      </w:r>
      <w:r w:rsidRPr="00B35B1E">
        <w:rPr>
          <w:rFonts w:ascii="Arial" w:hAnsi="Arial" w:cs="Arial"/>
        </w:rPr>
        <w:t xml:space="preserve">. IGI Global, pp. </w:t>
      </w:r>
      <w:r w:rsidRPr="00B35B1E">
        <w:rPr>
          <w:rFonts w:ascii="Arial" w:hAnsi="Arial" w:cs="Arial"/>
        </w:rPr>
        <w:lastRenderedPageBreak/>
        <w:t xml:space="preserve">336–357. Available at: </w:t>
      </w:r>
      <w:hyperlink r:id="rId10" w:history="1">
        <w:r w:rsidRPr="00B35B1E">
          <w:rPr>
            <w:rStyle w:val="Hyperlink"/>
            <w:rFonts w:ascii="Arial" w:hAnsi="Arial" w:cs="Arial"/>
          </w:rPr>
          <w:t>https://doi.org/10.4018/978-1-7998-2559-3.ch016</w:t>
        </w:r>
      </w:hyperlink>
      <w:r>
        <w:rPr>
          <w:rFonts w:ascii="Arial" w:hAnsi="Arial" w:cs="Arial" w:hint="eastAsia"/>
        </w:rPr>
        <w:t xml:space="preserve"> </w:t>
      </w:r>
    </w:p>
    <w:p w14:paraId="49AD92AA" w14:textId="0270D725" w:rsidR="002D2D0E" w:rsidRDefault="002D2D0E" w:rsidP="002D2D0E">
      <w:pPr>
        <w:ind w:left="720" w:hanging="720"/>
        <w:rPr>
          <w:rFonts w:ascii="Arial" w:hAnsi="Arial" w:cs="Arial"/>
        </w:rPr>
      </w:pPr>
      <w:r>
        <w:rPr>
          <w:rFonts w:ascii="Arial" w:hAnsi="Arial" w:cs="Arial" w:hint="eastAsia"/>
        </w:rPr>
        <w:t xml:space="preserve">European Security and Markets Authority (2014) </w:t>
      </w:r>
      <w:r w:rsidRPr="002D2D0E">
        <w:rPr>
          <w:rFonts w:ascii="Arial" w:hAnsi="Arial" w:cs="Arial" w:hint="eastAsia"/>
          <w:i/>
          <w:iCs/>
        </w:rPr>
        <w:t>MiFID II</w:t>
      </w:r>
      <w:r>
        <w:rPr>
          <w:rFonts w:ascii="Arial" w:hAnsi="Arial" w:cs="Arial" w:hint="eastAsia"/>
          <w:i/>
          <w:iCs/>
        </w:rPr>
        <w:t xml:space="preserve">, </w:t>
      </w:r>
      <w:r>
        <w:rPr>
          <w:rFonts w:ascii="Arial" w:hAnsi="Arial" w:cs="Arial" w:hint="eastAsia"/>
        </w:rPr>
        <w:t xml:space="preserve">Available at: </w:t>
      </w:r>
      <w:hyperlink r:id="rId11" w:history="1">
        <w:r w:rsidRPr="00F42BEB">
          <w:rPr>
            <w:rStyle w:val="Hyperlink"/>
            <w:rFonts w:ascii="Arial" w:hAnsi="Arial" w:cs="Arial"/>
          </w:rPr>
          <w:t>https://www.esma.europa.eu/publications-and-data/interactive-single-rulebook/mifid-ii</w:t>
        </w:r>
      </w:hyperlink>
      <w:r>
        <w:rPr>
          <w:rFonts w:ascii="Arial" w:hAnsi="Arial" w:cs="Arial" w:hint="eastAsia"/>
        </w:rPr>
        <w:t xml:space="preserve"> </w:t>
      </w:r>
      <w:r>
        <w:rPr>
          <w:rFonts w:ascii="Arial" w:hAnsi="Arial" w:cs="Arial" w:hint="eastAsia"/>
        </w:rPr>
        <w:t xml:space="preserve">(Accessed: </w:t>
      </w:r>
      <w:r>
        <w:rPr>
          <w:rFonts w:ascii="Arial" w:hAnsi="Arial" w:cs="Arial"/>
        </w:rPr>
        <w:t>21 Mar</w:t>
      </w:r>
      <w:r>
        <w:rPr>
          <w:rFonts w:ascii="Arial" w:hAnsi="Arial" w:cs="Arial" w:hint="eastAsia"/>
        </w:rPr>
        <w:t xml:space="preserve"> 2025).</w:t>
      </w:r>
    </w:p>
    <w:p w14:paraId="4A78A4B2" w14:textId="7C6D362B" w:rsidR="000F557F" w:rsidRPr="002D2D0E" w:rsidRDefault="000F557F" w:rsidP="000F557F">
      <w:pPr>
        <w:ind w:left="720" w:hanging="720"/>
        <w:rPr>
          <w:rFonts w:ascii="Arial" w:hAnsi="Arial" w:cs="Arial" w:hint="eastAsia"/>
        </w:rPr>
      </w:pPr>
      <w:r w:rsidRPr="000F557F">
        <w:rPr>
          <w:rFonts w:ascii="Arial" w:hAnsi="Arial" w:cs="Arial"/>
        </w:rPr>
        <w:t xml:space="preserve">Gao, L., Guo, K. and Wei, X. (2023) ‘Dynamic relationship between green bonds and major financial asset markets from the perspective of climate change’, </w:t>
      </w:r>
      <w:r w:rsidRPr="000F557F">
        <w:rPr>
          <w:rFonts w:ascii="Arial" w:hAnsi="Arial" w:cs="Arial"/>
          <w:i/>
          <w:iCs/>
        </w:rPr>
        <w:t>Frontiers in environmental science</w:t>
      </w:r>
      <w:r w:rsidRPr="000F557F">
        <w:rPr>
          <w:rFonts w:ascii="Arial" w:hAnsi="Arial" w:cs="Arial"/>
        </w:rPr>
        <w:t xml:space="preserve">, 10. Available at: </w:t>
      </w:r>
      <w:hyperlink r:id="rId12" w:history="1">
        <w:r w:rsidRPr="000F557F">
          <w:rPr>
            <w:rStyle w:val="Hyperlink"/>
            <w:rFonts w:ascii="Arial" w:hAnsi="Arial" w:cs="Arial"/>
          </w:rPr>
          <w:t>https://doi.org/10.3389/fenvs.2022.1109796</w:t>
        </w:r>
      </w:hyperlink>
      <w:r>
        <w:rPr>
          <w:rFonts w:ascii="Arial" w:hAnsi="Arial" w:cs="Arial" w:hint="eastAsia"/>
        </w:rPr>
        <w:t xml:space="preserve"> </w:t>
      </w:r>
    </w:p>
    <w:p w14:paraId="29EB5CCB" w14:textId="6916DC6B" w:rsidR="001B73B1" w:rsidRDefault="001B73B1" w:rsidP="001B73B1">
      <w:pPr>
        <w:ind w:left="720" w:hanging="720"/>
        <w:rPr>
          <w:rFonts w:ascii="Arial" w:hAnsi="Arial" w:cs="Arial" w:hint="eastAsia"/>
        </w:rPr>
      </w:pPr>
      <w:r w:rsidRPr="001B73B1">
        <w:rPr>
          <w:rFonts w:ascii="Arial" w:hAnsi="Arial" w:cs="Arial"/>
        </w:rPr>
        <w:t>J</w:t>
      </w:r>
      <w:r>
        <w:rPr>
          <w:rFonts w:ascii="Arial" w:hAnsi="Arial" w:cs="Arial" w:hint="eastAsia"/>
        </w:rPr>
        <w:t>ansen</w:t>
      </w:r>
      <w:r w:rsidRPr="001B73B1">
        <w:rPr>
          <w:rFonts w:ascii="Arial" w:hAnsi="Arial" w:cs="Arial"/>
        </w:rPr>
        <w:t xml:space="preserve">, D. (2021) ‘The International Spillovers of the 2010 U.S. Flash Crash’, </w:t>
      </w:r>
      <w:r w:rsidRPr="001B73B1">
        <w:rPr>
          <w:rFonts w:ascii="Arial" w:hAnsi="Arial" w:cs="Arial"/>
          <w:i/>
          <w:iCs/>
        </w:rPr>
        <w:t>Journal of money, credit and banking</w:t>
      </w:r>
      <w:r w:rsidRPr="001B73B1">
        <w:rPr>
          <w:rFonts w:ascii="Arial" w:hAnsi="Arial" w:cs="Arial"/>
        </w:rPr>
        <w:t xml:space="preserve">, 53(6), pp. 1573–1586. Available at: </w:t>
      </w:r>
      <w:hyperlink r:id="rId13" w:history="1">
        <w:r w:rsidRPr="001B73B1">
          <w:rPr>
            <w:rStyle w:val="Hyperlink"/>
            <w:rFonts w:ascii="Arial" w:hAnsi="Arial" w:cs="Arial"/>
          </w:rPr>
          <w:t>https://doi.org/10.1111/jmcb.12790</w:t>
        </w:r>
      </w:hyperlink>
      <w:r>
        <w:rPr>
          <w:rFonts w:ascii="Arial" w:hAnsi="Arial" w:cs="Arial" w:hint="eastAsia"/>
        </w:rPr>
        <w:t xml:space="preserve"> </w:t>
      </w:r>
    </w:p>
    <w:p w14:paraId="3C671936" w14:textId="218A02D4" w:rsidR="00655F02" w:rsidRDefault="00655F02" w:rsidP="002736C2">
      <w:pPr>
        <w:ind w:left="720" w:hanging="720"/>
        <w:rPr>
          <w:rFonts w:ascii="Arial" w:hAnsi="Arial" w:cs="Arial"/>
        </w:rPr>
      </w:pPr>
      <w:proofErr w:type="spellStart"/>
      <w:r>
        <w:rPr>
          <w:rFonts w:ascii="Arial" w:hAnsi="Arial" w:cs="Arial"/>
        </w:rPr>
        <w:t>Maggiulli</w:t>
      </w:r>
      <w:proofErr w:type="spellEnd"/>
      <w:r>
        <w:rPr>
          <w:rFonts w:ascii="Arial" w:hAnsi="Arial" w:cs="Arial"/>
        </w:rPr>
        <w:t>, N. (2023) ‘</w:t>
      </w:r>
      <w:r w:rsidRPr="00655F02">
        <w:rPr>
          <w:rFonts w:ascii="Arial" w:hAnsi="Arial" w:cs="Arial"/>
        </w:rPr>
        <w:t>Why the Medallion Fund is the Greatest Money-Making Machine of All Time</w:t>
      </w:r>
      <w:r>
        <w:rPr>
          <w:rFonts w:ascii="Arial" w:hAnsi="Arial" w:cs="Arial"/>
        </w:rPr>
        <w:t xml:space="preserve">’, </w:t>
      </w:r>
      <w:r w:rsidRPr="00655F02">
        <w:rPr>
          <w:rFonts w:ascii="Arial" w:hAnsi="Arial" w:cs="Arial"/>
          <w:i/>
          <w:iCs/>
        </w:rPr>
        <w:t>of Dollars and Data</w:t>
      </w:r>
      <w:r>
        <w:rPr>
          <w:rFonts w:ascii="Arial" w:hAnsi="Arial" w:cs="Arial"/>
          <w:i/>
          <w:iCs/>
        </w:rPr>
        <w:t xml:space="preserve">. </w:t>
      </w:r>
      <w:r>
        <w:rPr>
          <w:rFonts w:ascii="Arial" w:hAnsi="Arial" w:cs="Arial"/>
        </w:rPr>
        <w:t xml:space="preserve">Available at: </w:t>
      </w:r>
      <w:hyperlink r:id="rId14" w:history="1">
        <w:r w:rsidRPr="00EE61CB">
          <w:rPr>
            <w:rStyle w:val="Hyperlink"/>
            <w:rFonts w:ascii="Arial" w:hAnsi="Arial" w:cs="Arial"/>
          </w:rPr>
          <w:t>https://ofdollarsanddata.com/medallion-fund/</w:t>
        </w:r>
      </w:hyperlink>
      <w:r>
        <w:rPr>
          <w:rFonts w:ascii="Arial" w:hAnsi="Arial" w:cs="Arial"/>
        </w:rPr>
        <w:t xml:space="preserve"> (</w:t>
      </w:r>
      <w:r>
        <w:rPr>
          <w:rFonts w:ascii="Arial" w:hAnsi="Arial" w:cs="Arial" w:hint="eastAsia"/>
        </w:rPr>
        <w:t xml:space="preserve">Accessed: </w:t>
      </w:r>
      <w:r>
        <w:rPr>
          <w:rFonts w:ascii="Arial" w:hAnsi="Arial" w:cs="Arial"/>
        </w:rPr>
        <w:t>21 Mar</w:t>
      </w:r>
      <w:r>
        <w:rPr>
          <w:rFonts w:ascii="Arial" w:hAnsi="Arial" w:cs="Arial" w:hint="eastAsia"/>
        </w:rPr>
        <w:t xml:space="preserve"> 2025).</w:t>
      </w:r>
    </w:p>
    <w:p w14:paraId="1006DE91" w14:textId="47086194" w:rsidR="001B73B1" w:rsidRPr="001B73B1" w:rsidRDefault="001B73B1" w:rsidP="002736C2">
      <w:pPr>
        <w:ind w:left="720" w:hanging="720"/>
        <w:rPr>
          <w:rFonts w:ascii="Arial" w:hAnsi="Arial" w:cs="Arial" w:hint="eastAsia"/>
        </w:rPr>
      </w:pPr>
      <w:r>
        <w:rPr>
          <w:rFonts w:ascii="Arial" w:hAnsi="Arial" w:cs="Arial" w:hint="eastAsia"/>
        </w:rPr>
        <w:t xml:space="preserve">Securities and Exchange Commission (2011) </w:t>
      </w:r>
      <w:r w:rsidRPr="001B73B1">
        <w:rPr>
          <w:rFonts w:ascii="Arial" w:hAnsi="Arial" w:cs="Arial"/>
          <w:i/>
          <w:iCs/>
        </w:rPr>
        <w:t>Rule 15c3-5 — Risk Management Controls for Brokers or Dealers with Market Access</w:t>
      </w:r>
      <w:r>
        <w:rPr>
          <w:rFonts w:ascii="Arial" w:hAnsi="Arial" w:cs="Arial" w:hint="eastAsia"/>
          <w:i/>
          <w:iCs/>
        </w:rPr>
        <w:t xml:space="preserve"> </w:t>
      </w:r>
      <w:r>
        <w:rPr>
          <w:rFonts w:ascii="Arial" w:hAnsi="Arial" w:cs="Arial" w:hint="eastAsia"/>
        </w:rPr>
        <w:t xml:space="preserve">Available at: </w:t>
      </w:r>
      <w:hyperlink r:id="rId15" w:history="1">
        <w:r w:rsidRPr="00F42BEB">
          <w:rPr>
            <w:rStyle w:val="Hyperlink"/>
            <w:rFonts w:ascii="Arial" w:hAnsi="Arial" w:cs="Arial"/>
          </w:rPr>
          <w:t>https://www.sec.gov/files/rules/final/2010/34-63241-secg.htm</w:t>
        </w:r>
      </w:hyperlink>
      <w:r>
        <w:rPr>
          <w:rFonts w:ascii="Arial" w:hAnsi="Arial" w:cs="Arial" w:hint="eastAsia"/>
        </w:rPr>
        <w:t xml:space="preserve"> </w:t>
      </w:r>
      <w:r>
        <w:rPr>
          <w:rFonts w:ascii="Arial" w:hAnsi="Arial" w:cs="Arial"/>
        </w:rPr>
        <w:t>(</w:t>
      </w:r>
      <w:r>
        <w:rPr>
          <w:rFonts w:ascii="Arial" w:hAnsi="Arial" w:cs="Arial" w:hint="eastAsia"/>
        </w:rPr>
        <w:t xml:space="preserve">Accessed: </w:t>
      </w:r>
      <w:r>
        <w:rPr>
          <w:rFonts w:ascii="Arial" w:hAnsi="Arial" w:cs="Arial"/>
        </w:rPr>
        <w:t>21 Mar</w:t>
      </w:r>
      <w:r>
        <w:rPr>
          <w:rFonts w:ascii="Arial" w:hAnsi="Arial" w:cs="Arial" w:hint="eastAsia"/>
        </w:rPr>
        <w:t xml:space="preserve"> 2025).</w:t>
      </w:r>
    </w:p>
    <w:p w14:paraId="3BD767E6" w14:textId="4C464058" w:rsidR="00A70BB6" w:rsidRPr="00A70BB6" w:rsidRDefault="00A70BB6" w:rsidP="002736C2">
      <w:pPr>
        <w:ind w:left="720" w:hanging="720"/>
        <w:rPr>
          <w:rFonts w:ascii="Arial" w:hAnsi="Arial" w:cs="Arial" w:hint="eastAsia"/>
        </w:rPr>
      </w:pPr>
      <w:r w:rsidRPr="00A70BB6">
        <w:rPr>
          <w:rFonts w:ascii="Arial" w:hAnsi="Arial" w:cs="Arial"/>
        </w:rPr>
        <w:t xml:space="preserve">Terzo, G. (2009). </w:t>
      </w:r>
      <w:r>
        <w:rPr>
          <w:rFonts w:ascii="Arial" w:hAnsi="Arial" w:cs="Arial"/>
        </w:rPr>
        <w:t>‘</w:t>
      </w:r>
      <w:r w:rsidRPr="00A70BB6">
        <w:rPr>
          <w:rFonts w:ascii="Arial" w:hAnsi="Arial" w:cs="Arial"/>
        </w:rPr>
        <w:t>Renaissance CEO Simons To Retire</w:t>
      </w:r>
      <w:r>
        <w:rPr>
          <w:rFonts w:ascii="Arial" w:hAnsi="Arial" w:cs="Arial"/>
        </w:rPr>
        <w:t>’</w:t>
      </w:r>
      <w:r>
        <w:rPr>
          <w:rFonts w:ascii="Arial" w:hAnsi="Arial" w:cs="Arial" w:hint="eastAsia"/>
        </w:rPr>
        <w:t>,</w:t>
      </w:r>
      <w:r w:rsidRPr="00A70BB6">
        <w:rPr>
          <w:rFonts w:ascii="Arial" w:hAnsi="Arial" w:cs="Arial"/>
          <w:i/>
          <w:iCs/>
        </w:rPr>
        <w:t> Investment Management Weekly, 22</w:t>
      </w:r>
      <w:r w:rsidRPr="00A70BB6">
        <w:rPr>
          <w:rFonts w:ascii="Arial" w:hAnsi="Arial" w:cs="Arial"/>
        </w:rPr>
        <w:t xml:space="preserve">(41), 17. </w:t>
      </w:r>
      <w:r>
        <w:rPr>
          <w:rFonts w:ascii="Arial" w:hAnsi="Arial" w:cs="Arial" w:hint="eastAsia"/>
        </w:rPr>
        <w:t xml:space="preserve">Available at: </w:t>
      </w:r>
      <w:hyperlink r:id="rId16" w:history="1">
        <w:r w:rsidRPr="00103ADA">
          <w:rPr>
            <w:rStyle w:val="Hyperlink"/>
            <w:rFonts w:ascii="Arial" w:hAnsi="Arial" w:cs="Arial"/>
          </w:rPr>
          <w:t>https://www.proquest.com/trade-journals/renaissance-ceo-simons-retire/docview/207542992/se-2</w:t>
        </w:r>
      </w:hyperlink>
      <w:r>
        <w:rPr>
          <w:rFonts w:ascii="Arial" w:hAnsi="Arial" w:cs="Arial" w:hint="eastAsia"/>
        </w:rPr>
        <w:t xml:space="preserve"> (Accessed: </w:t>
      </w:r>
      <w:r>
        <w:rPr>
          <w:rFonts w:ascii="Arial" w:hAnsi="Arial" w:cs="Arial"/>
        </w:rPr>
        <w:t>21 Mar</w:t>
      </w:r>
      <w:r>
        <w:rPr>
          <w:rFonts w:ascii="Arial" w:hAnsi="Arial" w:cs="Arial" w:hint="eastAsia"/>
        </w:rPr>
        <w:t xml:space="preserve"> 2025).</w:t>
      </w:r>
    </w:p>
    <w:p w14:paraId="62D0E945" w14:textId="793A99C0" w:rsidR="00A723F7" w:rsidRPr="009B7411" w:rsidRDefault="009B7411" w:rsidP="002736C2">
      <w:pPr>
        <w:ind w:left="720" w:hanging="720"/>
        <w:rPr>
          <w:rFonts w:ascii="Arial" w:hAnsi="Arial" w:cs="Arial" w:hint="eastAsia"/>
        </w:rPr>
      </w:pPr>
      <w:r>
        <w:rPr>
          <w:rFonts w:ascii="Arial" w:hAnsi="Arial" w:cs="Arial" w:hint="eastAsia"/>
        </w:rPr>
        <w:lastRenderedPageBreak/>
        <w:t>Yale University (2018)</w:t>
      </w:r>
      <w:r w:rsidRPr="009B7411">
        <w:rPr>
          <w:rFonts w:ascii="Arial" w:hAnsi="Arial" w:cs="Arial"/>
        </w:rPr>
        <w:t xml:space="preserve"> </w:t>
      </w:r>
      <w:r w:rsidRPr="009B7411">
        <w:rPr>
          <w:rFonts w:ascii="Arial" w:hAnsi="Arial" w:cs="Arial" w:hint="eastAsia"/>
          <w:i/>
          <w:iCs/>
        </w:rPr>
        <w:t xml:space="preserve">The </w:t>
      </w:r>
      <w:r w:rsidRPr="009B7411">
        <w:rPr>
          <w:rFonts w:ascii="Arial" w:hAnsi="Arial" w:cs="Arial"/>
          <w:i/>
          <w:iCs/>
        </w:rPr>
        <w:t>Yale Endowment</w:t>
      </w:r>
      <w:r>
        <w:rPr>
          <w:rFonts w:ascii="Arial" w:hAnsi="Arial" w:cs="Arial" w:hint="eastAsia"/>
        </w:rPr>
        <w:t xml:space="preserve">. Available at: </w:t>
      </w:r>
      <w:hyperlink r:id="rId17" w:history="1">
        <w:r w:rsidR="00A70BB6" w:rsidRPr="00103ADA">
          <w:rPr>
            <w:rStyle w:val="Hyperlink"/>
            <w:rFonts w:ascii="Arial" w:hAnsi="Arial" w:cs="Arial"/>
          </w:rPr>
          <w:t>https://investments.yale.edu/reports/</w:t>
        </w:r>
      </w:hyperlink>
      <w:r w:rsidR="00A70BB6">
        <w:rPr>
          <w:rFonts w:ascii="Arial" w:hAnsi="Arial" w:cs="Arial" w:hint="eastAsia"/>
        </w:rPr>
        <w:t xml:space="preserve"> </w:t>
      </w:r>
      <w:r>
        <w:rPr>
          <w:rFonts w:ascii="Arial" w:hAnsi="Arial" w:cs="Arial" w:hint="eastAsia"/>
        </w:rPr>
        <w:t xml:space="preserve">(Accessed: </w:t>
      </w:r>
      <w:r>
        <w:rPr>
          <w:rFonts w:ascii="Arial" w:hAnsi="Arial" w:cs="Arial"/>
        </w:rPr>
        <w:t>21 Mar</w:t>
      </w:r>
      <w:r>
        <w:rPr>
          <w:rFonts w:ascii="Arial" w:hAnsi="Arial" w:cs="Arial" w:hint="eastAsia"/>
        </w:rPr>
        <w:t xml:space="preserve"> 2025).</w:t>
      </w:r>
    </w:p>
    <w:sectPr w:rsidR="00A723F7" w:rsidRPr="009B7411" w:rsidSect="00480F90">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97236"/>
    <w:multiLevelType w:val="multilevel"/>
    <w:tmpl w:val="B8EE1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24F86"/>
    <w:multiLevelType w:val="multilevel"/>
    <w:tmpl w:val="11543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97E23"/>
    <w:multiLevelType w:val="multilevel"/>
    <w:tmpl w:val="C3B6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B72B2B"/>
    <w:multiLevelType w:val="hybridMultilevel"/>
    <w:tmpl w:val="94400892"/>
    <w:lvl w:ilvl="0" w:tplc="58122C7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 w15:restartNumberingAfterBreak="0">
    <w:nsid w:val="39A000C1"/>
    <w:multiLevelType w:val="multilevel"/>
    <w:tmpl w:val="348E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A010D4"/>
    <w:multiLevelType w:val="multilevel"/>
    <w:tmpl w:val="79E0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A33104"/>
    <w:multiLevelType w:val="hybridMultilevel"/>
    <w:tmpl w:val="61CA0DEE"/>
    <w:lvl w:ilvl="0" w:tplc="40C05DC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7" w15:restartNumberingAfterBreak="0">
    <w:nsid w:val="7E2A6EEF"/>
    <w:multiLevelType w:val="multilevel"/>
    <w:tmpl w:val="34D2B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175480">
    <w:abstractNumId w:val="3"/>
  </w:num>
  <w:num w:numId="2" w16cid:durableId="1289629028">
    <w:abstractNumId w:val="6"/>
  </w:num>
  <w:num w:numId="3" w16cid:durableId="1342783511">
    <w:abstractNumId w:val="7"/>
  </w:num>
  <w:num w:numId="4" w16cid:durableId="555900170">
    <w:abstractNumId w:val="0"/>
  </w:num>
  <w:num w:numId="5" w16cid:durableId="1089502581">
    <w:abstractNumId w:val="1"/>
  </w:num>
  <w:num w:numId="6" w16cid:durableId="1469856455">
    <w:abstractNumId w:val="4"/>
  </w:num>
  <w:num w:numId="7" w16cid:durableId="1551451692">
    <w:abstractNumId w:val="5"/>
  </w:num>
  <w:num w:numId="8" w16cid:durableId="3161126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E77"/>
    <w:rsid w:val="00017695"/>
    <w:rsid w:val="000F4429"/>
    <w:rsid w:val="000F557F"/>
    <w:rsid w:val="001B73B1"/>
    <w:rsid w:val="0026211C"/>
    <w:rsid w:val="00267E29"/>
    <w:rsid w:val="002736C2"/>
    <w:rsid w:val="002D2D0E"/>
    <w:rsid w:val="00327BD6"/>
    <w:rsid w:val="004347C7"/>
    <w:rsid w:val="00480F90"/>
    <w:rsid w:val="004A72F9"/>
    <w:rsid w:val="005744CF"/>
    <w:rsid w:val="00655F02"/>
    <w:rsid w:val="006A2AFE"/>
    <w:rsid w:val="006A4D81"/>
    <w:rsid w:val="00910E77"/>
    <w:rsid w:val="00981506"/>
    <w:rsid w:val="009B7411"/>
    <w:rsid w:val="00A70BB6"/>
    <w:rsid w:val="00A723F7"/>
    <w:rsid w:val="00B303E9"/>
    <w:rsid w:val="00B35B1E"/>
    <w:rsid w:val="00CE2C34"/>
    <w:rsid w:val="00E97325"/>
    <w:rsid w:val="00EE4A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25ED0"/>
  <w15:chartTrackingRefBased/>
  <w15:docId w15:val="{32373F01-88E6-4D05-8607-733406905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pPr>
  </w:style>
  <w:style w:type="paragraph" w:styleId="Heading1">
    <w:name w:val="heading 1"/>
    <w:basedOn w:val="Normal"/>
    <w:next w:val="Normal"/>
    <w:link w:val="Heading1Char"/>
    <w:uiPriority w:val="9"/>
    <w:qFormat/>
    <w:rsid w:val="00910E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0E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0E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0E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0E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0E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E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E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E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E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0E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0E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0E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0E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0E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E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E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E77"/>
    <w:rPr>
      <w:rFonts w:eastAsiaTheme="majorEastAsia" w:cstheme="majorBidi"/>
      <w:color w:val="272727" w:themeColor="text1" w:themeTint="D8"/>
    </w:rPr>
  </w:style>
  <w:style w:type="paragraph" w:styleId="Title">
    <w:name w:val="Title"/>
    <w:basedOn w:val="Normal"/>
    <w:next w:val="Normal"/>
    <w:link w:val="TitleChar"/>
    <w:uiPriority w:val="10"/>
    <w:qFormat/>
    <w:rsid w:val="00910E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E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E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E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E77"/>
    <w:pPr>
      <w:spacing w:before="160"/>
      <w:jc w:val="center"/>
    </w:pPr>
    <w:rPr>
      <w:i/>
      <w:iCs/>
      <w:color w:val="404040" w:themeColor="text1" w:themeTint="BF"/>
    </w:rPr>
  </w:style>
  <w:style w:type="character" w:customStyle="1" w:styleId="QuoteChar">
    <w:name w:val="Quote Char"/>
    <w:basedOn w:val="DefaultParagraphFont"/>
    <w:link w:val="Quote"/>
    <w:uiPriority w:val="29"/>
    <w:rsid w:val="00910E77"/>
    <w:rPr>
      <w:i/>
      <w:iCs/>
      <w:color w:val="404040" w:themeColor="text1" w:themeTint="BF"/>
    </w:rPr>
  </w:style>
  <w:style w:type="paragraph" w:styleId="ListParagraph">
    <w:name w:val="List Paragraph"/>
    <w:basedOn w:val="Normal"/>
    <w:uiPriority w:val="34"/>
    <w:qFormat/>
    <w:rsid w:val="00910E77"/>
    <w:pPr>
      <w:ind w:left="720"/>
      <w:contextualSpacing/>
    </w:pPr>
  </w:style>
  <w:style w:type="character" w:styleId="IntenseEmphasis">
    <w:name w:val="Intense Emphasis"/>
    <w:basedOn w:val="DefaultParagraphFont"/>
    <w:uiPriority w:val="21"/>
    <w:qFormat/>
    <w:rsid w:val="00910E77"/>
    <w:rPr>
      <w:i/>
      <w:iCs/>
      <w:color w:val="0F4761" w:themeColor="accent1" w:themeShade="BF"/>
    </w:rPr>
  </w:style>
  <w:style w:type="paragraph" w:styleId="IntenseQuote">
    <w:name w:val="Intense Quote"/>
    <w:basedOn w:val="Normal"/>
    <w:next w:val="Normal"/>
    <w:link w:val="IntenseQuoteChar"/>
    <w:uiPriority w:val="30"/>
    <w:qFormat/>
    <w:rsid w:val="00910E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E77"/>
    <w:rPr>
      <w:i/>
      <w:iCs/>
      <w:color w:val="0F4761" w:themeColor="accent1" w:themeShade="BF"/>
    </w:rPr>
  </w:style>
  <w:style w:type="character" w:styleId="IntenseReference">
    <w:name w:val="Intense Reference"/>
    <w:basedOn w:val="DefaultParagraphFont"/>
    <w:uiPriority w:val="32"/>
    <w:qFormat/>
    <w:rsid w:val="00910E77"/>
    <w:rPr>
      <w:b/>
      <w:bCs/>
      <w:smallCaps/>
      <w:color w:val="0F4761" w:themeColor="accent1" w:themeShade="BF"/>
      <w:spacing w:val="5"/>
    </w:rPr>
  </w:style>
  <w:style w:type="character" w:styleId="Hyperlink">
    <w:name w:val="Hyperlink"/>
    <w:basedOn w:val="DefaultParagraphFont"/>
    <w:uiPriority w:val="99"/>
    <w:unhideWhenUsed/>
    <w:rsid w:val="00A70BB6"/>
    <w:rPr>
      <w:color w:val="467886" w:themeColor="hyperlink"/>
      <w:u w:val="single"/>
    </w:rPr>
  </w:style>
  <w:style w:type="character" w:styleId="UnresolvedMention">
    <w:name w:val="Unresolved Mention"/>
    <w:basedOn w:val="DefaultParagraphFont"/>
    <w:uiPriority w:val="99"/>
    <w:semiHidden/>
    <w:unhideWhenUsed/>
    <w:rsid w:val="00A70BB6"/>
    <w:rPr>
      <w:color w:val="605E5C"/>
      <w:shd w:val="clear" w:color="auto" w:fill="E1DFDD"/>
    </w:rPr>
  </w:style>
  <w:style w:type="paragraph" w:styleId="TOCHeading">
    <w:name w:val="TOC Heading"/>
    <w:basedOn w:val="Heading1"/>
    <w:next w:val="Normal"/>
    <w:uiPriority w:val="39"/>
    <w:unhideWhenUsed/>
    <w:qFormat/>
    <w:rsid w:val="00EE4A7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E4A7D"/>
    <w:pPr>
      <w:spacing w:after="100"/>
    </w:pPr>
  </w:style>
  <w:style w:type="paragraph" w:styleId="TOC2">
    <w:name w:val="toc 2"/>
    <w:basedOn w:val="Normal"/>
    <w:next w:val="Normal"/>
    <w:autoRedefine/>
    <w:uiPriority w:val="39"/>
    <w:unhideWhenUsed/>
    <w:rsid w:val="00EE4A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95539">
      <w:bodyDiv w:val="1"/>
      <w:marLeft w:val="0"/>
      <w:marRight w:val="0"/>
      <w:marTop w:val="0"/>
      <w:marBottom w:val="0"/>
      <w:divBdr>
        <w:top w:val="none" w:sz="0" w:space="0" w:color="auto"/>
        <w:left w:val="none" w:sz="0" w:space="0" w:color="auto"/>
        <w:bottom w:val="none" w:sz="0" w:space="0" w:color="auto"/>
        <w:right w:val="none" w:sz="0" w:space="0" w:color="auto"/>
      </w:divBdr>
      <w:divsChild>
        <w:div w:id="824127975">
          <w:marLeft w:val="0"/>
          <w:marRight w:val="0"/>
          <w:marTop w:val="0"/>
          <w:marBottom w:val="0"/>
          <w:divBdr>
            <w:top w:val="none" w:sz="0" w:space="0" w:color="auto"/>
            <w:left w:val="none" w:sz="0" w:space="0" w:color="auto"/>
            <w:bottom w:val="none" w:sz="0" w:space="0" w:color="auto"/>
            <w:right w:val="none" w:sz="0" w:space="0" w:color="auto"/>
          </w:divBdr>
          <w:divsChild>
            <w:div w:id="166050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7833">
      <w:bodyDiv w:val="1"/>
      <w:marLeft w:val="0"/>
      <w:marRight w:val="0"/>
      <w:marTop w:val="0"/>
      <w:marBottom w:val="0"/>
      <w:divBdr>
        <w:top w:val="none" w:sz="0" w:space="0" w:color="auto"/>
        <w:left w:val="none" w:sz="0" w:space="0" w:color="auto"/>
        <w:bottom w:val="none" w:sz="0" w:space="0" w:color="auto"/>
        <w:right w:val="none" w:sz="0" w:space="0" w:color="auto"/>
      </w:divBdr>
      <w:divsChild>
        <w:div w:id="1122043194">
          <w:marLeft w:val="0"/>
          <w:marRight w:val="0"/>
          <w:marTop w:val="0"/>
          <w:marBottom w:val="0"/>
          <w:divBdr>
            <w:top w:val="none" w:sz="0" w:space="0" w:color="auto"/>
            <w:left w:val="none" w:sz="0" w:space="0" w:color="auto"/>
            <w:bottom w:val="none" w:sz="0" w:space="0" w:color="auto"/>
            <w:right w:val="none" w:sz="0" w:space="0" w:color="auto"/>
          </w:divBdr>
          <w:divsChild>
            <w:div w:id="147089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38978">
      <w:bodyDiv w:val="1"/>
      <w:marLeft w:val="0"/>
      <w:marRight w:val="0"/>
      <w:marTop w:val="0"/>
      <w:marBottom w:val="0"/>
      <w:divBdr>
        <w:top w:val="none" w:sz="0" w:space="0" w:color="auto"/>
        <w:left w:val="none" w:sz="0" w:space="0" w:color="auto"/>
        <w:bottom w:val="none" w:sz="0" w:space="0" w:color="auto"/>
        <w:right w:val="none" w:sz="0" w:space="0" w:color="auto"/>
      </w:divBdr>
    </w:div>
    <w:div w:id="234515911">
      <w:bodyDiv w:val="1"/>
      <w:marLeft w:val="0"/>
      <w:marRight w:val="0"/>
      <w:marTop w:val="0"/>
      <w:marBottom w:val="0"/>
      <w:divBdr>
        <w:top w:val="none" w:sz="0" w:space="0" w:color="auto"/>
        <w:left w:val="none" w:sz="0" w:space="0" w:color="auto"/>
        <w:bottom w:val="none" w:sz="0" w:space="0" w:color="auto"/>
        <w:right w:val="none" w:sz="0" w:space="0" w:color="auto"/>
      </w:divBdr>
    </w:div>
    <w:div w:id="240482374">
      <w:bodyDiv w:val="1"/>
      <w:marLeft w:val="0"/>
      <w:marRight w:val="0"/>
      <w:marTop w:val="0"/>
      <w:marBottom w:val="0"/>
      <w:divBdr>
        <w:top w:val="none" w:sz="0" w:space="0" w:color="auto"/>
        <w:left w:val="none" w:sz="0" w:space="0" w:color="auto"/>
        <w:bottom w:val="none" w:sz="0" w:space="0" w:color="auto"/>
        <w:right w:val="none" w:sz="0" w:space="0" w:color="auto"/>
      </w:divBdr>
      <w:divsChild>
        <w:div w:id="377097220">
          <w:marLeft w:val="0"/>
          <w:marRight w:val="0"/>
          <w:marTop w:val="0"/>
          <w:marBottom w:val="0"/>
          <w:divBdr>
            <w:top w:val="none" w:sz="0" w:space="0" w:color="auto"/>
            <w:left w:val="none" w:sz="0" w:space="0" w:color="auto"/>
            <w:bottom w:val="none" w:sz="0" w:space="0" w:color="auto"/>
            <w:right w:val="none" w:sz="0" w:space="0" w:color="auto"/>
          </w:divBdr>
          <w:divsChild>
            <w:div w:id="155635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688720">
      <w:bodyDiv w:val="1"/>
      <w:marLeft w:val="0"/>
      <w:marRight w:val="0"/>
      <w:marTop w:val="0"/>
      <w:marBottom w:val="0"/>
      <w:divBdr>
        <w:top w:val="none" w:sz="0" w:space="0" w:color="auto"/>
        <w:left w:val="none" w:sz="0" w:space="0" w:color="auto"/>
        <w:bottom w:val="none" w:sz="0" w:space="0" w:color="auto"/>
        <w:right w:val="none" w:sz="0" w:space="0" w:color="auto"/>
      </w:divBdr>
      <w:divsChild>
        <w:div w:id="2100980284">
          <w:marLeft w:val="0"/>
          <w:marRight w:val="0"/>
          <w:marTop w:val="0"/>
          <w:marBottom w:val="0"/>
          <w:divBdr>
            <w:top w:val="none" w:sz="0" w:space="0" w:color="auto"/>
            <w:left w:val="none" w:sz="0" w:space="0" w:color="auto"/>
            <w:bottom w:val="none" w:sz="0" w:space="0" w:color="auto"/>
            <w:right w:val="none" w:sz="0" w:space="0" w:color="auto"/>
          </w:divBdr>
          <w:divsChild>
            <w:div w:id="190336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120129">
      <w:bodyDiv w:val="1"/>
      <w:marLeft w:val="0"/>
      <w:marRight w:val="0"/>
      <w:marTop w:val="0"/>
      <w:marBottom w:val="0"/>
      <w:divBdr>
        <w:top w:val="none" w:sz="0" w:space="0" w:color="auto"/>
        <w:left w:val="none" w:sz="0" w:space="0" w:color="auto"/>
        <w:bottom w:val="none" w:sz="0" w:space="0" w:color="auto"/>
        <w:right w:val="none" w:sz="0" w:space="0" w:color="auto"/>
      </w:divBdr>
    </w:div>
    <w:div w:id="488636767">
      <w:bodyDiv w:val="1"/>
      <w:marLeft w:val="0"/>
      <w:marRight w:val="0"/>
      <w:marTop w:val="0"/>
      <w:marBottom w:val="0"/>
      <w:divBdr>
        <w:top w:val="none" w:sz="0" w:space="0" w:color="auto"/>
        <w:left w:val="none" w:sz="0" w:space="0" w:color="auto"/>
        <w:bottom w:val="none" w:sz="0" w:space="0" w:color="auto"/>
        <w:right w:val="none" w:sz="0" w:space="0" w:color="auto"/>
      </w:divBdr>
    </w:div>
    <w:div w:id="552549070">
      <w:bodyDiv w:val="1"/>
      <w:marLeft w:val="0"/>
      <w:marRight w:val="0"/>
      <w:marTop w:val="0"/>
      <w:marBottom w:val="0"/>
      <w:divBdr>
        <w:top w:val="none" w:sz="0" w:space="0" w:color="auto"/>
        <w:left w:val="none" w:sz="0" w:space="0" w:color="auto"/>
        <w:bottom w:val="none" w:sz="0" w:space="0" w:color="auto"/>
        <w:right w:val="none" w:sz="0" w:space="0" w:color="auto"/>
      </w:divBdr>
      <w:divsChild>
        <w:div w:id="2100103409">
          <w:marLeft w:val="0"/>
          <w:marRight w:val="0"/>
          <w:marTop w:val="0"/>
          <w:marBottom w:val="0"/>
          <w:divBdr>
            <w:top w:val="none" w:sz="0" w:space="0" w:color="auto"/>
            <w:left w:val="none" w:sz="0" w:space="0" w:color="auto"/>
            <w:bottom w:val="none" w:sz="0" w:space="0" w:color="auto"/>
            <w:right w:val="none" w:sz="0" w:space="0" w:color="auto"/>
          </w:divBdr>
          <w:divsChild>
            <w:div w:id="197290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718748">
      <w:bodyDiv w:val="1"/>
      <w:marLeft w:val="0"/>
      <w:marRight w:val="0"/>
      <w:marTop w:val="0"/>
      <w:marBottom w:val="0"/>
      <w:divBdr>
        <w:top w:val="none" w:sz="0" w:space="0" w:color="auto"/>
        <w:left w:val="none" w:sz="0" w:space="0" w:color="auto"/>
        <w:bottom w:val="none" w:sz="0" w:space="0" w:color="auto"/>
        <w:right w:val="none" w:sz="0" w:space="0" w:color="auto"/>
      </w:divBdr>
      <w:divsChild>
        <w:div w:id="594746634">
          <w:marLeft w:val="0"/>
          <w:marRight w:val="0"/>
          <w:marTop w:val="0"/>
          <w:marBottom w:val="0"/>
          <w:divBdr>
            <w:top w:val="none" w:sz="0" w:space="0" w:color="auto"/>
            <w:left w:val="none" w:sz="0" w:space="0" w:color="auto"/>
            <w:bottom w:val="none" w:sz="0" w:space="0" w:color="auto"/>
            <w:right w:val="none" w:sz="0" w:space="0" w:color="auto"/>
          </w:divBdr>
          <w:divsChild>
            <w:div w:id="25011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840089">
      <w:bodyDiv w:val="1"/>
      <w:marLeft w:val="0"/>
      <w:marRight w:val="0"/>
      <w:marTop w:val="0"/>
      <w:marBottom w:val="0"/>
      <w:divBdr>
        <w:top w:val="none" w:sz="0" w:space="0" w:color="auto"/>
        <w:left w:val="none" w:sz="0" w:space="0" w:color="auto"/>
        <w:bottom w:val="none" w:sz="0" w:space="0" w:color="auto"/>
        <w:right w:val="none" w:sz="0" w:space="0" w:color="auto"/>
      </w:divBdr>
      <w:divsChild>
        <w:div w:id="539979418">
          <w:marLeft w:val="0"/>
          <w:marRight w:val="0"/>
          <w:marTop w:val="0"/>
          <w:marBottom w:val="0"/>
          <w:divBdr>
            <w:top w:val="none" w:sz="0" w:space="0" w:color="auto"/>
            <w:left w:val="none" w:sz="0" w:space="0" w:color="auto"/>
            <w:bottom w:val="none" w:sz="0" w:space="0" w:color="auto"/>
            <w:right w:val="none" w:sz="0" w:space="0" w:color="auto"/>
          </w:divBdr>
          <w:divsChild>
            <w:div w:id="162053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72176">
      <w:bodyDiv w:val="1"/>
      <w:marLeft w:val="0"/>
      <w:marRight w:val="0"/>
      <w:marTop w:val="0"/>
      <w:marBottom w:val="0"/>
      <w:divBdr>
        <w:top w:val="none" w:sz="0" w:space="0" w:color="auto"/>
        <w:left w:val="none" w:sz="0" w:space="0" w:color="auto"/>
        <w:bottom w:val="none" w:sz="0" w:space="0" w:color="auto"/>
        <w:right w:val="none" w:sz="0" w:space="0" w:color="auto"/>
      </w:divBdr>
      <w:divsChild>
        <w:div w:id="1110467869">
          <w:marLeft w:val="0"/>
          <w:marRight w:val="0"/>
          <w:marTop w:val="0"/>
          <w:marBottom w:val="0"/>
          <w:divBdr>
            <w:top w:val="none" w:sz="0" w:space="0" w:color="auto"/>
            <w:left w:val="none" w:sz="0" w:space="0" w:color="auto"/>
            <w:bottom w:val="none" w:sz="0" w:space="0" w:color="auto"/>
            <w:right w:val="none" w:sz="0" w:space="0" w:color="auto"/>
          </w:divBdr>
          <w:divsChild>
            <w:div w:id="70058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943129">
      <w:bodyDiv w:val="1"/>
      <w:marLeft w:val="0"/>
      <w:marRight w:val="0"/>
      <w:marTop w:val="0"/>
      <w:marBottom w:val="0"/>
      <w:divBdr>
        <w:top w:val="none" w:sz="0" w:space="0" w:color="auto"/>
        <w:left w:val="none" w:sz="0" w:space="0" w:color="auto"/>
        <w:bottom w:val="none" w:sz="0" w:space="0" w:color="auto"/>
        <w:right w:val="none" w:sz="0" w:space="0" w:color="auto"/>
      </w:divBdr>
      <w:divsChild>
        <w:div w:id="526407995">
          <w:marLeft w:val="0"/>
          <w:marRight w:val="0"/>
          <w:marTop w:val="0"/>
          <w:marBottom w:val="0"/>
          <w:divBdr>
            <w:top w:val="none" w:sz="0" w:space="0" w:color="auto"/>
            <w:left w:val="none" w:sz="0" w:space="0" w:color="auto"/>
            <w:bottom w:val="none" w:sz="0" w:space="0" w:color="auto"/>
            <w:right w:val="none" w:sz="0" w:space="0" w:color="auto"/>
          </w:divBdr>
          <w:divsChild>
            <w:div w:id="24111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760794">
      <w:bodyDiv w:val="1"/>
      <w:marLeft w:val="0"/>
      <w:marRight w:val="0"/>
      <w:marTop w:val="0"/>
      <w:marBottom w:val="0"/>
      <w:divBdr>
        <w:top w:val="none" w:sz="0" w:space="0" w:color="auto"/>
        <w:left w:val="none" w:sz="0" w:space="0" w:color="auto"/>
        <w:bottom w:val="none" w:sz="0" w:space="0" w:color="auto"/>
        <w:right w:val="none" w:sz="0" w:space="0" w:color="auto"/>
      </w:divBdr>
      <w:divsChild>
        <w:div w:id="1382091755">
          <w:marLeft w:val="0"/>
          <w:marRight w:val="0"/>
          <w:marTop w:val="0"/>
          <w:marBottom w:val="0"/>
          <w:divBdr>
            <w:top w:val="none" w:sz="0" w:space="0" w:color="auto"/>
            <w:left w:val="none" w:sz="0" w:space="0" w:color="auto"/>
            <w:bottom w:val="none" w:sz="0" w:space="0" w:color="auto"/>
            <w:right w:val="none" w:sz="0" w:space="0" w:color="auto"/>
          </w:divBdr>
          <w:divsChild>
            <w:div w:id="17133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30873">
      <w:bodyDiv w:val="1"/>
      <w:marLeft w:val="0"/>
      <w:marRight w:val="0"/>
      <w:marTop w:val="0"/>
      <w:marBottom w:val="0"/>
      <w:divBdr>
        <w:top w:val="none" w:sz="0" w:space="0" w:color="auto"/>
        <w:left w:val="none" w:sz="0" w:space="0" w:color="auto"/>
        <w:bottom w:val="none" w:sz="0" w:space="0" w:color="auto"/>
        <w:right w:val="none" w:sz="0" w:space="0" w:color="auto"/>
      </w:divBdr>
      <w:divsChild>
        <w:div w:id="1291011335">
          <w:marLeft w:val="0"/>
          <w:marRight w:val="0"/>
          <w:marTop w:val="0"/>
          <w:marBottom w:val="0"/>
          <w:divBdr>
            <w:top w:val="none" w:sz="0" w:space="0" w:color="auto"/>
            <w:left w:val="none" w:sz="0" w:space="0" w:color="auto"/>
            <w:bottom w:val="none" w:sz="0" w:space="0" w:color="auto"/>
            <w:right w:val="none" w:sz="0" w:space="0" w:color="auto"/>
          </w:divBdr>
          <w:divsChild>
            <w:div w:id="123465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422219">
      <w:bodyDiv w:val="1"/>
      <w:marLeft w:val="0"/>
      <w:marRight w:val="0"/>
      <w:marTop w:val="0"/>
      <w:marBottom w:val="0"/>
      <w:divBdr>
        <w:top w:val="none" w:sz="0" w:space="0" w:color="auto"/>
        <w:left w:val="none" w:sz="0" w:space="0" w:color="auto"/>
        <w:bottom w:val="none" w:sz="0" w:space="0" w:color="auto"/>
        <w:right w:val="none" w:sz="0" w:space="0" w:color="auto"/>
      </w:divBdr>
    </w:div>
    <w:div w:id="1239245952">
      <w:bodyDiv w:val="1"/>
      <w:marLeft w:val="0"/>
      <w:marRight w:val="0"/>
      <w:marTop w:val="0"/>
      <w:marBottom w:val="0"/>
      <w:divBdr>
        <w:top w:val="none" w:sz="0" w:space="0" w:color="auto"/>
        <w:left w:val="none" w:sz="0" w:space="0" w:color="auto"/>
        <w:bottom w:val="none" w:sz="0" w:space="0" w:color="auto"/>
        <w:right w:val="none" w:sz="0" w:space="0" w:color="auto"/>
      </w:divBdr>
    </w:div>
    <w:div w:id="1296371970">
      <w:bodyDiv w:val="1"/>
      <w:marLeft w:val="0"/>
      <w:marRight w:val="0"/>
      <w:marTop w:val="0"/>
      <w:marBottom w:val="0"/>
      <w:divBdr>
        <w:top w:val="none" w:sz="0" w:space="0" w:color="auto"/>
        <w:left w:val="none" w:sz="0" w:space="0" w:color="auto"/>
        <w:bottom w:val="none" w:sz="0" w:space="0" w:color="auto"/>
        <w:right w:val="none" w:sz="0" w:space="0" w:color="auto"/>
      </w:divBdr>
    </w:div>
    <w:div w:id="1346444271">
      <w:bodyDiv w:val="1"/>
      <w:marLeft w:val="0"/>
      <w:marRight w:val="0"/>
      <w:marTop w:val="0"/>
      <w:marBottom w:val="0"/>
      <w:divBdr>
        <w:top w:val="none" w:sz="0" w:space="0" w:color="auto"/>
        <w:left w:val="none" w:sz="0" w:space="0" w:color="auto"/>
        <w:bottom w:val="none" w:sz="0" w:space="0" w:color="auto"/>
        <w:right w:val="none" w:sz="0" w:space="0" w:color="auto"/>
      </w:divBdr>
    </w:div>
    <w:div w:id="1435327218">
      <w:bodyDiv w:val="1"/>
      <w:marLeft w:val="0"/>
      <w:marRight w:val="0"/>
      <w:marTop w:val="0"/>
      <w:marBottom w:val="0"/>
      <w:divBdr>
        <w:top w:val="none" w:sz="0" w:space="0" w:color="auto"/>
        <w:left w:val="none" w:sz="0" w:space="0" w:color="auto"/>
        <w:bottom w:val="none" w:sz="0" w:space="0" w:color="auto"/>
        <w:right w:val="none" w:sz="0" w:space="0" w:color="auto"/>
      </w:divBdr>
      <w:divsChild>
        <w:div w:id="1153909073">
          <w:marLeft w:val="0"/>
          <w:marRight w:val="0"/>
          <w:marTop w:val="0"/>
          <w:marBottom w:val="0"/>
          <w:divBdr>
            <w:top w:val="none" w:sz="0" w:space="0" w:color="auto"/>
            <w:left w:val="none" w:sz="0" w:space="0" w:color="auto"/>
            <w:bottom w:val="none" w:sz="0" w:space="0" w:color="auto"/>
            <w:right w:val="none" w:sz="0" w:space="0" w:color="auto"/>
          </w:divBdr>
          <w:divsChild>
            <w:div w:id="42908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307754">
      <w:bodyDiv w:val="1"/>
      <w:marLeft w:val="0"/>
      <w:marRight w:val="0"/>
      <w:marTop w:val="0"/>
      <w:marBottom w:val="0"/>
      <w:divBdr>
        <w:top w:val="none" w:sz="0" w:space="0" w:color="auto"/>
        <w:left w:val="none" w:sz="0" w:space="0" w:color="auto"/>
        <w:bottom w:val="none" w:sz="0" w:space="0" w:color="auto"/>
        <w:right w:val="none" w:sz="0" w:space="0" w:color="auto"/>
      </w:divBdr>
    </w:div>
    <w:div w:id="2129004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9216/ueip.1092959" TargetMode="External"/><Relationship Id="rId13" Type="http://schemas.openxmlformats.org/officeDocument/2006/relationships/hyperlink" Target="https://doi.org/10.1111/jmcb.1279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6/w28404" TargetMode="External"/><Relationship Id="rId12" Type="http://schemas.openxmlformats.org/officeDocument/2006/relationships/hyperlink" Target="https://doi.org/10.3389/fenvs.2022.1109796" TargetMode="External"/><Relationship Id="rId17" Type="http://schemas.openxmlformats.org/officeDocument/2006/relationships/hyperlink" Target="https://investments.yale.edu/reports/" TargetMode="External"/><Relationship Id="rId2" Type="http://schemas.openxmlformats.org/officeDocument/2006/relationships/styles" Target="styles.xml"/><Relationship Id="rId16" Type="http://schemas.openxmlformats.org/officeDocument/2006/relationships/hyperlink" Target="https://www.proquest.com/trade-journals/renaissance-ceo-simons-retire/docview/207542992/se-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sma.europa.eu/publications-and-data/interactive-single-rulebook/mifid-ii" TargetMode="External"/><Relationship Id="rId5" Type="http://schemas.openxmlformats.org/officeDocument/2006/relationships/image" Target="media/image1.png"/><Relationship Id="rId15" Type="http://schemas.openxmlformats.org/officeDocument/2006/relationships/hyperlink" Target="https://www.sec.gov/files/rules/final/2010/34-63241-secg.htm" TargetMode="External"/><Relationship Id="rId10" Type="http://schemas.openxmlformats.org/officeDocument/2006/relationships/hyperlink" Target="https://doi.org/10.4018/978-1-7998-2559-3.ch01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905/jpm.2020.1.128" TargetMode="External"/><Relationship Id="rId14" Type="http://schemas.openxmlformats.org/officeDocument/2006/relationships/hyperlink" Target="https://ofdollarsanddata.com/medallion-f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15</Pages>
  <Words>2155</Words>
  <Characters>13944</Characters>
  <Application>Microsoft Office Word</Application>
  <DocSecurity>0</DocSecurity>
  <Lines>296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Songlin Zou (2300327)</dc:creator>
  <cp:keywords/>
  <dc:description/>
  <cp:lastModifiedBy>Songlin Zou (2300327)</cp:lastModifiedBy>
  <cp:revision>9</cp:revision>
  <dcterms:created xsi:type="dcterms:W3CDTF">2025-03-21T19:08:00Z</dcterms:created>
  <dcterms:modified xsi:type="dcterms:W3CDTF">2025-03-21T23:57:00Z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0d8e708658233de1da11f6730450c608bd77683246da9ea37fe55a91eca72600</vt:lpwstr>
  </property>
</Properties>
</file>