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32908" w14:textId="74F88903" w:rsidR="003A2F52" w:rsidRDefault="0043206C" w:rsidP="0043206C">
      <w:pPr>
        <w:jc w:val="center"/>
        <w:rPr>
          <w:sz w:val="24"/>
        </w:rPr>
      </w:pPr>
      <w:r w:rsidRPr="0043206C">
        <w:rPr>
          <w:sz w:val="24"/>
        </w:rPr>
        <w:t>What Were the Types of Courts in Classical Athens?</w:t>
      </w:r>
    </w:p>
    <w:p w14:paraId="7DAD294E" w14:textId="2259729D" w:rsidR="0043206C" w:rsidRDefault="0043206C" w:rsidP="0043206C">
      <w:pPr>
        <w:jc w:val="both"/>
        <w:rPr>
          <w:sz w:val="24"/>
        </w:rPr>
      </w:pPr>
    </w:p>
    <w:p w14:paraId="43E4A1AD" w14:textId="1D663DD9" w:rsidR="00A6605D" w:rsidRPr="006A1AF3" w:rsidRDefault="006145D6" w:rsidP="00B85BC2">
      <w:pPr>
        <w:jc w:val="both"/>
      </w:pPr>
      <w:r w:rsidRPr="006A1AF3">
        <w:t xml:space="preserve">The court system of classical Athens meant that </w:t>
      </w:r>
      <w:r w:rsidR="006230AC" w:rsidRPr="006A1AF3">
        <w:t>there were several different courts, and each court or board of magistrates dealt with a specific crime or issue.</w:t>
      </w:r>
    </w:p>
    <w:p w14:paraId="32571CD2" w14:textId="765F6ECB" w:rsidR="00A6605D" w:rsidRPr="006A1AF3" w:rsidRDefault="00B13553" w:rsidP="00B85BC2">
      <w:pPr>
        <w:jc w:val="both"/>
      </w:pPr>
      <w:r w:rsidRPr="006A1AF3">
        <w:t xml:space="preserve">Much of our knowledge of the Athenian legal system comes from Aristotle’s writing on the Athenian Constitution, as well as several other legal sources that deal with specific cases, such as </w:t>
      </w:r>
      <w:r w:rsidR="00800712" w:rsidRPr="006A1AF3">
        <w:t xml:space="preserve">some of the speeches of Demosthenes. </w:t>
      </w:r>
      <w:r w:rsidR="00800712" w:rsidRPr="00841395">
        <w:t xml:space="preserve">However, </w:t>
      </w:r>
      <w:r w:rsidR="00A0545E" w:rsidRPr="00841395">
        <w:t>any</w:t>
      </w:r>
      <w:r w:rsidR="00800712" w:rsidRPr="00841395">
        <w:t xml:space="preserve"> sources can come with inherent bias, depending on the authors political views, and</w:t>
      </w:r>
      <w:r w:rsidR="00A0545E" w:rsidRPr="00841395">
        <w:t xml:space="preserve"> ancient</w:t>
      </w:r>
      <w:r w:rsidR="00800712" w:rsidRPr="00841395">
        <w:t xml:space="preserve"> </w:t>
      </w:r>
      <w:r w:rsidR="00841395">
        <w:t xml:space="preserve">sources </w:t>
      </w:r>
      <w:r w:rsidR="00800712" w:rsidRPr="00841395">
        <w:t xml:space="preserve">are often incomplete, or have been mistranslated. </w:t>
      </w:r>
    </w:p>
    <w:p w14:paraId="15D332D4" w14:textId="7F88F51F" w:rsidR="00800712" w:rsidRDefault="00185A60" w:rsidP="00A6605D">
      <w:pPr>
        <w:pStyle w:val="Heading1"/>
        <w:jc w:val="both"/>
        <w:rPr>
          <w:rFonts w:asciiTheme="minorHAnsi" w:eastAsiaTheme="minorHAnsi" w:hAnsiTheme="minorHAnsi" w:cstheme="minorHAnsi"/>
          <w:color w:val="auto"/>
          <w:sz w:val="22"/>
          <w:szCs w:val="22"/>
          <w:lang w:val="en-GB"/>
        </w:rPr>
      </w:pPr>
      <w:r w:rsidRPr="006A1AF3">
        <w:rPr>
          <w:rFonts w:asciiTheme="minorHAnsi" w:eastAsiaTheme="minorHAnsi" w:hAnsiTheme="minorHAnsi" w:cstheme="minorBidi"/>
          <w:color w:val="auto"/>
          <w:sz w:val="22"/>
          <w:szCs w:val="22"/>
          <w:lang w:val="en-GB"/>
        </w:rPr>
        <w:t xml:space="preserve">In Classical Athens, there were two types of cases, a Public Action, </w:t>
      </w:r>
      <w:r w:rsidR="00F40755" w:rsidRPr="006A1AF3">
        <w:rPr>
          <w:rFonts w:asciiTheme="minorHAnsi" w:eastAsiaTheme="minorHAnsi" w:hAnsiTheme="minorHAnsi" w:cstheme="minorBidi"/>
          <w:color w:val="auto"/>
          <w:sz w:val="22"/>
          <w:szCs w:val="22"/>
          <w:lang w:val="en-GB"/>
        </w:rPr>
        <w:t>in which a free man raised a case on behalf of the state, and a Private Action, in which the person affected, or a member of their family, raised a case against the person accused of committing the crime</w:t>
      </w:r>
      <w:r w:rsidR="00367A54">
        <w:rPr>
          <w:rStyle w:val="FootnoteReference"/>
          <w:rFonts w:asciiTheme="minorHAnsi" w:eastAsiaTheme="minorHAnsi" w:hAnsiTheme="minorHAnsi" w:cstheme="minorBidi"/>
          <w:color w:val="auto"/>
          <w:sz w:val="22"/>
          <w:szCs w:val="22"/>
          <w:lang w:val="en-GB"/>
        </w:rPr>
        <w:footnoteReference w:id="1"/>
      </w:r>
      <w:r w:rsidR="00F40755" w:rsidRPr="006A1AF3">
        <w:rPr>
          <w:rFonts w:asciiTheme="minorHAnsi" w:eastAsiaTheme="minorHAnsi" w:hAnsiTheme="minorHAnsi" w:cstheme="minorBidi"/>
          <w:color w:val="auto"/>
          <w:sz w:val="22"/>
          <w:szCs w:val="22"/>
          <w:lang w:val="en-GB"/>
        </w:rPr>
        <w:t>.</w:t>
      </w:r>
      <w:r w:rsidR="00C8388B" w:rsidRPr="006A1AF3">
        <w:rPr>
          <w:rFonts w:asciiTheme="minorHAnsi" w:eastAsiaTheme="minorHAnsi" w:hAnsiTheme="minorHAnsi" w:cstheme="minorBidi"/>
          <w:color w:val="auto"/>
          <w:sz w:val="22"/>
          <w:szCs w:val="22"/>
          <w:lang w:val="en-GB"/>
        </w:rPr>
        <w:t xml:space="preserve"> </w:t>
      </w:r>
      <w:r w:rsidR="003163B7" w:rsidRPr="006A1AF3">
        <w:rPr>
          <w:rFonts w:asciiTheme="minorHAnsi" w:eastAsiaTheme="minorHAnsi" w:hAnsiTheme="minorHAnsi" w:cstheme="minorBidi"/>
          <w:color w:val="auto"/>
          <w:sz w:val="22"/>
          <w:szCs w:val="22"/>
          <w:lang w:val="en-GB"/>
        </w:rPr>
        <w:t>The Athenian Legal system involved</w:t>
      </w:r>
      <w:r w:rsidR="005A6F73" w:rsidRPr="006A1AF3">
        <w:rPr>
          <w:rFonts w:asciiTheme="minorHAnsi" w:eastAsiaTheme="minorHAnsi" w:hAnsiTheme="minorHAnsi" w:cstheme="minorBidi"/>
          <w:color w:val="auto"/>
          <w:sz w:val="22"/>
          <w:szCs w:val="22"/>
          <w:lang w:val="en-GB"/>
        </w:rPr>
        <w:t xml:space="preserve"> </w:t>
      </w:r>
      <w:r w:rsidR="00A51CD6">
        <w:rPr>
          <w:rFonts w:asciiTheme="minorHAnsi" w:eastAsiaTheme="minorHAnsi" w:hAnsiTheme="minorHAnsi" w:cstheme="minorBidi"/>
          <w:color w:val="auto"/>
          <w:sz w:val="22"/>
          <w:szCs w:val="22"/>
          <w:lang w:val="en-GB"/>
        </w:rPr>
        <w:t>boards of magistrates</w:t>
      </w:r>
      <w:r w:rsidR="005A6F73" w:rsidRPr="006A1AF3">
        <w:rPr>
          <w:rFonts w:asciiTheme="minorHAnsi" w:eastAsiaTheme="minorHAnsi" w:hAnsiTheme="minorHAnsi" w:cstheme="minorBidi"/>
          <w:color w:val="auto"/>
          <w:sz w:val="22"/>
          <w:szCs w:val="22"/>
          <w:lang w:val="en-GB"/>
        </w:rPr>
        <w:t xml:space="preserve"> and juries of Legislatures</w:t>
      </w:r>
      <w:r w:rsidR="001105CA">
        <w:rPr>
          <w:rStyle w:val="FootnoteReference"/>
          <w:rFonts w:asciiTheme="minorHAnsi" w:eastAsiaTheme="minorHAnsi" w:hAnsiTheme="minorHAnsi" w:cstheme="minorBidi"/>
          <w:color w:val="auto"/>
          <w:sz w:val="22"/>
          <w:szCs w:val="22"/>
          <w:lang w:val="en-GB"/>
        </w:rPr>
        <w:footnoteReference w:id="2"/>
      </w:r>
      <w:r w:rsidR="003163B7" w:rsidRPr="006A1AF3">
        <w:rPr>
          <w:rFonts w:asciiTheme="minorHAnsi" w:eastAsiaTheme="minorHAnsi" w:hAnsiTheme="minorHAnsi" w:cstheme="minorBidi"/>
          <w:color w:val="auto"/>
          <w:sz w:val="22"/>
          <w:szCs w:val="22"/>
          <w:lang w:val="en-GB"/>
        </w:rPr>
        <w:t xml:space="preserve">. No one accused of any </w:t>
      </w:r>
      <w:r w:rsidR="00C8388B" w:rsidRPr="006A1AF3">
        <w:rPr>
          <w:rFonts w:asciiTheme="minorHAnsi" w:eastAsiaTheme="minorHAnsi" w:hAnsiTheme="minorHAnsi" w:cstheme="minorBidi"/>
          <w:color w:val="auto"/>
          <w:sz w:val="22"/>
          <w:szCs w:val="22"/>
          <w:lang w:val="en-GB"/>
        </w:rPr>
        <w:t>c</w:t>
      </w:r>
      <w:r w:rsidR="003163B7" w:rsidRPr="006A1AF3">
        <w:rPr>
          <w:rFonts w:asciiTheme="minorHAnsi" w:eastAsiaTheme="minorHAnsi" w:hAnsiTheme="minorHAnsi" w:cstheme="minorBidi"/>
          <w:color w:val="auto"/>
          <w:sz w:val="22"/>
          <w:szCs w:val="22"/>
          <w:lang w:val="en-GB"/>
        </w:rPr>
        <w:t xml:space="preserve">rime could be sentenced without a </w:t>
      </w:r>
      <w:r w:rsidR="005A6F73" w:rsidRPr="006A1AF3">
        <w:rPr>
          <w:rFonts w:asciiTheme="minorHAnsi" w:eastAsiaTheme="minorHAnsi" w:hAnsiTheme="minorHAnsi" w:cstheme="minorBidi"/>
          <w:color w:val="auto"/>
          <w:sz w:val="22"/>
          <w:szCs w:val="22"/>
          <w:lang w:val="en-GB"/>
        </w:rPr>
        <w:t>jury</w:t>
      </w:r>
      <w:r w:rsidR="003163B7" w:rsidRPr="006A1AF3">
        <w:rPr>
          <w:rFonts w:asciiTheme="minorHAnsi" w:eastAsiaTheme="minorHAnsi" w:hAnsiTheme="minorHAnsi" w:cstheme="minorBidi"/>
          <w:color w:val="auto"/>
          <w:sz w:val="22"/>
          <w:szCs w:val="22"/>
          <w:lang w:val="en-GB"/>
        </w:rPr>
        <w:t xml:space="preserve"> vote</w:t>
      </w:r>
      <w:r w:rsidR="00B85BC2" w:rsidRPr="006A1AF3">
        <w:rPr>
          <w:rFonts w:asciiTheme="minorHAnsi" w:eastAsiaTheme="minorHAnsi" w:hAnsiTheme="minorHAnsi" w:cstheme="minorBidi"/>
          <w:color w:val="auto"/>
          <w:sz w:val="22"/>
          <w:szCs w:val="22"/>
          <w:lang w:val="en-GB"/>
        </w:rPr>
        <w:t>, which could overrule the decisions of the court</w:t>
      </w:r>
      <w:r w:rsidR="001105CA">
        <w:rPr>
          <w:rStyle w:val="FootnoteReference"/>
          <w:rFonts w:asciiTheme="minorHAnsi" w:eastAsiaTheme="minorHAnsi" w:hAnsiTheme="minorHAnsi" w:cstheme="minorBidi"/>
          <w:color w:val="auto"/>
          <w:sz w:val="22"/>
          <w:szCs w:val="22"/>
          <w:lang w:val="en-GB"/>
        </w:rPr>
        <w:footnoteReference w:id="3"/>
      </w:r>
      <w:r w:rsidR="00B85BC2" w:rsidRPr="006A1AF3">
        <w:rPr>
          <w:rFonts w:asciiTheme="minorHAnsi" w:eastAsiaTheme="minorHAnsi" w:hAnsiTheme="minorHAnsi" w:cstheme="minorBidi"/>
          <w:color w:val="auto"/>
          <w:sz w:val="22"/>
          <w:szCs w:val="22"/>
          <w:lang w:val="en-GB"/>
        </w:rPr>
        <w:t xml:space="preserve">. There were specific boards of magistrates and courts for different crimes, in particular those involving murder, for which there were </w:t>
      </w:r>
      <w:r w:rsidR="002A3360" w:rsidRPr="006A1AF3">
        <w:rPr>
          <w:rFonts w:asciiTheme="minorHAnsi" w:eastAsiaTheme="minorHAnsi" w:hAnsiTheme="minorHAnsi" w:cstheme="minorBidi"/>
          <w:color w:val="auto"/>
          <w:sz w:val="22"/>
          <w:szCs w:val="22"/>
          <w:lang w:val="en-GB"/>
        </w:rPr>
        <w:t>even more specific courts. The Archon dealt with cases involving family and inheritance rights</w:t>
      </w:r>
      <w:r w:rsidR="00EB17ED" w:rsidRPr="006A1AF3">
        <w:rPr>
          <w:rFonts w:asciiTheme="minorHAnsi" w:eastAsiaTheme="minorHAnsi" w:hAnsiTheme="minorHAnsi" w:cstheme="minorBidi"/>
          <w:color w:val="auto"/>
          <w:sz w:val="22"/>
          <w:szCs w:val="22"/>
          <w:lang w:val="en-GB"/>
        </w:rPr>
        <w:t>, and the Strat</w:t>
      </w:r>
      <w:r w:rsidR="00EB17ED" w:rsidRPr="006A1AF3">
        <w:rPr>
          <w:rFonts w:asciiTheme="minorHAnsi" w:eastAsiaTheme="minorHAnsi" w:hAnsiTheme="minorHAnsi" w:cstheme="minorHAnsi"/>
          <w:color w:val="auto"/>
          <w:sz w:val="22"/>
          <w:szCs w:val="22"/>
          <w:lang w:val="en-GB"/>
        </w:rPr>
        <w:t>ègoi</w:t>
      </w:r>
      <w:r w:rsidR="00EF26CD" w:rsidRPr="006A1AF3">
        <w:rPr>
          <w:rFonts w:asciiTheme="minorHAnsi" w:eastAsiaTheme="minorHAnsi" w:hAnsiTheme="minorHAnsi" w:cstheme="minorHAnsi"/>
          <w:color w:val="auto"/>
          <w:sz w:val="22"/>
          <w:szCs w:val="22"/>
          <w:lang w:val="en-GB"/>
        </w:rPr>
        <w:t xml:space="preserve">, or board of Generals, </w:t>
      </w:r>
      <w:r w:rsidR="008B56B6" w:rsidRPr="006A1AF3">
        <w:rPr>
          <w:rFonts w:asciiTheme="minorHAnsi" w:eastAsiaTheme="minorHAnsi" w:hAnsiTheme="minorHAnsi" w:cstheme="minorHAnsi"/>
          <w:color w:val="auto"/>
          <w:sz w:val="22"/>
          <w:szCs w:val="22"/>
          <w:lang w:val="en-GB"/>
        </w:rPr>
        <w:t xml:space="preserve">took care of cases involving the Navy and </w:t>
      </w:r>
      <w:r w:rsidR="00E1646F" w:rsidRPr="006A1AF3">
        <w:rPr>
          <w:rFonts w:asciiTheme="minorHAnsi" w:eastAsiaTheme="minorHAnsi" w:hAnsiTheme="minorHAnsi" w:cstheme="minorHAnsi"/>
          <w:color w:val="auto"/>
          <w:sz w:val="22"/>
          <w:szCs w:val="22"/>
          <w:lang w:val="en-GB"/>
        </w:rPr>
        <w:t>Military</w:t>
      </w:r>
      <w:r w:rsidR="008B56B6" w:rsidRPr="006A1AF3">
        <w:rPr>
          <w:rFonts w:asciiTheme="minorHAnsi" w:eastAsiaTheme="minorHAnsi" w:hAnsiTheme="minorHAnsi" w:cstheme="minorHAnsi"/>
          <w:color w:val="auto"/>
          <w:sz w:val="22"/>
          <w:szCs w:val="22"/>
          <w:lang w:val="en-GB"/>
        </w:rPr>
        <w:t xml:space="preserve"> Service</w:t>
      </w:r>
      <w:r w:rsidR="00A33BD9">
        <w:rPr>
          <w:rStyle w:val="FootnoteReference"/>
          <w:rFonts w:asciiTheme="minorHAnsi" w:eastAsiaTheme="minorHAnsi" w:hAnsiTheme="minorHAnsi" w:cstheme="minorHAnsi"/>
          <w:color w:val="auto"/>
          <w:sz w:val="22"/>
          <w:szCs w:val="22"/>
          <w:lang w:val="en-GB"/>
        </w:rPr>
        <w:footnoteReference w:id="4"/>
      </w:r>
      <w:r w:rsidR="008B56B6" w:rsidRPr="006A1AF3">
        <w:rPr>
          <w:rFonts w:asciiTheme="minorHAnsi" w:eastAsiaTheme="minorHAnsi" w:hAnsiTheme="minorHAnsi" w:cstheme="minorHAnsi"/>
          <w:color w:val="auto"/>
          <w:sz w:val="22"/>
          <w:szCs w:val="22"/>
          <w:lang w:val="en-GB"/>
        </w:rPr>
        <w:t xml:space="preserve">. In addition, the ‘Eleven’ were in charge of any cases that involved theft, or similar crimes, as well as </w:t>
      </w:r>
      <w:r w:rsidR="00E1646F" w:rsidRPr="006A1AF3">
        <w:rPr>
          <w:rFonts w:asciiTheme="minorHAnsi" w:eastAsiaTheme="minorHAnsi" w:hAnsiTheme="minorHAnsi" w:cstheme="minorHAnsi"/>
          <w:color w:val="auto"/>
          <w:sz w:val="22"/>
          <w:szCs w:val="22"/>
          <w:lang w:val="en-GB"/>
        </w:rPr>
        <w:t>taking care of those imprisoned</w:t>
      </w:r>
      <w:r w:rsidR="00CD5511">
        <w:rPr>
          <w:rStyle w:val="FootnoteReference"/>
          <w:rFonts w:asciiTheme="minorHAnsi" w:eastAsiaTheme="minorHAnsi" w:hAnsiTheme="minorHAnsi" w:cstheme="minorHAnsi"/>
          <w:color w:val="auto"/>
          <w:sz w:val="22"/>
          <w:szCs w:val="22"/>
          <w:lang w:val="en-GB"/>
        </w:rPr>
        <w:footnoteReference w:id="5"/>
      </w:r>
      <w:r w:rsidR="00E1646F" w:rsidRPr="006A1AF3">
        <w:rPr>
          <w:rFonts w:asciiTheme="minorHAnsi" w:eastAsiaTheme="minorHAnsi" w:hAnsiTheme="minorHAnsi" w:cstheme="minorHAnsi"/>
          <w:color w:val="auto"/>
          <w:sz w:val="22"/>
          <w:szCs w:val="22"/>
          <w:lang w:val="en-GB"/>
        </w:rPr>
        <w:t xml:space="preserve">. They were also involved in those facing a death sentence for crimes such as theft. </w:t>
      </w:r>
      <w:r w:rsidR="0035762E" w:rsidRPr="006A1AF3">
        <w:rPr>
          <w:rFonts w:asciiTheme="minorHAnsi" w:eastAsiaTheme="minorHAnsi" w:hAnsiTheme="minorHAnsi" w:cstheme="minorHAnsi"/>
          <w:color w:val="auto"/>
          <w:sz w:val="22"/>
          <w:szCs w:val="22"/>
          <w:lang w:val="en-GB"/>
        </w:rPr>
        <w:t>The Thesmotai took care of other cases, and there were several other lesser boards which took care of the rest</w:t>
      </w:r>
      <w:r w:rsidR="00BA0A5C">
        <w:rPr>
          <w:rStyle w:val="FootnoteReference"/>
          <w:rFonts w:asciiTheme="minorHAnsi" w:eastAsiaTheme="minorHAnsi" w:hAnsiTheme="minorHAnsi" w:cstheme="minorHAnsi"/>
          <w:color w:val="auto"/>
          <w:sz w:val="22"/>
          <w:szCs w:val="22"/>
          <w:lang w:val="en-GB"/>
        </w:rPr>
        <w:footnoteReference w:id="6"/>
      </w:r>
      <w:r w:rsidR="0035762E" w:rsidRPr="006A1AF3">
        <w:rPr>
          <w:rFonts w:asciiTheme="minorHAnsi" w:eastAsiaTheme="minorHAnsi" w:hAnsiTheme="minorHAnsi" w:cstheme="minorHAnsi"/>
          <w:color w:val="auto"/>
          <w:sz w:val="22"/>
          <w:szCs w:val="22"/>
          <w:lang w:val="en-GB"/>
        </w:rPr>
        <w:t xml:space="preserve">. Furthermore, there </w:t>
      </w:r>
      <w:r w:rsidR="00BA55F0">
        <w:rPr>
          <w:rFonts w:asciiTheme="minorHAnsi" w:eastAsiaTheme="minorHAnsi" w:hAnsiTheme="minorHAnsi" w:cstheme="minorHAnsi"/>
          <w:color w:val="auto"/>
          <w:sz w:val="22"/>
          <w:szCs w:val="22"/>
          <w:lang w:val="en-GB"/>
        </w:rPr>
        <w:t xml:space="preserve">where the three separate courts </w:t>
      </w:r>
      <w:r w:rsidR="002E4FA7" w:rsidRPr="006A1AF3">
        <w:rPr>
          <w:rFonts w:asciiTheme="minorHAnsi" w:eastAsiaTheme="minorHAnsi" w:hAnsiTheme="minorHAnsi" w:cstheme="minorHAnsi"/>
          <w:color w:val="auto"/>
          <w:sz w:val="22"/>
          <w:szCs w:val="22"/>
          <w:lang w:val="en-GB"/>
        </w:rPr>
        <w:t xml:space="preserve">which covered homicide law and cases. </w:t>
      </w:r>
      <w:r w:rsidR="00BA55F0">
        <w:rPr>
          <w:rFonts w:asciiTheme="minorHAnsi" w:eastAsiaTheme="minorHAnsi" w:hAnsiTheme="minorHAnsi" w:cstheme="minorHAnsi"/>
          <w:color w:val="auto"/>
          <w:sz w:val="22"/>
          <w:szCs w:val="22"/>
          <w:lang w:val="en-GB"/>
        </w:rPr>
        <w:t xml:space="preserve">Each of these courts </w:t>
      </w:r>
      <w:r w:rsidR="002E4FA7" w:rsidRPr="006A1AF3">
        <w:rPr>
          <w:rFonts w:asciiTheme="minorHAnsi" w:eastAsiaTheme="minorHAnsi" w:hAnsiTheme="minorHAnsi" w:cstheme="minorHAnsi"/>
          <w:color w:val="auto"/>
          <w:sz w:val="22"/>
          <w:szCs w:val="22"/>
          <w:lang w:val="en-GB"/>
        </w:rPr>
        <w:t>covered a different aspect of homicide law</w:t>
      </w:r>
      <w:r w:rsidR="00BA55F0">
        <w:rPr>
          <w:rStyle w:val="FootnoteReference"/>
          <w:rFonts w:asciiTheme="minorHAnsi" w:eastAsiaTheme="minorHAnsi" w:hAnsiTheme="minorHAnsi" w:cstheme="minorHAnsi"/>
          <w:color w:val="auto"/>
          <w:sz w:val="22"/>
          <w:szCs w:val="22"/>
          <w:lang w:val="en-GB"/>
        </w:rPr>
        <w:footnoteReference w:id="7"/>
      </w:r>
      <w:r w:rsidR="002E4FA7" w:rsidRPr="006A1AF3">
        <w:rPr>
          <w:rFonts w:asciiTheme="minorHAnsi" w:eastAsiaTheme="minorHAnsi" w:hAnsiTheme="minorHAnsi" w:cstheme="minorHAnsi"/>
          <w:color w:val="auto"/>
          <w:sz w:val="22"/>
          <w:szCs w:val="22"/>
          <w:lang w:val="en-GB"/>
        </w:rPr>
        <w:t xml:space="preserve">. The Palladium court covered accidental homicide, while the Delphinium </w:t>
      </w:r>
      <w:r w:rsidR="004224CF" w:rsidRPr="006A1AF3">
        <w:rPr>
          <w:rFonts w:asciiTheme="minorHAnsi" w:eastAsiaTheme="minorHAnsi" w:hAnsiTheme="minorHAnsi" w:cstheme="minorHAnsi"/>
          <w:color w:val="auto"/>
          <w:sz w:val="22"/>
          <w:szCs w:val="22"/>
          <w:lang w:val="en-GB"/>
        </w:rPr>
        <w:t>court covered cases in which the murder was or could be considered justified</w:t>
      </w:r>
      <w:r w:rsidR="00430F7C">
        <w:rPr>
          <w:rStyle w:val="FootnoteReference"/>
          <w:rFonts w:asciiTheme="minorHAnsi" w:eastAsiaTheme="minorHAnsi" w:hAnsiTheme="minorHAnsi" w:cstheme="minorHAnsi"/>
          <w:color w:val="auto"/>
          <w:sz w:val="22"/>
          <w:szCs w:val="22"/>
          <w:lang w:val="en-GB"/>
        </w:rPr>
        <w:footnoteReference w:id="8"/>
      </w:r>
      <w:r w:rsidR="00FC5C70">
        <w:rPr>
          <w:rFonts w:asciiTheme="minorHAnsi" w:eastAsiaTheme="minorHAnsi" w:hAnsiTheme="minorHAnsi" w:cstheme="minorHAnsi"/>
          <w:color w:val="auto"/>
          <w:sz w:val="22"/>
          <w:szCs w:val="22"/>
          <w:lang w:val="en-GB"/>
        </w:rPr>
        <w:t xml:space="preserve"> </w:t>
      </w:r>
      <w:r w:rsidR="004224CF" w:rsidRPr="006A1AF3">
        <w:rPr>
          <w:rFonts w:asciiTheme="minorHAnsi" w:eastAsiaTheme="minorHAnsi" w:hAnsiTheme="minorHAnsi" w:cstheme="minorHAnsi"/>
          <w:color w:val="auto"/>
          <w:sz w:val="22"/>
          <w:szCs w:val="22"/>
          <w:lang w:val="en-GB"/>
        </w:rPr>
        <w:t xml:space="preserve">. The final homicide court was the Council of Areophagus, which covered not only intentional murder, </w:t>
      </w:r>
      <w:r w:rsidR="006E345D" w:rsidRPr="006A1AF3">
        <w:rPr>
          <w:rFonts w:asciiTheme="minorHAnsi" w:eastAsiaTheme="minorHAnsi" w:hAnsiTheme="minorHAnsi" w:cstheme="minorHAnsi"/>
          <w:color w:val="auto"/>
          <w:sz w:val="22"/>
          <w:szCs w:val="22"/>
          <w:lang w:val="en-GB"/>
        </w:rPr>
        <w:t>but also took care of administrative and other important state affairs</w:t>
      </w:r>
      <w:r w:rsidR="001B6713">
        <w:rPr>
          <w:rStyle w:val="FootnoteReference"/>
          <w:rFonts w:asciiTheme="minorHAnsi" w:eastAsiaTheme="minorHAnsi" w:hAnsiTheme="minorHAnsi" w:cstheme="minorHAnsi"/>
          <w:color w:val="auto"/>
          <w:sz w:val="22"/>
          <w:szCs w:val="22"/>
          <w:lang w:val="en-GB"/>
        </w:rPr>
        <w:footnoteReference w:id="9"/>
      </w:r>
      <w:r w:rsidR="006E345D" w:rsidRPr="006A1AF3">
        <w:rPr>
          <w:rFonts w:asciiTheme="minorHAnsi" w:eastAsiaTheme="minorHAnsi" w:hAnsiTheme="minorHAnsi" w:cstheme="minorHAnsi"/>
          <w:color w:val="auto"/>
          <w:sz w:val="22"/>
          <w:szCs w:val="22"/>
          <w:lang w:val="en-GB"/>
        </w:rPr>
        <w:t xml:space="preserve">. It was considered to be an important part of </w:t>
      </w:r>
      <w:r w:rsidR="00514262">
        <w:rPr>
          <w:rFonts w:asciiTheme="minorHAnsi" w:eastAsiaTheme="minorHAnsi" w:hAnsiTheme="minorHAnsi" w:cstheme="minorHAnsi"/>
          <w:color w:val="auto"/>
          <w:sz w:val="22"/>
          <w:szCs w:val="22"/>
          <w:lang w:val="en-GB"/>
        </w:rPr>
        <w:t>“</w:t>
      </w:r>
      <w:r w:rsidR="006E345D" w:rsidRPr="006A1AF3">
        <w:rPr>
          <w:rFonts w:asciiTheme="minorHAnsi" w:eastAsiaTheme="minorHAnsi" w:hAnsiTheme="minorHAnsi" w:cstheme="minorHAnsi"/>
          <w:color w:val="auto"/>
          <w:sz w:val="22"/>
          <w:szCs w:val="22"/>
          <w:lang w:val="en-GB"/>
        </w:rPr>
        <w:t>Guarding the Laws</w:t>
      </w:r>
      <w:r w:rsidR="00514262">
        <w:rPr>
          <w:rFonts w:asciiTheme="minorHAnsi" w:eastAsiaTheme="minorHAnsi" w:hAnsiTheme="minorHAnsi" w:cstheme="minorHAnsi"/>
          <w:color w:val="auto"/>
          <w:sz w:val="22"/>
          <w:szCs w:val="22"/>
          <w:lang w:val="en-GB"/>
        </w:rPr>
        <w:t>”</w:t>
      </w:r>
      <w:r w:rsidR="001B6713">
        <w:rPr>
          <w:rStyle w:val="FootnoteReference"/>
          <w:rFonts w:asciiTheme="minorHAnsi" w:eastAsiaTheme="minorHAnsi" w:hAnsiTheme="minorHAnsi" w:cstheme="minorHAnsi"/>
          <w:color w:val="auto"/>
          <w:sz w:val="22"/>
          <w:szCs w:val="22"/>
          <w:lang w:val="en-GB"/>
        </w:rPr>
        <w:footnoteReference w:id="10"/>
      </w:r>
      <w:r w:rsidR="006E345D" w:rsidRPr="006A1AF3">
        <w:rPr>
          <w:rFonts w:asciiTheme="minorHAnsi" w:eastAsiaTheme="minorHAnsi" w:hAnsiTheme="minorHAnsi" w:cstheme="minorHAnsi"/>
          <w:color w:val="auto"/>
          <w:sz w:val="22"/>
          <w:szCs w:val="22"/>
          <w:lang w:val="en-GB"/>
        </w:rPr>
        <w:t xml:space="preserve"> of Athens. </w:t>
      </w:r>
    </w:p>
    <w:p w14:paraId="0FE3F475" w14:textId="77777777" w:rsidR="00A6605D" w:rsidRPr="00A6605D" w:rsidRDefault="00A6605D" w:rsidP="00A6605D"/>
    <w:p w14:paraId="471A5F2F" w14:textId="1CFB57D9" w:rsidR="00E91370" w:rsidRDefault="005A6F73" w:rsidP="00B85BC2">
      <w:pPr>
        <w:jc w:val="both"/>
        <w:rPr>
          <w:sz w:val="24"/>
        </w:rPr>
      </w:pPr>
      <w:r w:rsidRPr="006A1AF3">
        <w:t>Therefore, the courts of Athens where highly specific, with each one specialised to deal</w:t>
      </w:r>
      <w:r w:rsidR="00D66A72" w:rsidRPr="006A1AF3">
        <w:t xml:space="preserve"> with</w:t>
      </w:r>
      <w:r w:rsidRPr="006A1AF3">
        <w:t xml:space="preserve"> a particular issue as efficiently and accurately as possible.</w:t>
      </w:r>
      <w:r w:rsidR="005E671B" w:rsidRPr="006A1AF3">
        <w:t xml:space="preserve"> This allowed </w:t>
      </w:r>
      <w:r w:rsidR="00D06FA9" w:rsidRPr="006A1AF3">
        <w:t>for an effective and authentic legal system</w:t>
      </w:r>
      <w:r w:rsidR="00C8388B" w:rsidRPr="006A1AF3">
        <w:t>, through the use of different courts for different types of legal cases</w:t>
      </w:r>
      <w:r w:rsidR="00C8388B">
        <w:rPr>
          <w:sz w:val="24"/>
        </w:rPr>
        <w:t xml:space="preserve">. </w:t>
      </w:r>
    </w:p>
    <w:p w14:paraId="01E25053" w14:textId="16FA6ADE" w:rsidR="00AA71FA" w:rsidRDefault="00AA71FA" w:rsidP="00B85BC2">
      <w:pPr>
        <w:jc w:val="both"/>
        <w:rPr>
          <w:sz w:val="24"/>
        </w:rPr>
      </w:pPr>
    </w:p>
    <w:p w14:paraId="7DA5B089" w14:textId="1DE68EDC" w:rsidR="006A1AF3" w:rsidRDefault="006A1AF3" w:rsidP="00B85BC2">
      <w:pPr>
        <w:jc w:val="both"/>
        <w:rPr>
          <w:sz w:val="24"/>
        </w:rPr>
      </w:pPr>
    </w:p>
    <w:p w14:paraId="31033EED" w14:textId="77777777" w:rsidR="002670B2" w:rsidRDefault="002670B2" w:rsidP="00B85BC2">
      <w:pPr>
        <w:jc w:val="both"/>
        <w:rPr>
          <w:sz w:val="24"/>
        </w:rPr>
      </w:pPr>
    </w:p>
    <w:p w14:paraId="769DD36E" w14:textId="1FC5190D" w:rsidR="004A20D2" w:rsidRDefault="004A20D2" w:rsidP="00B85BC2">
      <w:pPr>
        <w:jc w:val="both"/>
        <w:rPr>
          <w:i/>
          <w:sz w:val="24"/>
        </w:rPr>
      </w:pPr>
    </w:p>
    <w:p w14:paraId="675EC563" w14:textId="42480909" w:rsidR="004A20D2" w:rsidRDefault="006A1AF3" w:rsidP="0043206C">
      <w:pPr>
        <w:jc w:val="both"/>
      </w:pPr>
      <w:r>
        <w:rPr>
          <w:sz w:val="24"/>
        </w:rPr>
        <w:t>Bibliography</w:t>
      </w:r>
    </w:p>
    <w:p w14:paraId="608F684C" w14:textId="78A11721" w:rsidR="006A1AF3" w:rsidRPr="00A7766C" w:rsidRDefault="006A1AF3" w:rsidP="0043206C">
      <w:pPr>
        <w:jc w:val="both"/>
        <w:rPr>
          <w:rFonts w:cstheme="minorHAnsi"/>
        </w:rPr>
      </w:pPr>
    </w:p>
    <w:p w14:paraId="57013FED" w14:textId="14D3632E" w:rsidR="006A1AF3" w:rsidRPr="002670B2" w:rsidRDefault="00F26652" w:rsidP="00F66C0B">
      <w:pPr>
        <w:pStyle w:val="ListParagraph"/>
        <w:numPr>
          <w:ilvl w:val="0"/>
          <w:numId w:val="1"/>
        </w:numPr>
        <w:spacing w:before="240"/>
        <w:jc w:val="both"/>
        <w:rPr>
          <w:rFonts w:cstheme="minorHAnsi"/>
          <w:color w:val="000000" w:themeColor="text1"/>
        </w:rPr>
      </w:pPr>
      <w:r w:rsidRPr="002670B2">
        <w:rPr>
          <w:rFonts w:cstheme="minorHAnsi"/>
          <w:color w:val="000000" w:themeColor="text1"/>
          <w:shd w:val="clear" w:color="auto" w:fill="FFFFFF"/>
        </w:rPr>
        <w:t xml:space="preserve">Thorley, J., </w:t>
      </w:r>
      <w:r w:rsidR="00F66C0B" w:rsidRPr="002670B2">
        <w:rPr>
          <w:rFonts w:cstheme="minorHAnsi"/>
          <w:color w:val="000000" w:themeColor="text1"/>
          <w:shd w:val="clear" w:color="auto" w:fill="FFFFFF"/>
        </w:rPr>
        <w:t>(</w:t>
      </w:r>
      <w:r w:rsidRPr="002670B2">
        <w:rPr>
          <w:rFonts w:cstheme="minorHAnsi"/>
          <w:color w:val="000000" w:themeColor="text1"/>
          <w:shd w:val="clear" w:color="auto" w:fill="FFFFFF"/>
        </w:rPr>
        <w:t>1996</w:t>
      </w:r>
      <w:proofErr w:type="gramStart"/>
      <w:r w:rsidR="00F66C0B" w:rsidRPr="002670B2">
        <w:rPr>
          <w:rFonts w:cstheme="minorHAnsi"/>
          <w:color w:val="000000" w:themeColor="text1"/>
          <w:shd w:val="clear" w:color="auto" w:fill="FFFFFF"/>
        </w:rPr>
        <w:t xml:space="preserve">) </w:t>
      </w:r>
      <w:r w:rsidRPr="002670B2">
        <w:rPr>
          <w:rFonts w:cstheme="minorHAnsi"/>
          <w:color w:val="000000" w:themeColor="text1"/>
          <w:shd w:val="clear" w:color="auto" w:fill="FFFFFF"/>
        </w:rPr>
        <w:t> </w:t>
      </w:r>
      <w:r w:rsidRPr="002670B2">
        <w:rPr>
          <w:rFonts w:cstheme="minorHAnsi"/>
          <w:i/>
          <w:iCs/>
          <w:color w:val="000000" w:themeColor="text1"/>
          <w:shd w:val="clear" w:color="auto" w:fill="FFFFFF"/>
        </w:rPr>
        <w:t>Athenian</w:t>
      </w:r>
      <w:proofErr w:type="gramEnd"/>
      <w:r w:rsidRPr="002670B2">
        <w:rPr>
          <w:rFonts w:cstheme="minorHAnsi"/>
          <w:i/>
          <w:iCs/>
          <w:color w:val="000000" w:themeColor="text1"/>
          <w:shd w:val="clear" w:color="auto" w:fill="FFFFFF"/>
        </w:rPr>
        <w:t xml:space="preserve"> democracy</w:t>
      </w:r>
      <w:r w:rsidRPr="002670B2">
        <w:rPr>
          <w:rFonts w:cstheme="minorHAnsi"/>
          <w:color w:val="000000" w:themeColor="text1"/>
          <w:shd w:val="clear" w:color="auto" w:fill="FFFFFF"/>
        </w:rPr>
        <w:t>, London ; New York: Routledge</w:t>
      </w:r>
    </w:p>
    <w:p w14:paraId="0DECEE86" w14:textId="18634BA8" w:rsidR="00F26652" w:rsidRDefault="002C3CD5" w:rsidP="00F14C87">
      <w:pPr>
        <w:pStyle w:val="ListParagraph"/>
        <w:numPr>
          <w:ilvl w:val="0"/>
          <w:numId w:val="1"/>
        </w:numPr>
        <w:jc w:val="both"/>
      </w:pPr>
      <w:r>
        <w:t xml:space="preserve">Gagarin, M, </w:t>
      </w:r>
      <w:r w:rsidR="00F66C0B">
        <w:t xml:space="preserve">(2003) </w:t>
      </w:r>
      <w:r w:rsidR="00F66C0B">
        <w:rPr>
          <w:i/>
        </w:rPr>
        <w:t>Athenian Homicide Law:</w:t>
      </w:r>
      <w:r w:rsidR="00A11E58">
        <w:rPr>
          <w:i/>
        </w:rPr>
        <w:t xml:space="preserve"> </w:t>
      </w:r>
      <w:r w:rsidR="00F66C0B">
        <w:rPr>
          <w:i/>
        </w:rPr>
        <w:t>Case Studies</w:t>
      </w:r>
      <w:r w:rsidR="00A11E58">
        <w:t xml:space="preserve"> </w:t>
      </w:r>
      <w:r w:rsidR="001B07BA">
        <w:t xml:space="preserve">[Web Article] Available at: </w:t>
      </w:r>
      <w:hyperlink r:id="rId8" w:history="1">
        <w:r w:rsidR="00D965B9" w:rsidRPr="00742578">
          <w:rPr>
            <w:rStyle w:val="Hyperlink"/>
          </w:rPr>
          <w:t>http://www.stoa.org/projects/demos/article_homicide?page=all&amp;greek</w:t>
        </w:r>
        <w:r w:rsidR="00D965B9" w:rsidRPr="00742578">
          <w:rPr>
            <w:rStyle w:val="Hyperlink"/>
          </w:rPr>
          <w:t>E</w:t>
        </w:r>
        <w:r w:rsidR="00D965B9" w:rsidRPr="00742578">
          <w:rPr>
            <w:rStyle w:val="Hyperlink"/>
          </w:rPr>
          <w:t>ncoding</w:t>
        </w:r>
      </w:hyperlink>
      <w:r w:rsidR="00237FF2" w:rsidRPr="00237FF2">
        <w:t>=</w:t>
      </w:r>
      <w:r w:rsidR="00D965B9">
        <w:t xml:space="preserve"> </w:t>
      </w:r>
      <w:r w:rsidR="00F14C87">
        <w:t xml:space="preserve"> </w:t>
      </w:r>
      <w:r w:rsidR="001B07BA">
        <w:t xml:space="preserve">Accessed </w:t>
      </w:r>
      <w:r w:rsidR="000B0911">
        <w:t>on</w:t>
      </w:r>
      <w:r w:rsidR="001B07BA">
        <w:t xml:space="preserve"> 24</w:t>
      </w:r>
      <w:r w:rsidR="001B07BA" w:rsidRPr="00F14C87">
        <w:rPr>
          <w:vertAlign w:val="superscript"/>
        </w:rPr>
        <w:t>th</w:t>
      </w:r>
      <w:r w:rsidR="001B07BA">
        <w:t xml:space="preserve"> September 2018</w:t>
      </w:r>
    </w:p>
    <w:p w14:paraId="68E00E95" w14:textId="7601FDB2" w:rsidR="001B07BA" w:rsidRDefault="00732F5E" w:rsidP="003F75D5">
      <w:pPr>
        <w:pStyle w:val="ListParagraph"/>
        <w:numPr>
          <w:ilvl w:val="0"/>
          <w:numId w:val="1"/>
        </w:numPr>
        <w:jc w:val="both"/>
      </w:pPr>
      <w:r>
        <w:t>Lysias</w:t>
      </w:r>
      <w:r w:rsidR="00CF12A6">
        <w:t>,</w:t>
      </w:r>
      <w:r>
        <w:t xml:space="preserve"> </w:t>
      </w:r>
      <w:r>
        <w:rPr>
          <w:i/>
        </w:rPr>
        <w:t>On the Murder of Eratosthenes</w:t>
      </w:r>
      <w:r>
        <w:t xml:space="preserve">, </w:t>
      </w:r>
      <w:r w:rsidR="004A5E36">
        <w:t>W.R.M. Lamb [trans] 1930, available at:</w:t>
      </w:r>
      <w:r w:rsidR="004A5E36" w:rsidRPr="004A5E36">
        <w:t xml:space="preserve"> </w:t>
      </w:r>
      <w:r w:rsidR="000B0911">
        <w:t xml:space="preserve"> </w:t>
      </w:r>
      <w:hyperlink r:id="rId9" w:history="1">
        <w:r w:rsidR="000B0911" w:rsidRPr="00742578">
          <w:rPr>
            <w:rStyle w:val="Hyperlink"/>
          </w:rPr>
          <w:t>http://www.perseus.tufts.edu/hopper/text?doc=Perseus:text:1999.01.0154:speech=1</w:t>
        </w:r>
      </w:hyperlink>
      <w:r w:rsidR="000B0911">
        <w:t xml:space="preserve"> Accessed on 24</w:t>
      </w:r>
      <w:r w:rsidR="000B0911" w:rsidRPr="000B0911">
        <w:rPr>
          <w:vertAlign w:val="superscript"/>
        </w:rPr>
        <w:t>th</w:t>
      </w:r>
      <w:r w:rsidR="000B0911">
        <w:t xml:space="preserve"> September 2018</w:t>
      </w:r>
    </w:p>
    <w:p w14:paraId="50841A47" w14:textId="259D72C9" w:rsidR="000B0911" w:rsidRDefault="00CF12A6" w:rsidP="003F75D5">
      <w:pPr>
        <w:pStyle w:val="ListParagraph"/>
        <w:numPr>
          <w:ilvl w:val="0"/>
          <w:numId w:val="1"/>
        </w:numPr>
        <w:jc w:val="both"/>
      </w:pPr>
      <w:r>
        <w:t xml:space="preserve">Antiphon, </w:t>
      </w:r>
      <w:r>
        <w:rPr>
          <w:i/>
        </w:rPr>
        <w:t xml:space="preserve">Against the Stepmother for </w:t>
      </w:r>
      <w:r w:rsidR="00357C49">
        <w:rPr>
          <w:i/>
        </w:rPr>
        <w:t>Poisoning</w:t>
      </w:r>
      <w:r w:rsidR="00357C49">
        <w:t>, The Annenberg CPB/Project [trans], available at</w:t>
      </w:r>
      <w:r w:rsidR="00A057B9">
        <w:t>:</w:t>
      </w:r>
      <w:r w:rsidR="00357C49">
        <w:t xml:space="preserve"> </w:t>
      </w:r>
      <w:hyperlink r:id="rId10" w:history="1">
        <w:r w:rsidR="00357C49" w:rsidRPr="00742578">
          <w:rPr>
            <w:rStyle w:val="Hyperlink"/>
          </w:rPr>
          <w:t>http://www.perseus.tufts.edu/hopper/text?doc=Perseus:text:1999.01.0020:speech=1</w:t>
        </w:r>
      </w:hyperlink>
      <w:r w:rsidR="00357C49">
        <w:t xml:space="preserve"> Accessed on 24</w:t>
      </w:r>
      <w:r w:rsidR="00357C49" w:rsidRPr="00357C49">
        <w:rPr>
          <w:vertAlign w:val="superscript"/>
        </w:rPr>
        <w:t>th</w:t>
      </w:r>
      <w:r w:rsidR="00357C49">
        <w:t xml:space="preserve"> September</w:t>
      </w:r>
      <w:r w:rsidR="00A03CDA">
        <w:t xml:space="preserve"> 2018</w:t>
      </w:r>
    </w:p>
    <w:p w14:paraId="73AF8099" w14:textId="3BDA088D" w:rsidR="00E862FC" w:rsidRDefault="00A03CDA" w:rsidP="00E862FC">
      <w:pPr>
        <w:pStyle w:val="ListParagraph"/>
        <w:numPr>
          <w:ilvl w:val="0"/>
          <w:numId w:val="1"/>
        </w:numPr>
        <w:jc w:val="both"/>
      </w:pPr>
      <w:r>
        <w:t xml:space="preserve">Demosthenes, </w:t>
      </w:r>
      <w:r>
        <w:rPr>
          <w:i/>
        </w:rPr>
        <w:t>Against Aristocrate</w:t>
      </w:r>
      <w:r w:rsidR="00E862FC">
        <w:rPr>
          <w:i/>
        </w:rPr>
        <w:t xml:space="preserve">s, </w:t>
      </w:r>
      <w:r w:rsidR="00E862FC">
        <w:t xml:space="preserve">A.T. Murray [trans] 1939, available at </w:t>
      </w:r>
      <w:hyperlink r:id="rId11" w:history="1">
        <w:r w:rsidR="00E862FC" w:rsidRPr="00742578">
          <w:rPr>
            <w:rStyle w:val="Hyperlink"/>
          </w:rPr>
          <w:t>http://www.perseus.tufts.edu/hopper/text?doc=Perseus%3Atext%3A1999.01.0074%3Aspeech%3D23%3Asection%3D1</w:t>
        </w:r>
      </w:hyperlink>
      <w:r w:rsidR="00E862FC">
        <w:t xml:space="preserve"> Accessed on 24</w:t>
      </w:r>
      <w:r w:rsidR="00E862FC" w:rsidRPr="00E862FC">
        <w:rPr>
          <w:vertAlign w:val="superscript"/>
        </w:rPr>
        <w:t>th</w:t>
      </w:r>
      <w:r w:rsidR="00E862FC">
        <w:t xml:space="preserve"> September 2018</w:t>
      </w:r>
    </w:p>
    <w:p w14:paraId="3686D5BA" w14:textId="4F5ED4C3" w:rsidR="00E862FC" w:rsidRDefault="00AA60CC" w:rsidP="00E862FC">
      <w:pPr>
        <w:pStyle w:val="ListParagraph"/>
        <w:numPr>
          <w:ilvl w:val="0"/>
          <w:numId w:val="1"/>
        </w:numPr>
        <w:jc w:val="both"/>
      </w:pPr>
      <w:r>
        <w:t xml:space="preserve">Hornblower, </w:t>
      </w:r>
      <w:proofErr w:type="spellStart"/>
      <w:r>
        <w:t>Spawforth</w:t>
      </w:r>
      <w:proofErr w:type="spellEnd"/>
      <w:r>
        <w:t xml:space="preserve"> and </w:t>
      </w:r>
      <w:proofErr w:type="spellStart"/>
      <w:r>
        <w:t>Eidinow</w:t>
      </w:r>
      <w:proofErr w:type="spellEnd"/>
      <w:r>
        <w:t>, (201</w:t>
      </w:r>
      <w:r w:rsidR="00BA0A5C">
        <w:t>4</w:t>
      </w:r>
      <w:r>
        <w:t xml:space="preserve">) </w:t>
      </w:r>
      <w:r>
        <w:rPr>
          <w:i/>
        </w:rPr>
        <w:t>The Oxford Companion to Classical Civilisation</w:t>
      </w:r>
      <w:r>
        <w:t>, 2</w:t>
      </w:r>
      <w:r w:rsidRPr="00AA60CC">
        <w:rPr>
          <w:vertAlign w:val="superscript"/>
        </w:rPr>
        <w:t>nd</w:t>
      </w:r>
      <w:r>
        <w:t xml:space="preserve"> Ed. Oxford University Press</w:t>
      </w:r>
    </w:p>
    <w:p w14:paraId="36F5F438" w14:textId="479742D5" w:rsidR="00AA60CC" w:rsidRDefault="00160FC1" w:rsidP="00E862FC">
      <w:pPr>
        <w:pStyle w:val="ListParagraph"/>
        <w:numPr>
          <w:ilvl w:val="0"/>
          <w:numId w:val="1"/>
        </w:numPr>
        <w:jc w:val="both"/>
      </w:pPr>
      <w:r>
        <w:t xml:space="preserve">Antiphon, </w:t>
      </w:r>
      <w:r>
        <w:rPr>
          <w:i/>
        </w:rPr>
        <w:t xml:space="preserve">On the </w:t>
      </w:r>
      <w:proofErr w:type="spellStart"/>
      <w:r>
        <w:rPr>
          <w:i/>
        </w:rPr>
        <w:t>Choreutes</w:t>
      </w:r>
      <w:proofErr w:type="spellEnd"/>
      <w:r>
        <w:rPr>
          <w:i/>
        </w:rPr>
        <w:t xml:space="preserve">, </w:t>
      </w:r>
      <w:r>
        <w:t>The Annenberg CPB/Project [trans], available at</w:t>
      </w:r>
      <w:r w:rsidR="00A057B9">
        <w:t xml:space="preserve">: </w:t>
      </w:r>
      <w:hyperlink r:id="rId12" w:history="1">
        <w:r w:rsidR="00A057B9" w:rsidRPr="00742578">
          <w:rPr>
            <w:rStyle w:val="Hyperlink"/>
          </w:rPr>
          <w:t>http://www.perseus.tufts.edu/hopper/text?doc=Antiph.+6&amp;redirect=true</w:t>
        </w:r>
      </w:hyperlink>
      <w:r w:rsidR="00A057B9">
        <w:t xml:space="preserve"> Accessed on 24</w:t>
      </w:r>
      <w:r w:rsidR="00A057B9" w:rsidRPr="00132FFC">
        <w:rPr>
          <w:vertAlign w:val="superscript"/>
        </w:rPr>
        <w:t>th</w:t>
      </w:r>
      <w:r w:rsidR="00A057B9">
        <w:t xml:space="preserve"> September 2018</w:t>
      </w:r>
    </w:p>
    <w:p w14:paraId="10EBD0AE" w14:textId="3639992D" w:rsidR="00132FFC" w:rsidRDefault="00132FFC" w:rsidP="00E862FC">
      <w:pPr>
        <w:pStyle w:val="ListParagraph"/>
        <w:numPr>
          <w:ilvl w:val="0"/>
          <w:numId w:val="1"/>
        </w:numPr>
        <w:jc w:val="both"/>
      </w:pPr>
      <w:r>
        <w:t xml:space="preserve">Hornblower, </w:t>
      </w:r>
      <w:proofErr w:type="spellStart"/>
      <w:r w:rsidR="000101D6">
        <w:t>Spawforth</w:t>
      </w:r>
      <w:proofErr w:type="spellEnd"/>
      <w:r w:rsidR="000101D6">
        <w:t xml:space="preserve"> and </w:t>
      </w:r>
      <w:proofErr w:type="spellStart"/>
      <w:r w:rsidR="000101D6">
        <w:t>Eidinow</w:t>
      </w:r>
      <w:proofErr w:type="spellEnd"/>
      <w:r w:rsidR="000101D6">
        <w:t xml:space="preserve">, (2012) </w:t>
      </w:r>
      <w:r w:rsidR="000101D6">
        <w:rPr>
          <w:i/>
        </w:rPr>
        <w:t>The Oxford Classical Dictionary</w:t>
      </w:r>
      <w:r w:rsidR="000101D6">
        <w:t xml:space="preserve"> 4</w:t>
      </w:r>
      <w:r w:rsidR="000101D6" w:rsidRPr="000101D6">
        <w:rPr>
          <w:vertAlign w:val="superscript"/>
        </w:rPr>
        <w:t>th</w:t>
      </w:r>
      <w:r w:rsidR="000101D6">
        <w:t xml:space="preserve"> Ed. Oxford University Press</w:t>
      </w:r>
    </w:p>
    <w:p w14:paraId="1DC9F28C" w14:textId="4BDE6B1B" w:rsidR="008E1743" w:rsidRDefault="00957645" w:rsidP="008E1743">
      <w:pPr>
        <w:pStyle w:val="ListParagraph"/>
        <w:numPr>
          <w:ilvl w:val="0"/>
          <w:numId w:val="1"/>
        </w:numPr>
        <w:jc w:val="both"/>
      </w:pPr>
      <w:proofErr w:type="spellStart"/>
      <w:r>
        <w:t>Th</w:t>
      </w:r>
      <w:r>
        <w:rPr>
          <w:rFonts w:cstheme="minorHAnsi"/>
        </w:rPr>
        <w:t>ü</w:t>
      </w:r>
      <w:r>
        <w:t>r</w:t>
      </w:r>
      <w:proofErr w:type="spellEnd"/>
      <w:r>
        <w:t xml:space="preserve">, </w:t>
      </w:r>
      <w:r w:rsidR="008E1743">
        <w:t xml:space="preserve">G. (2006) </w:t>
      </w:r>
      <w:r w:rsidR="008E1743">
        <w:rPr>
          <w:i/>
        </w:rPr>
        <w:t>Athenian Law</w:t>
      </w:r>
      <w:r w:rsidR="008E1743">
        <w:t xml:space="preserve"> [Brill’s New Pauly] Available at: </w:t>
      </w:r>
      <w:hyperlink r:id="rId13" w:history="1">
        <w:r w:rsidR="008E1743" w:rsidRPr="00742578">
          <w:rPr>
            <w:rStyle w:val="Hyperlink"/>
          </w:rPr>
          <w:t>https://referenceworks-brillonline-com.ezproxy.uwtsd.ac.uk/entries/brill-s-new-pauly/athenian-law-e207680?s.num=0&amp;s.f.s2_parent=s.f.book.brill-s-new-pauly&amp;s.q=law+courts+athens</w:t>
        </w:r>
      </w:hyperlink>
      <w:r w:rsidR="008E1743">
        <w:t xml:space="preserve"> Accessed on 24</w:t>
      </w:r>
      <w:r w:rsidR="008E1743" w:rsidRPr="008E1743">
        <w:rPr>
          <w:vertAlign w:val="superscript"/>
        </w:rPr>
        <w:t>th</w:t>
      </w:r>
      <w:r w:rsidR="008E1743">
        <w:t xml:space="preserve"> September 2018</w:t>
      </w:r>
    </w:p>
    <w:p w14:paraId="76F02268" w14:textId="71794199" w:rsidR="000C7E05" w:rsidRDefault="009B0EF3" w:rsidP="000C7E05">
      <w:pPr>
        <w:pStyle w:val="ListParagraph"/>
        <w:numPr>
          <w:ilvl w:val="0"/>
          <w:numId w:val="1"/>
        </w:numPr>
        <w:jc w:val="both"/>
      </w:pPr>
      <w:r>
        <w:t xml:space="preserve">Aristotle, </w:t>
      </w:r>
      <w:r>
        <w:rPr>
          <w:i/>
        </w:rPr>
        <w:t>Athenian Constitution</w:t>
      </w:r>
      <w:r>
        <w:t xml:space="preserve">, </w:t>
      </w:r>
      <w:r w:rsidR="000C7E05">
        <w:t xml:space="preserve">H. Rackham [trans] 1952, Available at: </w:t>
      </w:r>
      <w:hyperlink r:id="rId14" w:history="1">
        <w:r w:rsidR="000C7E05" w:rsidRPr="00742578">
          <w:rPr>
            <w:rStyle w:val="Hyperlink"/>
          </w:rPr>
          <w:t>http://www.perseus.tufts.edu/hopper/text?doc=Perseus%3Atext%3A1999.01.0046%3Achapter%3Dfragments</w:t>
        </w:r>
      </w:hyperlink>
      <w:r w:rsidR="000C7E05">
        <w:t xml:space="preserve"> Accessed on 26</w:t>
      </w:r>
      <w:r w:rsidR="000C7E05" w:rsidRPr="000C7E05">
        <w:rPr>
          <w:vertAlign w:val="superscript"/>
        </w:rPr>
        <w:t>th</w:t>
      </w:r>
      <w:r w:rsidR="000C7E05">
        <w:t xml:space="preserve"> September 2018</w:t>
      </w:r>
    </w:p>
    <w:p w14:paraId="53D6816B" w14:textId="0CF049FC" w:rsidR="000C7E05" w:rsidRDefault="004C0189" w:rsidP="000C7E05">
      <w:pPr>
        <w:pStyle w:val="ListParagraph"/>
        <w:numPr>
          <w:ilvl w:val="0"/>
          <w:numId w:val="1"/>
        </w:numPr>
        <w:jc w:val="both"/>
      </w:pPr>
      <w:r>
        <w:t>Gagarin, M</w:t>
      </w:r>
      <w:r w:rsidR="005B4371">
        <w:t>.</w:t>
      </w:r>
      <w:r>
        <w:t xml:space="preserve"> (2003) </w:t>
      </w:r>
      <w:r w:rsidR="005B4371">
        <w:rPr>
          <w:i/>
        </w:rPr>
        <w:t>A summary of: Athenian Homicide Law: Case Studies</w:t>
      </w:r>
      <w:r w:rsidR="005B4371">
        <w:t xml:space="preserve"> [Web Article] Available at: </w:t>
      </w:r>
      <w:hyperlink r:id="rId15" w:history="1">
        <w:r w:rsidR="005B4371" w:rsidRPr="00742578">
          <w:rPr>
            <w:rStyle w:val="Hyperlink"/>
          </w:rPr>
          <w:t>http://www.stoa.org/projects/demos/summary_homicide?greekEncoding</w:t>
        </w:r>
      </w:hyperlink>
      <w:r w:rsidR="005B4371" w:rsidRPr="005B4371">
        <w:t>=</w:t>
      </w:r>
      <w:r w:rsidR="005B4371">
        <w:t xml:space="preserve"> Accessed on 24</w:t>
      </w:r>
      <w:r w:rsidR="005B4371" w:rsidRPr="005B4371">
        <w:rPr>
          <w:vertAlign w:val="superscript"/>
        </w:rPr>
        <w:t>th</w:t>
      </w:r>
      <w:r w:rsidR="005B4371">
        <w:t xml:space="preserve"> September 2018</w:t>
      </w:r>
    </w:p>
    <w:p w14:paraId="79530FF3" w14:textId="77777777" w:rsidR="005B4371" w:rsidRDefault="005B4371" w:rsidP="005B4371">
      <w:pPr>
        <w:pStyle w:val="ListParagraph"/>
        <w:jc w:val="both"/>
      </w:pPr>
    </w:p>
    <w:p w14:paraId="76497A58" w14:textId="77777777" w:rsidR="00357C49" w:rsidRPr="006A1AF3" w:rsidRDefault="00357C49" w:rsidP="00357C49">
      <w:pPr>
        <w:pStyle w:val="ListParagraph"/>
        <w:jc w:val="both"/>
      </w:pPr>
    </w:p>
    <w:sectPr w:rsidR="00357C49" w:rsidRPr="006A1A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7FB74" w14:textId="77777777" w:rsidR="00032F41" w:rsidRDefault="00032F41" w:rsidP="00CD5511">
      <w:pPr>
        <w:spacing w:after="0" w:line="240" w:lineRule="auto"/>
      </w:pPr>
      <w:r>
        <w:separator/>
      </w:r>
    </w:p>
  </w:endnote>
  <w:endnote w:type="continuationSeparator" w:id="0">
    <w:p w14:paraId="4619BE3C" w14:textId="77777777" w:rsidR="00032F41" w:rsidRDefault="00032F41" w:rsidP="00CD5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35BA0" w14:textId="77777777" w:rsidR="00032F41" w:rsidRDefault="00032F41" w:rsidP="00CD5511">
      <w:pPr>
        <w:spacing w:after="0" w:line="240" w:lineRule="auto"/>
      </w:pPr>
      <w:r>
        <w:separator/>
      </w:r>
    </w:p>
  </w:footnote>
  <w:footnote w:type="continuationSeparator" w:id="0">
    <w:p w14:paraId="6867DCAA" w14:textId="77777777" w:rsidR="00032F41" w:rsidRDefault="00032F41" w:rsidP="00CD5511">
      <w:pPr>
        <w:spacing w:after="0" w:line="240" w:lineRule="auto"/>
      </w:pPr>
      <w:r>
        <w:continuationSeparator/>
      </w:r>
    </w:p>
  </w:footnote>
  <w:footnote w:id="1">
    <w:p w14:paraId="24B90DB8" w14:textId="6CD7B3E7" w:rsidR="00367A54" w:rsidRPr="00367A54" w:rsidRDefault="00367A54">
      <w:pPr>
        <w:pStyle w:val="FootnoteText"/>
        <w:rPr>
          <w:i/>
        </w:rPr>
      </w:pPr>
      <w:r>
        <w:rPr>
          <w:rStyle w:val="FootnoteReference"/>
        </w:rPr>
        <w:footnoteRef/>
      </w:r>
      <w:r>
        <w:t xml:space="preserve"> </w:t>
      </w:r>
      <w:r>
        <w:t xml:space="preserve">Hornblower, </w:t>
      </w:r>
      <w:proofErr w:type="spellStart"/>
      <w:r>
        <w:t>Spawforth</w:t>
      </w:r>
      <w:proofErr w:type="spellEnd"/>
      <w:r>
        <w:t xml:space="preserve"> and </w:t>
      </w:r>
      <w:proofErr w:type="spellStart"/>
      <w:r>
        <w:t>Eidnow</w:t>
      </w:r>
      <w:proofErr w:type="spellEnd"/>
      <w:r>
        <w:t xml:space="preserve"> (2014), </w:t>
      </w:r>
      <w:r>
        <w:rPr>
          <w:i/>
        </w:rPr>
        <w:t>Law and Procedure, Athenian</w:t>
      </w:r>
    </w:p>
  </w:footnote>
  <w:footnote w:id="2">
    <w:p w14:paraId="5FC836E3" w14:textId="0F8A1381" w:rsidR="001105CA" w:rsidRPr="001105CA" w:rsidRDefault="001105CA">
      <w:pPr>
        <w:pStyle w:val="FootnoteText"/>
        <w:rPr>
          <w:i/>
        </w:rPr>
      </w:pPr>
      <w:r>
        <w:rPr>
          <w:rStyle w:val="FootnoteReference"/>
        </w:rPr>
        <w:footnoteRef/>
      </w:r>
      <w:r>
        <w:t xml:space="preserve"> </w:t>
      </w:r>
      <w:r>
        <w:t xml:space="preserve">Hornblower, </w:t>
      </w:r>
      <w:proofErr w:type="spellStart"/>
      <w:r>
        <w:t>Spawforth</w:t>
      </w:r>
      <w:proofErr w:type="spellEnd"/>
      <w:r>
        <w:t xml:space="preserve"> and </w:t>
      </w:r>
      <w:proofErr w:type="spellStart"/>
      <w:r>
        <w:t>Eidnow</w:t>
      </w:r>
      <w:proofErr w:type="spellEnd"/>
      <w:r>
        <w:t xml:space="preserve"> (2014), </w:t>
      </w:r>
      <w:r>
        <w:rPr>
          <w:i/>
        </w:rPr>
        <w:t>Law and Procedure, Athenian</w:t>
      </w:r>
    </w:p>
  </w:footnote>
  <w:footnote w:id="3">
    <w:p w14:paraId="10145157" w14:textId="1BC14389" w:rsidR="001105CA" w:rsidRPr="001105CA" w:rsidRDefault="001105CA">
      <w:pPr>
        <w:pStyle w:val="FootnoteText"/>
        <w:rPr>
          <w:i/>
        </w:rPr>
      </w:pPr>
      <w:r>
        <w:rPr>
          <w:rStyle w:val="FootnoteReference"/>
        </w:rPr>
        <w:footnoteRef/>
      </w:r>
      <w:r>
        <w:t xml:space="preserve"> </w:t>
      </w:r>
      <w:r>
        <w:t xml:space="preserve">Hornblower, </w:t>
      </w:r>
      <w:proofErr w:type="spellStart"/>
      <w:r>
        <w:t>Spawforth</w:t>
      </w:r>
      <w:proofErr w:type="spellEnd"/>
      <w:r>
        <w:t xml:space="preserve"> and </w:t>
      </w:r>
      <w:proofErr w:type="spellStart"/>
      <w:r>
        <w:t>Eidnow</w:t>
      </w:r>
      <w:proofErr w:type="spellEnd"/>
      <w:r>
        <w:t xml:space="preserve"> (2014), </w:t>
      </w:r>
      <w:r>
        <w:rPr>
          <w:i/>
        </w:rPr>
        <w:t>Law and Procedure, Athenian</w:t>
      </w:r>
    </w:p>
  </w:footnote>
  <w:footnote w:id="4">
    <w:p w14:paraId="1F88F48F" w14:textId="0333C0D4" w:rsidR="00A33BD9" w:rsidRPr="00BA0A5C" w:rsidRDefault="00A33BD9">
      <w:pPr>
        <w:pStyle w:val="FootnoteText"/>
        <w:rPr>
          <w:i/>
        </w:rPr>
      </w:pPr>
      <w:r>
        <w:rPr>
          <w:rStyle w:val="FootnoteReference"/>
        </w:rPr>
        <w:footnoteRef/>
      </w:r>
      <w:r>
        <w:t xml:space="preserve"> Hornblower, </w:t>
      </w:r>
      <w:proofErr w:type="spellStart"/>
      <w:r>
        <w:t>Spawforth</w:t>
      </w:r>
      <w:proofErr w:type="spellEnd"/>
      <w:r>
        <w:t xml:space="preserve"> and </w:t>
      </w:r>
      <w:proofErr w:type="spellStart"/>
      <w:r>
        <w:t>Eidnow</w:t>
      </w:r>
      <w:proofErr w:type="spellEnd"/>
      <w:r w:rsidR="00BA0A5C">
        <w:t xml:space="preserve"> (2014), </w:t>
      </w:r>
      <w:r w:rsidR="00BA0A5C">
        <w:rPr>
          <w:i/>
        </w:rPr>
        <w:t>Law and Procedure, Athenian</w:t>
      </w:r>
    </w:p>
  </w:footnote>
  <w:footnote w:id="5">
    <w:p w14:paraId="61A275A5" w14:textId="3088262A" w:rsidR="00430F7C" w:rsidRDefault="00CD5511">
      <w:pPr>
        <w:pStyle w:val="FootnoteText"/>
      </w:pPr>
      <w:r>
        <w:rPr>
          <w:rStyle w:val="FootnoteReference"/>
        </w:rPr>
        <w:footnoteRef/>
      </w:r>
      <w:r>
        <w:t xml:space="preserve"> J. Thorley, (1996:</w:t>
      </w:r>
      <w:r w:rsidR="00430F7C">
        <w:t>34)</w:t>
      </w:r>
    </w:p>
  </w:footnote>
  <w:footnote w:id="6">
    <w:p w14:paraId="0EF44EDF" w14:textId="65D214F7" w:rsidR="00BA0A5C" w:rsidRPr="00BA0A5C" w:rsidRDefault="00BA0A5C">
      <w:pPr>
        <w:pStyle w:val="FootnoteText"/>
        <w:rPr>
          <w:i/>
        </w:rPr>
      </w:pPr>
      <w:r>
        <w:rPr>
          <w:rStyle w:val="FootnoteReference"/>
        </w:rPr>
        <w:footnoteRef/>
      </w:r>
      <w:r>
        <w:t xml:space="preserve"> </w:t>
      </w:r>
      <w:r>
        <w:t xml:space="preserve">Hornblower, </w:t>
      </w:r>
      <w:proofErr w:type="spellStart"/>
      <w:r>
        <w:t>Spawforth</w:t>
      </w:r>
      <w:proofErr w:type="spellEnd"/>
      <w:r>
        <w:t xml:space="preserve"> and </w:t>
      </w:r>
      <w:proofErr w:type="spellStart"/>
      <w:r>
        <w:t>Eidnow</w:t>
      </w:r>
      <w:proofErr w:type="spellEnd"/>
      <w:r>
        <w:t xml:space="preserve"> (2014), </w:t>
      </w:r>
      <w:r>
        <w:rPr>
          <w:i/>
        </w:rPr>
        <w:t>Law and Procedure, Athenian</w:t>
      </w:r>
    </w:p>
  </w:footnote>
  <w:footnote w:id="7">
    <w:p w14:paraId="44309D2C" w14:textId="639545E1" w:rsidR="00BA55F0" w:rsidRDefault="00BA55F0">
      <w:pPr>
        <w:pStyle w:val="FootnoteText"/>
      </w:pPr>
      <w:r>
        <w:rPr>
          <w:rStyle w:val="FootnoteReference"/>
        </w:rPr>
        <w:footnoteRef/>
      </w:r>
      <w:r w:rsidR="00EF6A47">
        <w:t xml:space="preserve">Hornblower, </w:t>
      </w:r>
      <w:proofErr w:type="spellStart"/>
      <w:r w:rsidR="00EF6A47">
        <w:t>Spawforth</w:t>
      </w:r>
      <w:proofErr w:type="spellEnd"/>
      <w:r w:rsidR="00EF6A47">
        <w:t xml:space="preserve"> and </w:t>
      </w:r>
      <w:proofErr w:type="spellStart"/>
      <w:r w:rsidR="00EF6A47">
        <w:t>Eidnow</w:t>
      </w:r>
      <w:proofErr w:type="spellEnd"/>
      <w:r w:rsidR="00EF6A47">
        <w:t xml:space="preserve"> (2014), </w:t>
      </w:r>
      <w:r w:rsidR="00EF6A47">
        <w:rPr>
          <w:i/>
        </w:rPr>
        <w:t>Law and Procedure, Athenian</w:t>
      </w:r>
      <w:bookmarkStart w:id="0" w:name="_GoBack"/>
      <w:bookmarkEnd w:id="0"/>
    </w:p>
  </w:footnote>
  <w:footnote w:id="8">
    <w:p w14:paraId="410C7C8A" w14:textId="436F9462" w:rsidR="00430F7C" w:rsidRDefault="00430F7C">
      <w:pPr>
        <w:pStyle w:val="FootnoteText"/>
      </w:pPr>
      <w:r>
        <w:rPr>
          <w:rStyle w:val="FootnoteReference"/>
        </w:rPr>
        <w:footnoteRef/>
      </w:r>
      <w:r>
        <w:t xml:space="preserve"> </w:t>
      </w:r>
      <w:r>
        <w:rPr>
          <w:rFonts w:cstheme="minorHAnsi"/>
          <w:sz w:val="22"/>
          <w:szCs w:val="22"/>
        </w:rPr>
        <w:t>M. Gagarin, 2003</w:t>
      </w:r>
    </w:p>
  </w:footnote>
  <w:footnote w:id="9">
    <w:p w14:paraId="2A8FAEA8" w14:textId="6AA0C6BB" w:rsidR="001B6713" w:rsidRDefault="001B6713">
      <w:pPr>
        <w:pStyle w:val="FootnoteText"/>
      </w:pPr>
      <w:r>
        <w:rPr>
          <w:rStyle w:val="FootnoteReference"/>
        </w:rPr>
        <w:footnoteRef/>
      </w:r>
      <w:r>
        <w:t xml:space="preserve"> </w:t>
      </w:r>
      <w:proofErr w:type="spellStart"/>
      <w:r w:rsidR="00514262">
        <w:t>Aristot</w:t>
      </w:r>
      <w:proofErr w:type="spellEnd"/>
      <w:r w:rsidR="00514262">
        <w:t xml:space="preserve">. Const. </w:t>
      </w:r>
      <w:proofErr w:type="spellStart"/>
      <w:r w:rsidR="00514262">
        <w:t>Ath</w:t>
      </w:r>
      <w:proofErr w:type="spellEnd"/>
      <w:r w:rsidR="00514262">
        <w:t xml:space="preserve">. 3.6 </w:t>
      </w:r>
    </w:p>
  </w:footnote>
  <w:footnote w:id="10">
    <w:p w14:paraId="4F746B7A" w14:textId="7DD0FE6D" w:rsidR="001B6713" w:rsidRDefault="001B6713">
      <w:pPr>
        <w:pStyle w:val="FootnoteText"/>
      </w:pPr>
      <w:r>
        <w:rPr>
          <w:rStyle w:val="FootnoteReference"/>
        </w:rPr>
        <w:footnoteRef/>
      </w:r>
      <w:r>
        <w:t xml:space="preserve"> </w:t>
      </w:r>
      <w:proofErr w:type="spellStart"/>
      <w:r w:rsidR="00514262">
        <w:t>Ar</w:t>
      </w:r>
      <w:r w:rsidR="00A6605D">
        <w:t>i</w:t>
      </w:r>
      <w:r w:rsidR="00514262">
        <w:t>stot</w:t>
      </w:r>
      <w:proofErr w:type="spellEnd"/>
      <w:r w:rsidR="00514262">
        <w:t xml:space="preserve">. Const. </w:t>
      </w:r>
      <w:proofErr w:type="spellStart"/>
      <w:r w:rsidR="00514262">
        <w:t>Ath</w:t>
      </w:r>
      <w:proofErr w:type="spellEnd"/>
      <w:r w:rsidR="00514262">
        <w:t>. 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B23031"/>
    <w:multiLevelType w:val="hybridMultilevel"/>
    <w:tmpl w:val="EEFAB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06C"/>
    <w:rsid w:val="000101D6"/>
    <w:rsid w:val="00032F41"/>
    <w:rsid w:val="00046731"/>
    <w:rsid w:val="000B0911"/>
    <w:rsid w:val="000C7E05"/>
    <w:rsid w:val="001105CA"/>
    <w:rsid w:val="00132FFC"/>
    <w:rsid w:val="00160FC1"/>
    <w:rsid w:val="00185A60"/>
    <w:rsid w:val="001B07BA"/>
    <w:rsid w:val="001B6713"/>
    <w:rsid w:val="002253C7"/>
    <w:rsid w:val="00237FF2"/>
    <w:rsid w:val="002670B2"/>
    <w:rsid w:val="002A3360"/>
    <w:rsid w:val="002C3CD5"/>
    <w:rsid w:val="002E4FA7"/>
    <w:rsid w:val="003163B7"/>
    <w:rsid w:val="00321803"/>
    <w:rsid w:val="00333D7B"/>
    <w:rsid w:val="0035762E"/>
    <w:rsid w:val="00357C49"/>
    <w:rsid w:val="00367A54"/>
    <w:rsid w:val="003A2F52"/>
    <w:rsid w:val="003F75D5"/>
    <w:rsid w:val="004224CF"/>
    <w:rsid w:val="00430F7C"/>
    <w:rsid w:val="0043206C"/>
    <w:rsid w:val="0044772C"/>
    <w:rsid w:val="004A20D2"/>
    <w:rsid w:val="004A5E36"/>
    <w:rsid w:val="004C0189"/>
    <w:rsid w:val="00514262"/>
    <w:rsid w:val="005A6F73"/>
    <w:rsid w:val="005B4371"/>
    <w:rsid w:val="005E671B"/>
    <w:rsid w:val="006145D6"/>
    <w:rsid w:val="006230AC"/>
    <w:rsid w:val="006A1AF3"/>
    <w:rsid w:val="006E345D"/>
    <w:rsid w:val="00732F5E"/>
    <w:rsid w:val="0076551A"/>
    <w:rsid w:val="007D3351"/>
    <w:rsid w:val="00800712"/>
    <w:rsid w:val="00841395"/>
    <w:rsid w:val="008B56B6"/>
    <w:rsid w:val="008E1743"/>
    <w:rsid w:val="008E6088"/>
    <w:rsid w:val="00957645"/>
    <w:rsid w:val="009B0EF3"/>
    <w:rsid w:val="00A03CDA"/>
    <w:rsid w:val="00A0545E"/>
    <w:rsid w:val="00A057B9"/>
    <w:rsid w:val="00A11E58"/>
    <w:rsid w:val="00A33BD9"/>
    <w:rsid w:val="00A51CD6"/>
    <w:rsid w:val="00A6605D"/>
    <w:rsid w:val="00A7766C"/>
    <w:rsid w:val="00AA60CC"/>
    <w:rsid w:val="00AA71FA"/>
    <w:rsid w:val="00B13553"/>
    <w:rsid w:val="00B13CBD"/>
    <w:rsid w:val="00B57B6D"/>
    <w:rsid w:val="00B85BC2"/>
    <w:rsid w:val="00BA0A5C"/>
    <w:rsid w:val="00BA55F0"/>
    <w:rsid w:val="00C8388B"/>
    <w:rsid w:val="00CD5511"/>
    <w:rsid w:val="00CF12A6"/>
    <w:rsid w:val="00D06FA9"/>
    <w:rsid w:val="00D66A72"/>
    <w:rsid w:val="00D965B9"/>
    <w:rsid w:val="00E1646F"/>
    <w:rsid w:val="00E862FC"/>
    <w:rsid w:val="00E91370"/>
    <w:rsid w:val="00EB17ED"/>
    <w:rsid w:val="00EF26CD"/>
    <w:rsid w:val="00EF6A47"/>
    <w:rsid w:val="00F14C87"/>
    <w:rsid w:val="00F26652"/>
    <w:rsid w:val="00F36E5A"/>
    <w:rsid w:val="00F40755"/>
    <w:rsid w:val="00F66C0B"/>
    <w:rsid w:val="00FC5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5B162"/>
  <w15:chartTrackingRefBased/>
  <w15:docId w15:val="{F8ED7CAB-BCE5-4B00-A0AC-E26FB5285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08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088"/>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3F75D5"/>
    <w:pPr>
      <w:ind w:left="720"/>
      <w:contextualSpacing/>
    </w:pPr>
  </w:style>
  <w:style w:type="character" w:styleId="Hyperlink">
    <w:name w:val="Hyperlink"/>
    <w:basedOn w:val="DefaultParagraphFont"/>
    <w:uiPriority w:val="99"/>
    <w:unhideWhenUsed/>
    <w:rsid w:val="001B07BA"/>
    <w:rPr>
      <w:color w:val="0563C1" w:themeColor="hyperlink"/>
      <w:u w:val="single"/>
    </w:rPr>
  </w:style>
  <w:style w:type="character" w:styleId="UnresolvedMention">
    <w:name w:val="Unresolved Mention"/>
    <w:basedOn w:val="DefaultParagraphFont"/>
    <w:uiPriority w:val="99"/>
    <w:semiHidden/>
    <w:unhideWhenUsed/>
    <w:rsid w:val="001B07BA"/>
    <w:rPr>
      <w:color w:val="605E5C"/>
      <w:shd w:val="clear" w:color="auto" w:fill="E1DFDD"/>
    </w:rPr>
  </w:style>
  <w:style w:type="paragraph" w:styleId="FootnoteText">
    <w:name w:val="footnote text"/>
    <w:basedOn w:val="Normal"/>
    <w:link w:val="FootnoteTextChar"/>
    <w:uiPriority w:val="99"/>
    <w:semiHidden/>
    <w:unhideWhenUsed/>
    <w:rsid w:val="00CD55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5511"/>
    <w:rPr>
      <w:sz w:val="20"/>
      <w:szCs w:val="20"/>
    </w:rPr>
  </w:style>
  <w:style w:type="character" w:styleId="FootnoteReference">
    <w:name w:val="footnote reference"/>
    <w:basedOn w:val="DefaultParagraphFont"/>
    <w:uiPriority w:val="99"/>
    <w:semiHidden/>
    <w:unhideWhenUsed/>
    <w:rsid w:val="00CD5511"/>
    <w:rPr>
      <w:vertAlign w:val="superscript"/>
    </w:rPr>
  </w:style>
  <w:style w:type="character" w:styleId="FollowedHyperlink">
    <w:name w:val="FollowedHyperlink"/>
    <w:basedOn w:val="DefaultParagraphFont"/>
    <w:uiPriority w:val="99"/>
    <w:semiHidden/>
    <w:unhideWhenUsed/>
    <w:rsid w:val="00D965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a.org/projects/demos/article_homicide?page=all&amp;greekEncoding" TargetMode="External"/><Relationship Id="rId13" Type="http://schemas.openxmlformats.org/officeDocument/2006/relationships/hyperlink" Target="https://referenceworks-brillonline-com.ezproxy.uwtsd.ac.uk/entries/brill-s-new-pauly/athenian-law-e207680?s.num=0&amp;s.f.s2_parent=s.f.book.brill-s-new-pauly&amp;s.q=law+courts+athe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rseus.tufts.edu/hopper/text?doc=Antiph.+6&amp;redirect=tru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rseus.tufts.edu/hopper/text?doc=Perseus%3Atext%3A1999.01.0074%3Aspeech%3D23%3Asection%3D1" TargetMode="External"/><Relationship Id="rId5" Type="http://schemas.openxmlformats.org/officeDocument/2006/relationships/webSettings" Target="webSettings.xml"/><Relationship Id="rId15" Type="http://schemas.openxmlformats.org/officeDocument/2006/relationships/hyperlink" Target="http://www.stoa.org/projects/demos/summary_homicide?greekEncoding" TargetMode="External"/><Relationship Id="rId10" Type="http://schemas.openxmlformats.org/officeDocument/2006/relationships/hyperlink" Target="http://www.perseus.tufts.edu/hopper/text?doc=Perseus:text:1999.01.0020:speech=1" TargetMode="External"/><Relationship Id="rId4" Type="http://schemas.openxmlformats.org/officeDocument/2006/relationships/settings" Target="settings.xml"/><Relationship Id="rId9" Type="http://schemas.openxmlformats.org/officeDocument/2006/relationships/hyperlink" Target="http://www.perseus.tufts.edu/hopper/text?doc=Perseus:text:1999.01.0154:speech=1" TargetMode="External"/><Relationship Id="rId14" Type="http://schemas.openxmlformats.org/officeDocument/2006/relationships/hyperlink" Target="http://www.perseus.tufts.edu/hopper/text?doc=Perseus%3Atext%3A1999.01.0046%3Achapter%3Dfrag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F6B45A-CBEB-4ED3-AE26-60D730C6C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811</Words>
  <Characters>4625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Earp</dc:creator>
  <cp:keywords/>
  <dc:description/>
  <cp:lastModifiedBy>Lily Earp</cp:lastModifiedBy>
  <cp:revision>2</cp:revision>
  <dcterms:created xsi:type="dcterms:W3CDTF">2018-09-26T19:16:00Z</dcterms:created>
  <dcterms:modified xsi:type="dcterms:W3CDTF">2018-09-26T19:16:00Z</dcterms:modified>
</cp:coreProperties>
</file>