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CDBA81" w14:textId="77777777" w:rsidR="00AA4BC7" w:rsidRDefault="0045610A">
      <w:pPr>
        <w:rPr>
          <w:sz w:val="28"/>
          <w:szCs w:val="28"/>
        </w:rPr>
      </w:pPr>
      <w:r>
        <w:rPr>
          <w:sz w:val="28"/>
          <w:szCs w:val="28"/>
        </w:rPr>
        <w:t xml:space="preserve"> </w:t>
      </w:r>
    </w:p>
    <w:p w14:paraId="2ECDBA82" w14:textId="77777777" w:rsidR="00AA4BC7" w:rsidRDefault="00AA4BC7">
      <w:pPr>
        <w:rPr>
          <w:sz w:val="28"/>
          <w:szCs w:val="28"/>
        </w:rPr>
      </w:pPr>
    </w:p>
    <w:p w14:paraId="2ECDBA83" w14:textId="77777777" w:rsidR="00AA4BC7" w:rsidRDefault="00AA4BC7">
      <w:pPr>
        <w:rPr>
          <w:sz w:val="28"/>
          <w:szCs w:val="28"/>
        </w:rPr>
      </w:pPr>
    </w:p>
    <w:p w14:paraId="2ECDBA84" w14:textId="77777777" w:rsidR="00AA4BC7" w:rsidRDefault="00AA4BC7">
      <w:pPr>
        <w:rPr>
          <w:sz w:val="28"/>
          <w:szCs w:val="28"/>
        </w:rPr>
      </w:pPr>
    </w:p>
    <w:p w14:paraId="2ECDBA85" w14:textId="77777777" w:rsidR="00AA4BC7" w:rsidRDefault="0045610A">
      <w:pPr>
        <w:rPr>
          <w:sz w:val="28"/>
          <w:szCs w:val="28"/>
        </w:rPr>
      </w:pPr>
      <w:r>
        <w:rPr>
          <w:sz w:val="28"/>
          <w:szCs w:val="28"/>
        </w:rPr>
        <w:t>Introduction</w:t>
      </w:r>
    </w:p>
    <w:p w14:paraId="2ECDBA86" w14:textId="77777777" w:rsidR="00AA4BC7" w:rsidRDefault="0045610A">
      <w:pPr>
        <w:jc w:val="both"/>
      </w:pPr>
      <w:r>
        <w:t xml:space="preserve">In advising Linda and Michael on potential criminal liabilities is crucial to identify the specific criminal offences they could be liable for by examining how actus reus and </w:t>
      </w:r>
      <w:proofErr w:type="spellStart"/>
      <w:r>
        <w:t>mens</w:t>
      </w:r>
      <w:proofErr w:type="spellEnd"/>
      <w:r>
        <w:t xml:space="preserve"> rea elements of each potential </w:t>
      </w:r>
      <w:r>
        <w:t xml:space="preserve">offence have </w:t>
      </w:r>
      <w:proofErr w:type="gramStart"/>
      <w:r>
        <w:t>been met</w:t>
      </w:r>
      <w:proofErr w:type="gramEnd"/>
      <w:r>
        <w:t>, without considering general defences. This analysis will provide a clear understanding of the legal implications and responsibilities associated with their actions.</w:t>
      </w:r>
    </w:p>
    <w:p w14:paraId="2ECDBA87" w14:textId="77777777" w:rsidR="00AA4BC7" w:rsidRDefault="00AA4BC7">
      <w:pPr>
        <w:jc w:val="both"/>
      </w:pPr>
    </w:p>
    <w:p w14:paraId="2ECDBA88" w14:textId="77777777" w:rsidR="00AA4BC7" w:rsidRDefault="0045610A">
      <w:pPr>
        <w:jc w:val="both"/>
        <w:rPr>
          <w:sz w:val="28"/>
          <w:szCs w:val="28"/>
        </w:rPr>
      </w:pPr>
      <w:r>
        <w:rPr>
          <w:sz w:val="28"/>
          <w:szCs w:val="28"/>
        </w:rPr>
        <w:t>Main Body</w:t>
      </w:r>
    </w:p>
    <w:p w14:paraId="2ECDBA89" w14:textId="77777777" w:rsidR="00AA4BC7" w:rsidRDefault="0045610A">
      <w:r>
        <w:t xml:space="preserve">    Aida and Billy returned home from a holiday, and they found out from CCTV that Linda entered their bedroom, and she had taken some of Aida jewellery which falls into the offence of Theft according to </w:t>
      </w:r>
      <w:r>
        <w:rPr>
          <w:i/>
          <w:iCs/>
        </w:rPr>
        <w:t xml:space="preserve">Section 1(1) TA </w:t>
      </w:r>
      <w:r>
        <w:t xml:space="preserve">[1968], a person commits theft when they dishonestly take propriety that belongs to another individual with the intention of permanently depriving that person of it. This legal definition serves as the foundation for understanding and identifying theft offenses under the law. The first element of Actus Reus shows Linda was completely dishonest when asked about jewellery, according to </w:t>
      </w:r>
      <w:r>
        <w:rPr>
          <w:i/>
          <w:iCs/>
        </w:rPr>
        <w:t>Ivey v Getting Casinos UK Ltd</w:t>
      </w:r>
      <w:r>
        <w:t xml:space="preserve"> [2017], second element of AR was the assumption of the rights of an owner accor</w:t>
      </w:r>
      <w:r>
        <w:t xml:space="preserve">ding to </w:t>
      </w:r>
      <w:r>
        <w:rPr>
          <w:i/>
          <w:iCs/>
        </w:rPr>
        <w:t xml:space="preserve">McPherson </w:t>
      </w:r>
      <w:r>
        <w:t>[1973] “include the write to possess the property, the right to use it, to consume it, to destroy it, to sell it, give it away, land it, move it and price it”.</w:t>
      </w:r>
    </w:p>
    <w:p w14:paraId="2ECDBA8A" w14:textId="77777777" w:rsidR="00AA4BC7" w:rsidRDefault="0045610A">
      <w:r>
        <w:t xml:space="preserve">    The third element of the AR was the intention of depriving personal propriety falling under the </w:t>
      </w:r>
      <w:r>
        <w:rPr>
          <w:i/>
          <w:iCs/>
        </w:rPr>
        <w:t>Section 4(1) TA</w:t>
      </w:r>
      <w:r>
        <w:t xml:space="preserve"> [1968] all propriety that is not land including jewellery, TV sets, vehicle, phones according to </w:t>
      </w:r>
      <w:r>
        <w:rPr>
          <w:i/>
          <w:iCs/>
        </w:rPr>
        <w:t>Smith</w:t>
      </w:r>
      <w:r>
        <w:t xml:space="preserve"> (2011) and the fourth elements is belonging to another under the </w:t>
      </w:r>
      <w:r>
        <w:rPr>
          <w:i/>
          <w:iCs/>
        </w:rPr>
        <w:t>Section 5(1) TA</w:t>
      </w:r>
      <w:r>
        <w:t xml:space="preserve"> [1968]in law property is considered to belong to an individual who has possession or control over it, or holds a proprietary right or interest in it. with the intention to take the jewellery from Aida</w:t>
      </w:r>
      <w:proofErr w:type="gramStart"/>
      <w:r>
        <w:t xml:space="preserve">.  </w:t>
      </w:r>
      <w:proofErr w:type="gramEnd"/>
      <w:r>
        <w:t xml:space="preserve">The </w:t>
      </w:r>
      <w:proofErr w:type="spellStart"/>
      <w:r>
        <w:t>Mens</w:t>
      </w:r>
      <w:proofErr w:type="spellEnd"/>
      <w:r>
        <w:t xml:space="preserve"> Rea aspect of the offense involves direct intention, where Linda had desire and purpose to take jewe</w:t>
      </w:r>
      <w:r>
        <w:t>llery from Aida. This intention is crucial in establishing the criminal liability for the offence of theft. Linda’s actions captured on CCTV and her subsequent denial when questioned about jewellery provide evidence of her intention to permanently deprive Aida of her belongings.</w:t>
      </w:r>
    </w:p>
    <w:p w14:paraId="2ECDBA8B" w14:textId="77777777" w:rsidR="00AA4BC7" w:rsidRDefault="0045610A">
      <w:r>
        <w:t xml:space="preserve">   In conclusion, based on the elements of the Actus Reus and </w:t>
      </w:r>
      <w:proofErr w:type="spellStart"/>
      <w:r>
        <w:t>Mens</w:t>
      </w:r>
      <w:proofErr w:type="spellEnd"/>
      <w:r>
        <w:t xml:space="preserve"> Rea as outlined in the Theft Act 1968 and relevant case law, Linda’s actions of dishonestly appropriating Aida’s jewellery with the intention of permanently depriving her of it constitute the offence of theft. Linda’s behaviour, as captured on CCTV and supported by the legal principles discussed, demonstrates her criminal liability for theft in this situation.</w:t>
      </w:r>
    </w:p>
    <w:p w14:paraId="2ECDBA8C" w14:textId="77777777" w:rsidR="00AA4BC7" w:rsidRDefault="0045610A">
      <w:r>
        <w:t xml:space="preserve">According to </w:t>
      </w:r>
      <w:r>
        <w:rPr>
          <w:i/>
          <w:iCs/>
        </w:rPr>
        <w:t>Section 1(1) Criminal Damage Act</w:t>
      </w:r>
      <w:r>
        <w:t xml:space="preserve"> [1971] when someone intentionally destroys or damages another person’s property without lawful reason or care for the consequences, they are breaking the law. This act of harming someone’s else property, whether done with the specific intent to damage it or recklessly disregarding the potential harm, constitutes a criminal </w:t>
      </w:r>
      <w:r>
        <w:lastRenderedPageBreak/>
        <w:t>offence, apply on the scenario” she had also cut holes in some of Aida’s clothing</w:t>
      </w:r>
      <w:proofErr w:type="gramStart"/>
      <w:r>
        <w:t>”.</w:t>
      </w:r>
      <w:proofErr w:type="gramEnd"/>
      <w:r>
        <w:t xml:space="preserve"> First thing of the Actus Reus is that she damages the propriety belong</w:t>
      </w:r>
      <w:r>
        <w:t xml:space="preserve">ing to another with no lawful excuse, under the </w:t>
      </w:r>
      <w:r>
        <w:rPr>
          <w:i/>
          <w:iCs/>
        </w:rPr>
        <w:t xml:space="preserve">S10(1) CDA </w:t>
      </w:r>
      <w:r>
        <w:t xml:space="preserve">1971 where defines property by tangible items. </w:t>
      </w:r>
      <w:r>
        <w:rPr>
          <w:i/>
          <w:iCs/>
        </w:rPr>
        <w:t>Lloyd v DPP</w:t>
      </w:r>
      <w:r>
        <w:t xml:space="preserve"> [1992}</w:t>
      </w:r>
    </w:p>
    <w:p w14:paraId="2ECDBA8D" w14:textId="77777777" w:rsidR="00AA4BC7" w:rsidRDefault="0045610A">
      <w:proofErr w:type="spellStart"/>
      <w:r>
        <w:t>Mens</w:t>
      </w:r>
      <w:proofErr w:type="spellEnd"/>
      <w:r>
        <w:t xml:space="preserve"> Rea is direct intention, recklessness causing damage or destruction to property belonging to another individual is crucial aspect of understanding the legal implications of property offences.</w:t>
      </w:r>
    </w:p>
    <w:p w14:paraId="2ECDBA8E" w14:textId="77777777" w:rsidR="00AA4BC7" w:rsidRDefault="0045610A">
      <w:r>
        <w:t xml:space="preserve">Conclusion is, damaging Aida’s clothing by cutting holes in them falls under the Criminal Damage Act [1971], where intentionally destroying or damaging another person’s property without lawful reason or care for the consequence is legal offence, like Actus Reus and </w:t>
      </w:r>
      <w:proofErr w:type="spellStart"/>
      <w:r>
        <w:t>Mens</w:t>
      </w:r>
      <w:proofErr w:type="spellEnd"/>
      <w:r>
        <w:t xml:space="preserve"> Rea define the elements. </w:t>
      </w:r>
    </w:p>
    <w:p w14:paraId="2ECDBA8F" w14:textId="77777777" w:rsidR="00AA4BC7" w:rsidRDefault="0045610A">
      <w:r>
        <w:t xml:space="preserve">Linda entered in Aida and Billy’s bedroom, even that she had the keys at their house to feed the cat. According to Section 9(1)(b) TA [1968] “a person is guilty of burglary if having entered any building or part of a building as a trespasser he steals or attempt to steal anything in the building or that part of it inflicts or attempt to inflicts or attempt to inflict on any person therein any grievous bodily harm” like in the case of </w:t>
      </w:r>
      <w:r>
        <w:rPr>
          <w:i/>
          <w:iCs/>
        </w:rPr>
        <w:t>Walkington</w:t>
      </w:r>
      <w:r>
        <w:t xml:space="preserve"> (1979). This scenario falls within the Actus Reus of the offence, the elements involve entering a building as a trespasser and then proceeding to steal. </w:t>
      </w:r>
    </w:p>
    <w:p w14:paraId="2ECDBA90" w14:textId="77777777" w:rsidR="00AA4BC7" w:rsidRDefault="0045610A">
      <w:r>
        <w:t xml:space="preserve">The </w:t>
      </w:r>
      <w:proofErr w:type="spellStart"/>
      <w:r>
        <w:t>Mens</w:t>
      </w:r>
      <w:proofErr w:type="spellEnd"/>
      <w:r>
        <w:t xml:space="preserve"> Rea in this situation involves knowing or being reckless that Linda knew she is a trespasser. These elements pertain to the mental state or awareness regarding the trespassing and the nature of the structure, forming the </w:t>
      </w:r>
      <w:proofErr w:type="spellStart"/>
      <w:r>
        <w:t>Mens</w:t>
      </w:r>
      <w:proofErr w:type="spellEnd"/>
      <w:r>
        <w:t xml:space="preserve"> Rea aspect of the offence.</w:t>
      </w:r>
    </w:p>
    <w:p w14:paraId="2ECDBA91" w14:textId="77777777" w:rsidR="00AA4BC7" w:rsidRDefault="0045610A">
      <w:r>
        <w:t xml:space="preserve">In the conclusion, based on the details provided, Linda’s action of entering Aida and Billy’s bedroom as a trespasser and proceeding to steal align with the Actus Reus of the </w:t>
      </w:r>
      <w:r>
        <w:t xml:space="preserve">offence as per Section 9 (1)(b) of the Theft Act [1968]. Additionally, the </w:t>
      </w:r>
      <w:proofErr w:type="spellStart"/>
      <w:r>
        <w:t>Mens</w:t>
      </w:r>
      <w:proofErr w:type="spellEnd"/>
      <w:r>
        <w:t xml:space="preserve"> Rea involves knowing or being reckless that she was a trespasser, forming the mental state aspect of the offence.</w:t>
      </w:r>
    </w:p>
    <w:p w14:paraId="367A680D" w14:textId="757D9132" w:rsidR="007D16C7" w:rsidRDefault="007D16C7">
      <w:r>
        <w:t xml:space="preserve">After Billy and Aida saw their bedroom destroyed, decided to go to Linda’s house and talk with her about </w:t>
      </w:r>
      <w:r w:rsidR="008228AD">
        <w:t>jewellery,</w:t>
      </w:r>
      <w:r>
        <w:t xml:space="preserve"> but Linda </w:t>
      </w:r>
      <w:r w:rsidR="002F48B1">
        <w:t>did not</w:t>
      </w:r>
      <w:r>
        <w:t xml:space="preserve"> want to tell the truth and tensions rise, and she started to be angry and slaps </w:t>
      </w:r>
      <w:r w:rsidR="008228AD">
        <w:t>Aida,</w:t>
      </w:r>
      <w:r>
        <w:t xml:space="preserve"> causing a minor graze</w:t>
      </w:r>
      <w:r w:rsidR="008228AD">
        <w:t xml:space="preserve">. According to </w:t>
      </w:r>
      <w:r w:rsidR="007D296E">
        <w:rPr>
          <w:i/>
          <w:iCs/>
        </w:rPr>
        <w:t>Criminal Justice</w:t>
      </w:r>
      <w:r w:rsidR="007D296E" w:rsidRPr="008228AD">
        <w:rPr>
          <w:i/>
          <w:iCs/>
        </w:rPr>
        <w:t xml:space="preserve"> Act</w:t>
      </w:r>
      <w:r w:rsidR="008228AD" w:rsidRPr="008228AD">
        <w:rPr>
          <w:i/>
          <w:iCs/>
        </w:rPr>
        <w:t xml:space="preserve"> </w:t>
      </w:r>
      <w:r w:rsidR="007D296E">
        <w:rPr>
          <w:i/>
          <w:iCs/>
        </w:rPr>
        <w:t xml:space="preserve">1988 </w:t>
      </w:r>
      <w:r w:rsidR="007D296E" w:rsidRPr="007D296E">
        <w:t>ther</w:t>
      </w:r>
      <w:r w:rsidR="007D296E">
        <w:rPr>
          <w:i/>
          <w:iCs/>
        </w:rPr>
        <w:t>e</w:t>
      </w:r>
      <w:r w:rsidR="007D296E">
        <w:t xml:space="preserve"> is statutory definition of what constitutes an assault or battery, these are common law offences, the offences can only </w:t>
      </w:r>
      <w:proofErr w:type="gramStart"/>
      <w:r w:rsidR="007D296E">
        <w:t>be tried</w:t>
      </w:r>
      <w:proofErr w:type="gramEnd"/>
      <w:r w:rsidR="007D296E">
        <w:t xml:space="preserve"> in magistrate’s court. When someone throws a punch or slap another person, </w:t>
      </w:r>
      <w:proofErr w:type="gramStart"/>
      <w:r w:rsidR="007D296E">
        <w:t>that’s</w:t>
      </w:r>
      <w:proofErr w:type="gramEnd"/>
      <w:r w:rsidR="007D296E">
        <w:t xml:space="preserve"> considered a battery.  </w:t>
      </w:r>
      <w:r w:rsidR="00796A41">
        <w:t xml:space="preserve">Like in the key case of R v </w:t>
      </w:r>
      <w:proofErr w:type="spellStart"/>
      <w:r w:rsidR="00796A41">
        <w:t>Mandair</w:t>
      </w:r>
      <w:proofErr w:type="spellEnd"/>
      <w:r w:rsidR="00796A41">
        <w:t xml:space="preserve"> [1994]. </w:t>
      </w:r>
      <w:r w:rsidR="004828E4">
        <w:t xml:space="preserve">In this </w:t>
      </w:r>
      <w:r w:rsidR="001E21AF">
        <w:t>case,</w:t>
      </w:r>
      <w:r w:rsidR="004828E4">
        <w:t xml:space="preserve"> is present Actus Reus because Linda unlawfully wounded Aida by slapping h</w:t>
      </w:r>
      <w:r w:rsidR="00C22F55">
        <w:t xml:space="preserve">er and maliciously harm. </w:t>
      </w:r>
    </w:p>
    <w:p w14:paraId="6B634B6F" w14:textId="76266234" w:rsidR="00C1402C" w:rsidRDefault="004828E4">
      <w:r>
        <w:t xml:space="preserve">The </w:t>
      </w:r>
      <w:proofErr w:type="spellStart"/>
      <w:r>
        <w:t>Mens</w:t>
      </w:r>
      <w:proofErr w:type="spellEnd"/>
      <w:r>
        <w:t xml:space="preserve"> Rea in this scenario is that Linda intended to cause grievous bodily harm</w:t>
      </w:r>
      <w:r w:rsidR="00C1402C">
        <w:t>. Proof of wounding was by causing a small scratch</w:t>
      </w:r>
      <w:r w:rsidR="00C22F55">
        <w:t xml:space="preserve"> after she slap Aida. </w:t>
      </w:r>
    </w:p>
    <w:p w14:paraId="6357C54C" w14:textId="6A909384" w:rsidR="004828E4" w:rsidRDefault="00C1402C">
      <w:r>
        <w:t xml:space="preserve"> In this </w:t>
      </w:r>
      <w:r w:rsidR="001E21AF">
        <w:t>situation,</w:t>
      </w:r>
      <w:r>
        <w:t xml:space="preserve"> based on the </w:t>
      </w:r>
      <w:r w:rsidR="004F7B80">
        <w:t>Criminal Justice Act</w:t>
      </w:r>
      <w:r w:rsidR="001E21AF">
        <w:t>,</w:t>
      </w:r>
      <w:r>
        <w:t xml:space="preserve"> it can </w:t>
      </w:r>
      <w:proofErr w:type="gramStart"/>
      <w:r>
        <w:t>be concluded</w:t>
      </w:r>
      <w:proofErr w:type="gramEnd"/>
      <w:r>
        <w:t xml:space="preserve"> that the Actus Reus is present as Linda unlawfully wounded Aida by slapping her, causing a minor graze. The </w:t>
      </w:r>
      <w:proofErr w:type="spellStart"/>
      <w:r>
        <w:t>Mens</w:t>
      </w:r>
      <w:proofErr w:type="spellEnd"/>
      <w:r>
        <w:t xml:space="preserve"> Rea in this scenario involves Linda intending to cause GBH</w:t>
      </w:r>
      <w:r w:rsidR="001E21AF">
        <w:t>.</w:t>
      </w:r>
    </w:p>
    <w:p w14:paraId="32EAA564" w14:textId="4A4B630B" w:rsidR="001E21AF" w:rsidRDefault="001E21AF">
      <w:r>
        <w:t xml:space="preserve">Linda’s husband, Michael, heard they are fighting, he gets angry and pushes Billy without realising that he will fall. Billy hits his head bad which causing bleed on the brain and died after few hours in the hospital. Michael said that he </w:t>
      </w:r>
      <w:r w:rsidR="00692092">
        <w:t>did not</w:t>
      </w:r>
      <w:r>
        <w:t xml:space="preserve"> </w:t>
      </w:r>
      <w:r w:rsidR="0036189D">
        <w:t>realise</w:t>
      </w:r>
      <w:r>
        <w:t xml:space="preserve"> that his actions could result in serious bodily harm to Billy.</w:t>
      </w:r>
      <w:r w:rsidR="0036189D">
        <w:t xml:space="preserve"> Under the </w:t>
      </w:r>
      <w:r w:rsidR="0036189D" w:rsidRPr="0036189D">
        <w:rPr>
          <w:i/>
          <w:iCs/>
        </w:rPr>
        <w:t>Homicide Act 1957</w:t>
      </w:r>
      <w:r w:rsidR="0036189D">
        <w:rPr>
          <w:i/>
          <w:iCs/>
        </w:rPr>
        <w:t xml:space="preserve"> </w:t>
      </w:r>
      <w:r w:rsidR="00C96276">
        <w:rPr>
          <w:i/>
          <w:iCs/>
        </w:rPr>
        <w:t>“the</w:t>
      </w:r>
      <w:r w:rsidR="0036189D">
        <w:t xml:space="preserve"> offence of murder </w:t>
      </w:r>
      <w:r w:rsidR="00C96276">
        <w:t>requires</w:t>
      </w:r>
      <w:r w:rsidR="0036189D">
        <w:t xml:space="preserve"> D to unlawfully kills another person under the King’s peace and do so intending to kill or cause GBH </w:t>
      </w:r>
      <w:r w:rsidR="00C96276">
        <w:t>(serious</w:t>
      </w:r>
      <w:r w:rsidR="0036189D">
        <w:t xml:space="preserve"> bodily harm)</w:t>
      </w:r>
      <w:r w:rsidR="00C96276">
        <w:t>”. Vickers 1957</w:t>
      </w:r>
    </w:p>
    <w:p w14:paraId="292DB54D" w14:textId="77777777" w:rsidR="00A00D97" w:rsidRDefault="00A00D97"/>
    <w:p w14:paraId="2371DE61" w14:textId="1A373BC1" w:rsidR="00C96276" w:rsidRDefault="00C96276">
      <w:r>
        <w:t xml:space="preserve">Actus reus is present here with unlawful and dangerous act </w:t>
      </w:r>
      <w:r w:rsidR="00793CB9">
        <w:t xml:space="preserve">manslaughter, Michael done an unlawful act by pushing Billy </w:t>
      </w:r>
      <w:r w:rsidR="00692092">
        <w:t xml:space="preserve">, the act leading to manslaughter and qualify as a criminal offence independently, irrespective of its outcome resulting in a death, It’s crucial to establish that the act was inherently illegal without considering its fatal consequences. </w:t>
      </w:r>
    </w:p>
    <w:p w14:paraId="354B92FE" w14:textId="13F3CC73" w:rsidR="00793CB9" w:rsidRDefault="00793CB9">
      <w:r>
        <w:t xml:space="preserve">The </w:t>
      </w:r>
      <w:proofErr w:type="spellStart"/>
      <w:r>
        <w:t>Mens</w:t>
      </w:r>
      <w:proofErr w:type="spellEnd"/>
      <w:r>
        <w:t xml:space="preserve"> Rea present here is that Michael unlawfully killed Billy</w:t>
      </w:r>
      <w:r w:rsidR="00692092">
        <w:t xml:space="preserve">, </w:t>
      </w:r>
      <w:r w:rsidR="007D296E">
        <w:t xml:space="preserve">which </w:t>
      </w:r>
      <w:r w:rsidR="00FE74B9">
        <w:t>by negligent act was a cause of the death.</w:t>
      </w:r>
      <w:r w:rsidR="00C22F55">
        <w:t xml:space="preserve"> </w:t>
      </w:r>
      <w:proofErr w:type="spellStart"/>
      <w:r w:rsidR="00C22F55">
        <w:t>Mens</w:t>
      </w:r>
      <w:proofErr w:type="spellEnd"/>
      <w:r w:rsidR="00C22F55">
        <w:t xml:space="preserve"> Rea of murder can be satisfied by an intention to cause GBH and not just an intention to kill.</w:t>
      </w:r>
      <w:r w:rsidR="00692092">
        <w:t xml:space="preserve"> </w:t>
      </w:r>
    </w:p>
    <w:p w14:paraId="1ECFC0AC" w14:textId="3F9C22B5" w:rsidR="002F48B1" w:rsidRDefault="002F48B1">
      <w:r>
        <w:t xml:space="preserve">Based on the Homicide Act 1957 and the case of Vickers 1957, it can </w:t>
      </w:r>
      <w:proofErr w:type="gramStart"/>
      <w:r>
        <w:t>be concluded</w:t>
      </w:r>
      <w:proofErr w:type="gramEnd"/>
      <w:r>
        <w:t xml:space="preserve"> that the Actus Reus is present with unlawful and dangerous act manslaughter. Michael’s action of pushing Billy led to a dangerous situation where Billy fell and </w:t>
      </w:r>
      <w:r w:rsidR="00C22F55">
        <w:t>passed</w:t>
      </w:r>
      <w:r>
        <w:t xml:space="preserve"> away in the hospital. The </w:t>
      </w:r>
      <w:proofErr w:type="spellStart"/>
      <w:r>
        <w:t>Mens</w:t>
      </w:r>
      <w:proofErr w:type="spellEnd"/>
      <w:r>
        <w:t xml:space="preserve"> Rea in this case involves Michael unlawfully causing Billy’s death through a negligent act. </w:t>
      </w:r>
    </w:p>
    <w:p w14:paraId="5934EE68" w14:textId="77777777" w:rsidR="00EE458D" w:rsidRDefault="00EE458D"/>
    <w:p w14:paraId="5F09817B" w14:textId="77777777" w:rsidR="00EE458D" w:rsidRDefault="00EE458D"/>
    <w:p w14:paraId="7F3FB08D" w14:textId="77777777" w:rsidR="00EE458D" w:rsidRDefault="00EE458D"/>
    <w:p w14:paraId="43FBA41F" w14:textId="139B6062" w:rsidR="00EE458D" w:rsidRDefault="00EE458D">
      <w:pPr>
        <w:rPr>
          <w:sz w:val="28"/>
          <w:szCs w:val="28"/>
        </w:rPr>
      </w:pPr>
      <w:r w:rsidRPr="00EE458D">
        <w:rPr>
          <w:sz w:val="28"/>
          <w:szCs w:val="28"/>
        </w:rPr>
        <w:t>Referencing</w:t>
      </w:r>
    </w:p>
    <w:p w14:paraId="54CB5760" w14:textId="77777777" w:rsidR="00EE458D" w:rsidRDefault="00EE458D">
      <w:pPr>
        <w:rPr>
          <w:sz w:val="28"/>
          <w:szCs w:val="28"/>
        </w:rPr>
      </w:pPr>
    </w:p>
    <w:p w14:paraId="1D06CE83" w14:textId="27372AA3" w:rsidR="00EE458D" w:rsidRPr="00EE458D" w:rsidRDefault="00EE458D" w:rsidP="00EE458D">
      <w:pPr>
        <w:rPr>
          <w:i/>
          <w:iCs/>
        </w:rPr>
      </w:pPr>
      <w:r w:rsidRPr="00EE458D">
        <w:rPr>
          <w:i/>
          <w:iCs/>
        </w:rPr>
        <w:t>Crown Prosecution Service (2022). Offences against the Person, incorporating the Charging Standard | The Crown Prosecution Service. [online] Cps.gov.uk. Available at:</w:t>
      </w:r>
      <w:r>
        <w:rPr>
          <w:i/>
          <w:iCs/>
        </w:rPr>
        <w:t xml:space="preserve"> </w:t>
      </w:r>
      <w:r w:rsidRPr="00EE458D">
        <w:rPr>
          <w:i/>
          <w:iCs/>
        </w:rPr>
        <w:t>https://www.cps.gov.uk/legal-guidance/offences-against-person-incorporating-charging-standard.</w:t>
      </w:r>
    </w:p>
    <w:p w14:paraId="4D899CFB" w14:textId="6DBD5A58" w:rsidR="00EE458D" w:rsidRDefault="00EE458D" w:rsidP="00EE458D">
      <w:pPr>
        <w:rPr>
          <w:sz w:val="28"/>
          <w:szCs w:val="28"/>
        </w:rPr>
      </w:pPr>
      <w:r w:rsidRPr="00EE458D">
        <w:rPr>
          <w:sz w:val="28"/>
          <w:szCs w:val="28"/>
        </w:rPr>
        <w:t>‌</w:t>
      </w:r>
      <w:r w:rsidRPr="00EE458D">
        <w:rPr>
          <w:i/>
          <w:iCs/>
        </w:rPr>
        <w:t xml:space="preserve">Legislation.gov.uk (2011). Homicide Act 1957. [online] Legislation.gov.uk. Available at: </w:t>
      </w:r>
      <w:hyperlink r:id="rId6" w:history="1">
        <w:r w:rsidRPr="00EE458D">
          <w:rPr>
            <w:rStyle w:val="Hyperlink"/>
            <w:i/>
            <w:iCs/>
          </w:rPr>
          <w:t>https://www.legislation.gov.uk/ukpga/Eliz2/5-6/11/enacted</w:t>
        </w:r>
      </w:hyperlink>
      <w:r w:rsidRPr="00EE458D">
        <w:rPr>
          <w:sz w:val="28"/>
          <w:szCs w:val="28"/>
        </w:rPr>
        <w:t>.</w:t>
      </w:r>
    </w:p>
    <w:p w14:paraId="58D4E282" w14:textId="2904BE43" w:rsidR="00EE458D" w:rsidRDefault="00523BE4" w:rsidP="00EE458D">
      <w:pPr>
        <w:rPr>
          <w:i/>
          <w:iCs/>
        </w:rPr>
      </w:pPr>
      <w:r w:rsidRPr="005B0515">
        <w:rPr>
          <w:i/>
          <w:iCs/>
        </w:rPr>
        <w:t>‘Ivey</w:t>
      </w:r>
      <w:r w:rsidR="00440251" w:rsidRPr="005B0515">
        <w:rPr>
          <w:i/>
          <w:iCs/>
        </w:rPr>
        <w:t xml:space="preserve"> v Genting Casinos (UK) Ltd t/a Crockfords’</w:t>
      </w:r>
      <w:r w:rsidR="005B0515" w:rsidRPr="005B0515">
        <w:rPr>
          <w:i/>
          <w:iCs/>
        </w:rPr>
        <w:t xml:space="preserve"> (2017)</w:t>
      </w:r>
    </w:p>
    <w:p w14:paraId="5A7C6226" w14:textId="78CB86AB" w:rsidR="005B0515" w:rsidRDefault="00536082" w:rsidP="00EE458D">
      <w:pPr>
        <w:rPr>
          <w:i/>
          <w:iCs/>
        </w:rPr>
      </w:pPr>
      <w:r>
        <w:rPr>
          <w:i/>
          <w:iCs/>
        </w:rPr>
        <w:t>R v McPherson</w:t>
      </w:r>
      <w:r w:rsidR="008A0057">
        <w:rPr>
          <w:i/>
          <w:iCs/>
        </w:rPr>
        <w:t xml:space="preserve"> Andrew </w:t>
      </w:r>
      <w:r w:rsidR="00210569">
        <w:rPr>
          <w:i/>
          <w:iCs/>
        </w:rPr>
        <w:t xml:space="preserve">(1973) WLR </w:t>
      </w:r>
    </w:p>
    <w:p w14:paraId="693DE2BE" w14:textId="6CA6F897" w:rsidR="00383981" w:rsidRDefault="00383981" w:rsidP="00383981">
      <w:pPr>
        <w:rPr>
          <w:i/>
          <w:iCs/>
        </w:rPr>
      </w:pPr>
      <w:r w:rsidRPr="00383981">
        <w:rPr>
          <w:i/>
          <w:iCs/>
        </w:rPr>
        <w:t xml:space="preserve">legislation.gov.uk (2011). Theft Act 1968. [online] Legislation.gov.uk. Available at: </w:t>
      </w:r>
      <w:hyperlink r:id="rId7" w:history="1">
        <w:r w:rsidR="00390463" w:rsidRPr="00383981">
          <w:rPr>
            <w:rStyle w:val="Hyperlink"/>
            <w:i/>
            <w:iCs/>
          </w:rPr>
          <w:t>https://www.legislation.gov.uk/ukpga/1968/60/section/1</w:t>
        </w:r>
      </w:hyperlink>
      <w:r w:rsidRPr="00383981">
        <w:rPr>
          <w:i/>
          <w:iCs/>
        </w:rPr>
        <w:t>.</w:t>
      </w:r>
    </w:p>
    <w:p w14:paraId="74FF22EC" w14:textId="0E442752" w:rsidR="00390463" w:rsidRDefault="00390463" w:rsidP="00390463">
      <w:pPr>
        <w:rPr>
          <w:i/>
          <w:iCs/>
        </w:rPr>
      </w:pPr>
      <w:r w:rsidRPr="00390463">
        <w:rPr>
          <w:i/>
          <w:iCs/>
        </w:rPr>
        <w:t xml:space="preserve">Crown Prosecution Service (2019). Theft Act Offences | The Crown Prosecution Service. [online] Cps.gov.uk. Available at: </w:t>
      </w:r>
      <w:hyperlink r:id="rId8" w:history="1">
        <w:r w:rsidR="006E20D1" w:rsidRPr="00390463">
          <w:rPr>
            <w:rStyle w:val="Hyperlink"/>
            <w:i/>
            <w:iCs/>
          </w:rPr>
          <w:t>https://www.cps.gov.uk/legal-guidance/theft-act-offences</w:t>
        </w:r>
      </w:hyperlink>
      <w:r w:rsidRPr="00390463">
        <w:rPr>
          <w:i/>
          <w:iCs/>
        </w:rPr>
        <w:t>.</w:t>
      </w:r>
    </w:p>
    <w:p w14:paraId="388D663F" w14:textId="7B402775" w:rsidR="006E20D1" w:rsidRDefault="00FA7E35" w:rsidP="00390463">
      <w:pPr>
        <w:rPr>
          <w:i/>
          <w:iCs/>
        </w:rPr>
      </w:pPr>
      <w:r>
        <w:rPr>
          <w:i/>
          <w:iCs/>
        </w:rPr>
        <w:t>R v Smith (2011)</w:t>
      </w:r>
    </w:p>
    <w:p w14:paraId="09FCC7FA" w14:textId="54D0319D" w:rsidR="00756D5D" w:rsidRDefault="00756D5D" w:rsidP="00756D5D">
      <w:pPr>
        <w:rPr>
          <w:i/>
          <w:iCs/>
        </w:rPr>
      </w:pPr>
      <w:r w:rsidRPr="00756D5D">
        <w:rPr>
          <w:i/>
          <w:iCs/>
        </w:rPr>
        <w:t xml:space="preserve">Legislation.gov.uk (2011). Theft Act 1968. [online] Legislation.gov.uk. Available at: </w:t>
      </w:r>
      <w:hyperlink r:id="rId9" w:history="1">
        <w:r w:rsidR="00733D35" w:rsidRPr="00756D5D">
          <w:rPr>
            <w:rStyle w:val="Hyperlink"/>
            <w:i/>
            <w:iCs/>
          </w:rPr>
          <w:t>https://www.legislation.gov.uk/ukpga/1968/60/section/5</w:t>
        </w:r>
      </w:hyperlink>
      <w:r w:rsidRPr="00756D5D">
        <w:rPr>
          <w:i/>
          <w:iCs/>
        </w:rPr>
        <w:t>.</w:t>
      </w:r>
    </w:p>
    <w:p w14:paraId="08F5D7DD" w14:textId="77777777" w:rsidR="00733D35" w:rsidRPr="00733D35" w:rsidRDefault="00733D35" w:rsidP="00733D35">
      <w:pPr>
        <w:rPr>
          <w:i/>
          <w:iCs/>
        </w:rPr>
      </w:pPr>
      <w:r w:rsidRPr="00733D35">
        <w:rPr>
          <w:i/>
          <w:iCs/>
        </w:rPr>
        <w:t>Sentencing Council (2012). Magistrates’ Court Sentencing Guidelines. [online] Available at: https://www.sentencingcouncil.org.uk/wp-content/uploads/criminal-damage.pdf.</w:t>
      </w:r>
    </w:p>
    <w:p w14:paraId="5A66FED1" w14:textId="77777777" w:rsidR="00733D35" w:rsidRPr="00733D35" w:rsidRDefault="00733D35" w:rsidP="00733D35">
      <w:pPr>
        <w:rPr>
          <w:i/>
          <w:iCs/>
        </w:rPr>
      </w:pPr>
      <w:r w:rsidRPr="00733D35">
        <w:rPr>
          <w:i/>
          <w:iCs/>
        </w:rPr>
        <w:t>‌</w:t>
      </w:r>
    </w:p>
    <w:p w14:paraId="2AA2381D" w14:textId="5D737944" w:rsidR="00994E46" w:rsidRDefault="00994E46" w:rsidP="00994E46">
      <w:pPr>
        <w:rPr>
          <w:i/>
          <w:iCs/>
        </w:rPr>
      </w:pPr>
      <w:r w:rsidRPr="00994E46">
        <w:rPr>
          <w:i/>
          <w:iCs/>
        </w:rPr>
        <w:t xml:space="preserve">Legislation.gov.uk (1991). Criminal Damage Act 1971. [online] Legislation.gov.uk. Available at: </w:t>
      </w:r>
      <w:hyperlink r:id="rId10" w:history="1">
        <w:r w:rsidR="00BB685A" w:rsidRPr="00994E46">
          <w:rPr>
            <w:rStyle w:val="Hyperlink"/>
            <w:i/>
            <w:iCs/>
          </w:rPr>
          <w:t>https://www.legislation.gov.uk/ukpga/1971/48/section/1</w:t>
        </w:r>
      </w:hyperlink>
      <w:r w:rsidRPr="00994E46">
        <w:rPr>
          <w:i/>
          <w:iCs/>
        </w:rPr>
        <w:t>.</w:t>
      </w:r>
    </w:p>
    <w:p w14:paraId="74E7A527" w14:textId="77777777" w:rsidR="00BB685A" w:rsidRPr="00BB685A" w:rsidRDefault="00BB685A" w:rsidP="00BB685A">
      <w:pPr>
        <w:rPr>
          <w:i/>
          <w:iCs/>
        </w:rPr>
      </w:pPr>
      <w:r w:rsidRPr="00BB685A">
        <w:rPr>
          <w:i/>
          <w:iCs/>
        </w:rPr>
        <w:lastRenderedPageBreak/>
        <w:t>legislation.gov (1968). Theft Act 1968. [online] www.legislation.gov.uk. Available at: https://www.legislation.gov.uk/ukpga/1968/60/section/9.</w:t>
      </w:r>
    </w:p>
    <w:p w14:paraId="5A80F758" w14:textId="4725BB89" w:rsidR="00ED2412" w:rsidRDefault="00BB685A" w:rsidP="00ED2412">
      <w:pPr>
        <w:rPr>
          <w:i/>
          <w:iCs/>
        </w:rPr>
      </w:pPr>
      <w:r w:rsidRPr="00BB685A">
        <w:rPr>
          <w:i/>
          <w:iCs/>
        </w:rPr>
        <w:t>‌</w:t>
      </w:r>
      <w:r w:rsidR="00ED2412" w:rsidRPr="00ED2412">
        <w:rPr>
          <w:i/>
          <w:iCs/>
        </w:rPr>
        <w:t xml:space="preserve">Legislation.gov.uk. (2011). Criminal Damage Act 1971. [online] Available at: </w:t>
      </w:r>
      <w:hyperlink r:id="rId11" w:history="1">
        <w:r w:rsidR="00221195" w:rsidRPr="00ED2412">
          <w:rPr>
            <w:rStyle w:val="Hyperlink"/>
            <w:i/>
            <w:iCs/>
          </w:rPr>
          <w:t>https://www.legislation.gov.uk/ukpga/1971/48/section/10</w:t>
        </w:r>
      </w:hyperlink>
      <w:r w:rsidR="00ED2412" w:rsidRPr="00ED2412">
        <w:rPr>
          <w:i/>
          <w:iCs/>
        </w:rPr>
        <w:t>.</w:t>
      </w:r>
    </w:p>
    <w:p w14:paraId="487A2BEB" w14:textId="3B1C91C9" w:rsidR="00221195" w:rsidRDefault="006D0BD9" w:rsidP="00ED2412">
      <w:pPr>
        <w:rPr>
          <w:i/>
          <w:iCs/>
        </w:rPr>
      </w:pPr>
      <w:r>
        <w:rPr>
          <w:i/>
          <w:iCs/>
        </w:rPr>
        <w:t xml:space="preserve">Lloyds v Director of Public </w:t>
      </w:r>
      <w:proofErr w:type="spellStart"/>
      <w:proofErr w:type="gramStart"/>
      <w:r>
        <w:rPr>
          <w:i/>
          <w:iCs/>
        </w:rPr>
        <w:t>Prosecutions:QBD</w:t>
      </w:r>
      <w:proofErr w:type="spellEnd"/>
      <w:proofErr w:type="gramEnd"/>
      <w:r>
        <w:rPr>
          <w:i/>
          <w:iCs/>
        </w:rPr>
        <w:t xml:space="preserve"> (1992) WLR</w:t>
      </w:r>
    </w:p>
    <w:p w14:paraId="5B9354E7" w14:textId="42E3AF11" w:rsidR="00112F8F" w:rsidRDefault="00112F8F" w:rsidP="00ED2412">
      <w:pPr>
        <w:rPr>
          <w:i/>
          <w:iCs/>
        </w:rPr>
      </w:pPr>
      <w:r w:rsidRPr="00112F8F">
        <w:rPr>
          <w:i/>
          <w:iCs/>
        </w:rPr>
        <w:t>R v Walkington (1979) 68 Cr App R 427</w:t>
      </w:r>
      <w:r w:rsidR="00AB4B42">
        <w:rPr>
          <w:i/>
          <w:iCs/>
        </w:rPr>
        <w:t xml:space="preserve"> WLR</w:t>
      </w:r>
    </w:p>
    <w:p w14:paraId="304CBF27" w14:textId="1C857634" w:rsidR="003A7BFB" w:rsidRDefault="003A7BFB" w:rsidP="00ED2412">
      <w:pPr>
        <w:rPr>
          <w:i/>
          <w:iCs/>
        </w:rPr>
      </w:pPr>
      <w:hyperlink r:id="rId12" w:history="1">
        <w:r w:rsidRPr="003A7BFB">
          <w:rPr>
            <w:rStyle w:val="Hyperlink"/>
            <w:i/>
            <w:iCs/>
          </w:rPr>
          <w:t>Microsoft Word - 20100618 Chapter 8 Criminal Conduct Offences.doc.doc (publishing.service.gov.uk)</w:t>
        </w:r>
      </w:hyperlink>
    </w:p>
    <w:p w14:paraId="13AC41E0" w14:textId="77888944" w:rsidR="008475C4" w:rsidRDefault="003050E6" w:rsidP="00ED2412">
      <w:pPr>
        <w:rPr>
          <w:i/>
          <w:iCs/>
        </w:rPr>
      </w:pPr>
      <w:r>
        <w:rPr>
          <w:i/>
          <w:iCs/>
        </w:rPr>
        <w:t xml:space="preserve">R v </w:t>
      </w:r>
      <w:proofErr w:type="spellStart"/>
      <w:r>
        <w:rPr>
          <w:i/>
          <w:iCs/>
        </w:rPr>
        <w:t>Santoch</w:t>
      </w:r>
      <w:proofErr w:type="spellEnd"/>
      <w:r>
        <w:rPr>
          <w:i/>
          <w:iCs/>
        </w:rPr>
        <w:t xml:space="preserve"> Singh </w:t>
      </w:r>
      <w:proofErr w:type="spellStart"/>
      <w:r>
        <w:rPr>
          <w:i/>
          <w:iCs/>
        </w:rPr>
        <w:t>Mandair</w:t>
      </w:r>
      <w:proofErr w:type="spellEnd"/>
      <w:r>
        <w:rPr>
          <w:i/>
          <w:iCs/>
        </w:rPr>
        <w:t xml:space="preserve"> (1994) WLR</w:t>
      </w:r>
    </w:p>
    <w:p w14:paraId="6B812809" w14:textId="77777777" w:rsidR="00DF682B" w:rsidRDefault="00DF682B" w:rsidP="00DF682B">
      <w:pPr>
        <w:rPr>
          <w:i/>
          <w:iCs/>
        </w:rPr>
      </w:pPr>
      <w:r w:rsidRPr="00DF682B">
        <w:rPr>
          <w:i/>
          <w:iCs/>
        </w:rPr>
        <w:t xml:space="preserve">Armitage, A.L. (1957). The Homicide Act 1957. The Cambridge Law Journal, 15(2), pp.183–193. </w:t>
      </w:r>
      <w:proofErr w:type="spellStart"/>
      <w:proofErr w:type="gramStart"/>
      <w:r w:rsidRPr="00DF682B">
        <w:rPr>
          <w:i/>
          <w:iCs/>
        </w:rPr>
        <w:t>doi:https</w:t>
      </w:r>
      <w:proofErr w:type="spellEnd"/>
      <w:r w:rsidRPr="00DF682B">
        <w:rPr>
          <w:i/>
          <w:iCs/>
        </w:rPr>
        <w:t>://doi.org/10.1017/s0008197300082052</w:t>
      </w:r>
      <w:proofErr w:type="gramEnd"/>
      <w:r w:rsidRPr="00DF682B">
        <w:rPr>
          <w:i/>
          <w:iCs/>
        </w:rPr>
        <w:t>.</w:t>
      </w:r>
    </w:p>
    <w:p w14:paraId="2CC01975" w14:textId="3FC873B9" w:rsidR="00A00D97" w:rsidRPr="00DF682B" w:rsidRDefault="007802C7" w:rsidP="00DF682B">
      <w:pPr>
        <w:rPr>
          <w:i/>
          <w:iCs/>
        </w:rPr>
      </w:pPr>
      <w:r>
        <w:rPr>
          <w:i/>
          <w:iCs/>
        </w:rPr>
        <w:t xml:space="preserve">R v John Willson Vickers (1957) </w:t>
      </w:r>
    </w:p>
    <w:p w14:paraId="54E9D8DB" w14:textId="77777777" w:rsidR="00DF682B" w:rsidRPr="00DF682B" w:rsidRDefault="00DF682B" w:rsidP="00DF682B">
      <w:pPr>
        <w:rPr>
          <w:i/>
          <w:iCs/>
        </w:rPr>
      </w:pPr>
      <w:r w:rsidRPr="00DF682B">
        <w:rPr>
          <w:i/>
          <w:iCs/>
        </w:rPr>
        <w:t>‌</w:t>
      </w:r>
    </w:p>
    <w:p w14:paraId="35E7EA74" w14:textId="77777777" w:rsidR="00DF682B" w:rsidRDefault="00DF682B" w:rsidP="00ED2412">
      <w:pPr>
        <w:rPr>
          <w:i/>
          <w:iCs/>
        </w:rPr>
      </w:pPr>
    </w:p>
    <w:p w14:paraId="43146B71" w14:textId="77777777" w:rsidR="003050E6" w:rsidRPr="00ED2412" w:rsidRDefault="003050E6" w:rsidP="00ED2412">
      <w:pPr>
        <w:rPr>
          <w:i/>
          <w:iCs/>
        </w:rPr>
      </w:pPr>
    </w:p>
    <w:p w14:paraId="209DC75C" w14:textId="77777777" w:rsidR="00ED2412" w:rsidRPr="00ED2412" w:rsidRDefault="00ED2412" w:rsidP="00ED2412">
      <w:pPr>
        <w:rPr>
          <w:i/>
          <w:iCs/>
        </w:rPr>
      </w:pPr>
      <w:r w:rsidRPr="00ED2412">
        <w:rPr>
          <w:i/>
          <w:iCs/>
        </w:rPr>
        <w:t>‌</w:t>
      </w:r>
    </w:p>
    <w:p w14:paraId="66DAB797" w14:textId="77777777" w:rsidR="00ED2412" w:rsidRPr="00994E46" w:rsidRDefault="00ED2412" w:rsidP="00994E46">
      <w:pPr>
        <w:rPr>
          <w:i/>
          <w:iCs/>
        </w:rPr>
      </w:pPr>
    </w:p>
    <w:p w14:paraId="1DAD9A85" w14:textId="77777777" w:rsidR="00733D35" w:rsidRPr="00756D5D" w:rsidRDefault="00733D35" w:rsidP="00756D5D">
      <w:pPr>
        <w:rPr>
          <w:i/>
          <w:iCs/>
        </w:rPr>
      </w:pPr>
    </w:p>
    <w:p w14:paraId="419086D4" w14:textId="77777777" w:rsidR="00756D5D" w:rsidRPr="00756D5D" w:rsidRDefault="00756D5D" w:rsidP="00756D5D">
      <w:pPr>
        <w:rPr>
          <w:i/>
          <w:iCs/>
        </w:rPr>
      </w:pPr>
      <w:r w:rsidRPr="00756D5D">
        <w:rPr>
          <w:i/>
          <w:iCs/>
        </w:rPr>
        <w:t>‌</w:t>
      </w:r>
    </w:p>
    <w:p w14:paraId="304F7CF1" w14:textId="77777777" w:rsidR="00756D5D" w:rsidRDefault="00756D5D" w:rsidP="00390463">
      <w:pPr>
        <w:rPr>
          <w:i/>
          <w:iCs/>
        </w:rPr>
      </w:pPr>
    </w:p>
    <w:p w14:paraId="16BE59AE" w14:textId="77777777" w:rsidR="001F5358" w:rsidRPr="00390463" w:rsidRDefault="001F5358" w:rsidP="00390463">
      <w:pPr>
        <w:rPr>
          <w:i/>
          <w:iCs/>
        </w:rPr>
      </w:pPr>
    </w:p>
    <w:p w14:paraId="7AEBACFE" w14:textId="77777777" w:rsidR="00390463" w:rsidRPr="00390463" w:rsidRDefault="00390463" w:rsidP="00390463">
      <w:pPr>
        <w:rPr>
          <w:i/>
          <w:iCs/>
        </w:rPr>
      </w:pPr>
      <w:r w:rsidRPr="00390463">
        <w:rPr>
          <w:i/>
          <w:iCs/>
        </w:rPr>
        <w:t>‌</w:t>
      </w:r>
    </w:p>
    <w:p w14:paraId="598E2629" w14:textId="77777777" w:rsidR="00390463" w:rsidRPr="00383981" w:rsidRDefault="00390463" w:rsidP="00383981">
      <w:pPr>
        <w:rPr>
          <w:i/>
          <w:iCs/>
        </w:rPr>
      </w:pPr>
    </w:p>
    <w:p w14:paraId="06307269" w14:textId="77777777" w:rsidR="00383981" w:rsidRPr="00383981" w:rsidRDefault="00383981" w:rsidP="00383981">
      <w:pPr>
        <w:rPr>
          <w:i/>
          <w:iCs/>
        </w:rPr>
      </w:pPr>
      <w:r w:rsidRPr="00383981">
        <w:rPr>
          <w:i/>
          <w:iCs/>
        </w:rPr>
        <w:t>‌</w:t>
      </w:r>
    </w:p>
    <w:p w14:paraId="7BF8E4BF" w14:textId="77777777" w:rsidR="00383981" w:rsidRDefault="00383981" w:rsidP="00EE458D">
      <w:pPr>
        <w:rPr>
          <w:i/>
          <w:iCs/>
        </w:rPr>
      </w:pPr>
    </w:p>
    <w:p w14:paraId="4659A662" w14:textId="77777777" w:rsidR="00210569" w:rsidRPr="005B0515" w:rsidRDefault="00210569" w:rsidP="00EE458D">
      <w:pPr>
        <w:rPr>
          <w:i/>
          <w:iCs/>
        </w:rPr>
      </w:pPr>
    </w:p>
    <w:p w14:paraId="03BE6997" w14:textId="77777777" w:rsidR="00EE458D" w:rsidRPr="00EE458D" w:rsidRDefault="00EE458D" w:rsidP="00EE458D">
      <w:pPr>
        <w:rPr>
          <w:sz w:val="28"/>
          <w:szCs w:val="28"/>
        </w:rPr>
      </w:pPr>
    </w:p>
    <w:p w14:paraId="33583442" w14:textId="77777777" w:rsidR="00EE458D" w:rsidRPr="00EE458D" w:rsidRDefault="00EE458D" w:rsidP="00EE458D">
      <w:pPr>
        <w:rPr>
          <w:sz w:val="28"/>
          <w:szCs w:val="28"/>
        </w:rPr>
      </w:pPr>
      <w:r w:rsidRPr="00EE458D">
        <w:rPr>
          <w:sz w:val="28"/>
          <w:szCs w:val="28"/>
        </w:rPr>
        <w:t>‌</w:t>
      </w:r>
    </w:p>
    <w:p w14:paraId="0CEAFA48" w14:textId="77777777" w:rsidR="00EE458D" w:rsidRPr="00EE458D" w:rsidRDefault="00EE458D" w:rsidP="00EE458D">
      <w:pPr>
        <w:rPr>
          <w:sz w:val="28"/>
          <w:szCs w:val="28"/>
        </w:rPr>
      </w:pPr>
    </w:p>
    <w:p w14:paraId="014240E8" w14:textId="77777777" w:rsidR="00EE458D" w:rsidRPr="00EE458D" w:rsidRDefault="00EE458D">
      <w:pPr>
        <w:rPr>
          <w:sz w:val="28"/>
          <w:szCs w:val="28"/>
        </w:rPr>
      </w:pPr>
    </w:p>
    <w:p w14:paraId="728B7FC9" w14:textId="77777777" w:rsidR="00793CB9" w:rsidRPr="0036189D" w:rsidRDefault="00793CB9"/>
    <w:p w14:paraId="2ECDBA92" w14:textId="77777777" w:rsidR="00AA4BC7" w:rsidRDefault="00AA4BC7"/>
    <w:p w14:paraId="2ECDBA93" w14:textId="77777777" w:rsidR="00AA4BC7" w:rsidRDefault="00AA4BC7"/>
    <w:p w14:paraId="2ECDBA94" w14:textId="77777777" w:rsidR="00AA4BC7" w:rsidRDefault="00AA4BC7"/>
    <w:p w14:paraId="2ECDBA95" w14:textId="77777777" w:rsidR="00AA4BC7" w:rsidRDefault="00AA4BC7">
      <w:pPr>
        <w:jc w:val="both"/>
        <w:rPr>
          <w:sz w:val="28"/>
          <w:szCs w:val="28"/>
        </w:rPr>
      </w:pPr>
    </w:p>
    <w:p w14:paraId="2ECDBA96" w14:textId="77777777" w:rsidR="00AA4BC7" w:rsidRDefault="00AA4BC7">
      <w:pPr>
        <w:jc w:val="both"/>
      </w:pPr>
    </w:p>
    <w:p w14:paraId="2ECDBA97" w14:textId="77777777" w:rsidR="00AA4BC7" w:rsidRDefault="00AA4BC7">
      <w:pPr>
        <w:jc w:val="both"/>
      </w:pPr>
    </w:p>
    <w:sectPr w:rsidR="00AA4BC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CDBA85" w14:textId="77777777" w:rsidR="0045610A" w:rsidRDefault="0045610A">
      <w:pPr>
        <w:spacing w:after="0" w:line="240" w:lineRule="auto"/>
      </w:pPr>
      <w:r>
        <w:separator/>
      </w:r>
    </w:p>
  </w:endnote>
  <w:endnote w:type="continuationSeparator" w:id="0">
    <w:p w14:paraId="2ECDBA87" w14:textId="77777777" w:rsidR="0045610A" w:rsidRDefault="00456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DBA81" w14:textId="77777777" w:rsidR="0045610A" w:rsidRDefault="0045610A">
      <w:pPr>
        <w:spacing w:after="0" w:line="240" w:lineRule="auto"/>
      </w:pPr>
      <w:r>
        <w:rPr>
          <w:color w:val="000000"/>
        </w:rPr>
        <w:separator/>
      </w:r>
    </w:p>
  </w:footnote>
  <w:footnote w:type="continuationSeparator" w:id="0">
    <w:p w14:paraId="2ECDBA83" w14:textId="77777777" w:rsidR="0045610A" w:rsidRDefault="004561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A4BC7"/>
    <w:rsid w:val="00112F8F"/>
    <w:rsid w:val="001E21AF"/>
    <w:rsid w:val="001F5358"/>
    <w:rsid w:val="00210569"/>
    <w:rsid w:val="00221195"/>
    <w:rsid w:val="00265684"/>
    <w:rsid w:val="002F48B1"/>
    <w:rsid w:val="003050E6"/>
    <w:rsid w:val="0036189D"/>
    <w:rsid w:val="00383981"/>
    <w:rsid w:val="00390463"/>
    <w:rsid w:val="003A7BFB"/>
    <w:rsid w:val="00440251"/>
    <w:rsid w:val="0045610A"/>
    <w:rsid w:val="004828E4"/>
    <w:rsid w:val="004F7B80"/>
    <w:rsid w:val="005136CC"/>
    <w:rsid w:val="00523BE4"/>
    <w:rsid w:val="00536082"/>
    <w:rsid w:val="005B0515"/>
    <w:rsid w:val="00692092"/>
    <w:rsid w:val="006D0BD9"/>
    <w:rsid w:val="006E20D1"/>
    <w:rsid w:val="00733D35"/>
    <w:rsid w:val="00756D5D"/>
    <w:rsid w:val="007802C7"/>
    <w:rsid w:val="00793CB9"/>
    <w:rsid w:val="00796A41"/>
    <w:rsid w:val="007D16C7"/>
    <w:rsid w:val="007D296E"/>
    <w:rsid w:val="008228AD"/>
    <w:rsid w:val="008475C4"/>
    <w:rsid w:val="008A0057"/>
    <w:rsid w:val="00994E46"/>
    <w:rsid w:val="00A00D97"/>
    <w:rsid w:val="00AA4BC7"/>
    <w:rsid w:val="00AB4B42"/>
    <w:rsid w:val="00BB685A"/>
    <w:rsid w:val="00C1402C"/>
    <w:rsid w:val="00C22F55"/>
    <w:rsid w:val="00C96276"/>
    <w:rsid w:val="00CC64F6"/>
    <w:rsid w:val="00DF682B"/>
    <w:rsid w:val="00EC297C"/>
    <w:rsid w:val="00ED2412"/>
    <w:rsid w:val="00EE458D"/>
    <w:rsid w:val="00FA7E35"/>
    <w:rsid w:val="00FE7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DBA81"/>
  <w15:docId w15:val="{39BB2547-BBDB-48EE-9600-0C2E45176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EE458D"/>
    <w:rPr>
      <w:color w:val="467886" w:themeColor="hyperlink"/>
      <w:u w:val="single"/>
    </w:rPr>
  </w:style>
  <w:style w:type="character" w:styleId="UnresolvedMention">
    <w:name w:val="Unresolved Mention"/>
    <w:basedOn w:val="DefaultParagraphFont"/>
    <w:uiPriority w:val="99"/>
    <w:semiHidden/>
    <w:unhideWhenUsed/>
    <w:rsid w:val="00EE45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073077">
      <w:bodyDiv w:val="1"/>
      <w:marLeft w:val="0"/>
      <w:marRight w:val="0"/>
      <w:marTop w:val="0"/>
      <w:marBottom w:val="0"/>
      <w:divBdr>
        <w:top w:val="none" w:sz="0" w:space="0" w:color="auto"/>
        <w:left w:val="none" w:sz="0" w:space="0" w:color="auto"/>
        <w:bottom w:val="none" w:sz="0" w:space="0" w:color="auto"/>
        <w:right w:val="none" w:sz="0" w:space="0" w:color="auto"/>
      </w:divBdr>
    </w:div>
    <w:div w:id="118033629">
      <w:bodyDiv w:val="1"/>
      <w:marLeft w:val="0"/>
      <w:marRight w:val="0"/>
      <w:marTop w:val="0"/>
      <w:marBottom w:val="0"/>
      <w:divBdr>
        <w:top w:val="none" w:sz="0" w:space="0" w:color="auto"/>
        <w:left w:val="none" w:sz="0" w:space="0" w:color="auto"/>
        <w:bottom w:val="none" w:sz="0" w:space="0" w:color="auto"/>
        <w:right w:val="none" w:sz="0" w:space="0" w:color="auto"/>
      </w:divBdr>
    </w:div>
    <w:div w:id="233469927">
      <w:bodyDiv w:val="1"/>
      <w:marLeft w:val="0"/>
      <w:marRight w:val="0"/>
      <w:marTop w:val="0"/>
      <w:marBottom w:val="0"/>
      <w:divBdr>
        <w:top w:val="none" w:sz="0" w:space="0" w:color="auto"/>
        <w:left w:val="none" w:sz="0" w:space="0" w:color="auto"/>
        <w:bottom w:val="none" w:sz="0" w:space="0" w:color="auto"/>
        <w:right w:val="none" w:sz="0" w:space="0" w:color="auto"/>
      </w:divBdr>
    </w:div>
    <w:div w:id="471991291">
      <w:bodyDiv w:val="1"/>
      <w:marLeft w:val="0"/>
      <w:marRight w:val="0"/>
      <w:marTop w:val="0"/>
      <w:marBottom w:val="0"/>
      <w:divBdr>
        <w:top w:val="none" w:sz="0" w:space="0" w:color="auto"/>
        <w:left w:val="none" w:sz="0" w:space="0" w:color="auto"/>
        <w:bottom w:val="none" w:sz="0" w:space="0" w:color="auto"/>
        <w:right w:val="none" w:sz="0" w:space="0" w:color="auto"/>
      </w:divBdr>
    </w:div>
    <w:div w:id="519929089">
      <w:bodyDiv w:val="1"/>
      <w:marLeft w:val="0"/>
      <w:marRight w:val="0"/>
      <w:marTop w:val="0"/>
      <w:marBottom w:val="0"/>
      <w:divBdr>
        <w:top w:val="none" w:sz="0" w:space="0" w:color="auto"/>
        <w:left w:val="none" w:sz="0" w:space="0" w:color="auto"/>
        <w:bottom w:val="none" w:sz="0" w:space="0" w:color="auto"/>
        <w:right w:val="none" w:sz="0" w:space="0" w:color="auto"/>
      </w:divBdr>
    </w:div>
    <w:div w:id="578946706">
      <w:bodyDiv w:val="1"/>
      <w:marLeft w:val="0"/>
      <w:marRight w:val="0"/>
      <w:marTop w:val="0"/>
      <w:marBottom w:val="0"/>
      <w:divBdr>
        <w:top w:val="none" w:sz="0" w:space="0" w:color="auto"/>
        <w:left w:val="none" w:sz="0" w:space="0" w:color="auto"/>
        <w:bottom w:val="none" w:sz="0" w:space="0" w:color="auto"/>
        <w:right w:val="none" w:sz="0" w:space="0" w:color="auto"/>
      </w:divBdr>
    </w:div>
    <w:div w:id="602302639">
      <w:bodyDiv w:val="1"/>
      <w:marLeft w:val="0"/>
      <w:marRight w:val="0"/>
      <w:marTop w:val="0"/>
      <w:marBottom w:val="0"/>
      <w:divBdr>
        <w:top w:val="none" w:sz="0" w:space="0" w:color="auto"/>
        <w:left w:val="none" w:sz="0" w:space="0" w:color="auto"/>
        <w:bottom w:val="none" w:sz="0" w:space="0" w:color="auto"/>
        <w:right w:val="none" w:sz="0" w:space="0" w:color="auto"/>
      </w:divBdr>
    </w:div>
    <w:div w:id="704059445">
      <w:bodyDiv w:val="1"/>
      <w:marLeft w:val="0"/>
      <w:marRight w:val="0"/>
      <w:marTop w:val="0"/>
      <w:marBottom w:val="0"/>
      <w:divBdr>
        <w:top w:val="none" w:sz="0" w:space="0" w:color="auto"/>
        <w:left w:val="none" w:sz="0" w:space="0" w:color="auto"/>
        <w:bottom w:val="none" w:sz="0" w:space="0" w:color="auto"/>
        <w:right w:val="none" w:sz="0" w:space="0" w:color="auto"/>
      </w:divBdr>
    </w:div>
    <w:div w:id="788476171">
      <w:bodyDiv w:val="1"/>
      <w:marLeft w:val="0"/>
      <w:marRight w:val="0"/>
      <w:marTop w:val="0"/>
      <w:marBottom w:val="0"/>
      <w:divBdr>
        <w:top w:val="none" w:sz="0" w:space="0" w:color="auto"/>
        <w:left w:val="none" w:sz="0" w:space="0" w:color="auto"/>
        <w:bottom w:val="none" w:sz="0" w:space="0" w:color="auto"/>
        <w:right w:val="none" w:sz="0" w:space="0" w:color="auto"/>
      </w:divBdr>
    </w:div>
    <w:div w:id="891698861">
      <w:bodyDiv w:val="1"/>
      <w:marLeft w:val="0"/>
      <w:marRight w:val="0"/>
      <w:marTop w:val="0"/>
      <w:marBottom w:val="0"/>
      <w:divBdr>
        <w:top w:val="none" w:sz="0" w:space="0" w:color="auto"/>
        <w:left w:val="none" w:sz="0" w:space="0" w:color="auto"/>
        <w:bottom w:val="none" w:sz="0" w:space="0" w:color="auto"/>
        <w:right w:val="none" w:sz="0" w:space="0" w:color="auto"/>
      </w:divBdr>
    </w:div>
    <w:div w:id="954826707">
      <w:bodyDiv w:val="1"/>
      <w:marLeft w:val="0"/>
      <w:marRight w:val="0"/>
      <w:marTop w:val="0"/>
      <w:marBottom w:val="0"/>
      <w:divBdr>
        <w:top w:val="none" w:sz="0" w:space="0" w:color="auto"/>
        <w:left w:val="none" w:sz="0" w:space="0" w:color="auto"/>
        <w:bottom w:val="none" w:sz="0" w:space="0" w:color="auto"/>
        <w:right w:val="none" w:sz="0" w:space="0" w:color="auto"/>
      </w:divBdr>
    </w:div>
    <w:div w:id="958223170">
      <w:bodyDiv w:val="1"/>
      <w:marLeft w:val="0"/>
      <w:marRight w:val="0"/>
      <w:marTop w:val="0"/>
      <w:marBottom w:val="0"/>
      <w:divBdr>
        <w:top w:val="none" w:sz="0" w:space="0" w:color="auto"/>
        <w:left w:val="none" w:sz="0" w:space="0" w:color="auto"/>
        <w:bottom w:val="none" w:sz="0" w:space="0" w:color="auto"/>
        <w:right w:val="none" w:sz="0" w:space="0" w:color="auto"/>
      </w:divBdr>
    </w:div>
    <w:div w:id="1255164152">
      <w:bodyDiv w:val="1"/>
      <w:marLeft w:val="0"/>
      <w:marRight w:val="0"/>
      <w:marTop w:val="0"/>
      <w:marBottom w:val="0"/>
      <w:divBdr>
        <w:top w:val="none" w:sz="0" w:space="0" w:color="auto"/>
        <w:left w:val="none" w:sz="0" w:space="0" w:color="auto"/>
        <w:bottom w:val="none" w:sz="0" w:space="0" w:color="auto"/>
        <w:right w:val="none" w:sz="0" w:space="0" w:color="auto"/>
      </w:divBdr>
    </w:div>
    <w:div w:id="1559241840">
      <w:bodyDiv w:val="1"/>
      <w:marLeft w:val="0"/>
      <w:marRight w:val="0"/>
      <w:marTop w:val="0"/>
      <w:marBottom w:val="0"/>
      <w:divBdr>
        <w:top w:val="none" w:sz="0" w:space="0" w:color="auto"/>
        <w:left w:val="none" w:sz="0" w:space="0" w:color="auto"/>
        <w:bottom w:val="none" w:sz="0" w:space="0" w:color="auto"/>
        <w:right w:val="none" w:sz="0" w:space="0" w:color="auto"/>
      </w:divBdr>
    </w:div>
    <w:div w:id="1590040168">
      <w:bodyDiv w:val="1"/>
      <w:marLeft w:val="0"/>
      <w:marRight w:val="0"/>
      <w:marTop w:val="0"/>
      <w:marBottom w:val="0"/>
      <w:divBdr>
        <w:top w:val="none" w:sz="0" w:space="0" w:color="auto"/>
        <w:left w:val="none" w:sz="0" w:space="0" w:color="auto"/>
        <w:bottom w:val="none" w:sz="0" w:space="0" w:color="auto"/>
        <w:right w:val="none" w:sz="0" w:space="0" w:color="auto"/>
      </w:divBdr>
    </w:div>
    <w:div w:id="1599173513">
      <w:bodyDiv w:val="1"/>
      <w:marLeft w:val="0"/>
      <w:marRight w:val="0"/>
      <w:marTop w:val="0"/>
      <w:marBottom w:val="0"/>
      <w:divBdr>
        <w:top w:val="none" w:sz="0" w:space="0" w:color="auto"/>
        <w:left w:val="none" w:sz="0" w:space="0" w:color="auto"/>
        <w:bottom w:val="none" w:sz="0" w:space="0" w:color="auto"/>
        <w:right w:val="none" w:sz="0" w:space="0" w:color="auto"/>
      </w:divBdr>
    </w:div>
    <w:div w:id="1740011820">
      <w:bodyDiv w:val="1"/>
      <w:marLeft w:val="0"/>
      <w:marRight w:val="0"/>
      <w:marTop w:val="0"/>
      <w:marBottom w:val="0"/>
      <w:divBdr>
        <w:top w:val="none" w:sz="0" w:space="0" w:color="auto"/>
        <w:left w:val="none" w:sz="0" w:space="0" w:color="auto"/>
        <w:bottom w:val="none" w:sz="0" w:space="0" w:color="auto"/>
        <w:right w:val="none" w:sz="0" w:space="0" w:color="auto"/>
      </w:divBdr>
    </w:div>
    <w:div w:id="1812096707">
      <w:bodyDiv w:val="1"/>
      <w:marLeft w:val="0"/>
      <w:marRight w:val="0"/>
      <w:marTop w:val="0"/>
      <w:marBottom w:val="0"/>
      <w:divBdr>
        <w:top w:val="none" w:sz="0" w:space="0" w:color="auto"/>
        <w:left w:val="none" w:sz="0" w:space="0" w:color="auto"/>
        <w:bottom w:val="none" w:sz="0" w:space="0" w:color="auto"/>
        <w:right w:val="none" w:sz="0" w:space="0" w:color="auto"/>
      </w:divBdr>
    </w:div>
    <w:div w:id="1868256366">
      <w:bodyDiv w:val="1"/>
      <w:marLeft w:val="0"/>
      <w:marRight w:val="0"/>
      <w:marTop w:val="0"/>
      <w:marBottom w:val="0"/>
      <w:divBdr>
        <w:top w:val="none" w:sz="0" w:space="0" w:color="auto"/>
        <w:left w:val="none" w:sz="0" w:space="0" w:color="auto"/>
        <w:bottom w:val="none" w:sz="0" w:space="0" w:color="auto"/>
        <w:right w:val="none" w:sz="0" w:space="0" w:color="auto"/>
      </w:divBdr>
    </w:div>
    <w:div w:id="21222651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theft-act-offenc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1968/60/section/1" TargetMode="External"/><Relationship Id="rId12" Type="http://schemas.openxmlformats.org/officeDocument/2006/relationships/hyperlink" Target="https://assets.publishing.service.gov.uk/media/5a799e50ed915d07d35b6dee/Ch08.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Eliz2/5-6/11/enacted" TargetMode="External"/><Relationship Id="rId11" Type="http://schemas.openxmlformats.org/officeDocument/2006/relationships/hyperlink" Target="https://www.legislation.gov.uk/ukpga/1971/48/section/10" TargetMode="External"/><Relationship Id="rId5" Type="http://schemas.openxmlformats.org/officeDocument/2006/relationships/endnotes" Target="endnotes.xml"/><Relationship Id="rId10" Type="http://schemas.openxmlformats.org/officeDocument/2006/relationships/hyperlink" Target="https://www.legislation.gov.uk/ukpga/1971/48/section/1" TargetMode="External"/><Relationship Id="rId4" Type="http://schemas.openxmlformats.org/officeDocument/2006/relationships/footnotes" Target="footnotes.xml"/><Relationship Id="rId9" Type="http://schemas.openxmlformats.org/officeDocument/2006/relationships/hyperlink" Target="https://www.legislation.gov.uk/ukpga/1968/60/section/5"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1510</Words>
  <Characters>8609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Cimpan</dc:creator>
  <dc:description/>
  <cp:lastModifiedBy>Roxana Cimpan</cp:lastModifiedBy>
  <cp:revision>2</cp:revision>
  <dcterms:created xsi:type="dcterms:W3CDTF">2024-08-02T23:16:00Z</dcterms:created>
  <dcterms:modified xsi:type="dcterms:W3CDTF">2024-08-02T23:16:00Z</dcterms:modified>
</cp:coreProperties>
</file>