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right"/>
        <w:rPr>
          <w:rFonts w:ascii="Arial" w:hAnsi="Arial" w:cs="Arial" w:eastAsia="Arial"/>
          <w:b/>
          <w:color w:val="auto"/>
          <w:spacing w:val="0"/>
          <w:position w:val="0"/>
          <w:sz w:val="28"/>
          <w:shd w:fill="auto" w:val="clear"/>
        </w:rPr>
      </w:pPr>
      <w:r>
        <w:object w:dxaOrig="3420" w:dyaOrig="1368">
          <v:rect xmlns:o="urn:schemas-microsoft-com:office:office" xmlns:v="urn:schemas-microsoft-com:vml" id="rectole0000000000" style="width:171.000000pt;height:68.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Arial" w:hAnsi="Arial" w:cs="Arial" w:eastAsia="Arial"/>
          <w:color w:val="auto"/>
          <w:spacing w:val="0"/>
          <w:position w:val="0"/>
          <w:sz w:val="20"/>
          <w:shd w:fill="auto" w:val="clear"/>
        </w:rPr>
        <w:t xml:space="preserve"> </w:t>
        <w:br/>
      </w:r>
    </w:p>
    <w:p>
      <w:pPr>
        <w:spacing w:before="0" w:after="0" w:line="240"/>
        <w:ind w:right="0" w:left="0" w:firstLine="0"/>
        <w:jc w:val="left"/>
        <w:rPr>
          <w:rFonts w:ascii="Arial" w:hAnsi="Arial" w:cs="Arial" w:eastAsia="Arial"/>
          <w:color w:val="auto"/>
          <w:spacing w:val="0"/>
          <w:position w:val="0"/>
          <w:sz w:val="20"/>
          <w:shd w:fill="auto" w:val="clear"/>
        </w:rPr>
      </w:pPr>
    </w:p>
    <w:tbl>
      <w:tblPr>
        <w:tblInd w:w="392" w:type="dxa"/>
      </w:tblPr>
      <w:tblGrid>
        <w:gridCol w:w="8850"/>
      </w:tblGrid>
      <w:tr>
        <w:trPr>
          <w:trHeight w:val="1" w:hRule="atLeast"/>
          <w:jc w:val="left"/>
        </w:trPr>
        <w:tc>
          <w:tcPr>
            <w:tcW w:w="8850" w:type="dxa"/>
            <w:tcBorders>
              <w:top w:val="single" w:color="000000" w:sz="4"/>
              <w:left w:val="single" w:color="000000" w:sz="4"/>
              <w:bottom w:val="single" w:color="000000" w:sz="4"/>
              <w:right w:val="single" w:color="000000" w:sz="4"/>
            </w:tcBorders>
            <w:shd w:color="auto" w:fill="c0c0c0" w:val="clear"/>
            <w:tcMar>
              <w:left w:w="108" w:type="dxa"/>
              <w:right w:w="108" w:type="dxa"/>
            </w:tcMar>
            <w:vAlign w:val="top"/>
          </w:tcPr>
          <w:p>
            <w:pPr>
              <w:keepNext w:val="true"/>
              <w:spacing w:before="120" w:after="120" w:line="240"/>
              <w:ind w:right="0" w:left="0" w:firstLine="0"/>
              <w:jc w:val="center"/>
              <w:rPr>
                <w:color w:val="auto"/>
                <w:spacing w:val="0"/>
                <w:position w:val="0"/>
                <w:shd w:fill="auto" w:val="clear"/>
              </w:rPr>
            </w:pPr>
            <w:r>
              <w:rPr>
                <w:rFonts w:ascii="Arial" w:hAnsi="Arial" w:cs="Arial" w:eastAsia="Arial"/>
                <w:b/>
                <w:color w:val="auto"/>
                <w:spacing w:val="0"/>
                <w:position w:val="0"/>
                <w:sz w:val="40"/>
                <w:shd w:fill="auto" w:val="clear"/>
              </w:rPr>
              <w:t xml:space="preserve">LEVEL 4 ASSESSMENT SPECIFICATION </w:t>
            </w:r>
          </w:p>
        </w:tc>
      </w:tr>
    </w:tbl>
    <w:p>
      <w:pPr>
        <w:spacing w:before="0" w:after="0" w:line="240"/>
        <w:ind w:right="0" w:left="0" w:firstLine="0"/>
        <w:jc w:val="center"/>
        <w:rPr>
          <w:rFonts w:ascii="Arial" w:hAnsi="Arial" w:cs="Arial" w:eastAsia="Arial"/>
          <w:b/>
          <w:i/>
          <w:color w:val="auto"/>
          <w:spacing w:val="0"/>
          <w:position w:val="0"/>
          <w:sz w:val="32"/>
          <w:shd w:fill="auto" w:val="clear"/>
        </w:rPr>
      </w:pPr>
    </w:p>
    <w:tbl>
      <w:tblPr>
        <w:tblInd w:w="392" w:type="dxa"/>
      </w:tblPr>
      <w:tblGrid>
        <w:gridCol w:w="2093"/>
        <w:gridCol w:w="3293"/>
        <w:gridCol w:w="2268"/>
        <w:gridCol w:w="2268"/>
      </w:tblGrid>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name:</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  </w:t>
            </w:r>
            <w:r>
              <w:rPr>
                <w:rFonts w:ascii="Arial" w:hAnsi="Arial" w:cs="Arial" w:eastAsia="Arial"/>
                <w:b/>
                <w:color w:val="auto"/>
                <w:spacing w:val="0"/>
                <w:position w:val="0"/>
                <w:sz w:val="22"/>
                <w:shd w:fill="auto" w:val="clear"/>
              </w:rPr>
              <w:t xml:space="preserve">Yoana Stancheva</w:t>
            </w:r>
            <w:r>
              <w:rPr>
                <w:rFonts w:ascii="Arial" w:hAnsi="Arial" w:cs="Arial" w:eastAsia="Arial"/>
                <w:b/>
                <w:color w:val="auto"/>
                <w:spacing w:val="0"/>
                <w:position w:val="0"/>
                <w:sz w:val="22"/>
                <w:shd w:fill="auto" w:val="clear"/>
              </w:rPr>
              <w:t xml:space="preserve">   </w:t>
            </w:r>
          </w:p>
        </w:tc>
        <w:tc>
          <w:tcPr>
            <w:tcW w:w="2268"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ID number:</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2225354</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Programme:</w:t>
            </w:r>
          </w:p>
        </w:tc>
        <w:tc>
          <w:tcPr>
            <w:tcW w:w="782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CertHE Law and Legal Practice, Professional Policing</w:t>
            </w:r>
          </w:p>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BSc Professional Policing </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Module:</w:t>
            </w:r>
          </w:p>
        </w:tc>
        <w:tc>
          <w:tcPr>
            <w:tcW w:w="7829" w:type="dxa"/>
            <w:gridSpan w:val="3"/>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Legal Process</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Module code:</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BMPL4005, BMLW4006</w:t>
            </w:r>
          </w:p>
        </w:tc>
        <w:tc>
          <w:tcPr>
            <w:tcW w:w="2268"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keepNext w:val="true"/>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Contribution to Overall Module Assessment (%):</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50%</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Lecturer:</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Zita Draper and Sian Turvey</w:t>
            </w:r>
          </w:p>
        </w:tc>
        <w:tc>
          <w:tcPr>
            <w:tcW w:w="2268"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Internal Verifier:</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Sian Turvey and Zita Draper </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Assignment Title:</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The Magistracy</w:t>
            </w:r>
          </w:p>
        </w:tc>
        <w:tc>
          <w:tcPr>
            <w:tcW w:w="226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Word count (or equivalent):</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1500</w:t>
            </w:r>
          </w:p>
        </w:tc>
      </w:tr>
    </w:tbl>
    <w:p>
      <w:pPr>
        <w:spacing w:before="0" w:after="0" w:line="240"/>
        <w:ind w:right="0" w:left="0" w:firstLine="0"/>
        <w:jc w:val="left"/>
        <w:rPr>
          <w:rFonts w:ascii="Arial" w:hAnsi="Arial" w:cs="Arial" w:eastAsia="Arial"/>
          <w:b/>
          <w:color w:val="auto"/>
          <w:spacing w:val="0"/>
          <w:position w:val="0"/>
          <w:sz w:val="20"/>
          <w:shd w:fill="auto" w:val="clear"/>
        </w:rPr>
      </w:pPr>
    </w:p>
    <w:p>
      <w:pPr>
        <w:spacing w:before="0" w:after="0" w:line="240"/>
        <w:ind w:right="0" w:left="0" w:firstLine="0"/>
        <w:jc w:val="left"/>
        <w:rPr>
          <w:rFonts w:ascii="Arial" w:hAnsi="Arial" w:cs="Arial" w:eastAsia="Arial"/>
          <w:b/>
          <w:color w:val="auto"/>
          <w:spacing w:val="0"/>
          <w:position w:val="0"/>
          <w:sz w:val="20"/>
          <w:shd w:fill="auto" w:val="clear"/>
        </w:rPr>
      </w:pPr>
    </w:p>
    <w:p>
      <w:pPr>
        <w:spacing w:before="0" w:after="0" w:line="240"/>
        <w:ind w:right="0" w:left="0" w:firstLine="0"/>
        <w:jc w:val="left"/>
        <w:rPr>
          <w:rFonts w:ascii="Arial" w:hAnsi="Arial" w:cs="Arial" w:eastAsia="Arial"/>
          <w:b/>
          <w:color w:val="auto"/>
          <w:spacing w:val="0"/>
          <w:position w:val="0"/>
          <w:sz w:val="20"/>
          <w:shd w:fill="auto" w:val="clear"/>
        </w:rPr>
      </w:pPr>
    </w:p>
    <w:tbl>
      <w:tblPr>
        <w:tblInd w:w="392" w:type="dxa"/>
      </w:tblPr>
      <w:tblGrid>
        <w:gridCol w:w="8850"/>
      </w:tblGrid>
      <w:tr>
        <w:trPr>
          <w:trHeight w:val="1" w:hRule="atLeast"/>
          <w:jc w:val="left"/>
        </w:trPr>
        <w:tc>
          <w:tcPr>
            <w:tcW w:w="8850" w:type="dxa"/>
            <w:tcBorders>
              <w:top w:val="single" w:color="000000" w:sz="4"/>
              <w:left w:val="single" w:color="000000" w:sz="4"/>
              <w:bottom w:val="single" w:color="000000" w:sz="4"/>
              <w:right w:val="single" w:color="000000" w:sz="4"/>
            </w:tcBorders>
            <w:shd w:color="auto" w:fill="c0c0c0"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Introduction</w:t>
      </w:r>
    </w:p>
    <w:p>
      <w:pPr>
        <w:keepNext w:val="true"/>
        <w:keepLines w:val="true"/>
        <w:spacing w:before="48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Understanding the specifics, details and stages of the legal process is of critical importance for the law professionals, legal advisers and solicitors. Understanding the process helping for proper and successful claims and court hearings. The legal process and system in UK is quiet complex and complicate when comparing with other countries and this sets the need of proper knowledge and skills in order to be successful professional. The magistrate role, function and responsibilities are of important and critical role for the court operations and taking the right decision for the submitted claims. </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What is a magistrate?</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Judges are unpaid volunteers who preside over cases in local courts. Hearings can be held in both family and criminal courts. Usually, each case is heard by her three judges, including one of hers who has special presidency training. Under section 16(3) of the Magistrates Act 1979, the difference between magistrates and magistrates is that magistrates have the same powers as magistrates but sit alone. Unlike many high court judges, magistrates and district judges do not wear robes or wigs in court (Aikens,2020).</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A discussion about magistrates in the United Kingdom</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Main responsibilities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England and Wales, judges not creating the main of judicial claims and cases which are created. They are generated by normal people who have worked in a wide variety of fields and had no previous affiliation with the legal practice. But they have a sense of justice. In addition, they have the ability to actively listen, reason logically, and act as active ambassadors for their communities. By the way, I am a judge. Magistrates, commonly referred to as magistrates, are people from various professions who are passionate about improving their communities. They voluntarily attend many cases in court, and a year he attends at least 13 days of training courses (Blackham,2018).</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No previous education or legal training is required to start working as judge. Nevertheless, the candidate must demonstrate his five skills and personalities listed below. To make judgements that are fair, impartial and transparent, judges must be able to act quickly and make transparent, unbiased, fair and reasonable judgments. Judges must also understand a lot of material and be able to recognize related issues.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Understand and appreciate other perspectives: Judges must be able to distinguish between different points of view, treat people with compassion, and show genuine understanding and empathy for their plight. , you must be ready to understand them.  Communicate with care and respect. Judges should be able to speak privately, confidently and sensitively, but also be able to listen actively and attentively. Additionally, you should be able to adapt your communication style to the situation and effectively explain the reasons for your decisions (Smith,2021).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Learn new things with confidence: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Judges must be adaptive, thinking out of the box, and willing to consider and accept opposing views. In addition, they need to be able to focus over chances, develop and retain talent, and use successful strategies to manage personal well-being. To be successful, you must be personable, trustworthy, and able to instill confidence in others. There are many and different expectations from the judges and this lead to complexity of the potential candidates which wants to apply for this position. </w:t>
      </w: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Court closures </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government managing to stop functioning of the 77 more courts by 2025 or 2026, according to an analysis by the National Audit Office. After the decision to postpone any future closures, the government said in May 2019 that it would not close the courts until it had evidence that its changes had reduced the use of these structures. After consultation with the Chief Justice, and after consultation with the Master of Rolls, the Registrar of the High Court, or the President of the Family Division, as appropriate, the work may be transferred from the closed court to the receiving court appointed by the Enclave. Must be delegated. Instructions under section 2 of the County Courts Act 1984.</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Assignments of work shall, wherever possible, be subject to directions from the judge in the particular case and shall be subject to the attached schedules, i.e., "Schedule 1 - Civil Litigation (General)", "Schedule 2 - Family Litigation" and "Appendix 3 - Insolvency Proceedings” (collectively, the “Appendices”). The court of last resort shall notify all parties that if the case is transferred from the court of last resort to the receiving court, they may, within seven days of service of the order of referral, apply to the receiving court to change the court to which the case is filed. need to do it. An order under Rule 3.3(4) of the Code of Civil Procedure or Rule 4.3(4) of the Code of Family Procedure (Howard,2022).</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You must include evidence of any other advantages or disadvantages</w:t>
      </w: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200" w:after="0" w:line="360"/>
        <w:ind w:right="0" w:left="0" w:firstLine="0"/>
        <w:jc w:val="both"/>
        <w:rPr>
          <w:rFonts w:ascii="Arial" w:hAnsi="Arial" w:cs="Arial" w:eastAsia="Arial"/>
          <w:b/>
          <w:color w:val="4F81BD"/>
          <w:spacing w:val="0"/>
          <w:position w:val="0"/>
          <w:sz w:val="24"/>
          <w:shd w:fill="auto" w:val="clear"/>
        </w:rPr>
      </w:pPr>
      <w:r>
        <w:rPr>
          <w:rFonts w:ascii="Arial" w:hAnsi="Arial" w:cs="Arial" w:eastAsia="Arial"/>
          <w:b/>
          <w:color w:val="4F81BD"/>
          <w:spacing w:val="0"/>
          <w:position w:val="0"/>
          <w:sz w:val="24"/>
          <w:shd w:fill="auto" w:val="clear"/>
        </w:rPr>
        <w:t xml:space="preserve">Advantages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Judges earn £90,000. Cost judges are not compensated. Without a prosecutor he would have to install 1000 extra judges, saving £100 million. Local Knowledge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Speed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up court proceedings. They live nearby, so they know the local news. More accessible than judges, as no training is required. We need 1000 more judges. People of different nationalities representing society. Women make up 49%. Public self-guarantee: According to research conducted in 2000 and 2001, people do not limit the functioning of judges (Rab,2021).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Justice is upheld by judges. A judge, in his capacity as a judicial office, undertakes "to give justice to men of every kind, without fear, favor, affection, or malice, according to the laws and customs of this kingdom." They are integral to the administration of justice in England and Wales. Judges are well suited for this task as they are the most diverse judiciary. The Association of Magistrates (MA) found that 25% of the 40,000 expressions of interest were from potential candidates with minority backgrounds, and a similar percentage were under the age of 40. I was encouraged to take note of what had happened.</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judges are familiar with the area. "Justice from a Peer" is his one of the magistrate's guidelines. As a result, judges are ordinary people (who may have no prior legal training) who use their current skills and expertise to serve their communities. And with the help of a lawyer, it shows that you can make decisions in favour of your neighbours. Magistrates have a passion for public relations. Because judges are passionate about what they do, they often take an active part in educating people about judicial work and this special volunteer opportunity. Members of the MA give lectures on a variety of topics at schools, colleges, religious centers, and other community groups/institutions as part of the Magistrates Program, a community program that promotes community involvement.</w:t>
      </w:r>
    </w:p>
    <w:p>
      <w:pPr>
        <w:keepNext w:val="true"/>
        <w:keepLines w:val="true"/>
        <w:spacing w:before="200" w:after="0" w:line="360"/>
        <w:ind w:right="0" w:left="0" w:firstLine="0"/>
        <w:jc w:val="both"/>
        <w:rPr>
          <w:rFonts w:ascii="Arial" w:hAnsi="Arial" w:cs="Arial" w:eastAsia="Arial"/>
          <w:b/>
          <w:color w:val="4F81BD"/>
          <w:spacing w:val="0"/>
          <w:position w:val="0"/>
          <w:sz w:val="24"/>
          <w:shd w:fill="auto" w:val="clear"/>
        </w:rPr>
      </w:pPr>
      <w:r>
        <w:rPr>
          <w:rFonts w:ascii="Arial" w:hAnsi="Arial" w:cs="Arial" w:eastAsia="Arial"/>
          <w:b/>
          <w:color w:val="4F81BD"/>
          <w:spacing w:val="0"/>
          <w:position w:val="0"/>
          <w:sz w:val="24"/>
          <w:shd w:fill="auto" w:val="clear"/>
        </w:rPr>
        <w:t xml:space="preserve">Disadvantages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Biased Law Enforcement: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Lacking training, they were able to support the officers. at Rv. In Bingham ex parte Jowitt, one man's words were used against the police and the judge sided with them.</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Inconsistent and he only works 13 days a year can forget sentences. In Essex, 77% of the accused were convicted, compared to 21% for ABH. Case hardening:  Evaluate the defendant based on past cases. R vs Bingham 1974 Ex parte Jowitt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Only busy people. It does not represent society. Most judges are middle-aged. Most of the defendants are under the age of 25, but 50% of the judges are over the age of 60. Rely on a Lawyer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You are influenced by a lawyer because you have no legal training (Raine,2018).</w:t>
      </w: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Reform </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Judges have the knowledge, authority and ability to handle most of these issues, but last year about 9,800 defendants were convicted by judges, then sent to criminal courts and sentenced to prison terms. dressed in Of these, 40% were sentenced to up to six months in prison. This means they are criminals who could be sentenced in a magistrate's court. The Magistrate's Court is close to the affected area, and his average daily cost for a general hearing is £1,400 for him, compared to around £2,150 for the 2012 Crown Court. Her 3,200 offenders under the age of 18 have also been brought to criminal court for trial (Soubise,2017).</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Conclusion </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magistrates plays complicate and important role for the court hearings and as from the provided above information is clear that their role can save a lot of time and cost for the courts. Understanding the role also is critical moment for the court system, society and community of the UK. Proper function and role of the magistrates can lead to more trust into the court and judges system across the UK and also providing more preventive actions for reducing crime and legal challenges. </w:t>
      </w: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Referencing list</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Adisa, O., 2018. Access to justice: assessing the impact of the magistrates’ court closures in Suffolk’. a research report, University of Suffolk.</w:t>
      </w: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Aikens, R.H.S.R., 2020. UK</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England and Wales. In Courts in Evolving Societies (pp. 59-70). Brill Nijhoff.</w:t>
      </w: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Appleby, G. and Blackham, A., 2018. The shadow of the court: The growing imperative to reform ethical regulation of former judges. International &amp; Comparative Law Quarterly, 67(3), pp.505-546.</w:t>
      </w: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Chamberlain, P., Keppel-Palmer, M., Reardon, S. and Smith, T., 2021. It is criminal: The state of magistrates’ court reporting in England and Wales. Journalism, 22(9), pp.2404-2420.</w:t>
      </w: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Howard, H., 2022. Effective participation of mentally vulnerable defendants in the English magistrates’ courts: The crucial role of liaison and diversion. The Howard Journal of Crime and Justice, 61(2), pp.203-220.</w:t>
      </w: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Rab, S., 2021. Legal systems in the UK (England and Wales): overview. URL: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https://uk</w:t>
        </w:r>
      </w:hyperlink>
      <w:r>
        <w:rPr>
          <w:rFonts w:ascii="Arial" w:hAnsi="Arial" w:cs="Arial" w:eastAsia="Arial"/>
          <w:color w:val="auto"/>
          <w:spacing w:val="0"/>
          <w:position w:val="0"/>
          <w:sz w:val="24"/>
          <w:shd w:fill="auto" w:val="clear"/>
        </w:rPr>
        <w:t xml:space="preserve">. practicallaw. thomsonreuters. com/5-636-24, 98.</w:t>
      </w: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Raine, J.W., 2018. Justice in the lower courts. In Beyond Bureaucracy? (pp. 201-217). Routledge.</w:t>
      </w: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Soubise, L., 2017. Prosecuting in the magistrates' courts in a time of austerity. Criminal Law Review, 11, pp.847-859.</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numbering.xml" Id="docRId3" Type="http://schemas.openxmlformats.org/officeDocument/2006/relationships/numbering" /><Relationship Target="embeddings/oleObject0.bin" Id="docRId0" Type="http://schemas.openxmlformats.org/officeDocument/2006/relationships/oleObject" /><Relationship TargetMode="External" Target="https://uk/" Id="docRId2" Type="http://schemas.openxmlformats.org/officeDocument/2006/relationships/hyperlink" /><Relationship Target="styles.xml" Id="docRId4" Type="http://schemas.openxmlformats.org/officeDocument/2006/relationships/styles" /></Relationships>
</file>