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C3624F" w14:textId="77777777" w:rsidR="00E23F92" w:rsidRPr="00223068" w:rsidRDefault="00E23F92" w:rsidP="00E23F92">
      <w:pPr>
        <w:jc w:val="center"/>
        <w:rPr>
          <w:rFonts w:cs="Times New Roman"/>
          <w:b/>
          <w:bCs/>
          <w:sz w:val="32"/>
          <w:szCs w:val="32"/>
        </w:rPr>
      </w:pPr>
    </w:p>
    <w:p w14:paraId="78C7789F" w14:textId="77777777" w:rsidR="00E23F92" w:rsidRPr="00223068" w:rsidRDefault="00E23F92" w:rsidP="00E23F92">
      <w:pPr>
        <w:jc w:val="center"/>
        <w:rPr>
          <w:rFonts w:cs="Times New Roman"/>
          <w:b/>
          <w:bCs/>
          <w:sz w:val="32"/>
          <w:szCs w:val="32"/>
        </w:rPr>
      </w:pPr>
    </w:p>
    <w:p w14:paraId="0B6DBEB2" w14:textId="77777777" w:rsidR="00E23F92" w:rsidRPr="00223068" w:rsidRDefault="00E23F92" w:rsidP="00E23F92">
      <w:pPr>
        <w:jc w:val="center"/>
        <w:rPr>
          <w:rFonts w:cs="Times New Roman"/>
          <w:b/>
          <w:bCs/>
          <w:sz w:val="32"/>
          <w:szCs w:val="32"/>
        </w:rPr>
      </w:pPr>
    </w:p>
    <w:p w14:paraId="11B9DD1F" w14:textId="77777777" w:rsidR="00E23F92" w:rsidRPr="00223068" w:rsidRDefault="00E23F92" w:rsidP="00E23F92">
      <w:pPr>
        <w:jc w:val="center"/>
        <w:rPr>
          <w:rFonts w:cs="Times New Roman"/>
          <w:b/>
          <w:bCs/>
          <w:sz w:val="32"/>
          <w:szCs w:val="32"/>
        </w:rPr>
      </w:pPr>
    </w:p>
    <w:p w14:paraId="0D5AD645" w14:textId="77777777" w:rsidR="00E23F92" w:rsidRPr="00B237D8" w:rsidRDefault="00E23F92" w:rsidP="00E23F92">
      <w:pPr>
        <w:jc w:val="center"/>
        <w:rPr>
          <w:rFonts w:cs="Times New Roman"/>
          <w:b/>
          <w:bCs/>
          <w:sz w:val="36"/>
          <w:szCs w:val="36"/>
        </w:rPr>
      </w:pPr>
    </w:p>
    <w:p w14:paraId="6134CA99" w14:textId="2264BAB1" w:rsidR="00184E8D" w:rsidRPr="00B237D8" w:rsidRDefault="00525868" w:rsidP="00E23F92">
      <w:pPr>
        <w:jc w:val="center"/>
        <w:rPr>
          <w:rFonts w:cs="Times New Roman"/>
          <w:b/>
          <w:bCs/>
          <w:sz w:val="36"/>
          <w:szCs w:val="36"/>
        </w:rPr>
      </w:pPr>
      <w:r w:rsidRPr="00B237D8">
        <w:rPr>
          <w:rFonts w:cs="Times New Roman"/>
          <w:b/>
          <w:bCs/>
          <w:sz w:val="36"/>
          <w:szCs w:val="36"/>
        </w:rPr>
        <w:t>Managing the AI Risk Transition at RELX:</w:t>
      </w:r>
      <w:r w:rsidRPr="00B237D8">
        <w:rPr>
          <w:rFonts w:cs="Times New Roman"/>
          <w:b/>
          <w:bCs/>
          <w:sz w:val="36"/>
          <w:szCs w:val="36"/>
        </w:rPr>
        <w:br/>
        <w:t>A UK–EU Comparative Report on Data Governance, Ethical AI, Regulatory Compliance and Customer Trust</w:t>
      </w:r>
    </w:p>
    <w:p w14:paraId="158B5FD1" w14:textId="77777777" w:rsidR="00E23F92" w:rsidRPr="00223068" w:rsidRDefault="00E23F92" w:rsidP="00E23F92">
      <w:pPr>
        <w:jc w:val="center"/>
        <w:rPr>
          <w:rFonts w:cs="Times New Roman"/>
          <w:b/>
          <w:bCs/>
          <w:sz w:val="32"/>
          <w:szCs w:val="32"/>
        </w:rPr>
      </w:pPr>
    </w:p>
    <w:p w14:paraId="76687895" w14:textId="77777777" w:rsidR="00223068" w:rsidRPr="00223068" w:rsidRDefault="00223068" w:rsidP="00E23F92">
      <w:pPr>
        <w:jc w:val="center"/>
        <w:rPr>
          <w:rFonts w:cs="Times New Roman"/>
          <w:b/>
          <w:bCs/>
          <w:sz w:val="32"/>
          <w:szCs w:val="32"/>
        </w:rPr>
      </w:pPr>
    </w:p>
    <w:p w14:paraId="524535D2" w14:textId="77777777" w:rsidR="00223068" w:rsidRPr="00223068" w:rsidRDefault="00223068" w:rsidP="00E23F92">
      <w:pPr>
        <w:jc w:val="center"/>
        <w:rPr>
          <w:rFonts w:cs="Times New Roman"/>
          <w:b/>
          <w:bCs/>
          <w:sz w:val="32"/>
          <w:szCs w:val="32"/>
        </w:rPr>
      </w:pPr>
    </w:p>
    <w:p w14:paraId="4A17076D" w14:textId="77777777" w:rsidR="00223068" w:rsidRPr="00223068" w:rsidRDefault="00223068" w:rsidP="00E23F92">
      <w:pPr>
        <w:jc w:val="center"/>
        <w:rPr>
          <w:rFonts w:cs="Times New Roman"/>
          <w:b/>
          <w:bCs/>
          <w:sz w:val="32"/>
          <w:szCs w:val="32"/>
        </w:rPr>
      </w:pPr>
    </w:p>
    <w:p w14:paraId="30AEB851" w14:textId="77777777" w:rsidR="00223068" w:rsidRPr="00223068" w:rsidRDefault="00223068" w:rsidP="00E23F92">
      <w:pPr>
        <w:jc w:val="center"/>
        <w:rPr>
          <w:rFonts w:cs="Times New Roman"/>
          <w:b/>
          <w:bCs/>
          <w:sz w:val="32"/>
          <w:szCs w:val="32"/>
        </w:rPr>
      </w:pPr>
    </w:p>
    <w:p w14:paraId="23F3CF17" w14:textId="77777777" w:rsidR="00223068" w:rsidRPr="00223068" w:rsidRDefault="00223068" w:rsidP="00E23F92">
      <w:pPr>
        <w:jc w:val="center"/>
        <w:rPr>
          <w:rFonts w:cs="Times New Roman"/>
          <w:b/>
          <w:bCs/>
          <w:sz w:val="32"/>
          <w:szCs w:val="32"/>
        </w:rPr>
      </w:pPr>
    </w:p>
    <w:p w14:paraId="027DA166" w14:textId="77777777" w:rsidR="00223068" w:rsidRPr="00223068" w:rsidRDefault="00223068" w:rsidP="00E23F92">
      <w:pPr>
        <w:jc w:val="center"/>
        <w:rPr>
          <w:rFonts w:cs="Times New Roman"/>
          <w:b/>
          <w:bCs/>
          <w:sz w:val="32"/>
          <w:szCs w:val="32"/>
        </w:rPr>
      </w:pPr>
    </w:p>
    <w:p w14:paraId="41CCE039" w14:textId="77777777" w:rsidR="00223068" w:rsidRPr="00223068" w:rsidRDefault="00223068" w:rsidP="00067C3D">
      <w:pPr>
        <w:rPr>
          <w:rFonts w:cs="Times New Roman"/>
          <w:b/>
          <w:bCs/>
          <w:sz w:val="32"/>
          <w:szCs w:val="32"/>
        </w:rPr>
      </w:pPr>
    </w:p>
    <w:p w14:paraId="33CA64B2" w14:textId="2B46137A" w:rsidR="00E23F92" w:rsidRPr="00223068" w:rsidRDefault="00E23F92" w:rsidP="00E23F92">
      <w:pPr>
        <w:jc w:val="center"/>
        <w:rPr>
          <w:rFonts w:cs="Times New Roman"/>
          <w:sz w:val="32"/>
          <w:szCs w:val="32"/>
        </w:rPr>
      </w:pPr>
      <w:r w:rsidRPr="00223068">
        <w:rPr>
          <w:rFonts w:cs="Times New Roman"/>
          <w:sz w:val="32"/>
          <w:szCs w:val="32"/>
        </w:rPr>
        <w:t>Samantha Hernandez – 2518260</w:t>
      </w:r>
    </w:p>
    <w:p w14:paraId="0DEFB285" w14:textId="6BA84985" w:rsidR="00184E8D" w:rsidRDefault="00223068" w:rsidP="00B237D8">
      <w:pPr>
        <w:jc w:val="center"/>
        <w:rPr>
          <w:rFonts w:cs="Times New Roman"/>
          <w:sz w:val="32"/>
          <w:szCs w:val="32"/>
        </w:rPr>
      </w:pPr>
      <w:r w:rsidRPr="00223068">
        <w:rPr>
          <w:rFonts w:cs="Times New Roman"/>
          <w:sz w:val="32"/>
          <w:szCs w:val="32"/>
        </w:rPr>
        <w:t xml:space="preserve">BMMB7006 Global Business Challenges </w:t>
      </w:r>
    </w:p>
    <w:p w14:paraId="52672E2C" w14:textId="69275B27" w:rsidR="00067C3D" w:rsidRPr="00263421" w:rsidRDefault="00263421" w:rsidP="00B237D8">
      <w:pPr>
        <w:jc w:val="center"/>
        <w:rPr>
          <w:rFonts w:ascii="Arial" w:hAnsi="Arial" w:cs="Arial"/>
          <w:color w:val="595959" w:themeColor="text1" w:themeTint="A6"/>
          <w:szCs w:val="24"/>
        </w:rPr>
      </w:pPr>
      <w:r w:rsidRPr="00263421">
        <w:rPr>
          <w:rFonts w:ascii="Arial" w:hAnsi="Arial" w:cs="Arial"/>
          <w:color w:val="595959" w:themeColor="text1" w:themeTint="A6"/>
          <w:szCs w:val="24"/>
        </w:rPr>
        <w:t>5276 word count</w:t>
      </w:r>
    </w:p>
    <w:p w14:paraId="3FA05576" w14:textId="57357B8B" w:rsidR="00184E8D" w:rsidRPr="00B237D8" w:rsidRDefault="00525868">
      <w:pPr>
        <w:pStyle w:val="Heading1"/>
        <w:rPr>
          <w:rFonts w:ascii="Times New Roman" w:eastAsia="SimSun" w:hAnsi="Times New Roman" w:cs="Times New Roman"/>
          <w:lang w:eastAsia="zh-CN"/>
        </w:rPr>
      </w:pPr>
      <w:bookmarkStart w:id="0" w:name="_Toc228125935"/>
      <w:r w:rsidRPr="00B237D8">
        <w:rPr>
          <w:rFonts w:ascii="Times New Roman" w:hAnsi="Times New Roman" w:cs="Times New Roman"/>
        </w:rPr>
        <w:lastRenderedPageBreak/>
        <w:t>Executive Summary</w:t>
      </w:r>
      <w:bookmarkEnd w:id="0"/>
    </w:p>
    <w:p w14:paraId="04FB5A1B" w14:textId="77777777" w:rsidR="00184E8D" w:rsidRPr="00223068" w:rsidRDefault="00525868" w:rsidP="00223068">
      <w:pPr>
        <w:ind w:firstLine="720"/>
        <w:jc w:val="both"/>
        <w:rPr>
          <w:rFonts w:cs="Times New Roman"/>
        </w:rPr>
      </w:pPr>
      <w:r w:rsidRPr="00223068">
        <w:rPr>
          <w:rFonts w:cs="Times New Roman"/>
        </w:rPr>
        <w:t>This report examines how the rapid growth of artificial intelligence is changing risk management at RELX. RELX is a suitable case because AI is no longer a marginal technology in the business. The company’s 2025 annual reporting shows that AI-enabled analytics and decision tools are already contributing to growth across its Risk, Legal, and Scientific, Technical &amp; Medical divisions, while its Responsible AI Principles make clear that RELX sees AI as increasingly connected to customer decision-making. At the same time, the company identifies privacy, cybersecurity, third-party dependence, regulatory change and reputational harm as material risks. This means AI is both a growth opportunity and a governance challenge for RELX (RELX, 2026a; RELX, n.d.-a).</w:t>
      </w:r>
    </w:p>
    <w:p w14:paraId="39BC7961" w14:textId="77777777" w:rsidR="00184E8D" w:rsidRPr="00223068" w:rsidRDefault="00525868" w:rsidP="00223068">
      <w:pPr>
        <w:ind w:firstLine="720"/>
        <w:jc w:val="both"/>
        <w:rPr>
          <w:rFonts w:cs="Times New Roman"/>
        </w:rPr>
      </w:pPr>
      <w:r w:rsidRPr="00223068">
        <w:rPr>
          <w:rFonts w:cs="Times New Roman"/>
        </w:rPr>
        <w:t xml:space="preserve">The report argues that RELX’s key challenge is not whether it should adopt more AI, but whether it can govern AI consistently across products, business units and jurisdictions. This is particularly important in a UK–EU context. The UK continues to </w:t>
      </w:r>
      <w:proofErr w:type="spellStart"/>
      <w:r w:rsidRPr="00223068">
        <w:rPr>
          <w:rFonts w:cs="Times New Roman"/>
        </w:rPr>
        <w:t>favour</w:t>
      </w:r>
      <w:proofErr w:type="spellEnd"/>
      <w:r w:rsidRPr="00223068">
        <w:rPr>
          <w:rFonts w:cs="Times New Roman"/>
        </w:rPr>
        <w:t xml:space="preserve"> a more flexible, regulator-led and pro-innovation approach, while the EU has introduced a more formal risk-based regime under the AI Act. For RELX, this creates a risk of fragmented governance if individual business units continue to implement principles in different ways (DSIT, 2024; European Commission, 2025a; AI Act Service Desk, 2026).</w:t>
      </w:r>
    </w:p>
    <w:p w14:paraId="0E89413A" w14:textId="77777777" w:rsidR="00184E8D" w:rsidRPr="00223068" w:rsidRDefault="00525868" w:rsidP="00223068">
      <w:pPr>
        <w:ind w:firstLine="720"/>
        <w:jc w:val="both"/>
        <w:rPr>
          <w:rFonts w:cs="Times New Roman"/>
        </w:rPr>
      </w:pPr>
      <w:r w:rsidRPr="00223068">
        <w:rPr>
          <w:rFonts w:cs="Times New Roman"/>
        </w:rPr>
        <w:t xml:space="preserve">The report finds that RELX already has a relatively strong ethical foundation through its Responsible AI Principles and Privacy Principles. However, these appear stronger as high-level commitments than as a fully </w:t>
      </w:r>
      <w:proofErr w:type="spellStart"/>
      <w:r w:rsidRPr="00223068">
        <w:rPr>
          <w:rFonts w:cs="Times New Roman"/>
        </w:rPr>
        <w:t>standardised</w:t>
      </w:r>
      <w:proofErr w:type="spellEnd"/>
      <w:r w:rsidRPr="00223068">
        <w:rPr>
          <w:rFonts w:cs="Times New Roman"/>
        </w:rPr>
        <w:t xml:space="preserve"> enterprise control system. The main recommendation is therefore that RELX should adopt a group-wide AI governance baseline designed to meet the stricter parts of the EU framework while remaining workable in the UK. This should include a central AI inventory, risk-tiering of systems, stronger data-lineage requirements, better vendor governance, product-level transparency standards, clearer human-oversight rules, and a board-level AI dashboard. If implemented well, this would reduce regulatory fragmentation, strengthen customer trust and turn responsible AI into a long-term competitive advantage (RELX, n.d.-a; RELX, n.d.-b; NIST, 2023).</w:t>
      </w:r>
    </w:p>
    <w:p w14:paraId="42981062" w14:textId="77777777" w:rsidR="00184E8D" w:rsidRPr="00223068" w:rsidRDefault="00525868">
      <w:pPr>
        <w:jc w:val="both"/>
        <w:rPr>
          <w:rFonts w:cs="Times New Roman"/>
        </w:rPr>
      </w:pPr>
      <w:r w:rsidRPr="00223068">
        <w:rPr>
          <w:rFonts w:cs="Times New Roman"/>
        </w:rPr>
        <w:br w:type="page"/>
      </w:r>
    </w:p>
    <w:sdt>
      <w:sdtPr>
        <w:rPr>
          <w:rFonts w:ascii="Times New Roman" w:eastAsia="Times New Roman" w:hAnsi="Times New Roman" w:cstheme="minorBidi"/>
          <w:b w:val="0"/>
          <w:bCs w:val="0"/>
          <w:color w:val="auto"/>
          <w:sz w:val="24"/>
          <w:szCs w:val="22"/>
          <w:lang w:val="en-GB"/>
        </w:rPr>
        <w:id w:val="915677490"/>
        <w:docPartObj>
          <w:docPartGallery w:val="Table of Contents"/>
          <w:docPartUnique/>
        </w:docPartObj>
      </w:sdtPr>
      <w:sdtEndPr>
        <w:rPr>
          <w:lang w:val="en-US"/>
        </w:rPr>
      </w:sdtEndPr>
      <w:sdtContent>
        <w:p w14:paraId="0F804528" w14:textId="109E88E5" w:rsidR="00223068" w:rsidRPr="00B237D8" w:rsidRDefault="00223068">
          <w:pPr>
            <w:pStyle w:val="TOCHeading"/>
          </w:pPr>
          <w:r w:rsidRPr="00B237D8">
            <w:rPr>
              <w:lang w:val="en-GB"/>
            </w:rPr>
            <w:t>Contents</w:t>
          </w:r>
        </w:p>
        <w:p w14:paraId="064E4BCC" w14:textId="5E9D444F" w:rsidR="00B237D8" w:rsidRDefault="00223068">
          <w:pPr>
            <w:pStyle w:val="TOC1"/>
            <w:tabs>
              <w:tab w:val="right" w:leader="dot" w:pos="9350"/>
            </w:tabs>
            <w:rPr>
              <w:rFonts w:asciiTheme="minorHAnsi" w:eastAsiaTheme="minorEastAsia" w:hAnsiTheme="minorHAnsi"/>
              <w:noProof/>
              <w:kern w:val="2"/>
              <w:szCs w:val="24"/>
              <w:lang w:val="en-GB" w:eastAsia="en-GB"/>
              <w14:ligatures w14:val="standardContextual"/>
            </w:rPr>
          </w:pPr>
          <w:r>
            <w:fldChar w:fldCharType="begin"/>
          </w:r>
          <w:r>
            <w:instrText xml:space="preserve"> TOC \o "1-3" \h \z \u </w:instrText>
          </w:r>
          <w:r>
            <w:fldChar w:fldCharType="separate"/>
          </w:r>
          <w:hyperlink w:anchor="_Toc228125935" w:history="1">
            <w:r w:rsidR="00B237D8" w:rsidRPr="009C5CE1">
              <w:rPr>
                <w:rStyle w:val="Hyperlink"/>
                <w:rFonts w:cs="Times New Roman"/>
                <w:noProof/>
              </w:rPr>
              <w:t>Executive Summary</w:t>
            </w:r>
            <w:r w:rsidR="00B237D8">
              <w:rPr>
                <w:noProof/>
                <w:webHidden/>
              </w:rPr>
              <w:tab/>
            </w:r>
            <w:r w:rsidR="00B237D8">
              <w:rPr>
                <w:noProof/>
                <w:webHidden/>
              </w:rPr>
              <w:fldChar w:fldCharType="begin"/>
            </w:r>
            <w:r w:rsidR="00B237D8">
              <w:rPr>
                <w:noProof/>
                <w:webHidden/>
              </w:rPr>
              <w:instrText xml:space="preserve"> PAGEREF _Toc228125935 \h </w:instrText>
            </w:r>
            <w:r w:rsidR="00B237D8">
              <w:rPr>
                <w:noProof/>
                <w:webHidden/>
              </w:rPr>
            </w:r>
            <w:r w:rsidR="00B237D8">
              <w:rPr>
                <w:noProof/>
                <w:webHidden/>
              </w:rPr>
              <w:fldChar w:fldCharType="separate"/>
            </w:r>
            <w:r w:rsidR="00B237D8">
              <w:rPr>
                <w:noProof/>
                <w:webHidden/>
              </w:rPr>
              <w:t>2</w:t>
            </w:r>
            <w:r w:rsidR="00B237D8">
              <w:rPr>
                <w:noProof/>
                <w:webHidden/>
              </w:rPr>
              <w:fldChar w:fldCharType="end"/>
            </w:r>
          </w:hyperlink>
        </w:p>
        <w:p w14:paraId="04BE875D" w14:textId="3DF0736B" w:rsidR="00B237D8" w:rsidRDefault="00B237D8">
          <w:pPr>
            <w:pStyle w:val="TOC1"/>
            <w:tabs>
              <w:tab w:val="right" w:leader="dot" w:pos="9350"/>
            </w:tabs>
            <w:rPr>
              <w:rFonts w:asciiTheme="minorHAnsi" w:eastAsiaTheme="minorEastAsia" w:hAnsiTheme="minorHAnsi"/>
              <w:noProof/>
              <w:kern w:val="2"/>
              <w:szCs w:val="24"/>
              <w:lang w:val="en-GB" w:eastAsia="en-GB"/>
              <w14:ligatures w14:val="standardContextual"/>
            </w:rPr>
          </w:pPr>
          <w:hyperlink w:anchor="_Toc228125936" w:history="1">
            <w:r w:rsidRPr="009C5CE1">
              <w:rPr>
                <w:rStyle w:val="Hyperlink"/>
                <w:rFonts w:cs="Times New Roman"/>
                <w:noProof/>
              </w:rPr>
              <w:t>Introduction</w:t>
            </w:r>
            <w:r>
              <w:rPr>
                <w:noProof/>
                <w:webHidden/>
              </w:rPr>
              <w:tab/>
            </w:r>
            <w:r>
              <w:rPr>
                <w:noProof/>
                <w:webHidden/>
              </w:rPr>
              <w:fldChar w:fldCharType="begin"/>
            </w:r>
            <w:r>
              <w:rPr>
                <w:noProof/>
                <w:webHidden/>
              </w:rPr>
              <w:instrText xml:space="preserve"> PAGEREF _Toc228125936 \h </w:instrText>
            </w:r>
            <w:r>
              <w:rPr>
                <w:noProof/>
                <w:webHidden/>
              </w:rPr>
            </w:r>
            <w:r>
              <w:rPr>
                <w:noProof/>
                <w:webHidden/>
              </w:rPr>
              <w:fldChar w:fldCharType="separate"/>
            </w:r>
            <w:r>
              <w:rPr>
                <w:noProof/>
                <w:webHidden/>
              </w:rPr>
              <w:t>4</w:t>
            </w:r>
            <w:r>
              <w:rPr>
                <w:noProof/>
                <w:webHidden/>
              </w:rPr>
              <w:fldChar w:fldCharType="end"/>
            </w:r>
          </w:hyperlink>
        </w:p>
        <w:p w14:paraId="1C5B9B62" w14:textId="2FF7F2E8" w:rsidR="00B237D8" w:rsidRDefault="00B237D8">
          <w:pPr>
            <w:pStyle w:val="TOC1"/>
            <w:tabs>
              <w:tab w:val="right" w:leader="dot" w:pos="9350"/>
            </w:tabs>
            <w:rPr>
              <w:rFonts w:asciiTheme="minorHAnsi" w:eastAsiaTheme="minorEastAsia" w:hAnsiTheme="minorHAnsi"/>
              <w:noProof/>
              <w:kern w:val="2"/>
              <w:szCs w:val="24"/>
              <w:lang w:val="en-GB" w:eastAsia="en-GB"/>
              <w14:ligatures w14:val="standardContextual"/>
            </w:rPr>
          </w:pPr>
          <w:hyperlink w:anchor="_Toc228125937" w:history="1">
            <w:r w:rsidRPr="009C5CE1">
              <w:rPr>
                <w:rStyle w:val="Hyperlink"/>
                <w:rFonts w:cs="Times New Roman"/>
                <w:noProof/>
              </w:rPr>
              <w:t>Company Context and Analytical Approach</w:t>
            </w:r>
            <w:r>
              <w:rPr>
                <w:noProof/>
                <w:webHidden/>
              </w:rPr>
              <w:tab/>
            </w:r>
            <w:r>
              <w:rPr>
                <w:noProof/>
                <w:webHidden/>
              </w:rPr>
              <w:fldChar w:fldCharType="begin"/>
            </w:r>
            <w:r>
              <w:rPr>
                <w:noProof/>
                <w:webHidden/>
              </w:rPr>
              <w:instrText xml:space="preserve"> PAGEREF _Toc228125937 \h </w:instrText>
            </w:r>
            <w:r>
              <w:rPr>
                <w:noProof/>
                <w:webHidden/>
              </w:rPr>
            </w:r>
            <w:r>
              <w:rPr>
                <w:noProof/>
                <w:webHidden/>
              </w:rPr>
              <w:fldChar w:fldCharType="separate"/>
            </w:r>
            <w:r>
              <w:rPr>
                <w:noProof/>
                <w:webHidden/>
              </w:rPr>
              <w:t>5</w:t>
            </w:r>
            <w:r>
              <w:rPr>
                <w:noProof/>
                <w:webHidden/>
              </w:rPr>
              <w:fldChar w:fldCharType="end"/>
            </w:r>
          </w:hyperlink>
        </w:p>
        <w:p w14:paraId="0164B29B" w14:textId="4E77297B" w:rsidR="00B237D8" w:rsidRDefault="00B237D8">
          <w:pPr>
            <w:pStyle w:val="TOC1"/>
            <w:tabs>
              <w:tab w:val="right" w:leader="dot" w:pos="9350"/>
            </w:tabs>
            <w:rPr>
              <w:rFonts w:asciiTheme="minorHAnsi" w:eastAsiaTheme="minorEastAsia" w:hAnsiTheme="minorHAnsi"/>
              <w:noProof/>
              <w:kern w:val="2"/>
              <w:szCs w:val="24"/>
              <w:lang w:val="en-GB" w:eastAsia="en-GB"/>
              <w14:ligatures w14:val="standardContextual"/>
            </w:rPr>
          </w:pPr>
          <w:hyperlink w:anchor="_Toc228125938" w:history="1">
            <w:r w:rsidRPr="009C5CE1">
              <w:rPr>
                <w:rStyle w:val="Hyperlink"/>
                <w:rFonts w:cs="Times New Roman"/>
                <w:noProof/>
              </w:rPr>
              <w:t>Main Findings</w:t>
            </w:r>
            <w:r>
              <w:rPr>
                <w:noProof/>
                <w:webHidden/>
              </w:rPr>
              <w:tab/>
            </w:r>
            <w:r>
              <w:rPr>
                <w:noProof/>
                <w:webHidden/>
              </w:rPr>
              <w:fldChar w:fldCharType="begin"/>
            </w:r>
            <w:r>
              <w:rPr>
                <w:noProof/>
                <w:webHidden/>
              </w:rPr>
              <w:instrText xml:space="preserve"> PAGEREF _Toc228125938 \h </w:instrText>
            </w:r>
            <w:r>
              <w:rPr>
                <w:noProof/>
                <w:webHidden/>
              </w:rPr>
            </w:r>
            <w:r>
              <w:rPr>
                <w:noProof/>
                <w:webHidden/>
              </w:rPr>
              <w:fldChar w:fldCharType="separate"/>
            </w:r>
            <w:r>
              <w:rPr>
                <w:noProof/>
                <w:webHidden/>
              </w:rPr>
              <w:t>7</w:t>
            </w:r>
            <w:r>
              <w:rPr>
                <w:noProof/>
                <w:webHidden/>
              </w:rPr>
              <w:fldChar w:fldCharType="end"/>
            </w:r>
          </w:hyperlink>
        </w:p>
        <w:p w14:paraId="0F249A09" w14:textId="47E8097F" w:rsidR="00B237D8" w:rsidRDefault="00B237D8">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228125939" w:history="1">
            <w:r w:rsidRPr="009C5CE1">
              <w:rPr>
                <w:rStyle w:val="Hyperlink"/>
                <w:rFonts w:cs="Times New Roman"/>
                <w:noProof/>
              </w:rPr>
              <w:t>1.1 AI as a strategically material issue for RELX</w:t>
            </w:r>
            <w:r>
              <w:rPr>
                <w:noProof/>
                <w:webHidden/>
              </w:rPr>
              <w:tab/>
            </w:r>
            <w:r>
              <w:rPr>
                <w:noProof/>
                <w:webHidden/>
              </w:rPr>
              <w:fldChar w:fldCharType="begin"/>
            </w:r>
            <w:r>
              <w:rPr>
                <w:noProof/>
                <w:webHidden/>
              </w:rPr>
              <w:instrText xml:space="preserve"> PAGEREF _Toc228125939 \h </w:instrText>
            </w:r>
            <w:r>
              <w:rPr>
                <w:noProof/>
                <w:webHidden/>
              </w:rPr>
            </w:r>
            <w:r>
              <w:rPr>
                <w:noProof/>
                <w:webHidden/>
              </w:rPr>
              <w:fldChar w:fldCharType="separate"/>
            </w:r>
            <w:r>
              <w:rPr>
                <w:noProof/>
                <w:webHidden/>
              </w:rPr>
              <w:t>7</w:t>
            </w:r>
            <w:r>
              <w:rPr>
                <w:noProof/>
                <w:webHidden/>
              </w:rPr>
              <w:fldChar w:fldCharType="end"/>
            </w:r>
          </w:hyperlink>
        </w:p>
        <w:p w14:paraId="0A3607D1" w14:textId="2B0CC17D" w:rsidR="00B237D8" w:rsidRDefault="00B237D8">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228125940" w:history="1">
            <w:r w:rsidRPr="009C5CE1">
              <w:rPr>
                <w:rStyle w:val="Hyperlink"/>
                <w:rFonts w:cs="Times New Roman"/>
                <w:noProof/>
              </w:rPr>
              <w:t>1.2 PESTLE and macroeconomic context in the UK and EU</w:t>
            </w:r>
            <w:r>
              <w:rPr>
                <w:noProof/>
                <w:webHidden/>
              </w:rPr>
              <w:tab/>
            </w:r>
            <w:r>
              <w:rPr>
                <w:noProof/>
                <w:webHidden/>
              </w:rPr>
              <w:fldChar w:fldCharType="begin"/>
            </w:r>
            <w:r>
              <w:rPr>
                <w:noProof/>
                <w:webHidden/>
              </w:rPr>
              <w:instrText xml:space="preserve"> PAGEREF _Toc228125940 \h </w:instrText>
            </w:r>
            <w:r>
              <w:rPr>
                <w:noProof/>
                <w:webHidden/>
              </w:rPr>
            </w:r>
            <w:r>
              <w:rPr>
                <w:noProof/>
                <w:webHidden/>
              </w:rPr>
              <w:fldChar w:fldCharType="separate"/>
            </w:r>
            <w:r>
              <w:rPr>
                <w:noProof/>
                <w:webHidden/>
              </w:rPr>
              <w:t>8</w:t>
            </w:r>
            <w:r>
              <w:rPr>
                <w:noProof/>
                <w:webHidden/>
              </w:rPr>
              <w:fldChar w:fldCharType="end"/>
            </w:r>
          </w:hyperlink>
        </w:p>
        <w:p w14:paraId="55D692E9" w14:textId="571DAD3F" w:rsidR="00B237D8" w:rsidRDefault="00B237D8">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228125941" w:history="1">
            <w:r w:rsidRPr="009C5CE1">
              <w:rPr>
                <w:rStyle w:val="Hyperlink"/>
                <w:rFonts w:cs="Times New Roman"/>
                <w:noProof/>
              </w:rPr>
              <w:t>1.3 Data governance as the foundational risk issue</w:t>
            </w:r>
            <w:r>
              <w:rPr>
                <w:noProof/>
                <w:webHidden/>
              </w:rPr>
              <w:tab/>
            </w:r>
            <w:r>
              <w:rPr>
                <w:noProof/>
                <w:webHidden/>
              </w:rPr>
              <w:fldChar w:fldCharType="begin"/>
            </w:r>
            <w:r>
              <w:rPr>
                <w:noProof/>
                <w:webHidden/>
              </w:rPr>
              <w:instrText xml:space="preserve"> PAGEREF _Toc228125941 \h </w:instrText>
            </w:r>
            <w:r>
              <w:rPr>
                <w:noProof/>
                <w:webHidden/>
              </w:rPr>
            </w:r>
            <w:r>
              <w:rPr>
                <w:noProof/>
                <w:webHidden/>
              </w:rPr>
              <w:fldChar w:fldCharType="separate"/>
            </w:r>
            <w:r>
              <w:rPr>
                <w:noProof/>
                <w:webHidden/>
              </w:rPr>
              <w:t>9</w:t>
            </w:r>
            <w:r>
              <w:rPr>
                <w:noProof/>
                <w:webHidden/>
              </w:rPr>
              <w:fldChar w:fldCharType="end"/>
            </w:r>
          </w:hyperlink>
        </w:p>
        <w:p w14:paraId="23CEDCC2" w14:textId="25C46B68" w:rsidR="00B237D8" w:rsidRDefault="00B237D8">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228125942" w:history="1">
            <w:r w:rsidRPr="009C5CE1">
              <w:rPr>
                <w:rStyle w:val="Hyperlink"/>
                <w:rFonts w:cs="Times New Roman"/>
                <w:noProof/>
              </w:rPr>
              <w:t>1.4 Ethical AI, model risk and human oversight</w:t>
            </w:r>
            <w:r>
              <w:rPr>
                <w:noProof/>
                <w:webHidden/>
              </w:rPr>
              <w:tab/>
            </w:r>
            <w:r>
              <w:rPr>
                <w:noProof/>
                <w:webHidden/>
              </w:rPr>
              <w:fldChar w:fldCharType="begin"/>
            </w:r>
            <w:r>
              <w:rPr>
                <w:noProof/>
                <w:webHidden/>
              </w:rPr>
              <w:instrText xml:space="preserve"> PAGEREF _Toc228125942 \h </w:instrText>
            </w:r>
            <w:r>
              <w:rPr>
                <w:noProof/>
                <w:webHidden/>
              </w:rPr>
            </w:r>
            <w:r>
              <w:rPr>
                <w:noProof/>
                <w:webHidden/>
              </w:rPr>
              <w:fldChar w:fldCharType="separate"/>
            </w:r>
            <w:r>
              <w:rPr>
                <w:noProof/>
                <w:webHidden/>
              </w:rPr>
              <w:t>11</w:t>
            </w:r>
            <w:r>
              <w:rPr>
                <w:noProof/>
                <w:webHidden/>
              </w:rPr>
              <w:fldChar w:fldCharType="end"/>
            </w:r>
          </w:hyperlink>
        </w:p>
        <w:p w14:paraId="51F7D40B" w14:textId="269B1B74" w:rsidR="00B237D8" w:rsidRDefault="00B237D8">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228125943" w:history="1">
            <w:r w:rsidRPr="009C5CE1">
              <w:rPr>
                <w:rStyle w:val="Hyperlink"/>
                <w:rFonts w:cs="Times New Roman"/>
                <w:noProof/>
              </w:rPr>
              <w:t>1.5 Regulatory compliance in the UK and EU</w:t>
            </w:r>
            <w:r>
              <w:rPr>
                <w:noProof/>
                <w:webHidden/>
              </w:rPr>
              <w:tab/>
            </w:r>
            <w:r>
              <w:rPr>
                <w:noProof/>
                <w:webHidden/>
              </w:rPr>
              <w:fldChar w:fldCharType="begin"/>
            </w:r>
            <w:r>
              <w:rPr>
                <w:noProof/>
                <w:webHidden/>
              </w:rPr>
              <w:instrText xml:space="preserve"> PAGEREF _Toc228125943 \h </w:instrText>
            </w:r>
            <w:r>
              <w:rPr>
                <w:noProof/>
                <w:webHidden/>
              </w:rPr>
            </w:r>
            <w:r>
              <w:rPr>
                <w:noProof/>
                <w:webHidden/>
              </w:rPr>
              <w:fldChar w:fldCharType="separate"/>
            </w:r>
            <w:r>
              <w:rPr>
                <w:noProof/>
                <w:webHidden/>
              </w:rPr>
              <w:t>12</w:t>
            </w:r>
            <w:r>
              <w:rPr>
                <w:noProof/>
                <w:webHidden/>
              </w:rPr>
              <w:fldChar w:fldCharType="end"/>
            </w:r>
          </w:hyperlink>
        </w:p>
        <w:p w14:paraId="2B8E9479" w14:textId="64D8C834" w:rsidR="00B237D8" w:rsidRDefault="00B237D8">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228125944" w:history="1">
            <w:r w:rsidRPr="009C5CE1">
              <w:rPr>
                <w:rStyle w:val="Hyperlink"/>
                <w:rFonts w:cs="Times New Roman"/>
                <w:noProof/>
              </w:rPr>
              <w:t>1.6 Customer trust, transparency and reputational exposure</w:t>
            </w:r>
            <w:r>
              <w:rPr>
                <w:noProof/>
                <w:webHidden/>
              </w:rPr>
              <w:tab/>
            </w:r>
            <w:r>
              <w:rPr>
                <w:noProof/>
                <w:webHidden/>
              </w:rPr>
              <w:fldChar w:fldCharType="begin"/>
            </w:r>
            <w:r>
              <w:rPr>
                <w:noProof/>
                <w:webHidden/>
              </w:rPr>
              <w:instrText xml:space="preserve"> PAGEREF _Toc228125944 \h </w:instrText>
            </w:r>
            <w:r>
              <w:rPr>
                <w:noProof/>
                <w:webHidden/>
              </w:rPr>
            </w:r>
            <w:r>
              <w:rPr>
                <w:noProof/>
                <w:webHidden/>
              </w:rPr>
              <w:fldChar w:fldCharType="separate"/>
            </w:r>
            <w:r>
              <w:rPr>
                <w:noProof/>
                <w:webHidden/>
              </w:rPr>
              <w:t>13</w:t>
            </w:r>
            <w:r>
              <w:rPr>
                <w:noProof/>
                <w:webHidden/>
              </w:rPr>
              <w:fldChar w:fldCharType="end"/>
            </w:r>
          </w:hyperlink>
        </w:p>
        <w:p w14:paraId="17E29DB5" w14:textId="796973B7" w:rsidR="00B237D8" w:rsidRDefault="00B237D8">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228125945" w:history="1">
            <w:r w:rsidRPr="009C5CE1">
              <w:rPr>
                <w:rStyle w:val="Hyperlink"/>
                <w:rFonts w:cs="Times New Roman"/>
                <w:noProof/>
              </w:rPr>
              <w:t>1.7 Critical evaluation of RELX’s current governance position</w:t>
            </w:r>
            <w:r>
              <w:rPr>
                <w:noProof/>
                <w:webHidden/>
              </w:rPr>
              <w:tab/>
            </w:r>
            <w:r>
              <w:rPr>
                <w:noProof/>
                <w:webHidden/>
              </w:rPr>
              <w:fldChar w:fldCharType="begin"/>
            </w:r>
            <w:r>
              <w:rPr>
                <w:noProof/>
                <w:webHidden/>
              </w:rPr>
              <w:instrText xml:space="preserve"> PAGEREF _Toc228125945 \h </w:instrText>
            </w:r>
            <w:r>
              <w:rPr>
                <w:noProof/>
                <w:webHidden/>
              </w:rPr>
            </w:r>
            <w:r>
              <w:rPr>
                <w:noProof/>
                <w:webHidden/>
              </w:rPr>
              <w:fldChar w:fldCharType="separate"/>
            </w:r>
            <w:r>
              <w:rPr>
                <w:noProof/>
                <w:webHidden/>
              </w:rPr>
              <w:t>14</w:t>
            </w:r>
            <w:r>
              <w:rPr>
                <w:noProof/>
                <w:webHidden/>
              </w:rPr>
              <w:fldChar w:fldCharType="end"/>
            </w:r>
          </w:hyperlink>
        </w:p>
        <w:p w14:paraId="6BC8E19F" w14:textId="731D977E" w:rsidR="00B237D8" w:rsidRDefault="00B237D8">
          <w:pPr>
            <w:pStyle w:val="TOC1"/>
            <w:tabs>
              <w:tab w:val="right" w:leader="dot" w:pos="9350"/>
            </w:tabs>
            <w:rPr>
              <w:rFonts w:asciiTheme="minorHAnsi" w:eastAsiaTheme="minorEastAsia" w:hAnsiTheme="minorHAnsi"/>
              <w:noProof/>
              <w:kern w:val="2"/>
              <w:szCs w:val="24"/>
              <w:lang w:val="en-GB" w:eastAsia="en-GB"/>
              <w14:ligatures w14:val="standardContextual"/>
            </w:rPr>
          </w:pPr>
          <w:hyperlink w:anchor="_Toc228125946" w:history="1">
            <w:r w:rsidRPr="009C5CE1">
              <w:rPr>
                <w:rStyle w:val="Hyperlink"/>
                <w:rFonts w:cs="Times New Roman"/>
                <w:noProof/>
              </w:rPr>
              <w:t>Recommendations and Detailed Implementation Plan</w:t>
            </w:r>
            <w:r>
              <w:rPr>
                <w:noProof/>
                <w:webHidden/>
              </w:rPr>
              <w:tab/>
            </w:r>
            <w:r>
              <w:rPr>
                <w:noProof/>
                <w:webHidden/>
              </w:rPr>
              <w:fldChar w:fldCharType="begin"/>
            </w:r>
            <w:r>
              <w:rPr>
                <w:noProof/>
                <w:webHidden/>
              </w:rPr>
              <w:instrText xml:space="preserve"> PAGEREF _Toc228125946 \h </w:instrText>
            </w:r>
            <w:r>
              <w:rPr>
                <w:noProof/>
                <w:webHidden/>
              </w:rPr>
            </w:r>
            <w:r>
              <w:rPr>
                <w:noProof/>
                <w:webHidden/>
              </w:rPr>
              <w:fldChar w:fldCharType="separate"/>
            </w:r>
            <w:r>
              <w:rPr>
                <w:noProof/>
                <w:webHidden/>
              </w:rPr>
              <w:t>16</w:t>
            </w:r>
            <w:r>
              <w:rPr>
                <w:noProof/>
                <w:webHidden/>
              </w:rPr>
              <w:fldChar w:fldCharType="end"/>
            </w:r>
          </w:hyperlink>
        </w:p>
        <w:p w14:paraId="14848BCC" w14:textId="11D2D7F3" w:rsidR="00B237D8" w:rsidRDefault="00B237D8">
          <w:pPr>
            <w:pStyle w:val="TOC1"/>
            <w:tabs>
              <w:tab w:val="right" w:leader="dot" w:pos="9350"/>
            </w:tabs>
            <w:rPr>
              <w:rFonts w:asciiTheme="minorHAnsi" w:eastAsiaTheme="minorEastAsia" w:hAnsiTheme="minorHAnsi"/>
              <w:noProof/>
              <w:kern w:val="2"/>
              <w:szCs w:val="24"/>
              <w:lang w:val="en-GB" w:eastAsia="en-GB"/>
              <w14:ligatures w14:val="standardContextual"/>
            </w:rPr>
          </w:pPr>
          <w:hyperlink w:anchor="_Toc228125947" w:history="1">
            <w:r w:rsidRPr="009C5CE1">
              <w:rPr>
                <w:rStyle w:val="Hyperlink"/>
                <w:rFonts w:cs="Times New Roman"/>
                <w:noProof/>
              </w:rPr>
              <w:t>Conclusion</w:t>
            </w:r>
            <w:r>
              <w:rPr>
                <w:noProof/>
                <w:webHidden/>
              </w:rPr>
              <w:tab/>
            </w:r>
            <w:r>
              <w:rPr>
                <w:noProof/>
                <w:webHidden/>
              </w:rPr>
              <w:fldChar w:fldCharType="begin"/>
            </w:r>
            <w:r>
              <w:rPr>
                <w:noProof/>
                <w:webHidden/>
              </w:rPr>
              <w:instrText xml:space="preserve"> PAGEREF _Toc228125947 \h </w:instrText>
            </w:r>
            <w:r>
              <w:rPr>
                <w:noProof/>
                <w:webHidden/>
              </w:rPr>
            </w:r>
            <w:r>
              <w:rPr>
                <w:noProof/>
                <w:webHidden/>
              </w:rPr>
              <w:fldChar w:fldCharType="separate"/>
            </w:r>
            <w:r>
              <w:rPr>
                <w:noProof/>
                <w:webHidden/>
              </w:rPr>
              <w:t>19</w:t>
            </w:r>
            <w:r>
              <w:rPr>
                <w:noProof/>
                <w:webHidden/>
              </w:rPr>
              <w:fldChar w:fldCharType="end"/>
            </w:r>
          </w:hyperlink>
        </w:p>
        <w:p w14:paraId="3BF3CE7A" w14:textId="5A7A88E8" w:rsidR="00B237D8" w:rsidRDefault="00B237D8">
          <w:pPr>
            <w:pStyle w:val="TOC1"/>
            <w:tabs>
              <w:tab w:val="right" w:leader="dot" w:pos="9350"/>
            </w:tabs>
            <w:rPr>
              <w:rFonts w:asciiTheme="minorHAnsi" w:eastAsiaTheme="minorEastAsia" w:hAnsiTheme="minorHAnsi"/>
              <w:noProof/>
              <w:kern w:val="2"/>
              <w:szCs w:val="24"/>
              <w:lang w:val="en-GB" w:eastAsia="en-GB"/>
              <w14:ligatures w14:val="standardContextual"/>
            </w:rPr>
          </w:pPr>
          <w:hyperlink w:anchor="_Toc228125948" w:history="1">
            <w:r w:rsidRPr="009C5CE1">
              <w:rPr>
                <w:rStyle w:val="Hyperlink"/>
                <w:rFonts w:cs="Times New Roman"/>
                <w:noProof/>
              </w:rPr>
              <w:t>Bibliography</w:t>
            </w:r>
            <w:r>
              <w:rPr>
                <w:noProof/>
                <w:webHidden/>
              </w:rPr>
              <w:tab/>
            </w:r>
            <w:r>
              <w:rPr>
                <w:noProof/>
                <w:webHidden/>
              </w:rPr>
              <w:fldChar w:fldCharType="begin"/>
            </w:r>
            <w:r>
              <w:rPr>
                <w:noProof/>
                <w:webHidden/>
              </w:rPr>
              <w:instrText xml:space="preserve"> PAGEREF _Toc228125948 \h </w:instrText>
            </w:r>
            <w:r>
              <w:rPr>
                <w:noProof/>
                <w:webHidden/>
              </w:rPr>
            </w:r>
            <w:r>
              <w:rPr>
                <w:noProof/>
                <w:webHidden/>
              </w:rPr>
              <w:fldChar w:fldCharType="separate"/>
            </w:r>
            <w:r>
              <w:rPr>
                <w:noProof/>
                <w:webHidden/>
              </w:rPr>
              <w:t>20</w:t>
            </w:r>
            <w:r>
              <w:rPr>
                <w:noProof/>
                <w:webHidden/>
              </w:rPr>
              <w:fldChar w:fldCharType="end"/>
            </w:r>
          </w:hyperlink>
        </w:p>
        <w:p w14:paraId="46E9C6D4" w14:textId="1344EF19" w:rsidR="00223068" w:rsidRDefault="00223068">
          <w:r>
            <w:rPr>
              <w:b/>
              <w:bCs/>
            </w:rPr>
            <w:fldChar w:fldCharType="end"/>
          </w:r>
        </w:p>
      </w:sdtContent>
    </w:sdt>
    <w:p w14:paraId="657CC3E3" w14:textId="77777777" w:rsidR="00223068" w:rsidRDefault="00223068" w:rsidP="00223068"/>
    <w:p w14:paraId="794DB3FB" w14:textId="77777777" w:rsidR="00223068" w:rsidRDefault="00223068">
      <w:pPr>
        <w:pStyle w:val="Heading1"/>
        <w:rPr>
          <w:rFonts w:ascii="Times New Roman" w:hAnsi="Times New Roman" w:cs="Times New Roman"/>
        </w:rPr>
      </w:pPr>
    </w:p>
    <w:p w14:paraId="13161346" w14:textId="77777777" w:rsidR="00223068" w:rsidRDefault="00223068" w:rsidP="00223068"/>
    <w:p w14:paraId="5A5422BA" w14:textId="77777777" w:rsidR="00223068" w:rsidRDefault="00223068" w:rsidP="00223068"/>
    <w:p w14:paraId="6C83696F" w14:textId="77777777" w:rsidR="00223068" w:rsidRDefault="00223068" w:rsidP="00223068"/>
    <w:p w14:paraId="66F73691" w14:textId="77777777" w:rsidR="00223068" w:rsidRPr="00223068" w:rsidRDefault="00223068" w:rsidP="00223068"/>
    <w:p w14:paraId="56CC7143" w14:textId="5ABF31BA" w:rsidR="00184E8D" w:rsidRPr="00B237D8" w:rsidRDefault="00525868">
      <w:pPr>
        <w:pStyle w:val="Heading1"/>
        <w:rPr>
          <w:rFonts w:ascii="Times New Roman" w:eastAsia="SimSun" w:hAnsi="Times New Roman" w:cs="Times New Roman"/>
          <w:lang w:eastAsia="zh-CN"/>
        </w:rPr>
      </w:pPr>
      <w:bookmarkStart w:id="1" w:name="_Toc228125936"/>
      <w:r w:rsidRPr="00B237D8">
        <w:rPr>
          <w:rFonts w:ascii="Times New Roman" w:hAnsi="Times New Roman" w:cs="Times New Roman"/>
        </w:rPr>
        <w:lastRenderedPageBreak/>
        <w:t>Introduction</w:t>
      </w:r>
      <w:bookmarkEnd w:id="1"/>
    </w:p>
    <w:p w14:paraId="7C21FA8B" w14:textId="77777777" w:rsidR="00184E8D" w:rsidRPr="00223068" w:rsidRDefault="00525868" w:rsidP="00223068">
      <w:pPr>
        <w:ind w:firstLine="720"/>
      </w:pPr>
      <w:r w:rsidRPr="00223068">
        <w:t xml:space="preserve">Artificial intelligence has become a major business issue because it affects much more than efficiency or product innovation. For multinational firms, AI can change legal exposure, governance structures, customer trust, cyber risk and competitive positioning. This is especially true for companies whose business model depends on collecting, </w:t>
      </w:r>
      <w:proofErr w:type="spellStart"/>
      <w:r w:rsidRPr="00223068">
        <w:t>analysing</w:t>
      </w:r>
      <w:proofErr w:type="spellEnd"/>
      <w:r w:rsidRPr="00223068">
        <w:t xml:space="preserve"> and </w:t>
      </w:r>
      <w:proofErr w:type="spellStart"/>
      <w:r w:rsidRPr="00223068">
        <w:t>monetising</w:t>
      </w:r>
      <w:proofErr w:type="spellEnd"/>
      <w:r w:rsidRPr="00223068">
        <w:t xml:space="preserve"> large amounts of data. In those firms, AI risk management cannot be treated as a narrow technical issue. It </w:t>
      </w:r>
      <w:proofErr w:type="gramStart"/>
      <w:r w:rsidRPr="00223068">
        <w:t>has to</w:t>
      </w:r>
      <w:proofErr w:type="gramEnd"/>
      <w:r w:rsidRPr="00223068">
        <w:t xml:space="preserve"> be addressed as part of broader business strategy and corporate governance (ICO, 2023; NIST, 2023).</w:t>
      </w:r>
    </w:p>
    <w:p w14:paraId="3E959338" w14:textId="77777777" w:rsidR="00184E8D" w:rsidRPr="00223068" w:rsidRDefault="00525868" w:rsidP="00223068">
      <w:pPr>
        <w:ind w:firstLine="720"/>
        <w:jc w:val="both"/>
        <w:rPr>
          <w:rFonts w:cs="Times New Roman"/>
        </w:rPr>
      </w:pPr>
      <w:r w:rsidRPr="00223068">
        <w:rPr>
          <w:rFonts w:cs="Times New Roman"/>
        </w:rPr>
        <w:t>This report focuses on RELX, a multinational provider of information-based analytics and decision tools. RELX is a useful case because its products increasingly combine trusted content, data and AI-enabled functions across professional markets such as legal services, risk, insurance, science and health research. As a result, issues such as data governance, explainability, fairness, compliance and trust are central to the firm’s business model rather than peripheral concerns (RELX, 2026a; RELX, n.d.-a).</w:t>
      </w:r>
    </w:p>
    <w:p w14:paraId="0B3D9467" w14:textId="77777777" w:rsidR="00184E8D" w:rsidRPr="00223068" w:rsidRDefault="00525868" w:rsidP="00223068">
      <w:pPr>
        <w:ind w:firstLine="720"/>
        <w:jc w:val="both"/>
        <w:rPr>
          <w:rFonts w:cs="Times New Roman"/>
        </w:rPr>
      </w:pPr>
      <w:r w:rsidRPr="00223068">
        <w:rPr>
          <w:rFonts w:cs="Times New Roman"/>
        </w:rPr>
        <w:t>The analysis compares the UK and the EU. This is useful not only because the assignment requires the UK plus one international region, but also because the two jurisdictions now represent different regulatory models. The UK is still pursuing a more adaptive and principles-based approach, while the EU has adopted a more formal and risk-based legal framework through the AI Act. For a business like RELX, which operates across borders and sells data-intensive professional tools, this difference creates practical governance challenges (DSIT, 2024; European Commission, 2024; European Commission, 2025a).</w:t>
      </w:r>
    </w:p>
    <w:p w14:paraId="5472EAB7" w14:textId="77777777" w:rsidR="00184E8D" w:rsidRDefault="00525868" w:rsidP="00223068">
      <w:pPr>
        <w:ind w:firstLine="720"/>
        <w:jc w:val="both"/>
        <w:rPr>
          <w:rFonts w:cs="Times New Roman"/>
        </w:rPr>
      </w:pPr>
      <w:r w:rsidRPr="00223068">
        <w:rPr>
          <w:rFonts w:cs="Times New Roman"/>
        </w:rPr>
        <w:t xml:space="preserve">This report therefore analyses RELX through a combination of company disclosures, regulatory materials, macroeconomic evidence and academic literature on AI governance. This broader framing matters because AI failures rarely stem from code alone; they usually emerge from the interaction of data choices, legal uncertainty, </w:t>
      </w:r>
      <w:proofErr w:type="spellStart"/>
      <w:r w:rsidRPr="00223068">
        <w:rPr>
          <w:rFonts w:cs="Times New Roman"/>
        </w:rPr>
        <w:t>organisational</w:t>
      </w:r>
      <w:proofErr w:type="spellEnd"/>
      <w:r w:rsidRPr="00223068">
        <w:rPr>
          <w:rFonts w:cs="Times New Roman"/>
        </w:rPr>
        <w:t xml:space="preserve"> incentives and user </w:t>
      </w:r>
      <w:proofErr w:type="spellStart"/>
      <w:r w:rsidRPr="00223068">
        <w:rPr>
          <w:rFonts w:cs="Times New Roman"/>
        </w:rPr>
        <w:t>behaviour</w:t>
      </w:r>
      <w:proofErr w:type="spellEnd"/>
      <w:r w:rsidRPr="00223068">
        <w:rPr>
          <w:rFonts w:cs="Times New Roman"/>
        </w:rPr>
        <w:t xml:space="preserve">. As Mittelstadt (2019) argues, principles on their own do not guarantee ethical or accountable AI, while the NIST framework similarly treats AI risk as something that must be governed across the full </w:t>
      </w:r>
      <w:proofErr w:type="spellStart"/>
      <w:r w:rsidRPr="00223068">
        <w:rPr>
          <w:rFonts w:cs="Times New Roman"/>
        </w:rPr>
        <w:t>organisational</w:t>
      </w:r>
      <w:proofErr w:type="spellEnd"/>
      <w:r w:rsidRPr="00223068">
        <w:rPr>
          <w:rFonts w:cs="Times New Roman"/>
        </w:rPr>
        <w:t xml:space="preserve"> lifecycle rather than at a single point of deployment.</w:t>
      </w:r>
    </w:p>
    <w:p w14:paraId="059D1FA8" w14:textId="77777777" w:rsidR="00223068" w:rsidRDefault="00223068">
      <w:pPr>
        <w:jc w:val="both"/>
        <w:rPr>
          <w:rFonts w:cs="Times New Roman"/>
        </w:rPr>
      </w:pPr>
    </w:p>
    <w:p w14:paraId="57A34A44" w14:textId="73E39518" w:rsidR="00184E8D" w:rsidRPr="00B237D8" w:rsidRDefault="00525868">
      <w:pPr>
        <w:pStyle w:val="Heading1"/>
        <w:rPr>
          <w:rFonts w:ascii="Times New Roman" w:eastAsia="SimSun" w:hAnsi="Times New Roman" w:cs="Times New Roman"/>
          <w:lang w:eastAsia="zh-CN"/>
        </w:rPr>
      </w:pPr>
      <w:bookmarkStart w:id="2" w:name="_Toc228125937"/>
      <w:r w:rsidRPr="00B237D8">
        <w:rPr>
          <w:rFonts w:ascii="Times New Roman" w:hAnsi="Times New Roman" w:cs="Times New Roman"/>
        </w:rPr>
        <w:lastRenderedPageBreak/>
        <w:t>Company Context and Analytical Approach</w:t>
      </w:r>
      <w:bookmarkEnd w:id="2"/>
    </w:p>
    <w:p w14:paraId="2E65001A" w14:textId="77777777" w:rsidR="00184E8D" w:rsidRPr="00223068" w:rsidRDefault="00525868" w:rsidP="00223068">
      <w:pPr>
        <w:ind w:firstLine="720"/>
        <w:jc w:val="both"/>
        <w:rPr>
          <w:rFonts w:cs="Times New Roman"/>
        </w:rPr>
      </w:pPr>
      <w:r w:rsidRPr="00223068">
        <w:rPr>
          <w:rFonts w:cs="Times New Roman"/>
        </w:rPr>
        <w:t>RELX describes itself as a global provider of information-based analytics and decision tools for professional and business customers. Its 2025 Form 20-F states that it serves customers in more than 180 countries and territories and has offices in about 40 countries. The group operates through four main segments: Risk, Scientific, Technical &amp; Medical, Legal, and Exhibitions. It also states that its strategy is to develop increasingly sophisticated analytics and decision tools delivered almost entirely in electronic form. This shows that AI is part of the company’s core strategic direction rather than a temporary innovation project (RELX, 2026a).</w:t>
      </w:r>
    </w:p>
    <w:p w14:paraId="73C1A069" w14:textId="77777777" w:rsidR="00184E8D" w:rsidRPr="00223068" w:rsidRDefault="00525868" w:rsidP="00223068">
      <w:pPr>
        <w:ind w:firstLine="720"/>
        <w:jc w:val="both"/>
        <w:rPr>
          <w:rFonts w:cs="Times New Roman"/>
        </w:rPr>
      </w:pPr>
      <w:r w:rsidRPr="00223068">
        <w:rPr>
          <w:rFonts w:cs="Times New Roman"/>
        </w:rPr>
        <w:t xml:space="preserve">The nature of RELX’s business makes AI governance especially important. RELX does not mainly serve casual consumers. It serves professional and institutional users who rely on high-quality information, defensible analysis and trustworthy outputs. In this kind of market, poor AI governance can damage more than user experience. It can affect legal work, fraud prevention, scientific research, health information and wider </w:t>
      </w:r>
      <w:proofErr w:type="spellStart"/>
      <w:r w:rsidRPr="00223068">
        <w:rPr>
          <w:rFonts w:cs="Times New Roman"/>
        </w:rPr>
        <w:t>organisational</w:t>
      </w:r>
      <w:proofErr w:type="spellEnd"/>
      <w:r w:rsidRPr="00223068">
        <w:rPr>
          <w:rFonts w:cs="Times New Roman"/>
        </w:rPr>
        <w:t xml:space="preserve"> decision-making. This raises the standard that RELX must meet in terms of transparency, accountability and quality control (RELX, n.d.-c; NIST, 2023).</w:t>
      </w:r>
    </w:p>
    <w:p w14:paraId="6633DA79" w14:textId="77777777" w:rsidR="00184E8D" w:rsidRPr="00223068" w:rsidRDefault="00525868" w:rsidP="00223068">
      <w:pPr>
        <w:ind w:firstLine="720"/>
        <w:jc w:val="both"/>
        <w:rPr>
          <w:rFonts w:cs="Times New Roman"/>
        </w:rPr>
      </w:pPr>
      <w:r w:rsidRPr="00223068">
        <w:rPr>
          <w:rFonts w:cs="Times New Roman"/>
        </w:rPr>
        <w:t xml:space="preserve">RELX’s own reporting confirms that AI is already commercially significant. In the 2025 annual report, the company says that strong growth in Risk continues to be driven by deeply embedded AI-enabled analytics and decision tools. It also highlights the rollout and usage growth of tools such as Scopus AI, </w:t>
      </w:r>
      <w:proofErr w:type="spellStart"/>
      <w:r w:rsidRPr="00223068">
        <w:rPr>
          <w:rFonts w:cs="Times New Roman"/>
        </w:rPr>
        <w:t>Sherpath</w:t>
      </w:r>
      <w:proofErr w:type="spellEnd"/>
      <w:r w:rsidRPr="00223068">
        <w:rPr>
          <w:rFonts w:cs="Times New Roman"/>
        </w:rPr>
        <w:t xml:space="preserve"> AI, Lexis+ AI and Protégé. These disclosures matter because they show that AI is already embedded in product development and revenue growth. In other words, RELX is not preparing for an AI future; it is already operating inside one (RELX, 2026a).</w:t>
      </w:r>
    </w:p>
    <w:p w14:paraId="6E513762" w14:textId="77777777" w:rsidR="00184E8D" w:rsidRPr="00223068" w:rsidRDefault="00525868" w:rsidP="00223068">
      <w:pPr>
        <w:ind w:firstLine="720"/>
        <w:jc w:val="both"/>
        <w:rPr>
          <w:rFonts w:cs="Times New Roman"/>
        </w:rPr>
      </w:pPr>
      <w:r w:rsidRPr="00223068">
        <w:rPr>
          <w:rFonts w:cs="Times New Roman"/>
        </w:rPr>
        <w:t xml:space="preserve">RELX is also operating in a competitive environment in which other professional information firms are marketing AI as a premium product feature. Thomson Reuters positions </w:t>
      </w:r>
      <w:proofErr w:type="spellStart"/>
      <w:r w:rsidRPr="00223068">
        <w:rPr>
          <w:rFonts w:cs="Times New Roman"/>
        </w:rPr>
        <w:t>CoCounsel</w:t>
      </w:r>
      <w:proofErr w:type="spellEnd"/>
      <w:r w:rsidRPr="00223068">
        <w:rPr>
          <w:rFonts w:cs="Times New Roman"/>
        </w:rPr>
        <w:t xml:space="preserve"> as a generative and agentic assistant grounded in trusted legal content, while Wolters Kluwer presents AI-enhanced audit and governance tools as secure and transparent solutions for professional users. This means RELX is not responding only to </w:t>
      </w:r>
      <w:proofErr w:type="gramStart"/>
      <w:r w:rsidRPr="00223068">
        <w:rPr>
          <w:rFonts w:cs="Times New Roman"/>
        </w:rPr>
        <w:t>regulation</w:t>
      </w:r>
      <w:proofErr w:type="gramEnd"/>
      <w:r w:rsidRPr="00223068">
        <w:rPr>
          <w:rFonts w:cs="Times New Roman"/>
        </w:rPr>
        <w:t>. It is also competing in a market where trust, explainability and proprietary content are becoming part of the commercial AI offer itself (Thomson Reuters, n.d.; Wolters Kluwer, n.d.).</w:t>
      </w:r>
    </w:p>
    <w:p w14:paraId="3CC6AC3A" w14:textId="77777777" w:rsidR="00184E8D" w:rsidRPr="00223068" w:rsidRDefault="00525868" w:rsidP="00223068">
      <w:pPr>
        <w:ind w:firstLine="720"/>
        <w:rPr>
          <w:rFonts w:cs="Times New Roman"/>
        </w:rPr>
      </w:pPr>
      <w:r w:rsidRPr="00223068">
        <w:rPr>
          <w:rFonts w:cs="Times New Roman"/>
        </w:rPr>
        <w:t xml:space="preserve">A brief benchmark sharpens the point. Thomson Reuters appears to be competing most aggressively in legal generative AI, using </w:t>
      </w:r>
      <w:proofErr w:type="spellStart"/>
      <w:r w:rsidRPr="00223068">
        <w:rPr>
          <w:rFonts w:cs="Times New Roman"/>
        </w:rPr>
        <w:t>CoCounsel</w:t>
      </w:r>
      <w:proofErr w:type="spellEnd"/>
      <w:r w:rsidRPr="00223068">
        <w:rPr>
          <w:rFonts w:cs="Times New Roman"/>
        </w:rPr>
        <w:t xml:space="preserve"> to </w:t>
      </w:r>
      <w:proofErr w:type="spellStart"/>
      <w:r w:rsidRPr="00223068">
        <w:rPr>
          <w:rFonts w:cs="Times New Roman"/>
        </w:rPr>
        <w:t>emphasise</w:t>
      </w:r>
      <w:proofErr w:type="spellEnd"/>
      <w:r w:rsidRPr="00223068">
        <w:rPr>
          <w:rFonts w:cs="Times New Roman"/>
        </w:rPr>
        <w:t xml:space="preserve"> workflow speed, trusted </w:t>
      </w:r>
      <w:r w:rsidRPr="00223068">
        <w:rPr>
          <w:rFonts w:cs="Times New Roman"/>
        </w:rPr>
        <w:lastRenderedPageBreak/>
        <w:t xml:space="preserve">content and assistant-style productivity. Wolters Kluwer, by contrast, frames AI more narrowly around controlled professional use cases such as audit, compliance and governance, where security and traceability are central. RELX </w:t>
      </w:r>
      <w:proofErr w:type="gramStart"/>
      <w:r w:rsidRPr="00223068">
        <w:rPr>
          <w:rFonts w:cs="Times New Roman"/>
        </w:rPr>
        <w:t>sits</w:t>
      </w:r>
      <w:proofErr w:type="gramEnd"/>
      <w:r w:rsidRPr="00223068">
        <w:rPr>
          <w:rFonts w:cs="Times New Roman"/>
        </w:rPr>
        <w:t xml:space="preserve"> between these positions: it has broader exposure across legal, risk and STM markets, which gives scale advantages but also makes governance consistency harder. The implication is that RELX cannot rely on product novelty alone; its competitive edge is more likely to come from enterprise-grade governance that can travel across segments and jurisdictions (Thomson Reuters, n.d.; Wolters Kluwer, n.d.; RELX, 2026a).</w:t>
      </w:r>
    </w:p>
    <w:p w14:paraId="2CCA1034" w14:textId="77777777" w:rsidR="00184E8D" w:rsidRPr="00223068" w:rsidRDefault="00525868" w:rsidP="00223068">
      <w:pPr>
        <w:ind w:firstLine="720"/>
        <w:jc w:val="both"/>
        <w:rPr>
          <w:rFonts w:cs="Times New Roman"/>
        </w:rPr>
      </w:pPr>
      <w:r w:rsidRPr="00223068">
        <w:rPr>
          <w:rFonts w:cs="Times New Roman"/>
        </w:rPr>
        <w:t xml:space="preserve">This report uses a PESTLE-informed approach and treats AI governance as a socio-technical issue rather than a purely technical one. This is consistent with the NIST AI Risk Management Framework and the OECD AI Principles, both of which stress that AI risks emerge not only from models themselves but also from the </w:t>
      </w:r>
      <w:proofErr w:type="spellStart"/>
      <w:r w:rsidRPr="00223068">
        <w:rPr>
          <w:rFonts w:cs="Times New Roman"/>
        </w:rPr>
        <w:t>organisational</w:t>
      </w:r>
      <w:proofErr w:type="spellEnd"/>
      <w:r w:rsidRPr="00223068">
        <w:rPr>
          <w:rFonts w:cs="Times New Roman"/>
        </w:rPr>
        <w:t xml:space="preserve"> settings in which those models are designed, deployed and used. That broader perspective is important for RELX because the company’s risk exposure comes from the interaction between technology, data, law, customers and business processes (NIST, 2023; OECD, 2019).</w:t>
      </w:r>
    </w:p>
    <w:p w14:paraId="41DB72DF" w14:textId="1AD29B4C" w:rsidR="00223068" w:rsidRDefault="00525868" w:rsidP="00223068">
      <w:pPr>
        <w:ind w:firstLine="720"/>
        <w:jc w:val="both"/>
        <w:rPr>
          <w:rFonts w:cs="Times New Roman"/>
        </w:rPr>
      </w:pPr>
      <w:r w:rsidRPr="00223068">
        <w:rPr>
          <w:rFonts w:cs="Times New Roman"/>
        </w:rPr>
        <w:t xml:space="preserve">This socio-technical perspective is especially important for RELX because the company does not simply build models and leave customers to interpret them independently. Its products are embedded in professional workflows, which means that model </w:t>
      </w:r>
      <w:proofErr w:type="spellStart"/>
      <w:r w:rsidRPr="00223068">
        <w:rPr>
          <w:rFonts w:cs="Times New Roman"/>
        </w:rPr>
        <w:t>behaviour</w:t>
      </w:r>
      <w:proofErr w:type="spellEnd"/>
      <w:r w:rsidRPr="00223068">
        <w:rPr>
          <w:rFonts w:cs="Times New Roman"/>
        </w:rPr>
        <w:t xml:space="preserve">, interface design, user training and </w:t>
      </w:r>
      <w:proofErr w:type="spellStart"/>
      <w:r w:rsidRPr="00223068">
        <w:rPr>
          <w:rFonts w:cs="Times New Roman"/>
        </w:rPr>
        <w:t>organisational</w:t>
      </w:r>
      <w:proofErr w:type="spellEnd"/>
      <w:r w:rsidRPr="00223068">
        <w:rPr>
          <w:rFonts w:cs="Times New Roman"/>
        </w:rPr>
        <w:t xml:space="preserve"> incentives all shape the eventual risk outcome. Suresh and Guttag (2021) make a similar point when they show that harm can enter the machine learning lifecycle through data generation, development choices and deployment conditions rather than through model performance alone.</w:t>
      </w:r>
    </w:p>
    <w:p w14:paraId="3932D293" w14:textId="77777777" w:rsidR="00223068" w:rsidRDefault="00223068" w:rsidP="00223068">
      <w:pPr>
        <w:jc w:val="both"/>
        <w:rPr>
          <w:rFonts w:cs="Times New Roman"/>
        </w:rPr>
      </w:pPr>
    </w:p>
    <w:p w14:paraId="19E8B78A" w14:textId="77777777" w:rsidR="00223068" w:rsidRDefault="00223068" w:rsidP="00223068">
      <w:pPr>
        <w:jc w:val="both"/>
        <w:rPr>
          <w:rFonts w:cs="Times New Roman"/>
        </w:rPr>
      </w:pPr>
    </w:p>
    <w:p w14:paraId="1AE1B9D2" w14:textId="77777777" w:rsidR="00223068" w:rsidRDefault="00223068" w:rsidP="00223068">
      <w:pPr>
        <w:jc w:val="both"/>
        <w:rPr>
          <w:rFonts w:cs="Times New Roman"/>
        </w:rPr>
      </w:pPr>
    </w:p>
    <w:p w14:paraId="51B761BE" w14:textId="77777777" w:rsidR="00223068" w:rsidRDefault="00223068" w:rsidP="00223068">
      <w:pPr>
        <w:jc w:val="both"/>
        <w:rPr>
          <w:rFonts w:cs="Times New Roman"/>
        </w:rPr>
      </w:pPr>
    </w:p>
    <w:p w14:paraId="46804942" w14:textId="7CDBA277" w:rsidR="00184E8D" w:rsidRPr="00B237D8" w:rsidRDefault="00525868">
      <w:pPr>
        <w:pStyle w:val="Heading1"/>
        <w:rPr>
          <w:rFonts w:ascii="Times New Roman" w:eastAsia="SimSun" w:hAnsi="Times New Roman" w:cs="Times New Roman"/>
          <w:lang w:eastAsia="zh-CN"/>
        </w:rPr>
      </w:pPr>
      <w:bookmarkStart w:id="3" w:name="_Toc228125938"/>
      <w:r w:rsidRPr="00B237D8">
        <w:rPr>
          <w:rFonts w:ascii="Times New Roman" w:hAnsi="Times New Roman" w:cs="Times New Roman"/>
        </w:rPr>
        <w:lastRenderedPageBreak/>
        <w:t>Main Findings</w:t>
      </w:r>
      <w:bookmarkEnd w:id="3"/>
    </w:p>
    <w:p w14:paraId="42873F4B" w14:textId="39FCB4A0" w:rsidR="00184E8D" w:rsidRPr="00223068" w:rsidRDefault="00B237D8">
      <w:pPr>
        <w:pStyle w:val="Heading2"/>
        <w:rPr>
          <w:rFonts w:ascii="Times New Roman" w:eastAsia="SimSun" w:hAnsi="Times New Roman" w:cs="Times New Roman"/>
          <w:lang w:eastAsia="zh-CN"/>
        </w:rPr>
      </w:pPr>
      <w:bookmarkStart w:id="4" w:name="_Toc228125939"/>
      <w:r>
        <w:rPr>
          <w:rFonts w:ascii="Times New Roman" w:hAnsi="Times New Roman" w:cs="Times New Roman"/>
        </w:rPr>
        <w:t>1</w:t>
      </w:r>
      <w:r w:rsidR="00525868" w:rsidRPr="00223068">
        <w:rPr>
          <w:rFonts w:ascii="Times New Roman" w:hAnsi="Times New Roman" w:cs="Times New Roman"/>
        </w:rPr>
        <w:t>.1 AI as a strategically material issue for RELX</w:t>
      </w:r>
      <w:bookmarkEnd w:id="4"/>
    </w:p>
    <w:p w14:paraId="599403AD" w14:textId="77777777" w:rsidR="00184E8D" w:rsidRPr="00223068" w:rsidRDefault="00525868" w:rsidP="00223068">
      <w:pPr>
        <w:ind w:firstLine="720"/>
        <w:jc w:val="both"/>
        <w:rPr>
          <w:rFonts w:cs="Times New Roman"/>
        </w:rPr>
      </w:pPr>
      <w:r w:rsidRPr="00223068">
        <w:rPr>
          <w:rFonts w:cs="Times New Roman"/>
        </w:rPr>
        <w:t>AI is strategically important to RELX for three main reasons. First, it helps the company generate more value from trusted content and proprietary data by turning them into faster, more responsive and more useful outputs. Second, it strengthens customer value by improving speed, usability and workflow integration. Third, it changes the company’s exposure to risk because its products increasingly shape how customers interpret information and make decisions (RELX, 2026a).</w:t>
      </w:r>
    </w:p>
    <w:p w14:paraId="1E5DDF1D" w14:textId="77777777" w:rsidR="00184E8D" w:rsidRPr="00223068" w:rsidRDefault="00525868" w:rsidP="00223068">
      <w:pPr>
        <w:ind w:firstLine="720"/>
        <w:jc w:val="both"/>
        <w:rPr>
          <w:rFonts w:cs="Times New Roman"/>
        </w:rPr>
      </w:pPr>
      <w:r w:rsidRPr="00223068">
        <w:rPr>
          <w:rFonts w:cs="Times New Roman"/>
        </w:rPr>
        <w:t xml:space="preserve">RELX’s Responsible AI Principles are especially </w:t>
      </w:r>
      <w:proofErr w:type="gramStart"/>
      <w:r w:rsidRPr="00223068">
        <w:rPr>
          <w:rFonts w:cs="Times New Roman"/>
        </w:rPr>
        <w:t>revealing</w:t>
      </w:r>
      <w:proofErr w:type="gramEnd"/>
      <w:r w:rsidRPr="00223068">
        <w:rPr>
          <w:rFonts w:cs="Times New Roman"/>
        </w:rPr>
        <w:t xml:space="preserve"> here. The document states that the company’s tools operate on a continuum ranging from providing insights to </w:t>
      </w:r>
      <w:proofErr w:type="gramStart"/>
      <w:r w:rsidRPr="00223068">
        <w:rPr>
          <w:rFonts w:cs="Times New Roman"/>
        </w:rPr>
        <w:t>identifying</w:t>
      </w:r>
      <w:proofErr w:type="gramEnd"/>
      <w:r w:rsidRPr="00223068">
        <w:rPr>
          <w:rFonts w:cs="Times New Roman"/>
        </w:rPr>
        <w:t xml:space="preserve"> potential risk factors and assisting customers in decision-making. This is important because it shows that RELX is no longer just a publisher or database provider. It is increasingly involved in machine-assisted judgment. That creates commercial value, but it also makes issues such as fairness, explainability and over-reliance more serious (RELX, n.d.-a).</w:t>
      </w:r>
    </w:p>
    <w:p w14:paraId="12451828" w14:textId="77777777" w:rsidR="00184E8D" w:rsidRPr="00223068" w:rsidRDefault="00525868" w:rsidP="00223068">
      <w:pPr>
        <w:ind w:firstLine="720"/>
        <w:jc w:val="both"/>
        <w:rPr>
          <w:rFonts w:cs="Times New Roman"/>
        </w:rPr>
      </w:pPr>
      <w:r w:rsidRPr="00223068">
        <w:rPr>
          <w:rFonts w:cs="Times New Roman"/>
        </w:rPr>
        <w:t>Academic work on fairness helps explain why this matters. Binns (2018) argues that fairness in machine learning is not a single technical target but a normative choice between competing ideas of equality, discrimination and harm. This is relevant for RELX because tools used in legal research, fraud prevention or risk identification may appear neutral while still distributing attention, suspicion or opportunity unevenly across users or subjects. The strategic issue is therefore not only whether outputs are accurate on average, but whose interests are protected when outputs are incomplete, misleading or relied upon too heavily.</w:t>
      </w:r>
    </w:p>
    <w:p w14:paraId="7FBC67FB" w14:textId="77777777" w:rsidR="00184E8D" w:rsidRPr="00223068" w:rsidRDefault="00525868" w:rsidP="00223068">
      <w:pPr>
        <w:ind w:firstLine="720"/>
        <w:jc w:val="both"/>
        <w:rPr>
          <w:rFonts w:cs="Times New Roman"/>
        </w:rPr>
      </w:pPr>
      <w:r w:rsidRPr="00223068">
        <w:rPr>
          <w:rFonts w:cs="Times New Roman"/>
        </w:rPr>
        <w:t>For that reason, AI risk management at RELX should be treated as part of strategic positioning, not just compliance. RELX’s advantage depends heavily on trust, quality and credibility. If AI weakens those qualities, the company’s long-term position may suffer even if the technology creates short-term efficiency gains. On the other hand, if RELX can show stronger governance than competitors, responsible AI itself can become part of the value proposition (RELX, 2026a; RELX, n.d.-a).</w:t>
      </w:r>
    </w:p>
    <w:p w14:paraId="79EE03E3" w14:textId="77777777" w:rsidR="00184E8D" w:rsidRPr="00223068" w:rsidRDefault="00525868" w:rsidP="00223068">
      <w:pPr>
        <w:ind w:firstLine="720"/>
        <w:jc w:val="both"/>
        <w:rPr>
          <w:rFonts w:cs="Times New Roman"/>
        </w:rPr>
      </w:pPr>
      <w:r w:rsidRPr="00223068">
        <w:rPr>
          <w:rFonts w:cs="Times New Roman"/>
        </w:rPr>
        <w:t xml:space="preserve">This becomes even more important when competition is considered. If rival providers can offer similar speed and automation benefits, RELX will need to differentiate through evidential </w:t>
      </w:r>
      <w:r w:rsidRPr="00223068">
        <w:rPr>
          <w:rFonts w:cs="Times New Roman"/>
        </w:rPr>
        <w:lastRenderedPageBreak/>
        <w:t>quality, auditability and safer workflow integration rather than through novelty alone. In practice, governance quality can become part of product quality in a market where customers increasingly expect professional-grade AI rather than generic generative tools (Thomson Reuters, n.d.; Wolters Kluwer, n.d.).</w:t>
      </w:r>
    </w:p>
    <w:p w14:paraId="3B181779" w14:textId="53DE48A4" w:rsidR="00184E8D" w:rsidRPr="00223068" w:rsidRDefault="00B237D8">
      <w:pPr>
        <w:pStyle w:val="Heading2"/>
        <w:rPr>
          <w:rFonts w:ascii="Times New Roman" w:eastAsia="SimSun" w:hAnsi="Times New Roman" w:cs="Times New Roman"/>
          <w:lang w:eastAsia="zh-CN"/>
        </w:rPr>
      </w:pPr>
      <w:bookmarkStart w:id="5" w:name="_Toc228125940"/>
      <w:r>
        <w:rPr>
          <w:rFonts w:ascii="Times New Roman" w:hAnsi="Times New Roman" w:cs="Times New Roman"/>
        </w:rPr>
        <w:t>1</w:t>
      </w:r>
      <w:r w:rsidR="00525868" w:rsidRPr="00223068">
        <w:rPr>
          <w:rFonts w:ascii="Times New Roman" w:hAnsi="Times New Roman" w:cs="Times New Roman"/>
        </w:rPr>
        <w:t>.2 PESTLE and macroeconomic context in the UK and EU</w:t>
      </w:r>
      <w:bookmarkEnd w:id="5"/>
    </w:p>
    <w:p w14:paraId="2649481D" w14:textId="77777777" w:rsidR="00184E8D" w:rsidRPr="00223068" w:rsidRDefault="00525868" w:rsidP="00223068">
      <w:pPr>
        <w:ind w:firstLine="720"/>
        <w:jc w:val="both"/>
        <w:rPr>
          <w:rFonts w:cs="Times New Roman"/>
        </w:rPr>
      </w:pPr>
      <w:r w:rsidRPr="00223068">
        <w:rPr>
          <w:rFonts w:cs="Times New Roman"/>
        </w:rPr>
        <w:t xml:space="preserve">A PESTLE analysis shows why AI governance has become urgent. Politically and legally, the UK and EU are both paying closer attention to AI, but in different ways. The UK </w:t>
      </w:r>
      <w:proofErr w:type="gramStart"/>
      <w:r w:rsidRPr="00223068">
        <w:rPr>
          <w:rFonts w:cs="Times New Roman"/>
        </w:rPr>
        <w:t>government’s 2024</w:t>
      </w:r>
      <w:proofErr w:type="gramEnd"/>
      <w:r w:rsidRPr="00223068">
        <w:rPr>
          <w:rFonts w:cs="Times New Roman"/>
        </w:rPr>
        <w:t xml:space="preserve"> response to its AI consultation reaffirmed a pro-innovation, proportionate and regulator-led approach. By contrast, the EU has moved to a more codified and risk-based system under the AI Act. This means a multinational company like RELX </w:t>
      </w:r>
      <w:proofErr w:type="gramStart"/>
      <w:r w:rsidRPr="00223068">
        <w:rPr>
          <w:rFonts w:cs="Times New Roman"/>
        </w:rPr>
        <w:t>has to</w:t>
      </w:r>
      <w:proofErr w:type="gramEnd"/>
      <w:r w:rsidRPr="00223068">
        <w:rPr>
          <w:rFonts w:cs="Times New Roman"/>
        </w:rPr>
        <w:t xml:space="preserve"> operate across two different governance logics at the same time (DSIT, 2024; European Commission, 2025a).</w:t>
      </w:r>
    </w:p>
    <w:p w14:paraId="64603B21" w14:textId="77777777" w:rsidR="00184E8D" w:rsidRPr="00223068" w:rsidRDefault="00525868" w:rsidP="00223068">
      <w:pPr>
        <w:ind w:firstLine="720"/>
        <w:rPr>
          <w:rFonts w:cs="Times New Roman"/>
        </w:rPr>
      </w:pPr>
      <w:r w:rsidRPr="00223068">
        <w:rPr>
          <w:rFonts w:cs="Times New Roman"/>
        </w:rPr>
        <w:t xml:space="preserve">This divergence is not merely a technical matter of legal design; it reflects different political priorities. In the UK, AI policy is closely tied to productivity, investment attractiveness and regulatory flexibility, so firms are given more discretion but are also expected to manage risk through existing sector regulators. In the EU, AI policy is more strongly linked to market </w:t>
      </w:r>
      <w:proofErr w:type="spellStart"/>
      <w:r w:rsidRPr="00223068">
        <w:rPr>
          <w:rFonts w:cs="Times New Roman"/>
        </w:rPr>
        <w:t>harmonisation</w:t>
      </w:r>
      <w:proofErr w:type="spellEnd"/>
      <w:r w:rsidRPr="00223068">
        <w:rPr>
          <w:rFonts w:cs="Times New Roman"/>
        </w:rPr>
        <w:t xml:space="preserve">, fundamental rights protection and precaution in </w:t>
      </w:r>
      <w:proofErr w:type="gramStart"/>
      <w:r w:rsidRPr="00223068">
        <w:rPr>
          <w:rFonts w:cs="Times New Roman"/>
        </w:rPr>
        <w:t>higher-risk</w:t>
      </w:r>
      <w:proofErr w:type="gramEnd"/>
      <w:r w:rsidRPr="00223068">
        <w:rPr>
          <w:rFonts w:cs="Times New Roman"/>
        </w:rPr>
        <w:t xml:space="preserve"> uses. For RELX, the result is practical political risk: the same AI-enabled product may be viewed through a competitiveness lens in one jurisdiction and a rights-and-compliance lens in another, making governance choices politically as well as legally sensitive (DSIT, 2024; DSIT, 2026; European Commission, 2025a; </w:t>
      </w:r>
      <w:proofErr w:type="spellStart"/>
      <w:r w:rsidRPr="00223068">
        <w:rPr>
          <w:rFonts w:cs="Times New Roman"/>
        </w:rPr>
        <w:t>Floridi</w:t>
      </w:r>
      <w:proofErr w:type="spellEnd"/>
      <w:r w:rsidRPr="00223068">
        <w:rPr>
          <w:rFonts w:cs="Times New Roman"/>
        </w:rPr>
        <w:t>, 2021).</w:t>
      </w:r>
    </w:p>
    <w:p w14:paraId="5AC93C79" w14:textId="77777777" w:rsidR="00184E8D" w:rsidRPr="00223068" w:rsidRDefault="00525868" w:rsidP="00223068">
      <w:pPr>
        <w:ind w:firstLine="720"/>
        <w:jc w:val="both"/>
        <w:rPr>
          <w:rFonts w:cs="Times New Roman"/>
        </w:rPr>
      </w:pPr>
      <w:r w:rsidRPr="00223068">
        <w:rPr>
          <w:rFonts w:cs="Times New Roman"/>
        </w:rPr>
        <w:t xml:space="preserve">The timing also matters economically. The IMF’s April 2026 World Economic Outlook says the global economy is being tested by war in the Middle East, higher commodity prices, firmer inflation expectations and tighter financial conditions. In March 2026, the Bank of England kept Bank Rate at 3.75%, while the ECB also left its key rates unchanged and warned that the conflict had increased </w:t>
      </w:r>
      <w:proofErr w:type="gramStart"/>
      <w:r w:rsidRPr="00223068">
        <w:rPr>
          <w:rFonts w:cs="Times New Roman"/>
        </w:rPr>
        <w:t>upside</w:t>
      </w:r>
      <w:proofErr w:type="gramEnd"/>
      <w:r w:rsidRPr="00223068">
        <w:rPr>
          <w:rFonts w:cs="Times New Roman"/>
        </w:rPr>
        <w:t xml:space="preserve"> risks </w:t>
      </w:r>
      <w:proofErr w:type="gramStart"/>
      <w:r w:rsidRPr="00223068">
        <w:rPr>
          <w:rFonts w:cs="Times New Roman"/>
        </w:rPr>
        <w:t>to</w:t>
      </w:r>
      <w:proofErr w:type="gramEnd"/>
      <w:r w:rsidRPr="00223068">
        <w:rPr>
          <w:rFonts w:cs="Times New Roman"/>
        </w:rPr>
        <w:t xml:space="preserve"> inflation and downside risks </w:t>
      </w:r>
      <w:proofErr w:type="gramStart"/>
      <w:r w:rsidRPr="00223068">
        <w:rPr>
          <w:rFonts w:cs="Times New Roman"/>
        </w:rPr>
        <w:t>to</w:t>
      </w:r>
      <w:proofErr w:type="gramEnd"/>
      <w:r w:rsidRPr="00223068">
        <w:rPr>
          <w:rFonts w:cs="Times New Roman"/>
        </w:rPr>
        <w:t xml:space="preserve"> growth. In a slower and less certain economic environment, firms have stronger incentives to use AI to improve productivity, but they also have less room for costly governance failures (IMF, 2026; Bank of England, 2026; ECB, 2026).</w:t>
      </w:r>
    </w:p>
    <w:p w14:paraId="7521E5D7" w14:textId="77777777" w:rsidR="00184E8D" w:rsidRPr="00223068" w:rsidRDefault="00525868" w:rsidP="00223068">
      <w:pPr>
        <w:ind w:firstLine="720"/>
        <w:rPr>
          <w:rFonts w:cs="Times New Roman"/>
        </w:rPr>
      </w:pPr>
      <w:r w:rsidRPr="00223068">
        <w:rPr>
          <w:rFonts w:cs="Times New Roman"/>
        </w:rPr>
        <w:t xml:space="preserve">For RELX, these macroeconomic conditions matter in concrete commercial ways. Higher rates and weaker growth can lengthen enterprise purchasing cycles, tighten customer technology </w:t>
      </w:r>
      <w:r w:rsidRPr="00223068">
        <w:rPr>
          <w:rFonts w:cs="Times New Roman"/>
        </w:rPr>
        <w:lastRenderedPageBreak/>
        <w:t xml:space="preserve">budgets and increase procurement scrutiny over new AI spending. At the same time, economic pressure can raise demand for tools that help professional users save </w:t>
      </w:r>
      <w:proofErr w:type="spellStart"/>
      <w:r w:rsidRPr="00223068">
        <w:rPr>
          <w:rFonts w:cs="Times New Roman"/>
        </w:rPr>
        <w:t>labour</w:t>
      </w:r>
      <w:proofErr w:type="spellEnd"/>
      <w:r w:rsidRPr="00223068">
        <w:rPr>
          <w:rFonts w:cs="Times New Roman"/>
        </w:rPr>
        <w:t>, improve decision speed and reduce error costs. This creates a double effect: AI products may become more attractive, but buyers are likely to ask harder questions about return on investment, legal exposure and implementation risk. In that environment, better-governed AI is not only safer for RELX; it is also easier to sell (IMF, 2026; Bank of England, 2026; ECB, 2026; RELX, 2026a).</w:t>
      </w:r>
    </w:p>
    <w:p w14:paraId="307B5AEC" w14:textId="77777777" w:rsidR="00184E8D" w:rsidRPr="00223068" w:rsidRDefault="00525868" w:rsidP="00223068">
      <w:pPr>
        <w:ind w:firstLine="720"/>
        <w:jc w:val="both"/>
        <w:rPr>
          <w:rFonts w:cs="Times New Roman"/>
        </w:rPr>
      </w:pPr>
      <w:r w:rsidRPr="00223068">
        <w:rPr>
          <w:rFonts w:cs="Times New Roman"/>
        </w:rPr>
        <w:t xml:space="preserve">Technologically, RELX itself says that AI is evolving at unprecedented speed and scale and that its principles will continue to develop over time. That is realistic, but it also highlights a management problem. Policy statements can adapt quickly, whereas enterprise controls, assurance systems and staff practices often evolve more slowly. This creates a gap between </w:t>
      </w:r>
      <w:proofErr w:type="spellStart"/>
      <w:r w:rsidRPr="00223068">
        <w:rPr>
          <w:rFonts w:cs="Times New Roman"/>
        </w:rPr>
        <w:t>recognising</w:t>
      </w:r>
      <w:proofErr w:type="spellEnd"/>
      <w:r w:rsidRPr="00223068">
        <w:rPr>
          <w:rFonts w:cs="Times New Roman"/>
        </w:rPr>
        <w:t xml:space="preserve"> AI risk and governing it effectively (RELX, n.d.-a).</w:t>
      </w:r>
    </w:p>
    <w:p w14:paraId="075BE648" w14:textId="77777777" w:rsidR="00184E8D" w:rsidRPr="00223068" w:rsidRDefault="00525868">
      <w:pPr>
        <w:jc w:val="both"/>
        <w:rPr>
          <w:rFonts w:cs="Times New Roman"/>
        </w:rPr>
      </w:pPr>
      <w:r w:rsidRPr="00223068">
        <w:rPr>
          <w:rFonts w:cs="Times New Roman"/>
        </w:rPr>
        <w:t xml:space="preserve">Socially, the issue is also significant. The OECD AI Principles </w:t>
      </w:r>
      <w:proofErr w:type="spellStart"/>
      <w:r w:rsidRPr="00223068">
        <w:rPr>
          <w:rFonts w:cs="Times New Roman"/>
        </w:rPr>
        <w:t>emphasise</w:t>
      </w:r>
      <w:proofErr w:type="spellEnd"/>
      <w:r w:rsidRPr="00223068">
        <w:rPr>
          <w:rFonts w:cs="Times New Roman"/>
        </w:rPr>
        <w:t xml:space="preserve"> that innovation and trust must go together. For RELX, this is particularly important because its users are professionals who need reliable and defensible outputs. If AI systems are seen as opaque, biased or hard to challenge, trust may decline even if the technology is technically advanced. In professional markets, social legitimacy is closely linked to commercial legitimacy (OECD, 2019).</w:t>
      </w:r>
    </w:p>
    <w:p w14:paraId="6B9E03C3" w14:textId="77777777" w:rsidR="00184E8D" w:rsidRPr="00223068" w:rsidRDefault="00525868" w:rsidP="00223068">
      <w:pPr>
        <w:ind w:firstLine="720"/>
        <w:jc w:val="both"/>
        <w:rPr>
          <w:rFonts w:cs="Times New Roman"/>
        </w:rPr>
      </w:pPr>
      <w:r w:rsidRPr="00223068">
        <w:rPr>
          <w:rFonts w:cs="Times New Roman"/>
        </w:rPr>
        <w:t xml:space="preserve">The regulatory divergence also has a deeper conceptual dimension. </w:t>
      </w:r>
      <w:proofErr w:type="spellStart"/>
      <w:r w:rsidRPr="00223068">
        <w:rPr>
          <w:rFonts w:cs="Times New Roman"/>
        </w:rPr>
        <w:t>Floridi</w:t>
      </w:r>
      <w:proofErr w:type="spellEnd"/>
      <w:r w:rsidRPr="00223068">
        <w:rPr>
          <w:rFonts w:cs="Times New Roman"/>
        </w:rPr>
        <w:t xml:space="preserve"> (2021) argues that the EU approach is significant because it tries to govern AI through a structured risk-based model rather than through voluntary commitments alone. For RELX, this matters because a risk-based regime sits uneasily beside highly </w:t>
      </w:r>
      <w:proofErr w:type="spellStart"/>
      <w:r w:rsidRPr="00223068">
        <w:rPr>
          <w:rFonts w:cs="Times New Roman"/>
        </w:rPr>
        <w:t>decentralised</w:t>
      </w:r>
      <w:proofErr w:type="spellEnd"/>
      <w:r w:rsidRPr="00223068">
        <w:rPr>
          <w:rFonts w:cs="Times New Roman"/>
        </w:rPr>
        <w:t xml:space="preserve"> implementation. Once products are sold into different contexts and jurisdictions, the company needs a repeatable internal method for deciding which systems require stronger controls, what evidence must be retained and how customer-facing assurances should differ across use cases.</w:t>
      </w:r>
    </w:p>
    <w:p w14:paraId="2803451B" w14:textId="35B11797" w:rsidR="00184E8D" w:rsidRPr="00223068" w:rsidRDefault="00B237D8">
      <w:pPr>
        <w:pStyle w:val="Heading2"/>
        <w:rPr>
          <w:rFonts w:ascii="Times New Roman" w:eastAsia="SimSun" w:hAnsi="Times New Roman" w:cs="Times New Roman"/>
          <w:lang w:eastAsia="zh-CN"/>
        </w:rPr>
      </w:pPr>
      <w:bookmarkStart w:id="6" w:name="_Toc228125941"/>
      <w:r>
        <w:rPr>
          <w:rFonts w:ascii="Times New Roman" w:hAnsi="Times New Roman" w:cs="Times New Roman"/>
        </w:rPr>
        <w:t>1</w:t>
      </w:r>
      <w:r w:rsidR="00525868" w:rsidRPr="00223068">
        <w:rPr>
          <w:rFonts w:ascii="Times New Roman" w:hAnsi="Times New Roman" w:cs="Times New Roman"/>
        </w:rPr>
        <w:t>.3 Data governance as the foundational risk issue</w:t>
      </w:r>
      <w:bookmarkEnd w:id="6"/>
    </w:p>
    <w:p w14:paraId="207EDAA0" w14:textId="77777777" w:rsidR="00184E8D" w:rsidRPr="00223068" w:rsidRDefault="00525868" w:rsidP="00223068">
      <w:pPr>
        <w:ind w:firstLine="720"/>
        <w:jc w:val="both"/>
        <w:rPr>
          <w:rFonts w:cs="Times New Roman"/>
        </w:rPr>
      </w:pPr>
      <w:r w:rsidRPr="00223068">
        <w:rPr>
          <w:rFonts w:cs="Times New Roman"/>
        </w:rPr>
        <w:t xml:space="preserve">Data governance is the most important starting point for RELX because the company’s products depend on the lawful, accurate and well-documented use of data. RELX’s 2025 annual report states that some of its businesses rely heavily on content containing personal data from public records, governmental authorities, publicly available information and other information companies. The same report warns that changes in privacy law and enforcement could affect the </w:t>
      </w:r>
      <w:r w:rsidRPr="00223068">
        <w:rPr>
          <w:rFonts w:cs="Times New Roman"/>
        </w:rPr>
        <w:lastRenderedPageBreak/>
        <w:t>company’s ability to collect and use personal data. This makes data governance a strategic issue, not just a legal one (RELX, 2026a).</w:t>
      </w:r>
    </w:p>
    <w:p w14:paraId="3D960058" w14:textId="77777777" w:rsidR="00184E8D" w:rsidRPr="00223068" w:rsidRDefault="00525868" w:rsidP="00223068">
      <w:pPr>
        <w:ind w:firstLine="720"/>
        <w:jc w:val="both"/>
        <w:rPr>
          <w:rFonts w:cs="Times New Roman"/>
        </w:rPr>
      </w:pPr>
      <w:r w:rsidRPr="00223068">
        <w:rPr>
          <w:rFonts w:cs="Times New Roman"/>
        </w:rPr>
        <w:t xml:space="preserve">For RELX, weak data governance would not only create the risk of regulatory penalties. It could also reduce the usefulness of products, weaken trust in </w:t>
      </w:r>
      <w:proofErr w:type="gramStart"/>
      <w:r w:rsidRPr="00223068">
        <w:rPr>
          <w:rFonts w:cs="Times New Roman"/>
        </w:rPr>
        <w:t>outputs</w:t>
      </w:r>
      <w:proofErr w:type="gramEnd"/>
      <w:r w:rsidRPr="00223068">
        <w:rPr>
          <w:rFonts w:cs="Times New Roman"/>
        </w:rPr>
        <w:t xml:space="preserve"> and make it harder to defend the company’s methods in regulated environments. This is especially important because AI systems often depend on combining datasets, repurposing information and generating new inferences. If provenance, lawful basis, quality limits and downstream use are not clearly documented, governance problems can quickly become product problems (RELX, 2026a).</w:t>
      </w:r>
    </w:p>
    <w:p w14:paraId="3E98101A" w14:textId="77777777" w:rsidR="00184E8D" w:rsidRPr="00223068" w:rsidRDefault="00525868" w:rsidP="00223068">
      <w:pPr>
        <w:ind w:firstLine="720"/>
        <w:jc w:val="both"/>
        <w:rPr>
          <w:rFonts w:cs="Times New Roman"/>
        </w:rPr>
      </w:pPr>
      <w:r w:rsidRPr="00223068">
        <w:rPr>
          <w:rFonts w:cs="Times New Roman"/>
        </w:rPr>
        <w:t xml:space="preserve">Recent </w:t>
      </w:r>
      <w:proofErr w:type="gramStart"/>
      <w:r w:rsidRPr="00223068">
        <w:rPr>
          <w:rFonts w:cs="Times New Roman"/>
        </w:rPr>
        <w:t>scholarship helps</w:t>
      </w:r>
      <w:proofErr w:type="gramEnd"/>
      <w:r w:rsidRPr="00223068">
        <w:rPr>
          <w:rFonts w:cs="Times New Roman"/>
        </w:rPr>
        <w:t xml:space="preserve"> clarify why this is not only a privacy issue. Suresh and Guttag (2021) show that harm can arise early in the machine learning lifecycle, including at the stages of problem formulation, data collection and label generation. For RELX, that means even high-quality content can create governance problems if datasets are recombined for new inferential purposes without equivalent attention to purpose limitation, representativeness or downstream impact. A valuable dataset does not automatically become a well-governed AI input.</w:t>
      </w:r>
    </w:p>
    <w:p w14:paraId="6AAE9101" w14:textId="77777777" w:rsidR="00184E8D" w:rsidRPr="00223068" w:rsidRDefault="00525868" w:rsidP="00223068">
      <w:pPr>
        <w:ind w:firstLine="720"/>
        <w:jc w:val="both"/>
        <w:rPr>
          <w:rFonts w:cs="Times New Roman"/>
        </w:rPr>
      </w:pPr>
      <w:r w:rsidRPr="00223068">
        <w:rPr>
          <w:rFonts w:cs="Times New Roman"/>
        </w:rPr>
        <w:t>RELX has already taken some positive steps. Its Privacy Principles state that they apply to all employees and contractors handling personal information and are reviewed annually by the RELX privacy team and business-area data protection officers. This shows that the company does not treat privacy as a narrow afterthought. However, the same strength also reveals a possible weakness: privacy governance may still depend too much on distributed local implementation rather than on a common enterprise-wide operating model (RELX, n.d.-b).</w:t>
      </w:r>
    </w:p>
    <w:p w14:paraId="45FDD238" w14:textId="77777777" w:rsidR="00184E8D" w:rsidRPr="00223068" w:rsidRDefault="00525868" w:rsidP="00223068">
      <w:pPr>
        <w:ind w:firstLine="720"/>
        <w:jc w:val="both"/>
        <w:rPr>
          <w:rFonts w:cs="Times New Roman"/>
        </w:rPr>
      </w:pPr>
      <w:r w:rsidRPr="00223068">
        <w:rPr>
          <w:rFonts w:cs="Times New Roman"/>
        </w:rPr>
        <w:t>This concern is reinforced by the UK legal environment. The Data (Use and Access) Act 2025 introduced important changes to UK data protection and privacy law, and the related government guidance says it creates a new lawful ground for some types of data processing and clarifies international data-transfer rules. The practical point is that RELX cannot treat UK data governance as static. It needs ongoing monitoring and operational adaptation rather than periodic policy review alone (DSIT, 2025a; DSIT, 2025b).</w:t>
      </w:r>
    </w:p>
    <w:p w14:paraId="357675AD" w14:textId="77777777" w:rsidR="00184E8D" w:rsidRPr="00223068" w:rsidRDefault="00525868" w:rsidP="00223068">
      <w:pPr>
        <w:ind w:firstLine="720"/>
        <w:jc w:val="both"/>
        <w:rPr>
          <w:rFonts w:cs="Times New Roman"/>
        </w:rPr>
      </w:pPr>
      <w:r w:rsidRPr="00223068">
        <w:rPr>
          <w:rFonts w:cs="Times New Roman"/>
        </w:rPr>
        <w:t xml:space="preserve">This also suggests that RELX should pay closer attention to contextual </w:t>
      </w:r>
      <w:proofErr w:type="gramStart"/>
      <w:r w:rsidRPr="00223068">
        <w:rPr>
          <w:rFonts w:cs="Times New Roman"/>
        </w:rPr>
        <w:t>fit</w:t>
      </w:r>
      <w:proofErr w:type="gramEnd"/>
      <w:r w:rsidRPr="00223068">
        <w:rPr>
          <w:rFonts w:cs="Times New Roman"/>
        </w:rPr>
        <w:t xml:space="preserve">. Data that are lawful to collect may still become difficult to defend when reused in a different product environment or combined with signals that increase the sensitivity of the resulting inference. The governance question is therefore not simply whether individual data sources are permitted, but </w:t>
      </w:r>
      <w:r w:rsidRPr="00223068">
        <w:rPr>
          <w:rFonts w:cs="Times New Roman"/>
        </w:rPr>
        <w:lastRenderedPageBreak/>
        <w:t>whether the overall data architecture remains proportionate, traceable and defensible as AI capabilities expand (ICO, 2023; NIST, 2023).</w:t>
      </w:r>
    </w:p>
    <w:p w14:paraId="1C8D44B1" w14:textId="4AE4D70F" w:rsidR="00184E8D" w:rsidRPr="00223068" w:rsidRDefault="00B237D8">
      <w:pPr>
        <w:pStyle w:val="Heading2"/>
        <w:rPr>
          <w:rFonts w:ascii="Times New Roman" w:eastAsia="SimSun" w:hAnsi="Times New Roman" w:cs="Times New Roman"/>
          <w:lang w:eastAsia="zh-CN"/>
        </w:rPr>
      </w:pPr>
      <w:bookmarkStart w:id="7" w:name="_Toc228125942"/>
      <w:r>
        <w:rPr>
          <w:rFonts w:ascii="Times New Roman" w:hAnsi="Times New Roman" w:cs="Times New Roman"/>
        </w:rPr>
        <w:t>1</w:t>
      </w:r>
      <w:r w:rsidR="00525868" w:rsidRPr="00223068">
        <w:rPr>
          <w:rFonts w:ascii="Times New Roman" w:hAnsi="Times New Roman" w:cs="Times New Roman"/>
        </w:rPr>
        <w:t>.4 Ethical AI, model risk and human oversight</w:t>
      </w:r>
      <w:bookmarkEnd w:id="7"/>
    </w:p>
    <w:p w14:paraId="729101C8" w14:textId="77777777" w:rsidR="00184E8D" w:rsidRPr="00223068" w:rsidRDefault="00525868" w:rsidP="00223068">
      <w:pPr>
        <w:ind w:firstLine="720"/>
        <w:jc w:val="both"/>
        <w:rPr>
          <w:rFonts w:cs="Times New Roman"/>
        </w:rPr>
      </w:pPr>
      <w:r w:rsidRPr="00223068">
        <w:rPr>
          <w:rFonts w:cs="Times New Roman"/>
        </w:rPr>
        <w:t>RELX’s Responsible AI Principles provide a strong ethical starting point. They focus on real-world impact, unfair bias, explainability, human oversight and robust data governance. One of the most useful parts of the document is its recognition that mathematical accuracy does not automatically mean absence of bias. This is important because it avoids a simplistic view of AI and acknowledges that harm can arise through data, model design and human use together (RELX, n.d.-a).</w:t>
      </w:r>
    </w:p>
    <w:p w14:paraId="3FFE3A6F" w14:textId="77777777" w:rsidR="00184E8D" w:rsidRPr="00223068" w:rsidRDefault="00525868" w:rsidP="00223068">
      <w:pPr>
        <w:ind w:firstLine="720"/>
        <w:jc w:val="both"/>
        <w:rPr>
          <w:rFonts w:cs="Times New Roman"/>
        </w:rPr>
      </w:pPr>
      <w:r w:rsidRPr="00223068">
        <w:rPr>
          <w:rFonts w:cs="Times New Roman"/>
        </w:rPr>
        <w:t xml:space="preserve">Even so, the main question is whether these principles are operational enough. Bias prevention, explainability and human oversight are not one-off checks. They require product classification, testing, documentation, monitoring, escalation processes and user-facing safeguards. A company may have the right values but still </w:t>
      </w:r>
      <w:proofErr w:type="gramStart"/>
      <w:r w:rsidRPr="00223068">
        <w:rPr>
          <w:rFonts w:cs="Times New Roman"/>
        </w:rPr>
        <w:t>face</w:t>
      </w:r>
      <w:proofErr w:type="gramEnd"/>
      <w:r w:rsidRPr="00223068">
        <w:rPr>
          <w:rFonts w:cs="Times New Roman"/>
        </w:rPr>
        <w:t xml:space="preserve"> problems if different product teams apply those values inconsistently. In RELX’s case, the current public framework looks stronger as a statement of intent than as a visible enterprise control system (RELX, n.d.-a).</w:t>
      </w:r>
    </w:p>
    <w:p w14:paraId="17149A01" w14:textId="77777777" w:rsidR="00184E8D" w:rsidRPr="00223068" w:rsidRDefault="00525868" w:rsidP="00223068">
      <w:pPr>
        <w:ind w:firstLine="720"/>
        <w:jc w:val="both"/>
        <w:rPr>
          <w:rFonts w:cs="Times New Roman"/>
        </w:rPr>
      </w:pPr>
      <w:r w:rsidRPr="00223068">
        <w:rPr>
          <w:rFonts w:cs="Times New Roman"/>
        </w:rPr>
        <w:t>A further weakness of principle-led governance is that principles can sound settled even when their operational meaning remains unclear. Mittelstadt (2019) warns that high-level AI ethics principles often create an appearance of consensus without resolving how they should be translated into daily professional practice. This warning is highly relevant to RELX. The company’s public commitments are credible, but unless they are connected to common testing protocols, launch checkpoints, escalation thresholds and accountability mechanisms, they may not provide consistent assurance across products.</w:t>
      </w:r>
    </w:p>
    <w:p w14:paraId="0C64DE80" w14:textId="77777777" w:rsidR="00184E8D" w:rsidRPr="00223068" w:rsidRDefault="00525868" w:rsidP="00223068">
      <w:pPr>
        <w:ind w:firstLine="720"/>
        <w:jc w:val="both"/>
        <w:rPr>
          <w:rFonts w:cs="Times New Roman"/>
        </w:rPr>
      </w:pPr>
      <w:r w:rsidRPr="00223068">
        <w:rPr>
          <w:rFonts w:cs="Times New Roman"/>
        </w:rPr>
        <w:t>Human oversight is a good example. RELX is right to stress that humans remain responsible, but in practice not all forms of oversight are equally effective. If AI outputs look authoritative and are embedded in busy professional workflows, users may accept them too easily. That means meaningful oversight requires more than keeping a human nominally “in the loop”. It requires clear role design, usable evidence, confidence boundaries and practical routes for challenge and escalation (ICO, 2023; NIST, 2024).</w:t>
      </w:r>
    </w:p>
    <w:p w14:paraId="14B88894" w14:textId="77777777" w:rsidR="00184E8D" w:rsidRPr="00223068" w:rsidRDefault="00525868" w:rsidP="00223068">
      <w:pPr>
        <w:ind w:firstLine="720"/>
        <w:jc w:val="both"/>
        <w:rPr>
          <w:rFonts w:cs="Times New Roman"/>
        </w:rPr>
      </w:pPr>
      <w:r w:rsidRPr="00223068">
        <w:rPr>
          <w:rFonts w:cs="Times New Roman"/>
        </w:rPr>
        <w:lastRenderedPageBreak/>
        <w:t>Generative AI adds another layer of model risk. RELX’s annual report states that the group depends on suppliers including cloud, software and large language model providers, and that poor performance or failures by third parties could damage performance and reputation. This means model risk at RELX is not limited to internally developed systems. It also includes models that are procured, embedded, fine-tuned or connected into customer-facing workflows. That dependence makes stronger vendor governance essential (RELX, 2026a).</w:t>
      </w:r>
    </w:p>
    <w:p w14:paraId="065C5276" w14:textId="77777777" w:rsidR="00184E8D" w:rsidRPr="00223068" w:rsidRDefault="00525868" w:rsidP="00223068">
      <w:pPr>
        <w:ind w:firstLine="720"/>
        <w:jc w:val="both"/>
        <w:rPr>
          <w:rFonts w:cs="Times New Roman"/>
        </w:rPr>
      </w:pPr>
      <w:r w:rsidRPr="00223068">
        <w:rPr>
          <w:rFonts w:cs="Times New Roman"/>
        </w:rPr>
        <w:t xml:space="preserve">Auditing literature strengthens this point. </w:t>
      </w:r>
      <w:proofErr w:type="spellStart"/>
      <w:r w:rsidRPr="00223068">
        <w:rPr>
          <w:rFonts w:cs="Times New Roman"/>
        </w:rPr>
        <w:t>Mökander</w:t>
      </w:r>
      <w:proofErr w:type="spellEnd"/>
      <w:r w:rsidRPr="00223068">
        <w:rPr>
          <w:rFonts w:cs="Times New Roman"/>
        </w:rPr>
        <w:t xml:space="preserve"> et al. (2021) argue that ethics-based auditing can help </w:t>
      </w:r>
      <w:proofErr w:type="spellStart"/>
      <w:r w:rsidRPr="00223068">
        <w:rPr>
          <w:rFonts w:cs="Times New Roman"/>
        </w:rPr>
        <w:t>organisations</w:t>
      </w:r>
      <w:proofErr w:type="spellEnd"/>
      <w:r w:rsidRPr="00223068">
        <w:rPr>
          <w:rFonts w:cs="Times New Roman"/>
        </w:rPr>
        <w:t xml:space="preserve"> validate claims about responsible AI, but only if the process is structured, evidence-based and tied to actual decision points inside the </w:t>
      </w:r>
      <w:proofErr w:type="spellStart"/>
      <w:r w:rsidRPr="00223068">
        <w:rPr>
          <w:rFonts w:cs="Times New Roman"/>
        </w:rPr>
        <w:t>organisation</w:t>
      </w:r>
      <w:proofErr w:type="spellEnd"/>
      <w:r w:rsidRPr="00223068">
        <w:rPr>
          <w:rFonts w:cs="Times New Roman"/>
        </w:rPr>
        <w:t>. That implies RELX should move beyond broad responsible-AI language and build more explicit review pathways for model changes, supplier updates and higher-risk product releases. Without this, governance may remain persuasive in principle but uneven in practice.</w:t>
      </w:r>
    </w:p>
    <w:p w14:paraId="1ED4314A" w14:textId="5758850D" w:rsidR="00184E8D" w:rsidRPr="00223068" w:rsidRDefault="00B237D8">
      <w:pPr>
        <w:pStyle w:val="Heading2"/>
        <w:rPr>
          <w:rFonts w:ascii="Times New Roman" w:eastAsia="SimSun" w:hAnsi="Times New Roman" w:cs="Times New Roman"/>
          <w:lang w:eastAsia="zh-CN"/>
        </w:rPr>
      </w:pPr>
      <w:bookmarkStart w:id="8" w:name="_Toc228125943"/>
      <w:r>
        <w:rPr>
          <w:rFonts w:ascii="Times New Roman" w:hAnsi="Times New Roman" w:cs="Times New Roman"/>
        </w:rPr>
        <w:t>1</w:t>
      </w:r>
      <w:r w:rsidR="00525868" w:rsidRPr="00223068">
        <w:rPr>
          <w:rFonts w:ascii="Times New Roman" w:hAnsi="Times New Roman" w:cs="Times New Roman"/>
        </w:rPr>
        <w:t>.5 Regulatory compliance in the UK and EU</w:t>
      </w:r>
      <w:bookmarkEnd w:id="8"/>
    </w:p>
    <w:p w14:paraId="4D73B51B" w14:textId="77777777" w:rsidR="00184E8D" w:rsidRPr="00223068" w:rsidRDefault="00525868" w:rsidP="00223068">
      <w:pPr>
        <w:ind w:firstLine="720"/>
        <w:jc w:val="both"/>
        <w:rPr>
          <w:rFonts w:cs="Times New Roman"/>
        </w:rPr>
      </w:pPr>
      <w:r w:rsidRPr="00223068">
        <w:rPr>
          <w:rFonts w:cs="Times New Roman"/>
        </w:rPr>
        <w:t>The UK and EU are both trying to encourage trustworthy AI, but they are doing so through different institutional styles. In the UK, the government continues to support a context-based and regulator-led approach. This gives companies more flexibility, but it also means firms must do more of the work themselves to coordinate different legal and regulatory expectations. For RELX, that can create ambiguity unless internal standards are clear and consistent (DSIT, 2024; ICO, 2023).</w:t>
      </w:r>
    </w:p>
    <w:p w14:paraId="6AF7A2C0" w14:textId="77777777" w:rsidR="00184E8D" w:rsidRPr="00223068" w:rsidRDefault="00525868" w:rsidP="00223068">
      <w:pPr>
        <w:ind w:firstLine="720"/>
        <w:jc w:val="both"/>
        <w:rPr>
          <w:rFonts w:cs="Times New Roman"/>
        </w:rPr>
      </w:pPr>
      <w:r w:rsidRPr="00223068">
        <w:rPr>
          <w:rFonts w:cs="Times New Roman"/>
        </w:rPr>
        <w:t xml:space="preserve">The UK policy direction also remains closely tied to economic strategy. The government’s January 2026 update on the AI Opportunities Action Plan states that 38 of the plan’s 50 actions had been met. This suggests that AI adoption is being treated as a growth issue as well as a regulatory issue. For RELX, that makes the UK a </w:t>
      </w:r>
      <w:proofErr w:type="spellStart"/>
      <w:r w:rsidRPr="00223068">
        <w:rPr>
          <w:rFonts w:cs="Times New Roman"/>
        </w:rPr>
        <w:t>favourable</w:t>
      </w:r>
      <w:proofErr w:type="spellEnd"/>
      <w:r w:rsidRPr="00223068">
        <w:rPr>
          <w:rFonts w:cs="Times New Roman"/>
        </w:rPr>
        <w:t xml:space="preserve"> environment for innovation, but it also increases the importance of self-imposed governance discipline. A permissive policy climate is only helpful if the company has robust internal controls (DSIT, 2026).</w:t>
      </w:r>
    </w:p>
    <w:p w14:paraId="392B86B4" w14:textId="77777777" w:rsidR="00184E8D" w:rsidRPr="00223068" w:rsidRDefault="00525868" w:rsidP="00223068">
      <w:pPr>
        <w:ind w:firstLine="720"/>
        <w:jc w:val="both"/>
        <w:rPr>
          <w:rFonts w:cs="Times New Roman"/>
        </w:rPr>
      </w:pPr>
      <w:r w:rsidRPr="00223068">
        <w:rPr>
          <w:rFonts w:cs="Times New Roman"/>
        </w:rPr>
        <w:t xml:space="preserve">The EU framework is more prescriptive. The European Commission states that the AI Act entered into force on 1 August 2024, that the prohibitions and AI literacy rules started to apply from 2 February 2025, and that rules for general-purpose AI models applied from 2 August 2025. The implementation timeline published through the EU AI Act Service Desk also shows that broader obligations continue to roll out progressively through 2026 and 2027. This creates a </w:t>
      </w:r>
      <w:r w:rsidRPr="00223068">
        <w:rPr>
          <w:rFonts w:cs="Times New Roman"/>
        </w:rPr>
        <w:lastRenderedPageBreak/>
        <w:t>stronger incentive for firms to classify systems, document controls and prepare early (European Commission, 2024; European Commission, 2025</w:t>
      </w:r>
      <w:proofErr w:type="gramStart"/>
      <w:r w:rsidRPr="00223068">
        <w:rPr>
          <w:rFonts w:cs="Times New Roman"/>
        </w:rPr>
        <w:t>a;</w:t>
      </w:r>
      <w:proofErr w:type="gramEnd"/>
      <w:r w:rsidRPr="00223068">
        <w:rPr>
          <w:rFonts w:cs="Times New Roman"/>
        </w:rPr>
        <w:t xml:space="preserve"> AI Act Service Desk, 2026).</w:t>
      </w:r>
    </w:p>
    <w:p w14:paraId="55DB710B" w14:textId="77777777" w:rsidR="00184E8D" w:rsidRPr="00223068" w:rsidRDefault="00525868" w:rsidP="00223068">
      <w:pPr>
        <w:ind w:firstLine="720"/>
        <w:jc w:val="both"/>
        <w:rPr>
          <w:rFonts w:cs="Times New Roman"/>
        </w:rPr>
      </w:pPr>
      <w:r w:rsidRPr="00223068">
        <w:rPr>
          <w:rFonts w:cs="Times New Roman"/>
        </w:rPr>
        <w:t xml:space="preserve">For RELX, the key implication is that a dual-standard governance model would be risky. Running a lighter-touch framework for UK-facing products and a stricter one for EU-facing products might look efficient at first, but it would likely create inconsistent controls, duplicated effort and more difficult customer assurance conversations. A better approach would be to adopt an enterprise baseline aligned with the stricter end of the regulatory spectrum and then </w:t>
      </w:r>
      <w:proofErr w:type="spellStart"/>
      <w:r w:rsidRPr="00223068">
        <w:rPr>
          <w:rFonts w:cs="Times New Roman"/>
        </w:rPr>
        <w:t>localise</w:t>
      </w:r>
      <w:proofErr w:type="spellEnd"/>
      <w:r w:rsidRPr="00223068">
        <w:rPr>
          <w:rFonts w:cs="Times New Roman"/>
        </w:rPr>
        <w:t xml:space="preserve"> only where necessary. That would also be more convincing to multinational customers who want stable and portable standards (European Commission, 2025b).</w:t>
      </w:r>
    </w:p>
    <w:p w14:paraId="5E8CA20A" w14:textId="77777777" w:rsidR="00184E8D" w:rsidRPr="00223068" w:rsidRDefault="00525868" w:rsidP="00223068">
      <w:pPr>
        <w:ind w:firstLine="720"/>
        <w:jc w:val="both"/>
        <w:rPr>
          <w:rFonts w:cs="Times New Roman"/>
        </w:rPr>
      </w:pPr>
      <w:r w:rsidRPr="00223068">
        <w:rPr>
          <w:rFonts w:cs="Times New Roman"/>
        </w:rPr>
        <w:t xml:space="preserve">The practical difficulty is that RELX operates across product categories that are not identical in regulatory salience. A research assistant may primarily raise transparency and copyright concerns, whereas a tool used in fraud workflows, due diligence or compliance screening may raise stronger questions about downstream risk classification, record-keeping and human oversight. </w:t>
      </w:r>
      <w:proofErr w:type="spellStart"/>
      <w:r w:rsidRPr="00223068">
        <w:rPr>
          <w:rFonts w:cs="Times New Roman"/>
        </w:rPr>
        <w:t>Floridi</w:t>
      </w:r>
      <w:proofErr w:type="spellEnd"/>
      <w:r w:rsidRPr="00223068">
        <w:rPr>
          <w:rFonts w:cs="Times New Roman"/>
        </w:rPr>
        <w:t xml:space="preserve"> (2021) suggests that the significance of the EU approach lies partly in this structured differentiation of risk. RELX therefore needs a compliance model based on use cases rather than on broad business-unit labels alone.</w:t>
      </w:r>
    </w:p>
    <w:p w14:paraId="54313AD0" w14:textId="4FD73CCE" w:rsidR="00184E8D" w:rsidRPr="00223068" w:rsidRDefault="00B237D8">
      <w:pPr>
        <w:pStyle w:val="Heading2"/>
        <w:rPr>
          <w:rFonts w:ascii="Times New Roman" w:eastAsia="SimSun" w:hAnsi="Times New Roman" w:cs="Times New Roman"/>
          <w:lang w:eastAsia="zh-CN"/>
        </w:rPr>
      </w:pPr>
      <w:bookmarkStart w:id="9" w:name="_Toc228125944"/>
      <w:r>
        <w:rPr>
          <w:rFonts w:ascii="Times New Roman" w:hAnsi="Times New Roman" w:cs="Times New Roman"/>
        </w:rPr>
        <w:t>1</w:t>
      </w:r>
      <w:r w:rsidR="00525868" w:rsidRPr="00223068">
        <w:rPr>
          <w:rFonts w:ascii="Times New Roman" w:hAnsi="Times New Roman" w:cs="Times New Roman"/>
        </w:rPr>
        <w:t>.6 Customer trust, transparency and reputational exposure</w:t>
      </w:r>
      <w:bookmarkEnd w:id="9"/>
    </w:p>
    <w:p w14:paraId="7FAA2DF4" w14:textId="77777777" w:rsidR="00184E8D" w:rsidRPr="00223068" w:rsidRDefault="00525868" w:rsidP="00223068">
      <w:pPr>
        <w:ind w:firstLine="720"/>
        <w:jc w:val="both"/>
        <w:rPr>
          <w:rFonts w:cs="Times New Roman"/>
        </w:rPr>
      </w:pPr>
      <w:r w:rsidRPr="00223068">
        <w:rPr>
          <w:rFonts w:cs="Times New Roman"/>
        </w:rPr>
        <w:t xml:space="preserve">Customer trust is a core commercial asset for RELX. The company’s own privacy and responsible AI materials repeatedly connect governance to trustworthiness. This matters because RELX’s products are used by professional and institutional customers, not mainly by casual consumers. In those markets, trust depends heavily on reliability, source quality, transparency, accountability and defensible handling of information. It is therefore a business asset that </w:t>
      </w:r>
      <w:proofErr w:type="gramStart"/>
      <w:r w:rsidRPr="00223068">
        <w:rPr>
          <w:rFonts w:cs="Times New Roman"/>
        </w:rPr>
        <w:t>has to</w:t>
      </w:r>
      <w:proofErr w:type="gramEnd"/>
      <w:r w:rsidRPr="00223068">
        <w:rPr>
          <w:rFonts w:cs="Times New Roman"/>
        </w:rPr>
        <w:t xml:space="preserve"> be actively managed (RELX, n.d.-a; RELX, n.d.-b).</w:t>
      </w:r>
    </w:p>
    <w:p w14:paraId="3EB1D52A" w14:textId="77777777" w:rsidR="00184E8D" w:rsidRPr="00223068" w:rsidRDefault="00525868" w:rsidP="00223068">
      <w:pPr>
        <w:ind w:firstLine="720"/>
        <w:jc w:val="both"/>
        <w:rPr>
          <w:rFonts w:cs="Times New Roman"/>
        </w:rPr>
      </w:pPr>
      <w:r w:rsidRPr="00223068">
        <w:rPr>
          <w:rFonts w:cs="Times New Roman"/>
        </w:rPr>
        <w:t xml:space="preserve">This has a direct effect on transparency expectations. For RELX, it is probably not enough to tell users simply that “AI was used”. Professional users need clearer information about source types, limits of the output, intended use, and when human judgment is still necessary. RELX’s own principles </w:t>
      </w:r>
      <w:proofErr w:type="spellStart"/>
      <w:r w:rsidRPr="00223068">
        <w:rPr>
          <w:rFonts w:cs="Times New Roman"/>
        </w:rPr>
        <w:t>recognise</w:t>
      </w:r>
      <w:proofErr w:type="spellEnd"/>
      <w:r w:rsidRPr="00223068">
        <w:rPr>
          <w:rFonts w:cs="Times New Roman"/>
        </w:rPr>
        <w:t xml:space="preserve"> that the right level of transparency depends on audience and context. The challenge now is to turn that general insight into visible product design features and customer assurance practices (RELX, n.d.-a).</w:t>
      </w:r>
    </w:p>
    <w:p w14:paraId="474B78E9" w14:textId="77777777" w:rsidR="00184E8D" w:rsidRPr="00223068" w:rsidRDefault="00525868" w:rsidP="00223068">
      <w:pPr>
        <w:ind w:firstLine="720"/>
        <w:jc w:val="both"/>
        <w:rPr>
          <w:rFonts w:cs="Times New Roman"/>
        </w:rPr>
      </w:pPr>
      <w:r w:rsidRPr="00223068">
        <w:rPr>
          <w:rFonts w:cs="Times New Roman"/>
        </w:rPr>
        <w:lastRenderedPageBreak/>
        <w:t xml:space="preserve">Trust research also shows why transparency needs to be matched to user context. </w:t>
      </w:r>
      <w:proofErr w:type="spellStart"/>
      <w:r w:rsidRPr="00223068">
        <w:rPr>
          <w:rFonts w:cs="Times New Roman"/>
        </w:rPr>
        <w:t>Glikson</w:t>
      </w:r>
      <w:proofErr w:type="spellEnd"/>
      <w:r w:rsidRPr="00223068">
        <w:rPr>
          <w:rFonts w:cs="Times New Roman"/>
        </w:rPr>
        <w:t xml:space="preserve"> and Woolley (2020) find that human trust in AI depends heavily on perceived capability, task fit and the way the system is represented to users. In RELX’s markets, inappropriate trust can be as dangerous as insufficient trust. If users trust a tool too little, they may ignore valuable support; if they trust it too much, they may stop exercising independent professional judgement. Product design therefore needs to encourage calibrated trust rather than simply more trust.</w:t>
      </w:r>
    </w:p>
    <w:p w14:paraId="356A5584" w14:textId="77777777" w:rsidR="00184E8D" w:rsidRPr="00223068" w:rsidRDefault="00525868" w:rsidP="00223068">
      <w:pPr>
        <w:ind w:firstLine="720"/>
        <w:jc w:val="both"/>
        <w:rPr>
          <w:rFonts w:cs="Times New Roman"/>
        </w:rPr>
      </w:pPr>
      <w:r w:rsidRPr="00223068">
        <w:rPr>
          <w:rFonts w:cs="Times New Roman"/>
        </w:rPr>
        <w:t>Reputational risk is also wider than it first appears. RELX’s annual report notes that failures in ethical conduct, data protection or AI-related compliance could harm the business, reputation and financial condition of the group. In practice, reputational harm in a B2B environment may not always come through a public scandal. It may appear through stricter procurement reviews, slower enterprise sales, tougher contract negotiations and reduced customer confidence. This makes trust governance commercially significant, not just symbolically important (RELX, 2026a).</w:t>
      </w:r>
    </w:p>
    <w:p w14:paraId="4B5F7EBF" w14:textId="77777777" w:rsidR="00184E8D" w:rsidRPr="00223068" w:rsidRDefault="00525868" w:rsidP="00223068">
      <w:pPr>
        <w:ind w:firstLine="720"/>
        <w:jc w:val="both"/>
        <w:rPr>
          <w:rFonts w:cs="Times New Roman"/>
        </w:rPr>
      </w:pPr>
      <w:r w:rsidRPr="00223068">
        <w:rPr>
          <w:rFonts w:cs="Times New Roman"/>
        </w:rPr>
        <w:t>This is one reason why source-linked outputs, limitation statements and correction routes matter. They help customers understand not just what the tool can do, but where the boundaries of sensible reliance lie. In professional B2B markets, that kind of calibrated transparency can also create commercial value because it reduces audit friction and supports procurement confidence (</w:t>
      </w:r>
      <w:proofErr w:type="spellStart"/>
      <w:r w:rsidRPr="00223068">
        <w:rPr>
          <w:rFonts w:cs="Times New Roman"/>
        </w:rPr>
        <w:t>Glikson</w:t>
      </w:r>
      <w:proofErr w:type="spellEnd"/>
      <w:r w:rsidRPr="00223068">
        <w:rPr>
          <w:rFonts w:cs="Times New Roman"/>
        </w:rPr>
        <w:t xml:space="preserve"> and Woolley, 2020; RELX, n.d.-b).</w:t>
      </w:r>
    </w:p>
    <w:p w14:paraId="298E3E67" w14:textId="546E9DD4" w:rsidR="00184E8D" w:rsidRPr="00223068" w:rsidRDefault="00B237D8">
      <w:pPr>
        <w:pStyle w:val="Heading2"/>
        <w:rPr>
          <w:rFonts w:ascii="Times New Roman" w:eastAsia="SimSun" w:hAnsi="Times New Roman" w:cs="Times New Roman"/>
          <w:lang w:eastAsia="zh-CN"/>
        </w:rPr>
      </w:pPr>
      <w:bookmarkStart w:id="10" w:name="_Toc228125945"/>
      <w:r>
        <w:rPr>
          <w:rFonts w:ascii="Times New Roman" w:hAnsi="Times New Roman" w:cs="Times New Roman"/>
        </w:rPr>
        <w:t>1</w:t>
      </w:r>
      <w:r w:rsidR="00525868" w:rsidRPr="00223068">
        <w:rPr>
          <w:rFonts w:ascii="Times New Roman" w:hAnsi="Times New Roman" w:cs="Times New Roman"/>
        </w:rPr>
        <w:t>.7 Critical evaluation of RELX’s current governance position</w:t>
      </w:r>
      <w:bookmarkEnd w:id="10"/>
    </w:p>
    <w:p w14:paraId="50FCC72A" w14:textId="77777777" w:rsidR="00184E8D" w:rsidRPr="00223068" w:rsidRDefault="00525868" w:rsidP="00223068">
      <w:pPr>
        <w:ind w:firstLine="720"/>
        <w:jc w:val="both"/>
        <w:rPr>
          <w:rFonts w:cs="Times New Roman"/>
        </w:rPr>
      </w:pPr>
      <w:r w:rsidRPr="00223068">
        <w:rPr>
          <w:rFonts w:cs="Times New Roman"/>
        </w:rPr>
        <w:t xml:space="preserve">Overall, RELX is not starting from zero. It already has publicly available Responsible AI Principles and Privacy Principles, and its own materials show that it is trying to update these in response to market, technological and legislative </w:t>
      </w:r>
      <w:proofErr w:type="gramStart"/>
      <w:r w:rsidRPr="00223068">
        <w:rPr>
          <w:rFonts w:cs="Times New Roman"/>
        </w:rPr>
        <w:t>change</w:t>
      </w:r>
      <w:proofErr w:type="gramEnd"/>
      <w:r w:rsidRPr="00223068">
        <w:rPr>
          <w:rFonts w:cs="Times New Roman"/>
        </w:rPr>
        <w:t>. Compared with many companies that adopted generative AI before establishing clear governance language, RELX appears relatively mature at the level of principles and awareness (RELX, n.d.-a; RELX, n.d.-b; RELX, n.d.-c).</w:t>
      </w:r>
    </w:p>
    <w:p w14:paraId="0C71769E" w14:textId="77777777" w:rsidR="00184E8D" w:rsidRPr="00223068" w:rsidRDefault="00525868" w:rsidP="00223068">
      <w:pPr>
        <w:ind w:firstLine="720"/>
        <w:jc w:val="both"/>
        <w:rPr>
          <w:rFonts w:cs="Times New Roman"/>
        </w:rPr>
      </w:pPr>
      <w:r w:rsidRPr="00223068">
        <w:rPr>
          <w:rFonts w:cs="Times New Roman"/>
        </w:rPr>
        <w:t xml:space="preserve">However, there are still clear limitations. The main one is that the current framework seems high-level and somewhat </w:t>
      </w:r>
      <w:proofErr w:type="spellStart"/>
      <w:r w:rsidRPr="00223068">
        <w:rPr>
          <w:rFonts w:cs="Times New Roman"/>
        </w:rPr>
        <w:t>decentralised</w:t>
      </w:r>
      <w:proofErr w:type="spellEnd"/>
      <w:r w:rsidRPr="00223068">
        <w:rPr>
          <w:rFonts w:cs="Times New Roman"/>
        </w:rPr>
        <w:t>. Since individual business areas own practical implementation, there is a real possibility that different parts of the business apply the same principles in different ways. That may be manageable when AI use is limited, but it becomes more problematic once AI is embedded across multiple products, jurisdictions and customer environments (RELX, n.d.-a; NIST, 2023).</w:t>
      </w:r>
    </w:p>
    <w:p w14:paraId="77E05580" w14:textId="77777777" w:rsidR="00184E8D" w:rsidRPr="00223068" w:rsidRDefault="00525868" w:rsidP="00223068">
      <w:pPr>
        <w:ind w:firstLine="720"/>
        <w:jc w:val="both"/>
        <w:rPr>
          <w:rFonts w:cs="Times New Roman"/>
        </w:rPr>
      </w:pPr>
      <w:r w:rsidRPr="00223068">
        <w:rPr>
          <w:rFonts w:cs="Times New Roman"/>
        </w:rPr>
        <w:lastRenderedPageBreak/>
        <w:t xml:space="preserve">A second weakness is that the current framework seems stronger on values than on visible minimum controls. Publicly, RELX says the right things about fairness, explainability and oversight, but there is much less evidence of a </w:t>
      </w:r>
      <w:proofErr w:type="spellStart"/>
      <w:r w:rsidRPr="00223068">
        <w:rPr>
          <w:rFonts w:cs="Times New Roman"/>
        </w:rPr>
        <w:t>standardised</w:t>
      </w:r>
      <w:proofErr w:type="spellEnd"/>
      <w:r w:rsidRPr="00223068">
        <w:rPr>
          <w:rFonts w:cs="Times New Roman"/>
        </w:rPr>
        <w:t xml:space="preserve"> group-wide operating model covering inventory, risk-tiering, launch controls, incident categories and post-deployment monitoring. That does not mean such controls do not exist internally, but it does suggest that the company’s next stage of maturity should be operational, not just conceptual (RELX, n.d.-a; NIST, 2024).</w:t>
      </w:r>
    </w:p>
    <w:p w14:paraId="743D01FD" w14:textId="77777777" w:rsidR="00184E8D" w:rsidRPr="00223068" w:rsidRDefault="00525868" w:rsidP="00223068">
      <w:pPr>
        <w:ind w:firstLine="720"/>
        <w:jc w:val="both"/>
        <w:rPr>
          <w:rFonts w:cs="Times New Roman"/>
        </w:rPr>
      </w:pPr>
      <w:r w:rsidRPr="00223068">
        <w:rPr>
          <w:rFonts w:cs="Times New Roman"/>
        </w:rPr>
        <w:t xml:space="preserve">A useful way to interpret RELX’s current position is through Kaur et al. (2022), who argue that trustworthy AI depends on a combination of fairness, explainability, robustness, privacy, accountability and governance. RELX clearly </w:t>
      </w:r>
      <w:proofErr w:type="spellStart"/>
      <w:r w:rsidRPr="00223068">
        <w:rPr>
          <w:rFonts w:cs="Times New Roman"/>
        </w:rPr>
        <w:t>recognises</w:t>
      </w:r>
      <w:proofErr w:type="spellEnd"/>
      <w:r w:rsidRPr="00223068">
        <w:rPr>
          <w:rFonts w:cs="Times New Roman"/>
        </w:rPr>
        <w:t xml:space="preserve"> most of these dimensions at the level of principle. The remaining gap is </w:t>
      </w:r>
      <w:proofErr w:type="spellStart"/>
      <w:r w:rsidRPr="00223068">
        <w:rPr>
          <w:rFonts w:cs="Times New Roman"/>
        </w:rPr>
        <w:t>organisational</w:t>
      </w:r>
      <w:proofErr w:type="spellEnd"/>
      <w:r w:rsidRPr="00223068">
        <w:rPr>
          <w:rFonts w:cs="Times New Roman"/>
        </w:rPr>
        <w:t xml:space="preserve"> integration. The company appears to understand what trustworthy AI should involve, but it has not yet shown equally clearly how those dimensions are </w:t>
      </w:r>
      <w:proofErr w:type="spellStart"/>
      <w:r w:rsidRPr="00223068">
        <w:rPr>
          <w:rFonts w:cs="Times New Roman"/>
        </w:rPr>
        <w:t>standardised</w:t>
      </w:r>
      <w:proofErr w:type="spellEnd"/>
      <w:r w:rsidRPr="00223068">
        <w:rPr>
          <w:rFonts w:cs="Times New Roman"/>
        </w:rPr>
        <w:t xml:space="preserve"> across the whole group.</w:t>
      </w:r>
    </w:p>
    <w:p w14:paraId="638235BA" w14:textId="77777777" w:rsidR="00184E8D" w:rsidRDefault="00525868" w:rsidP="00223068">
      <w:pPr>
        <w:ind w:firstLine="720"/>
        <w:jc w:val="both"/>
        <w:rPr>
          <w:rFonts w:cs="Times New Roman"/>
        </w:rPr>
      </w:pPr>
      <w:r w:rsidRPr="00223068">
        <w:rPr>
          <w:rFonts w:cs="Times New Roman"/>
        </w:rPr>
        <w:t xml:space="preserve">This matters because </w:t>
      </w:r>
      <w:proofErr w:type="gramStart"/>
      <w:r w:rsidRPr="00223068">
        <w:rPr>
          <w:rFonts w:cs="Times New Roman"/>
        </w:rPr>
        <w:t>principle</w:t>
      </w:r>
      <w:proofErr w:type="gramEnd"/>
      <w:r w:rsidRPr="00223068">
        <w:rPr>
          <w:rFonts w:cs="Times New Roman"/>
        </w:rPr>
        <w:t xml:space="preserve"> maturity and control maturity are not the same thing. A company can articulate the right ethical language and still experience fragmented implementation, especially when different product teams face different commercial pressures. In that sense, RELX’s current position can be described as relatively advanced in awareness but still transitional in execution. The next stage of maturity is therefore operational rather than rhetorical: building a repeatable governance system that can survive product growth, regulatory change and customer scrutiny simultaneously (Mittelstadt, 2019; </w:t>
      </w:r>
      <w:proofErr w:type="spellStart"/>
      <w:r w:rsidRPr="00223068">
        <w:rPr>
          <w:rFonts w:cs="Times New Roman"/>
        </w:rPr>
        <w:t>Mökander</w:t>
      </w:r>
      <w:proofErr w:type="spellEnd"/>
      <w:r w:rsidRPr="00223068">
        <w:rPr>
          <w:rFonts w:cs="Times New Roman"/>
        </w:rPr>
        <w:t xml:space="preserve"> et al., 2021).</w:t>
      </w:r>
    </w:p>
    <w:p w14:paraId="14EC08C4" w14:textId="77777777" w:rsidR="00223068" w:rsidRDefault="00223068">
      <w:pPr>
        <w:jc w:val="both"/>
        <w:rPr>
          <w:rFonts w:cs="Times New Roman"/>
        </w:rPr>
      </w:pPr>
    </w:p>
    <w:p w14:paraId="19E5CFB0" w14:textId="77777777" w:rsidR="00223068" w:rsidRDefault="00223068">
      <w:pPr>
        <w:jc w:val="both"/>
        <w:rPr>
          <w:rFonts w:cs="Times New Roman"/>
        </w:rPr>
      </w:pPr>
    </w:p>
    <w:p w14:paraId="31E12A25" w14:textId="77777777" w:rsidR="00223068" w:rsidRDefault="00223068">
      <w:pPr>
        <w:jc w:val="both"/>
        <w:rPr>
          <w:rFonts w:cs="Times New Roman"/>
        </w:rPr>
      </w:pPr>
    </w:p>
    <w:p w14:paraId="3DBF378B" w14:textId="77777777" w:rsidR="00223068" w:rsidRDefault="00223068">
      <w:pPr>
        <w:jc w:val="both"/>
        <w:rPr>
          <w:rFonts w:cs="Times New Roman"/>
        </w:rPr>
      </w:pPr>
    </w:p>
    <w:p w14:paraId="58EE379A" w14:textId="77777777" w:rsidR="00223068" w:rsidRDefault="00223068">
      <w:pPr>
        <w:jc w:val="both"/>
        <w:rPr>
          <w:rFonts w:cs="Times New Roman"/>
        </w:rPr>
      </w:pPr>
    </w:p>
    <w:p w14:paraId="00B336BF" w14:textId="77777777" w:rsidR="00223068" w:rsidRDefault="00223068">
      <w:pPr>
        <w:jc w:val="both"/>
        <w:rPr>
          <w:rFonts w:cs="Times New Roman"/>
        </w:rPr>
      </w:pPr>
    </w:p>
    <w:p w14:paraId="64A2021F" w14:textId="77777777" w:rsidR="00223068" w:rsidRDefault="00223068">
      <w:pPr>
        <w:jc w:val="both"/>
        <w:rPr>
          <w:rFonts w:cs="Times New Roman"/>
        </w:rPr>
      </w:pPr>
    </w:p>
    <w:p w14:paraId="381C12D4" w14:textId="77777777" w:rsidR="00223068" w:rsidRDefault="00223068">
      <w:pPr>
        <w:jc w:val="both"/>
        <w:rPr>
          <w:rFonts w:cs="Times New Roman"/>
        </w:rPr>
      </w:pPr>
    </w:p>
    <w:p w14:paraId="1554134A" w14:textId="32A9A037" w:rsidR="00184E8D" w:rsidRPr="00223068" w:rsidRDefault="00525868">
      <w:pPr>
        <w:pStyle w:val="Heading1"/>
        <w:rPr>
          <w:rFonts w:ascii="Times New Roman" w:eastAsia="SimSun" w:hAnsi="Times New Roman" w:cs="Times New Roman"/>
          <w:lang w:eastAsia="zh-CN"/>
        </w:rPr>
      </w:pPr>
      <w:bookmarkStart w:id="11" w:name="_Toc228125946"/>
      <w:r w:rsidRPr="00223068">
        <w:rPr>
          <w:rFonts w:ascii="Times New Roman" w:hAnsi="Times New Roman" w:cs="Times New Roman"/>
        </w:rPr>
        <w:lastRenderedPageBreak/>
        <w:t>Recommendations and Detailed Implementation Plan</w:t>
      </w:r>
      <w:bookmarkEnd w:id="11"/>
    </w:p>
    <w:p w14:paraId="5574B4E1" w14:textId="77777777" w:rsidR="00184E8D" w:rsidRPr="00223068" w:rsidRDefault="00525868" w:rsidP="00223068">
      <w:pPr>
        <w:ind w:firstLine="720"/>
        <w:jc w:val="both"/>
        <w:rPr>
          <w:rFonts w:cs="Times New Roman"/>
        </w:rPr>
      </w:pPr>
      <w:r w:rsidRPr="00223068">
        <w:rPr>
          <w:rFonts w:cs="Times New Roman"/>
        </w:rPr>
        <w:t>RELX should adopt one clear strategic principle: all material external AI systems and AI-enabled workflows should be governed through a single group-wide baseline designed to meet the stricter parts of the EU environment while remaining workable in the UK. This would not mean treating every tool as high-risk. It would mean making sure that all important systems meet a common governance floor before product teams adapt controls to local use cases (NIST, 2023; OECD, 2019).</w:t>
      </w:r>
    </w:p>
    <w:p w14:paraId="794C0203" w14:textId="77777777" w:rsidR="00184E8D" w:rsidRPr="00223068" w:rsidRDefault="00525868" w:rsidP="00223068">
      <w:pPr>
        <w:ind w:firstLine="720"/>
        <w:jc w:val="both"/>
        <w:rPr>
          <w:rFonts w:cs="Times New Roman"/>
        </w:rPr>
      </w:pPr>
      <w:r w:rsidRPr="00223068">
        <w:rPr>
          <w:rFonts w:cs="Times New Roman"/>
        </w:rPr>
        <w:t xml:space="preserve">The baseline should be built around a simple governance rule: no material AI system should move into or remain in production without clear ownership, traceable data documentation and a defined monitoring plan. This would help RELX avoid a common weakness identified in the literature, namely that ethical aspirations remain disconnected from operational checkpoints and day-to-day accountability (Mittelstadt, 2019; </w:t>
      </w:r>
      <w:proofErr w:type="spellStart"/>
      <w:r w:rsidRPr="00223068">
        <w:rPr>
          <w:rFonts w:cs="Times New Roman"/>
        </w:rPr>
        <w:t>Mökander</w:t>
      </w:r>
      <w:proofErr w:type="spellEnd"/>
      <w:r w:rsidRPr="00223068">
        <w:rPr>
          <w:rFonts w:cs="Times New Roman"/>
        </w:rPr>
        <w:t xml:space="preserve"> et al., 2021).</w:t>
      </w:r>
    </w:p>
    <w:p w14:paraId="73F62AF7" w14:textId="77777777" w:rsidR="00184E8D" w:rsidRPr="00223068" w:rsidRDefault="00525868" w:rsidP="00223068">
      <w:pPr>
        <w:ind w:firstLine="720"/>
        <w:jc w:val="both"/>
        <w:rPr>
          <w:rFonts w:cs="Times New Roman"/>
        </w:rPr>
      </w:pPr>
      <w:r w:rsidRPr="00223068">
        <w:rPr>
          <w:rFonts w:cs="Times New Roman"/>
        </w:rPr>
        <w:t xml:space="preserve">In the first three months, RELX should establish a central AI Risk Office with formal links to legal, privacy, cybersecurity, internal audit, procurement and product teams. Its first task should be to build a full AI inventory, including internally developed models, embedded AI features, important third-party models and material internal AI-assisted processes. Every item should then be risk-tiered according to use case, data sensitivity, degree of decision influence, third-party dependence and jurisdictional exposure. This is the </w:t>
      </w:r>
      <w:proofErr w:type="gramStart"/>
      <w:r w:rsidRPr="00223068">
        <w:rPr>
          <w:rFonts w:cs="Times New Roman"/>
        </w:rPr>
        <w:t>basic foundation</w:t>
      </w:r>
      <w:proofErr w:type="gramEnd"/>
      <w:r w:rsidRPr="00223068">
        <w:rPr>
          <w:rFonts w:cs="Times New Roman"/>
        </w:rPr>
        <w:t xml:space="preserve"> of any credible governance system (NIST, 2023).</w:t>
      </w:r>
    </w:p>
    <w:p w14:paraId="45DB4BED" w14:textId="77777777" w:rsidR="00184E8D" w:rsidRPr="00223068" w:rsidRDefault="00525868" w:rsidP="00223068">
      <w:pPr>
        <w:ind w:firstLine="720"/>
        <w:jc w:val="both"/>
        <w:rPr>
          <w:rFonts w:cs="Times New Roman"/>
        </w:rPr>
      </w:pPr>
      <w:r w:rsidRPr="00223068">
        <w:rPr>
          <w:rFonts w:cs="Times New Roman"/>
        </w:rPr>
        <w:t>RELX should also introduce mandatory role-based training for product managers, lawyers, data scientists, procurement staff and senior decision-makers. The aim should not be generic AI awareness alone, but practical judgement about model limits, vendor risk, documentation quality and escalation duties. Even strong governance structures can fail if employees do not know when a system has moved into a higher-risk category or when human intervention is required (NIST, 2023; Kaur et al., 2022).</w:t>
      </w:r>
    </w:p>
    <w:p w14:paraId="08FCA93B" w14:textId="77777777" w:rsidR="00184E8D" w:rsidRPr="00223068" w:rsidRDefault="00525868" w:rsidP="00223068">
      <w:pPr>
        <w:ind w:firstLine="720"/>
        <w:jc w:val="both"/>
        <w:rPr>
          <w:rFonts w:cs="Times New Roman"/>
        </w:rPr>
      </w:pPr>
      <w:r w:rsidRPr="00223068">
        <w:rPr>
          <w:rFonts w:cs="Times New Roman"/>
        </w:rPr>
        <w:t xml:space="preserve">Between months three and six, RELX should strengthen data and vendor controls. All material AI products should have mandatory data-lineage documentation covering source type, provenance, licensing or lawful basis, quality limits, retention rules and downstream-use boundaries. In parallel, the company should create a standard vendor governance annex for cloud, model and data suppliers covering audit rights, update notices, incident reporting, confidentiality, </w:t>
      </w:r>
      <w:r w:rsidRPr="00223068">
        <w:rPr>
          <w:rFonts w:cs="Times New Roman"/>
        </w:rPr>
        <w:lastRenderedPageBreak/>
        <w:t>copyright assurances and exit provisions. Given RELX’s stated dependence on third-party providers, this is a direct response to an already disclosed risk (RELX, 2026a).</w:t>
      </w:r>
    </w:p>
    <w:p w14:paraId="5FF4DFA6" w14:textId="77777777" w:rsidR="00184E8D" w:rsidRPr="00223068" w:rsidRDefault="00525868" w:rsidP="00223068">
      <w:pPr>
        <w:ind w:firstLine="720"/>
        <w:jc w:val="both"/>
        <w:rPr>
          <w:rFonts w:cs="Times New Roman"/>
        </w:rPr>
      </w:pPr>
      <w:r w:rsidRPr="00223068">
        <w:rPr>
          <w:rFonts w:cs="Times New Roman"/>
        </w:rPr>
        <w:t>Between months six and nine, RELX should translate its ethical principles into enforceable product controls. Each material AI product should have minimum requirements for bias testing, explainability, human-oversight design, ongoing monitoring, escalation triggers and rollback rules. Oversight should also be tailored to context. A research-support tool may need strong source traceability, while a legal or risk product may additionally require confidence warnings, workflow gating and explicit guidance against sole reliance on the system (RELX, n.d.-a).</w:t>
      </w:r>
    </w:p>
    <w:p w14:paraId="5034CB61" w14:textId="77777777" w:rsidR="00184E8D" w:rsidRPr="00223068" w:rsidRDefault="00525868" w:rsidP="00223068">
      <w:pPr>
        <w:ind w:firstLine="720"/>
        <w:jc w:val="both"/>
        <w:rPr>
          <w:rFonts w:cs="Times New Roman"/>
        </w:rPr>
      </w:pPr>
      <w:r w:rsidRPr="00223068">
        <w:rPr>
          <w:rFonts w:cs="Times New Roman"/>
        </w:rPr>
        <w:t>Between months nine and twelve, RELX should create a UK–EU compliance matrix that maps each material product against UK GDPR and ICO expectations, the changes introduced by the Data (Use and Access) Act 2025, and the relevant obligations under the EU AI Act. Products used in both jurisdictions should default to the higher common denominator unless a central exception is justified. This would reduce fragmentation and make it easier to explain controls to customers and regulators (ICO, 2023; European Commission, 2025a; DSIT, 2025a).</w:t>
      </w:r>
    </w:p>
    <w:p w14:paraId="146B2D8B" w14:textId="77777777" w:rsidR="00184E8D" w:rsidRPr="00223068" w:rsidRDefault="00525868" w:rsidP="00C414B9">
      <w:pPr>
        <w:ind w:firstLine="720"/>
        <w:jc w:val="both"/>
        <w:rPr>
          <w:rFonts w:cs="Times New Roman"/>
        </w:rPr>
      </w:pPr>
      <w:r w:rsidRPr="00223068">
        <w:rPr>
          <w:rFonts w:cs="Times New Roman"/>
        </w:rPr>
        <w:t>Between months twelve and eighteen, RELX should treat trust as a product feature. Its major AI-enabled offerings should include visible trust markers such as provenance notices, source-linked outputs where possible, clear limitation statements, intended-use guidance and routes for challenge or correction. At the same time, the board should receive a quarterly AI dashboard covering inventory coverage, unresolved high-risk items, incidents, supplier exceptions, political and regulatory developments and customer complaints. This would improve both internal oversight and external assurance (RELX, n.d.-c; RELX, n.d.-b).</w:t>
      </w:r>
    </w:p>
    <w:p w14:paraId="6EBEF726" w14:textId="77777777" w:rsidR="00184E8D" w:rsidRPr="00223068" w:rsidRDefault="00525868" w:rsidP="00C414B9">
      <w:pPr>
        <w:ind w:firstLine="720"/>
        <w:jc w:val="both"/>
        <w:rPr>
          <w:rFonts w:cs="Times New Roman"/>
        </w:rPr>
      </w:pPr>
      <w:r w:rsidRPr="00223068">
        <w:rPr>
          <w:rFonts w:cs="Times New Roman"/>
        </w:rPr>
        <w:t xml:space="preserve">To make the implementation plan measurable, RELX should attach specific indicators to each phase. These could include the percentage of AI systems inventoried, the share of material systems with complete data-lineage records, the proportion of higher-risk systems reviewed before deployment, the number of open supplier exceptions, the mean time to close AI-related incidents, and the proportion of major products with customer-facing transparency notices. Metrics of this kind would make board oversight more concrete and reduce the risk that implementation becomes symbolic rather than substantive (NIST, 2023; </w:t>
      </w:r>
      <w:proofErr w:type="spellStart"/>
      <w:r w:rsidRPr="00223068">
        <w:rPr>
          <w:rFonts w:cs="Times New Roman"/>
        </w:rPr>
        <w:t>Mökander</w:t>
      </w:r>
      <w:proofErr w:type="spellEnd"/>
      <w:r w:rsidRPr="00223068">
        <w:rPr>
          <w:rFonts w:cs="Times New Roman"/>
        </w:rPr>
        <w:t xml:space="preserve"> et al., 2021).</w:t>
      </w:r>
    </w:p>
    <w:p w14:paraId="2F1C5BDA" w14:textId="77777777" w:rsidR="00184E8D" w:rsidRDefault="00525868" w:rsidP="00C414B9">
      <w:pPr>
        <w:ind w:firstLine="720"/>
        <w:jc w:val="both"/>
        <w:rPr>
          <w:rFonts w:cs="Times New Roman"/>
        </w:rPr>
      </w:pPr>
      <w:r w:rsidRPr="00223068">
        <w:rPr>
          <w:rFonts w:cs="Times New Roman"/>
        </w:rPr>
        <w:t xml:space="preserve">Finally, implementation should be treated as an ongoing governance capability rather than a one-off compliance project. The regulatory environment will continue to evolve, models will </w:t>
      </w:r>
      <w:r w:rsidRPr="00223068">
        <w:rPr>
          <w:rFonts w:cs="Times New Roman"/>
        </w:rPr>
        <w:lastRenderedPageBreak/>
        <w:t>change, and customer expectations will shift as competitors advance their own AI offers. RELX therefore needs a standing mechanism for periodic review rather than a static framework designed only for the current moment (DSIT, 2026; European Commission, 2025b).</w:t>
      </w:r>
    </w:p>
    <w:p w14:paraId="0C410AE5" w14:textId="77777777" w:rsidR="00223068" w:rsidRDefault="00223068">
      <w:pPr>
        <w:jc w:val="both"/>
        <w:rPr>
          <w:rFonts w:cs="Times New Roman"/>
        </w:rPr>
      </w:pPr>
    </w:p>
    <w:p w14:paraId="128A3A2A" w14:textId="77777777" w:rsidR="00223068" w:rsidRDefault="00223068">
      <w:pPr>
        <w:jc w:val="both"/>
        <w:rPr>
          <w:rFonts w:cs="Times New Roman"/>
        </w:rPr>
      </w:pPr>
    </w:p>
    <w:p w14:paraId="1B76AC85" w14:textId="77777777" w:rsidR="00223068" w:rsidRDefault="00223068">
      <w:pPr>
        <w:jc w:val="both"/>
        <w:rPr>
          <w:rFonts w:cs="Times New Roman"/>
        </w:rPr>
      </w:pPr>
    </w:p>
    <w:p w14:paraId="08CB661D" w14:textId="77777777" w:rsidR="00223068" w:rsidRDefault="00223068">
      <w:pPr>
        <w:jc w:val="both"/>
        <w:rPr>
          <w:rFonts w:cs="Times New Roman"/>
        </w:rPr>
      </w:pPr>
    </w:p>
    <w:p w14:paraId="60DF18F5" w14:textId="77777777" w:rsidR="00223068" w:rsidRDefault="00223068">
      <w:pPr>
        <w:jc w:val="both"/>
        <w:rPr>
          <w:rFonts w:cs="Times New Roman"/>
        </w:rPr>
      </w:pPr>
    </w:p>
    <w:p w14:paraId="489B754B" w14:textId="77777777" w:rsidR="00223068" w:rsidRDefault="00223068">
      <w:pPr>
        <w:jc w:val="both"/>
        <w:rPr>
          <w:rFonts w:cs="Times New Roman"/>
        </w:rPr>
      </w:pPr>
    </w:p>
    <w:p w14:paraId="1D4CBA0F" w14:textId="77777777" w:rsidR="00223068" w:rsidRDefault="00223068">
      <w:pPr>
        <w:jc w:val="both"/>
        <w:rPr>
          <w:rFonts w:cs="Times New Roman"/>
        </w:rPr>
      </w:pPr>
    </w:p>
    <w:p w14:paraId="0B3ADA50" w14:textId="77777777" w:rsidR="00223068" w:rsidRDefault="00223068">
      <w:pPr>
        <w:jc w:val="both"/>
        <w:rPr>
          <w:rFonts w:cs="Times New Roman"/>
        </w:rPr>
      </w:pPr>
    </w:p>
    <w:p w14:paraId="085EE728" w14:textId="77777777" w:rsidR="00223068" w:rsidRDefault="00223068">
      <w:pPr>
        <w:jc w:val="both"/>
        <w:rPr>
          <w:rFonts w:cs="Times New Roman"/>
        </w:rPr>
      </w:pPr>
    </w:p>
    <w:p w14:paraId="7EFA041B" w14:textId="77777777" w:rsidR="00223068" w:rsidRDefault="00223068">
      <w:pPr>
        <w:jc w:val="both"/>
        <w:rPr>
          <w:rFonts w:cs="Times New Roman"/>
        </w:rPr>
      </w:pPr>
    </w:p>
    <w:p w14:paraId="39B556F1" w14:textId="77777777" w:rsidR="00223068" w:rsidRDefault="00223068">
      <w:pPr>
        <w:jc w:val="both"/>
        <w:rPr>
          <w:rFonts w:cs="Times New Roman"/>
        </w:rPr>
      </w:pPr>
    </w:p>
    <w:p w14:paraId="1BA1A12A" w14:textId="77777777" w:rsidR="00223068" w:rsidRDefault="00223068">
      <w:pPr>
        <w:jc w:val="both"/>
        <w:rPr>
          <w:rFonts w:cs="Times New Roman"/>
        </w:rPr>
      </w:pPr>
    </w:p>
    <w:p w14:paraId="6A61CC1E" w14:textId="77777777" w:rsidR="00223068" w:rsidRDefault="00223068">
      <w:pPr>
        <w:jc w:val="both"/>
        <w:rPr>
          <w:rFonts w:cs="Times New Roman"/>
        </w:rPr>
      </w:pPr>
    </w:p>
    <w:p w14:paraId="75F619C6" w14:textId="77777777" w:rsidR="00223068" w:rsidRDefault="00223068">
      <w:pPr>
        <w:jc w:val="both"/>
        <w:rPr>
          <w:rFonts w:cs="Times New Roman"/>
        </w:rPr>
      </w:pPr>
    </w:p>
    <w:p w14:paraId="40DAF45D" w14:textId="77777777" w:rsidR="00223068" w:rsidRDefault="00223068">
      <w:pPr>
        <w:jc w:val="both"/>
        <w:rPr>
          <w:rFonts w:cs="Times New Roman"/>
        </w:rPr>
      </w:pPr>
    </w:p>
    <w:p w14:paraId="0A703410" w14:textId="77777777" w:rsidR="00223068" w:rsidRDefault="00223068">
      <w:pPr>
        <w:jc w:val="both"/>
        <w:rPr>
          <w:rFonts w:cs="Times New Roman"/>
        </w:rPr>
      </w:pPr>
    </w:p>
    <w:p w14:paraId="7FD867CC" w14:textId="77777777" w:rsidR="00223068" w:rsidRDefault="00223068">
      <w:pPr>
        <w:jc w:val="both"/>
        <w:rPr>
          <w:rFonts w:cs="Times New Roman"/>
        </w:rPr>
      </w:pPr>
    </w:p>
    <w:p w14:paraId="6C791B3E" w14:textId="77777777" w:rsidR="00223068" w:rsidRDefault="00223068">
      <w:pPr>
        <w:jc w:val="both"/>
        <w:rPr>
          <w:rFonts w:cs="Times New Roman"/>
        </w:rPr>
      </w:pPr>
    </w:p>
    <w:p w14:paraId="63D8999F" w14:textId="77777777" w:rsidR="00223068" w:rsidRDefault="00223068">
      <w:pPr>
        <w:jc w:val="both"/>
        <w:rPr>
          <w:rFonts w:cs="Times New Roman"/>
        </w:rPr>
      </w:pPr>
    </w:p>
    <w:p w14:paraId="2E3E316F" w14:textId="77777777" w:rsidR="00223068" w:rsidRPr="00223068" w:rsidRDefault="00223068">
      <w:pPr>
        <w:jc w:val="both"/>
        <w:rPr>
          <w:rFonts w:cs="Times New Roman"/>
        </w:rPr>
      </w:pPr>
    </w:p>
    <w:p w14:paraId="6DFC7529" w14:textId="30741B6C" w:rsidR="00184E8D" w:rsidRPr="00B237D8" w:rsidRDefault="00525868">
      <w:pPr>
        <w:pStyle w:val="Heading1"/>
        <w:rPr>
          <w:rFonts w:ascii="Times New Roman" w:eastAsia="SimSun" w:hAnsi="Times New Roman" w:cs="Times New Roman"/>
          <w:lang w:eastAsia="zh-CN"/>
        </w:rPr>
      </w:pPr>
      <w:bookmarkStart w:id="12" w:name="_Toc228125947"/>
      <w:r w:rsidRPr="00B237D8">
        <w:rPr>
          <w:rFonts w:ascii="Times New Roman" w:hAnsi="Times New Roman" w:cs="Times New Roman"/>
        </w:rPr>
        <w:lastRenderedPageBreak/>
        <w:t>Conclusion</w:t>
      </w:r>
      <w:bookmarkEnd w:id="12"/>
    </w:p>
    <w:p w14:paraId="0927A43A" w14:textId="77777777" w:rsidR="00184E8D" w:rsidRPr="00223068" w:rsidRDefault="00525868" w:rsidP="00223068">
      <w:pPr>
        <w:ind w:firstLine="720"/>
        <w:jc w:val="both"/>
        <w:rPr>
          <w:rFonts w:cs="Times New Roman"/>
        </w:rPr>
      </w:pPr>
      <w:r w:rsidRPr="00223068">
        <w:rPr>
          <w:rFonts w:cs="Times New Roman"/>
        </w:rPr>
        <w:t>The growth of AI creates both opportunity and pressure for RELX. On the one hand, AI is already contributing to product development and commercial growth. On the other hand, it is increasing exposure to privacy, regulatory, third-party, cyber and trust-related risks. Because RELX operates in professional information and decision-support markets, these risks matter more than they might for lower-stakes consumer businesses. Failures in AI governance would not simply look like technical errors; they could be interpreted as failures of professional reliability and responsible stewardship (RELX, 2026a; RELX, n.d.-a).</w:t>
      </w:r>
    </w:p>
    <w:p w14:paraId="50D40223" w14:textId="77777777" w:rsidR="00184E8D" w:rsidRPr="00223068" w:rsidRDefault="00525868" w:rsidP="00223068">
      <w:pPr>
        <w:ind w:firstLine="720"/>
        <w:jc w:val="both"/>
        <w:rPr>
          <w:rFonts w:cs="Times New Roman"/>
        </w:rPr>
      </w:pPr>
      <w:r w:rsidRPr="00223068">
        <w:rPr>
          <w:rFonts w:cs="Times New Roman"/>
        </w:rPr>
        <w:t>This report has argued that RELX already has a credible ethical foundation, but that its next challenge is operational consistency. A framework based mainly on principles and business-unit implementation is no longer enough on its own in a context shaped by UK–EU regulatory divergence, rapid product development and rising customer scrutiny. RELX now needs a stronger group-wide operating model for AI governance (RELX, n.d.-a; European Commission, 2025a; DSIT, 2024).</w:t>
      </w:r>
    </w:p>
    <w:p w14:paraId="7062D3FA" w14:textId="77777777" w:rsidR="00184E8D" w:rsidRPr="00223068" w:rsidRDefault="00525868" w:rsidP="00223068">
      <w:pPr>
        <w:ind w:firstLine="720"/>
        <w:jc w:val="both"/>
        <w:rPr>
          <w:rFonts w:cs="Times New Roman"/>
        </w:rPr>
      </w:pPr>
      <w:r w:rsidRPr="00223068">
        <w:rPr>
          <w:rFonts w:cs="Times New Roman"/>
        </w:rPr>
        <w:t>The most future-proof path is therefore to adopt a consistently high internal standard, aligned broadly with the stricter parts of the EU framework but flexible enough to work in the UK. If RELX can do this well, responsible AI will not be a constraint on innovation. It will be one of the main conditions that allows innovation to scale safely and credibly across borders (NIST, 2023; OECD, 2019).</w:t>
      </w:r>
    </w:p>
    <w:p w14:paraId="1A6B00CE" w14:textId="77777777" w:rsidR="00184E8D" w:rsidRPr="00223068" w:rsidRDefault="00525868" w:rsidP="00223068">
      <w:pPr>
        <w:ind w:firstLine="720"/>
        <w:jc w:val="both"/>
        <w:rPr>
          <w:rFonts w:cs="Times New Roman"/>
        </w:rPr>
      </w:pPr>
      <w:r w:rsidRPr="00223068">
        <w:rPr>
          <w:rFonts w:cs="Times New Roman"/>
        </w:rPr>
        <w:t xml:space="preserve">Ultimately, the issue is not whether RELX should move quickly or cautiously, but whether it can move quickly without weakening the institutional features that make its products valuable. In an information business, governance quality is part of product quality. That is why the company’s future position will depend as much on disciplined implementation as on technical innovation (Mittelstadt, 2019; </w:t>
      </w:r>
      <w:proofErr w:type="spellStart"/>
      <w:r w:rsidRPr="00223068">
        <w:rPr>
          <w:rFonts w:cs="Times New Roman"/>
        </w:rPr>
        <w:t>Glikson</w:t>
      </w:r>
      <w:proofErr w:type="spellEnd"/>
      <w:r w:rsidRPr="00223068">
        <w:rPr>
          <w:rFonts w:cs="Times New Roman"/>
        </w:rPr>
        <w:t xml:space="preserve"> and Woolley, 2020).</w:t>
      </w:r>
    </w:p>
    <w:p w14:paraId="160A905E" w14:textId="2BB9A632" w:rsidR="00184E8D" w:rsidRPr="00223068" w:rsidRDefault="00525868">
      <w:pPr>
        <w:jc w:val="both"/>
        <w:rPr>
          <w:rFonts w:cs="Times New Roman"/>
        </w:rPr>
      </w:pPr>
      <w:r w:rsidRPr="00223068">
        <w:rPr>
          <w:rFonts w:cs="Times New Roman"/>
        </w:rPr>
        <w:br w:type="page"/>
      </w:r>
    </w:p>
    <w:p w14:paraId="2E511C19" w14:textId="2BB9A632" w:rsidR="00184E8D" w:rsidRPr="00B237D8" w:rsidRDefault="00525868">
      <w:pPr>
        <w:pStyle w:val="Heading1"/>
        <w:rPr>
          <w:rFonts w:ascii="Times New Roman" w:eastAsia="SimSun" w:hAnsi="Times New Roman" w:cs="Times New Roman"/>
          <w:lang w:eastAsia="zh-CN"/>
        </w:rPr>
      </w:pPr>
      <w:bookmarkStart w:id="13" w:name="_Toc228125948"/>
      <w:r w:rsidRPr="00B237D8">
        <w:rPr>
          <w:rFonts w:ascii="Times New Roman" w:hAnsi="Times New Roman" w:cs="Times New Roman"/>
        </w:rPr>
        <w:lastRenderedPageBreak/>
        <w:t>Bibliography</w:t>
      </w:r>
      <w:bookmarkEnd w:id="13"/>
    </w:p>
    <w:p w14:paraId="78AFBC87" w14:textId="77777777" w:rsidR="00184E8D" w:rsidRPr="00223068" w:rsidRDefault="00525868">
      <w:pPr>
        <w:ind w:hanging="360"/>
        <w:rPr>
          <w:rFonts w:cs="Times New Roman"/>
        </w:rPr>
      </w:pPr>
      <w:r w:rsidRPr="00223068">
        <w:rPr>
          <w:rFonts w:cs="Times New Roman"/>
        </w:rPr>
        <w:t>AI Act Service Desk (2026) Timeline for the implementation of the EU AI Act. Available at: https://ai-act-service-desk.ec.europa.eu/en/ai-act/timeline/timeline-implementation-eu-ai-act (Accessed: 22 April 2026).</w:t>
      </w:r>
    </w:p>
    <w:p w14:paraId="08E071E5" w14:textId="77777777" w:rsidR="00184E8D" w:rsidRPr="00223068" w:rsidRDefault="00525868">
      <w:pPr>
        <w:ind w:hanging="360"/>
        <w:rPr>
          <w:rFonts w:cs="Times New Roman"/>
        </w:rPr>
      </w:pPr>
      <w:r w:rsidRPr="00223068">
        <w:rPr>
          <w:rFonts w:cs="Times New Roman"/>
        </w:rPr>
        <w:t>Bank of England (2026) Bank Rate maintained at 3.75% – March 2026 Monetary Policy Summary and Minutes. Available at: https://www.bankofengland.co.uk/monetary-policy-summary-and-minutes/2026/march-2026 (Accessed: 22 April 2026).</w:t>
      </w:r>
    </w:p>
    <w:p w14:paraId="257E1291" w14:textId="77777777" w:rsidR="00184E8D" w:rsidRPr="00223068" w:rsidRDefault="00525868">
      <w:pPr>
        <w:ind w:hanging="360"/>
        <w:rPr>
          <w:rFonts w:cs="Times New Roman"/>
        </w:rPr>
      </w:pPr>
      <w:r w:rsidRPr="00223068">
        <w:rPr>
          <w:rFonts w:cs="Times New Roman"/>
        </w:rPr>
        <w:t>Binns, R. (2018) ‘Fairness in machine learning: lessons from political philosophy’, in Friedler, S.A. and Wilson, C. (eds.) Proceedings of the 1st Conference on Fairness, Accountability and Transparency. Proceedings of Machine Learning Research, 81, pp. 149–159. Available at: https://proceedings.mlr.press/v81/binns18a.html (Accessed: 22 April 2026).</w:t>
      </w:r>
    </w:p>
    <w:p w14:paraId="709B1D3D" w14:textId="77777777" w:rsidR="00184E8D" w:rsidRPr="00223068" w:rsidRDefault="00525868">
      <w:pPr>
        <w:ind w:hanging="360"/>
        <w:rPr>
          <w:rFonts w:cs="Times New Roman"/>
        </w:rPr>
      </w:pPr>
      <w:r w:rsidRPr="00223068">
        <w:rPr>
          <w:rFonts w:cs="Times New Roman"/>
        </w:rPr>
        <w:t>Department for Science, Innovation and Technology (DSIT) (2024) A pro-innovation approach to AI regulation: government response. Available at: https://www.gov.uk/government/consultations/ai-regulation-a-pro-innovation-approach-policy-proposals/outcome/a-pro-innovation-approach-to-ai-regulation-government-response (Accessed: 22 April 2026).</w:t>
      </w:r>
    </w:p>
    <w:p w14:paraId="09BDA1D4" w14:textId="77777777" w:rsidR="00184E8D" w:rsidRPr="00223068" w:rsidRDefault="00525868">
      <w:pPr>
        <w:ind w:hanging="360"/>
        <w:rPr>
          <w:rFonts w:cs="Times New Roman"/>
        </w:rPr>
      </w:pPr>
      <w:r w:rsidRPr="00223068">
        <w:rPr>
          <w:rFonts w:cs="Times New Roman"/>
        </w:rPr>
        <w:t>Department for Science, Innovation and Technology (DSIT) (2025a) Data (Use and Access) Act 2025. Available at: https://www.gov.uk/government/collections/data-use-and-access-act-2025 (Accessed: 22 April 2026).</w:t>
      </w:r>
    </w:p>
    <w:p w14:paraId="4AF5EE73" w14:textId="77777777" w:rsidR="00184E8D" w:rsidRPr="00223068" w:rsidRDefault="00525868">
      <w:pPr>
        <w:ind w:hanging="360"/>
        <w:rPr>
          <w:rFonts w:cs="Times New Roman"/>
        </w:rPr>
      </w:pPr>
      <w:r w:rsidRPr="00223068">
        <w:rPr>
          <w:rFonts w:cs="Times New Roman"/>
        </w:rPr>
        <w:t>Department for Science, Innovation and Technology (DSIT) (2025b) Data (Use and Access) Act 2025: data protection and privacy changes. Available at: https://www.gov.uk/guidance/data-use-and-access-act-2025-data-protection-and-privacy-changes (Accessed: 22 April 2026).</w:t>
      </w:r>
    </w:p>
    <w:p w14:paraId="57C9809A" w14:textId="77777777" w:rsidR="00184E8D" w:rsidRPr="00223068" w:rsidRDefault="00525868">
      <w:pPr>
        <w:ind w:hanging="360"/>
        <w:rPr>
          <w:rFonts w:cs="Times New Roman"/>
        </w:rPr>
      </w:pPr>
      <w:r w:rsidRPr="00223068">
        <w:rPr>
          <w:rFonts w:cs="Times New Roman"/>
        </w:rPr>
        <w:t>Department for Science, Innovation and Technology (DSIT) (2026) AI Opportunities Action Plan: One Year On. Available at: https://www.gov.uk/government/publications/ai-opportunities-action-plan-one-year-on/ai-opportunities-action-plan-one-year-on (Accessed: 22 April 2026).</w:t>
      </w:r>
    </w:p>
    <w:p w14:paraId="68577114" w14:textId="77777777" w:rsidR="00184E8D" w:rsidRPr="00223068" w:rsidRDefault="00525868">
      <w:pPr>
        <w:ind w:hanging="360"/>
        <w:rPr>
          <w:rFonts w:cs="Times New Roman"/>
        </w:rPr>
      </w:pPr>
      <w:r w:rsidRPr="00223068">
        <w:rPr>
          <w:rFonts w:cs="Times New Roman"/>
        </w:rPr>
        <w:t>European Commission (2024) AI Act enters into force. Available at: https://commission.europa.eu/news-and-media/news/ai-act-enters-force-2024-08-01_en (Accessed: 22 April 2026).</w:t>
      </w:r>
    </w:p>
    <w:p w14:paraId="7D9A03FF" w14:textId="77777777" w:rsidR="00184E8D" w:rsidRPr="00223068" w:rsidRDefault="00525868">
      <w:pPr>
        <w:ind w:hanging="360"/>
        <w:rPr>
          <w:rFonts w:cs="Times New Roman"/>
        </w:rPr>
      </w:pPr>
      <w:r w:rsidRPr="00223068">
        <w:rPr>
          <w:rFonts w:cs="Times New Roman"/>
        </w:rPr>
        <w:lastRenderedPageBreak/>
        <w:t>European Commission (2025a) AI Act. Available at: https://digital-strategy.ec.europa.eu/en/policies/regulatory-framework-ai (Accessed: 22 April 2026).</w:t>
      </w:r>
    </w:p>
    <w:p w14:paraId="189857E2" w14:textId="77777777" w:rsidR="00184E8D" w:rsidRPr="00223068" w:rsidRDefault="00525868">
      <w:pPr>
        <w:ind w:hanging="360"/>
        <w:rPr>
          <w:rFonts w:cs="Times New Roman"/>
        </w:rPr>
      </w:pPr>
      <w:r w:rsidRPr="00223068">
        <w:rPr>
          <w:rFonts w:cs="Times New Roman"/>
        </w:rPr>
        <w:t>European Commission (2025b) General-purpose AI models in the AI Act – Questions &amp; Answers. Available at: https://digital-strategy.ec.europa.eu/en/faqs/general-purpose-ai-models-ai-act-questions-answers (Accessed: 22 April 2026).</w:t>
      </w:r>
    </w:p>
    <w:p w14:paraId="27703186" w14:textId="77777777" w:rsidR="00184E8D" w:rsidRPr="00223068" w:rsidRDefault="00525868">
      <w:pPr>
        <w:ind w:hanging="360"/>
        <w:rPr>
          <w:rFonts w:cs="Times New Roman"/>
        </w:rPr>
      </w:pPr>
      <w:r w:rsidRPr="00223068">
        <w:rPr>
          <w:rFonts w:cs="Times New Roman"/>
        </w:rPr>
        <w:t>European Central Bank (ECB) (2026) Monetary policy decisions, 19 March 2026. Available at: https://www.ecb.europa.eu/press/pr/date/2026/html/ecb.mp260319~3057739775.en.html (Accessed: 22 April 2026).</w:t>
      </w:r>
    </w:p>
    <w:p w14:paraId="1628B2E8" w14:textId="77777777" w:rsidR="00184E8D" w:rsidRPr="00223068" w:rsidRDefault="00525868">
      <w:pPr>
        <w:ind w:hanging="360"/>
        <w:rPr>
          <w:rFonts w:cs="Times New Roman"/>
        </w:rPr>
      </w:pPr>
      <w:proofErr w:type="spellStart"/>
      <w:r w:rsidRPr="00223068">
        <w:rPr>
          <w:rFonts w:cs="Times New Roman"/>
        </w:rPr>
        <w:t>Floridi</w:t>
      </w:r>
      <w:proofErr w:type="spellEnd"/>
      <w:r w:rsidRPr="00223068">
        <w:rPr>
          <w:rFonts w:cs="Times New Roman"/>
        </w:rPr>
        <w:t xml:space="preserve">, L. (2021) ‘The European legislation on AI: a brief analysis of its philosophical approach’, Philosophy &amp; Technology, 34(2), pp. 215–222. </w:t>
      </w:r>
      <w:proofErr w:type="spellStart"/>
      <w:r w:rsidRPr="00223068">
        <w:rPr>
          <w:rFonts w:cs="Times New Roman"/>
        </w:rPr>
        <w:t>doi</w:t>
      </w:r>
      <w:proofErr w:type="spellEnd"/>
      <w:r w:rsidRPr="00223068">
        <w:rPr>
          <w:rFonts w:cs="Times New Roman"/>
        </w:rPr>
        <w:t>: 10.1007/s13347-021-00460-9.</w:t>
      </w:r>
    </w:p>
    <w:p w14:paraId="32641DDD" w14:textId="77777777" w:rsidR="00184E8D" w:rsidRPr="00223068" w:rsidRDefault="00525868">
      <w:pPr>
        <w:ind w:hanging="360"/>
        <w:rPr>
          <w:rFonts w:cs="Times New Roman"/>
        </w:rPr>
      </w:pPr>
      <w:r w:rsidRPr="00223068">
        <w:rPr>
          <w:rFonts w:cs="Times New Roman"/>
        </w:rPr>
        <w:t xml:space="preserve">Glikson, E. and Woolley, A.W. (2020) ‘Human trust in artificial intelligence: review of empirical research’, Academy of Management Annals, 14(2), pp. 627–660. </w:t>
      </w:r>
      <w:proofErr w:type="spellStart"/>
      <w:r w:rsidRPr="00223068">
        <w:rPr>
          <w:rFonts w:cs="Times New Roman"/>
        </w:rPr>
        <w:t>doi</w:t>
      </w:r>
      <w:proofErr w:type="spellEnd"/>
      <w:r w:rsidRPr="00223068">
        <w:rPr>
          <w:rFonts w:cs="Times New Roman"/>
        </w:rPr>
        <w:t>: 10.5465/annals.2018.0057.</w:t>
      </w:r>
    </w:p>
    <w:p w14:paraId="45DA67E0" w14:textId="77777777" w:rsidR="00184E8D" w:rsidRPr="00223068" w:rsidRDefault="00525868">
      <w:pPr>
        <w:ind w:hanging="360"/>
        <w:rPr>
          <w:rFonts w:cs="Times New Roman"/>
        </w:rPr>
      </w:pPr>
      <w:r w:rsidRPr="00223068">
        <w:rPr>
          <w:rFonts w:cs="Times New Roman"/>
        </w:rPr>
        <w:t>Information Commissioner’s Office (ICO) (2023) Guidance on AI and data protection. Available at: https://ico.org.uk/for-organisations/uk-gdpr-guidance-and-resources/artificial-intelligence/guidance-on-ai-and-data-protection/ (Accessed: 22 April 2026).</w:t>
      </w:r>
    </w:p>
    <w:p w14:paraId="66CFC5E1" w14:textId="77777777" w:rsidR="00184E8D" w:rsidRPr="00223068" w:rsidRDefault="00525868">
      <w:pPr>
        <w:ind w:hanging="360"/>
        <w:rPr>
          <w:rFonts w:cs="Times New Roman"/>
        </w:rPr>
      </w:pPr>
      <w:r w:rsidRPr="00223068">
        <w:rPr>
          <w:rFonts w:cs="Times New Roman"/>
        </w:rPr>
        <w:t>International Monetary Fund (IMF) (2026) World Economic Outlook, April 2026: Global Economy in the Shadow of War. Washington, DC: International Monetary Fund. Available at: https://www.imf.org/en/publications/weo/issues/2026/04/14/world-economic-outlook-april-2026 (Accessed: 22 April 2026).</w:t>
      </w:r>
    </w:p>
    <w:p w14:paraId="4BE729D8" w14:textId="77777777" w:rsidR="00184E8D" w:rsidRPr="00223068" w:rsidRDefault="00525868">
      <w:pPr>
        <w:ind w:hanging="360"/>
        <w:rPr>
          <w:rFonts w:cs="Times New Roman"/>
        </w:rPr>
      </w:pPr>
      <w:r w:rsidRPr="00223068">
        <w:rPr>
          <w:rFonts w:cs="Times New Roman"/>
        </w:rPr>
        <w:t xml:space="preserve">Kaur, D., Uslu, S., Rittichier, K.J. and </w:t>
      </w:r>
      <w:proofErr w:type="spellStart"/>
      <w:r w:rsidRPr="00223068">
        <w:rPr>
          <w:rFonts w:cs="Times New Roman"/>
        </w:rPr>
        <w:t>Durresi</w:t>
      </w:r>
      <w:proofErr w:type="spellEnd"/>
      <w:r w:rsidRPr="00223068">
        <w:rPr>
          <w:rFonts w:cs="Times New Roman"/>
        </w:rPr>
        <w:t xml:space="preserve">, A. (2022) ‘Trustworthy artificial intelligence: a review’, ACM Computing Surveys, 55(2), Article 39, pp. 1–38. </w:t>
      </w:r>
      <w:proofErr w:type="spellStart"/>
      <w:r w:rsidRPr="00223068">
        <w:rPr>
          <w:rFonts w:cs="Times New Roman"/>
        </w:rPr>
        <w:t>doi</w:t>
      </w:r>
      <w:proofErr w:type="spellEnd"/>
      <w:r w:rsidRPr="00223068">
        <w:rPr>
          <w:rFonts w:cs="Times New Roman"/>
        </w:rPr>
        <w:t>: 10.1145/3491209.</w:t>
      </w:r>
    </w:p>
    <w:p w14:paraId="7E3D2CE4" w14:textId="77777777" w:rsidR="00184E8D" w:rsidRPr="00223068" w:rsidRDefault="00525868">
      <w:pPr>
        <w:ind w:hanging="360"/>
        <w:rPr>
          <w:rFonts w:cs="Times New Roman"/>
        </w:rPr>
      </w:pPr>
      <w:r w:rsidRPr="00223068">
        <w:rPr>
          <w:rFonts w:cs="Times New Roman"/>
        </w:rPr>
        <w:t xml:space="preserve">Mittelstadt, B. (2019) ‘Principles alone cannot guarantee ethical AI’, Nature Machine Intelligence, 1(11), pp. 501–507. </w:t>
      </w:r>
      <w:proofErr w:type="spellStart"/>
      <w:r w:rsidRPr="00223068">
        <w:rPr>
          <w:rFonts w:cs="Times New Roman"/>
        </w:rPr>
        <w:t>doi</w:t>
      </w:r>
      <w:proofErr w:type="spellEnd"/>
      <w:r w:rsidRPr="00223068">
        <w:rPr>
          <w:rFonts w:cs="Times New Roman"/>
        </w:rPr>
        <w:t>: 10.1038/s42256-019-0114-4.</w:t>
      </w:r>
    </w:p>
    <w:p w14:paraId="0BF0167A" w14:textId="77777777" w:rsidR="00184E8D" w:rsidRPr="00223068" w:rsidRDefault="00525868">
      <w:pPr>
        <w:ind w:hanging="360"/>
        <w:rPr>
          <w:rFonts w:cs="Times New Roman"/>
        </w:rPr>
      </w:pPr>
      <w:proofErr w:type="spellStart"/>
      <w:r w:rsidRPr="00223068">
        <w:rPr>
          <w:rFonts w:cs="Times New Roman"/>
        </w:rPr>
        <w:t>Mökander</w:t>
      </w:r>
      <w:proofErr w:type="spellEnd"/>
      <w:r w:rsidRPr="00223068">
        <w:rPr>
          <w:rFonts w:cs="Times New Roman"/>
        </w:rPr>
        <w:t xml:space="preserve">, J., Morley, J., Taddeo, M. and </w:t>
      </w:r>
      <w:proofErr w:type="spellStart"/>
      <w:r w:rsidRPr="00223068">
        <w:rPr>
          <w:rFonts w:cs="Times New Roman"/>
        </w:rPr>
        <w:t>Floridi</w:t>
      </w:r>
      <w:proofErr w:type="spellEnd"/>
      <w:r w:rsidRPr="00223068">
        <w:rPr>
          <w:rFonts w:cs="Times New Roman"/>
        </w:rPr>
        <w:t xml:space="preserve">, L. (2021) ‘Ethics-based auditing of automated decision-making systems: nature, scope, and limitations’, Science and Engineering Ethics, 27(4), Article 44. </w:t>
      </w:r>
      <w:proofErr w:type="spellStart"/>
      <w:r w:rsidRPr="00223068">
        <w:rPr>
          <w:rFonts w:cs="Times New Roman"/>
        </w:rPr>
        <w:t>doi</w:t>
      </w:r>
      <w:proofErr w:type="spellEnd"/>
      <w:r w:rsidRPr="00223068">
        <w:rPr>
          <w:rFonts w:cs="Times New Roman"/>
        </w:rPr>
        <w:t>: 10.1007/s11948-021-00319-4.</w:t>
      </w:r>
    </w:p>
    <w:p w14:paraId="149AEC50" w14:textId="77777777" w:rsidR="00184E8D" w:rsidRPr="00223068" w:rsidRDefault="00525868">
      <w:pPr>
        <w:ind w:hanging="360"/>
        <w:rPr>
          <w:rFonts w:cs="Times New Roman"/>
        </w:rPr>
      </w:pPr>
      <w:r w:rsidRPr="00223068">
        <w:rPr>
          <w:rFonts w:cs="Times New Roman"/>
        </w:rPr>
        <w:lastRenderedPageBreak/>
        <w:t>National Institute of Standards and Technology (NIST) (2023) Artificial Intelligence Risk Management Framework (AI RMF 1.0). Gaithersburg, MD: U.S. Department of Commerce. Available at: https://nvlpubs.nist.gov/nistpubs/ai/nist.ai.100-1.pdf (Accessed: 22 April 2026).</w:t>
      </w:r>
    </w:p>
    <w:p w14:paraId="16687010" w14:textId="77777777" w:rsidR="00184E8D" w:rsidRPr="00223068" w:rsidRDefault="00525868">
      <w:pPr>
        <w:ind w:hanging="360"/>
        <w:rPr>
          <w:rFonts w:cs="Times New Roman"/>
        </w:rPr>
      </w:pPr>
      <w:r w:rsidRPr="00223068">
        <w:rPr>
          <w:rFonts w:cs="Times New Roman"/>
        </w:rPr>
        <w:t>National Institute of Standards and Technology (NIST) (2024) Artificial Intelligence Risk Management Framework: Generative Artificial Intelligence Profile. Available at: https://www.nist.gov/publications/artificial-intelligence-risk-management-framework-generative-artificial-intelligence (Accessed: 22 April 2026).</w:t>
      </w:r>
    </w:p>
    <w:p w14:paraId="3F9FD5BA" w14:textId="77777777" w:rsidR="00184E8D" w:rsidRPr="00223068" w:rsidRDefault="00525868">
      <w:pPr>
        <w:ind w:hanging="360"/>
        <w:rPr>
          <w:rFonts w:cs="Times New Roman"/>
        </w:rPr>
      </w:pPr>
      <w:proofErr w:type="spellStart"/>
      <w:r w:rsidRPr="00223068">
        <w:rPr>
          <w:rFonts w:cs="Times New Roman"/>
        </w:rPr>
        <w:t>Organisation</w:t>
      </w:r>
      <w:proofErr w:type="spellEnd"/>
      <w:r w:rsidRPr="00223068">
        <w:rPr>
          <w:rFonts w:cs="Times New Roman"/>
        </w:rPr>
        <w:t xml:space="preserve"> for Economic Co-operation and Development (OECD) (2019) Recommendation of the Council on Artificial Intelligence. Available at: https://legalinstruments.oecd.org/en/instruments/oecd-legal-0449 (Accessed: 22 April 2026).</w:t>
      </w:r>
    </w:p>
    <w:p w14:paraId="71D71815" w14:textId="77777777" w:rsidR="00184E8D" w:rsidRPr="00223068" w:rsidRDefault="00525868">
      <w:pPr>
        <w:ind w:hanging="360"/>
        <w:rPr>
          <w:rFonts w:cs="Times New Roman"/>
        </w:rPr>
      </w:pPr>
      <w:r w:rsidRPr="00223068">
        <w:rPr>
          <w:rFonts w:cs="Times New Roman"/>
        </w:rPr>
        <w:t>RELX (2026a) 2025 Annual Report on Form 20-F. Available at: https://www.relx.com/~/media/Files/R/RELX-Group/documents/reports/20f/relx-form-20f-2025.pdf (Accessed: 22 April 2026).</w:t>
      </w:r>
    </w:p>
    <w:p w14:paraId="63C3E3D3" w14:textId="77777777" w:rsidR="00184E8D" w:rsidRPr="00223068" w:rsidRDefault="00525868">
      <w:pPr>
        <w:ind w:hanging="360"/>
        <w:rPr>
          <w:rFonts w:cs="Times New Roman"/>
        </w:rPr>
      </w:pPr>
      <w:r w:rsidRPr="00223068">
        <w:rPr>
          <w:rFonts w:cs="Times New Roman"/>
        </w:rPr>
        <w:t>RELX (n.d.-a) Responsible Artificial Intelligence Principles at RELX. Available at: https://www.relx.com/corporate-responsibility/being-a-responsible-business/responsible-ai (Accessed: 22 April 2026).</w:t>
      </w:r>
    </w:p>
    <w:p w14:paraId="6D07FBC7" w14:textId="77777777" w:rsidR="00184E8D" w:rsidRPr="00223068" w:rsidRDefault="00525868">
      <w:pPr>
        <w:ind w:hanging="360"/>
        <w:rPr>
          <w:rFonts w:cs="Times New Roman"/>
        </w:rPr>
      </w:pPr>
      <w:r w:rsidRPr="00223068">
        <w:rPr>
          <w:rFonts w:cs="Times New Roman"/>
        </w:rPr>
        <w:t>RELX (n.d.-b) Privacy principles. Available at: https://www.relx.com/corporate-responsibility/being-a-responsible-business/privacy-principles (Accessed: 22 April 2026).</w:t>
      </w:r>
    </w:p>
    <w:p w14:paraId="6652F13C" w14:textId="77777777" w:rsidR="00184E8D" w:rsidRPr="00223068" w:rsidRDefault="00525868">
      <w:pPr>
        <w:ind w:hanging="360"/>
        <w:rPr>
          <w:rFonts w:cs="Times New Roman"/>
        </w:rPr>
      </w:pPr>
      <w:r w:rsidRPr="00223068">
        <w:rPr>
          <w:rFonts w:cs="Times New Roman"/>
        </w:rPr>
        <w:t>RELX (n.d.-c) Customers. Available at: https://www.relx.com/corporate-responsibility/being-a-responsible-business/customers (Accessed: 22 April 2026).</w:t>
      </w:r>
    </w:p>
    <w:p w14:paraId="16FD7306" w14:textId="77777777" w:rsidR="00184E8D" w:rsidRPr="00223068" w:rsidRDefault="00525868">
      <w:pPr>
        <w:ind w:hanging="360"/>
        <w:rPr>
          <w:rFonts w:cs="Times New Roman"/>
        </w:rPr>
      </w:pPr>
      <w:r w:rsidRPr="00223068">
        <w:rPr>
          <w:rFonts w:cs="Times New Roman"/>
        </w:rPr>
        <w:t>Suresh, H. and Guttag, J.V. (</w:t>
      </w:r>
      <w:proofErr w:type="gramStart"/>
      <w:r w:rsidRPr="00223068">
        <w:rPr>
          <w:rFonts w:cs="Times New Roman"/>
        </w:rPr>
        <w:t>2021) ‘</w:t>
      </w:r>
      <w:proofErr w:type="gramEnd"/>
      <w:r w:rsidRPr="00223068">
        <w:rPr>
          <w:rFonts w:cs="Times New Roman"/>
        </w:rPr>
        <w:t xml:space="preserve">A framework for understanding sources of harm throughout the machine learning life cycle’, in Proceedings of the 2021 ACM Conference on Equity and Access in Algorithms, Mechanisms, and Optimization (EAAMO ’21). New York, NY: ACM, Article 17, pp. 1–9. </w:t>
      </w:r>
      <w:proofErr w:type="spellStart"/>
      <w:r w:rsidRPr="00223068">
        <w:rPr>
          <w:rFonts w:cs="Times New Roman"/>
        </w:rPr>
        <w:t>doi</w:t>
      </w:r>
      <w:proofErr w:type="spellEnd"/>
      <w:r w:rsidRPr="00223068">
        <w:rPr>
          <w:rFonts w:cs="Times New Roman"/>
        </w:rPr>
        <w:t>: 10.1145/3465416.3483305.</w:t>
      </w:r>
    </w:p>
    <w:p w14:paraId="14327A0F" w14:textId="77777777" w:rsidR="00184E8D" w:rsidRPr="00223068" w:rsidRDefault="00525868">
      <w:pPr>
        <w:ind w:hanging="360"/>
        <w:rPr>
          <w:rFonts w:cs="Times New Roman"/>
        </w:rPr>
      </w:pPr>
      <w:r w:rsidRPr="00223068">
        <w:rPr>
          <w:rFonts w:cs="Times New Roman"/>
        </w:rPr>
        <w:t xml:space="preserve">Thomson Reuters (n.d.) </w:t>
      </w:r>
      <w:proofErr w:type="spellStart"/>
      <w:r w:rsidRPr="00223068">
        <w:rPr>
          <w:rFonts w:cs="Times New Roman"/>
        </w:rPr>
        <w:t>CoCounsel</w:t>
      </w:r>
      <w:proofErr w:type="spellEnd"/>
      <w:r w:rsidRPr="00223068">
        <w:rPr>
          <w:rFonts w:cs="Times New Roman"/>
        </w:rPr>
        <w:t xml:space="preserve"> Legal. Available at: https://legal.thomsonreuters.com/en/products/cocounsel-legal (Accessed: 22 April 2026).</w:t>
      </w:r>
    </w:p>
    <w:p w14:paraId="6F8152DC" w14:textId="77777777" w:rsidR="00184E8D" w:rsidRPr="00223068" w:rsidRDefault="00525868">
      <w:pPr>
        <w:ind w:hanging="360"/>
        <w:rPr>
          <w:rFonts w:cs="Times New Roman"/>
        </w:rPr>
      </w:pPr>
      <w:r w:rsidRPr="00223068">
        <w:rPr>
          <w:rFonts w:cs="Times New Roman"/>
        </w:rPr>
        <w:t>Wolters Kluwer (n.d.) AI tools for internal audit and GRC. Available at: https://www.wolterskluwer.com/en/solutions/teammate/ai (Accessed: 22 April 2026).</w:t>
      </w:r>
    </w:p>
    <w:sectPr w:rsidR="00184E8D" w:rsidRPr="00223068" w:rsidSect="00034616">
      <w:foot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52AA65" w14:textId="77777777" w:rsidR="00E066BE" w:rsidRDefault="00E066BE">
      <w:pPr>
        <w:spacing w:after="0" w:line="240" w:lineRule="auto"/>
      </w:pPr>
      <w:r>
        <w:separator/>
      </w:r>
    </w:p>
  </w:endnote>
  <w:endnote w:type="continuationSeparator" w:id="0">
    <w:p w14:paraId="68454BC1" w14:textId="77777777" w:rsidR="00E066BE" w:rsidRDefault="00E066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45B27F" w14:textId="77777777" w:rsidR="00184E8D" w:rsidRDefault="00525868">
    <w:pPr>
      <w:pStyle w:val="Footer"/>
      <w:jc w:val="center"/>
    </w:pPr>
    <w:r>
      <w:fldChar w:fldCharType="begin"/>
    </w:r>
    <w:r>
      <w:instrText xml:space="preserve"> PAGE </w:instrText>
    </w:r>
    <w:r>
      <w:fldChar w:fldCharType="separate"/>
    </w:r>
    <w:r w:rsidR="00076D44">
      <w:rPr>
        <w:noProof/>
      </w:rPr>
      <w:t>2</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5ABCBD" w14:textId="77777777" w:rsidR="00E066BE" w:rsidRDefault="00E066BE">
      <w:pPr>
        <w:spacing w:after="0" w:line="240" w:lineRule="auto"/>
      </w:pPr>
      <w:r>
        <w:separator/>
      </w:r>
    </w:p>
  </w:footnote>
  <w:footnote w:type="continuationSeparator" w:id="0">
    <w:p w14:paraId="6CA92105" w14:textId="77777777" w:rsidR="00E066BE" w:rsidRDefault="00E066B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369834681">
    <w:abstractNumId w:val="8"/>
  </w:num>
  <w:num w:numId="2" w16cid:durableId="322394647">
    <w:abstractNumId w:val="6"/>
  </w:num>
  <w:num w:numId="3" w16cid:durableId="1675567332">
    <w:abstractNumId w:val="5"/>
  </w:num>
  <w:num w:numId="4" w16cid:durableId="749960249">
    <w:abstractNumId w:val="4"/>
  </w:num>
  <w:num w:numId="5" w16cid:durableId="1452823667">
    <w:abstractNumId w:val="7"/>
  </w:num>
  <w:num w:numId="6" w16cid:durableId="2055501319">
    <w:abstractNumId w:val="3"/>
  </w:num>
  <w:num w:numId="7" w16cid:durableId="449711166">
    <w:abstractNumId w:val="2"/>
  </w:num>
  <w:num w:numId="8" w16cid:durableId="298997418">
    <w:abstractNumId w:val="1"/>
  </w:num>
  <w:num w:numId="9" w16cid:durableId="961012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bordersDoNotSurroundHeader/>
  <w:bordersDoNotSurroundFooter/>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067C3D"/>
    <w:rsid w:val="00076D44"/>
    <w:rsid w:val="000802BF"/>
    <w:rsid w:val="000938DF"/>
    <w:rsid w:val="0015074B"/>
    <w:rsid w:val="00184E8D"/>
    <w:rsid w:val="00223068"/>
    <w:rsid w:val="00263421"/>
    <w:rsid w:val="0029639D"/>
    <w:rsid w:val="00326F90"/>
    <w:rsid w:val="004C2CDE"/>
    <w:rsid w:val="00525868"/>
    <w:rsid w:val="006A2422"/>
    <w:rsid w:val="009919CB"/>
    <w:rsid w:val="00AA1D8D"/>
    <w:rsid w:val="00B237D8"/>
    <w:rsid w:val="00B47730"/>
    <w:rsid w:val="00C414B9"/>
    <w:rsid w:val="00CB0664"/>
    <w:rsid w:val="00E012CA"/>
    <w:rsid w:val="00E066BE"/>
    <w:rsid w:val="00E23F92"/>
    <w:rsid w:val="00ED256B"/>
    <w:rsid w:val="00FB6839"/>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56E45E7"/>
  <w14:defaultImageDpi w14:val="300"/>
  <w15:docId w15:val="{8435E373-D253-4819-8EB5-A9545C0267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line="360" w:lineRule="auto"/>
    </w:pPr>
    <w:rPr>
      <w:rFonts w:ascii="Times New Roman" w:eastAsia="Times New Roman" w:hAnsi="Times New Roman"/>
      <w:sz w:val="24"/>
    </w:rPr>
  </w:style>
  <w:style w:type="paragraph" w:styleId="Heading1">
    <w:name w:val="heading 1"/>
    <w:basedOn w:val="Normal"/>
    <w:next w:val="Normal"/>
    <w:link w:val="Heading1Char"/>
    <w:uiPriority w:val="9"/>
    <w:qFormat/>
    <w:rsid w:val="00FC693F"/>
    <w:pPr>
      <w:keepNext/>
      <w:keepLines/>
      <w:spacing w:before="24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40" w:after="60"/>
      <w:outlineLvl w:val="1"/>
    </w:pPr>
    <w:rPr>
      <w:rFonts w:asciiTheme="majorHAnsi" w:eastAsiaTheme="majorEastAsia" w:hAnsiTheme="majorHAnsi" w:cstheme="majorBidi"/>
      <w:b/>
      <w:bCs/>
      <w:color w:val="4F81BD" w:themeColor="accent1"/>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b/>
      <w:color w:val="17365D" w:themeColor="text2" w:themeShade="BF"/>
      <w:spacing w:val="5"/>
      <w:kern w:val="28"/>
      <w:sz w:val="3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223068"/>
    <w:pPr>
      <w:spacing w:after="100"/>
    </w:pPr>
  </w:style>
  <w:style w:type="paragraph" w:styleId="TOC2">
    <w:name w:val="toc 2"/>
    <w:basedOn w:val="Normal"/>
    <w:next w:val="Normal"/>
    <w:autoRedefine/>
    <w:uiPriority w:val="39"/>
    <w:unhideWhenUsed/>
    <w:rsid w:val="00223068"/>
    <w:pPr>
      <w:spacing w:after="100"/>
      <w:ind w:left="240"/>
    </w:pPr>
  </w:style>
  <w:style w:type="character" w:styleId="Hyperlink">
    <w:name w:val="Hyperlink"/>
    <w:basedOn w:val="DefaultParagraphFont"/>
    <w:uiPriority w:val="99"/>
    <w:unhideWhenUsed/>
    <w:rsid w:val="0022306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22</Pages>
  <Words>6915</Words>
  <Characters>39419</Characters>
  <Application>Microsoft Office Word</Application>
  <DocSecurity>0</DocSecurity>
  <Lines>328</Lines>
  <Paragraphs>92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46242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Samantha Hernandez</cp:lastModifiedBy>
  <cp:revision>4</cp:revision>
  <dcterms:created xsi:type="dcterms:W3CDTF">2026-04-26T19:01:00Z</dcterms:created>
  <dcterms:modified xsi:type="dcterms:W3CDTF">2026-04-26T19:08:00Z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1a8cda85-52d8-4387-9367-0f3f7da8e352</vt:lpwstr>
  </property>
</Properties>
</file>