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FE15" w14:textId="77777777" w:rsidR="002F52D7" w:rsidRDefault="002F52D7">
      <w:pPr>
        <w:pBdr>
          <w:top w:val="nil"/>
          <w:left w:val="nil"/>
          <w:bottom w:val="nil"/>
          <w:right w:val="nil"/>
          <w:between w:val="nil"/>
        </w:pBdr>
        <w:spacing w:line="276" w:lineRule="auto"/>
      </w:pPr>
    </w:p>
    <w:p w14:paraId="4BDB289F" w14:textId="77777777" w:rsidR="002F52D7" w:rsidRDefault="002F52D7">
      <w:pPr>
        <w:pBdr>
          <w:top w:val="nil"/>
          <w:left w:val="nil"/>
          <w:bottom w:val="nil"/>
          <w:right w:val="nil"/>
          <w:between w:val="nil"/>
        </w:pBdr>
        <w:spacing w:line="276" w:lineRule="auto"/>
      </w:pPr>
    </w:p>
    <w:p w14:paraId="31B2300F" w14:textId="77777777" w:rsidR="002F52D7" w:rsidRDefault="002F52D7">
      <w:pPr>
        <w:pBdr>
          <w:top w:val="nil"/>
          <w:left w:val="nil"/>
          <w:bottom w:val="nil"/>
          <w:right w:val="nil"/>
          <w:between w:val="nil"/>
        </w:pBdr>
        <w:spacing w:line="276" w:lineRule="auto"/>
        <w:jc w:val="both"/>
        <w:rPr>
          <w:color w:val="000000"/>
          <w:sz w:val="20"/>
          <w:szCs w:val="20"/>
        </w:rPr>
      </w:pPr>
    </w:p>
    <w:p w14:paraId="1BEA7031" w14:textId="77777777" w:rsidR="002F52D7" w:rsidRDefault="002F52D7">
      <w:pPr>
        <w:pBdr>
          <w:top w:val="nil"/>
          <w:left w:val="nil"/>
          <w:bottom w:val="nil"/>
          <w:right w:val="nil"/>
          <w:between w:val="nil"/>
        </w:pBdr>
        <w:spacing w:line="276" w:lineRule="auto"/>
        <w:jc w:val="both"/>
        <w:rPr>
          <w:color w:val="000000"/>
          <w:sz w:val="20"/>
          <w:szCs w:val="20"/>
        </w:rPr>
      </w:pPr>
    </w:p>
    <w:p w14:paraId="0BDEB8E2" w14:textId="77777777" w:rsidR="002F52D7" w:rsidRDefault="002F52D7">
      <w:pPr>
        <w:pBdr>
          <w:top w:val="nil"/>
          <w:left w:val="nil"/>
          <w:bottom w:val="nil"/>
          <w:right w:val="nil"/>
          <w:between w:val="nil"/>
        </w:pBdr>
        <w:spacing w:line="276" w:lineRule="auto"/>
        <w:jc w:val="both"/>
        <w:rPr>
          <w:color w:val="000000"/>
          <w:sz w:val="20"/>
          <w:szCs w:val="20"/>
        </w:rPr>
      </w:pPr>
    </w:p>
    <w:p w14:paraId="7A67689A" w14:textId="77777777" w:rsidR="002F52D7" w:rsidRDefault="002F52D7">
      <w:pPr>
        <w:pBdr>
          <w:top w:val="nil"/>
          <w:left w:val="nil"/>
          <w:bottom w:val="nil"/>
          <w:right w:val="nil"/>
          <w:between w:val="nil"/>
        </w:pBdr>
        <w:spacing w:line="276" w:lineRule="auto"/>
        <w:jc w:val="both"/>
        <w:rPr>
          <w:color w:val="000000"/>
          <w:sz w:val="20"/>
          <w:szCs w:val="20"/>
        </w:rPr>
      </w:pPr>
    </w:p>
    <w:p w14:paraId="6C24C61E" w14:textId="77777777" w:rsidR="002F52D7" w:rsidRDefault="002F52D7">
      <w:pPr>
        <w:pBdr>
          <w:top w:val="nil"/>
          <w:left w:val="nil"/>
          <w:bottom w:val="nil"/>
          <w:right w:val="nil"/>
          <w:between w:val="nil"/>
        </w:pBdr>
        <w:spacing w:line="276" w:lineRule="auto"/>
        <w:jc w:val="both"/>
        <w:rPr>
          <w:color w:val="000000"/>
          <w:sz w:val="20"/>
          <w:szCs w:val="20"/>
        </w:rPr>
      </w:pPr>
    </w:p>
    <w:p w14:paraId="59D15592" w14:textId="77777777" w:rsidR="002F52D7" w:rsidRDefault="002F52D7">
      <w:pPr>
        <w:pBdr>
          <w:top w:val="nil"/>
          <w:left w:val="nil"/>
          <w:bottom w:val="nil"/>
          <w:right w:val="nil"/>
          <w:between w:val="nil"/>
        </w:pBdr>
        <w:spacing w:line="276" w:lineRule="auto"/>
        <w:jc w:val="both"/>
        <w:rPr>
          <w:color w:val="000000"/>
          <w:sz w:val="20"/>
          <w:szCs w:val="20"/>
        </w:rPr>
      </w:pPr>
    </w:p>
    <w:p w14:paraId="4ECCB8CD" w14:textId="77777777" w:rsidR="002F52D7" w:rsidRDefault="002F52D7">
      <w:pPr>
        <w:pBdr>
          <w:top w:val="nil"/>
          <w:left w:val="nil"/>
          <w:bottom w:val="nil"/>
          <w:right w:val="nil"/>
          <w:between w:val="nil"/>
        </w:pBdr>
        <w:spacing w:line="276" w:lineRule="auto"/>
        <w:jc w:val="both"/>
        <w:rPr>
          <w:color w:val="000000"/>
          <w:sz w:val="20"/>
          <w:szCs w:val="20"/>
        </w:rPr>
      </w:pPr>
    </w:p>
    <w:p w14:paraId="1EDA667E" w14:textId="77777777" w:rsidR="002F52D7" w:rsidRDefault="002F52D7">
      <w:pPr>
        <w:pBdr>
          <w:top w:val="nil"/>
          <w:left w:val="nil"/>
          <w:bottom w:val="nil"/>
          <w:right w:val="nil"/>
          <w:between w:val="nil"/>
        </w:pBdr>
        <w:spacing w:line="276" w:lineRule="auto"/>
        <w:jc w:val="both"/>
        <w:rPr>
          <w:color w:val="000000"/>
          <w:sz w:val="20"/>
          <w:szCs w:val="20"/>
        </w:rPr>
      </w:pPr>
    </w:p>
    <w:p w14:paraId="3B9AB755" w14:textId="77777777" w:rsidR="002F52D7" w:rsidRDefault="002F52D7">
      <w:pPr>
        <w:pBdr>
          <w:top w:val="nil"/>
          <w:left w:val="nil"/>
          <w:bottom w:val="nil"/>
          <w:right w:val="nil"/>
          <w:between w:val="nil"/>
        </w:pBdr>
        <w:spacing w:line="276" w:lineRule="auto"/>
        <w:jc w:val="both"/>
        <w:rPr>
          <w:color w:val="000000"/>
          <w:sz w:val="20"/>
          <w:szCs w:val="20"/>
        </w:rPr>
      </w:pPr>
    </w:p>
    <w:p w14:paraId="3977FD43" w14:textId="77777777" w:rsidR="002F52D7" w:rsidRDefault="002F52D7">
      <w:pPr>
        <w:pBdr>
          <w:top w:val="nil"/>
          <w:left w:val="nil"/>
          <w:bottom w:val="nil"/>
          <w:right w:val="nil"/>
          <w:between w:val="nil"/>
        </w:pBdr>
        <w:spacing w:line="276" w:lineRule="auto"/>
        <w:jc w:val="both"/>
        <w:rPr>
          <w:color w:val="000000"/>
          <w:sz w:val="20"/>
          <w:szCs w:val="20"/>
        </w:rPr>
      </w:pPr>
    </w:p>
    <w:p w14:paraId="4B3BD4D2" w14:textId="77777777" w:rsidR="002F52D7" w:rsidRDefault="002F52D7">
      <w:pPr>
        <w:pBdr>
          <w:top w:val="nil"/>
          <w:left w:val="nil"/>
          <w:bottom w:val="nil"/>
          <w:right w:val="nil"/>
          <w:between w:val="nil"/>
        </w:pBdr>
        <w:spacing w:line="276" w:lineRule="auto"/>
        <w:jc w:val="both"/>
        <w:rPr>
          <w:color w:val="000000"/>
          <w:sz w:val="20"/>
          <w:szCs w:val="20"/>
        </w:rPr>
      </w:pPr>
    </w:p>
    <w:p w14:paraId="51606231" w14:textId="77777777" w:rsidR="002F52D7" w:rsidRDefault="002F52D7">
      <w:pPr>
        <w:pBdr>
          <w:top w:val="nil"/>
          <w:left w:val="nil"/>
          <w:bottom w:val="nil"/>
          <w:right w:val="nil"/>
          <w:between w:val="nil"/>
        </w:pBdr>
        <w:spacing w:line="276" w:lineRule="auto"/>
        <w:jc w:val="both"/>
        <w:rPr>
          <w:color w:val="000000"/>
          <w:sz w:val="20"/>
          <w:szCs w:val="20"/>
        </w:rPr>
      </w:pPr>
    </w:p>
    <w:p w14:paraId="79A3CCD6" w14:textId="77777777" w:rsidR="002F52D7" w:rsidRDefault="002F52D7">
      <w:pPr>
        <w:pBdr>
          <w:top w:val="nil"/>
          <w:left w:val="nil"/>
          <w:bottom w:val="nil"/>
          <w:right w:val="nil"/>
          <w:between w:val="nil"/>
        </w:pBdr>
        <w:spacing w:line="276" w:lineRule="auto"/>
        <w:jc w:val="both"/>
        <w:rPr>
          <w:color w:val="000000"/>
          <w:sz w:val="20"/>
          <w:szCs w:val="20"/>
        </w:rPr>
      </w:pPr>
    </w:p>
    <w:p w14:paraId="1BF6222F" w14:textId="77777777" w:rsidR="002F52D7" w:rsidRDefault="002F52D7">
      <w:pPr>
        <w:pBdr>
          <w:top w:val="nil"/>
          <w:left w:val="nil"/>
          <w:bottom w:val="nil"/>
          <w:right w:val="nil"/>
          <w:between w:val="nil"/>
        </w:pBdr>
        <w:spacing w:line="276" w:lineRule="auto"/>
        <w:jc w:val="both"/>
        <w:rPr>
          <w:color w:val="000000"/>
          <w:sz w:val="20"/>
          <w:szCs w:val="20"/>
        </w:rPr>
      </w:pPr>
    </w:p>
    <w:p w14:paraId="4C8A230A" w14:textId="77777777" w:rsidR="002F52D7" w:rsidRDefault="00000000">
      <w:pPr>
        <w:pBdr>
          <w:top w:val="nil"/>
          <w:left w:val="nil"/>
          <w:bottom w:val="nil"/>
          <w:right w:val="nil"/>
          <w:between w:val="nil"/>
        </w:pBdr>
        <w:spacing w:before="1" w:line="276" w:lineRule="auto"/>
        <w:jc w:val="center"/>
        <w:rPr>
          <w:color w:val="000000"/>
          <w:sz w:val="23"/>
          <w:szCs w:val="23"/>
        </w:rPr>
      </w:pPr>
      <w:r>
        <w:rPr>
          <w:sz w:val="23"/>
          <w:szCs w:val="23"/>
        </w:rPr>
        <w:t>BMIH5007</w:t>
      </w:r>
    </w:p>
    <w:p w14:paraId="6A6F18C9" w14:textId="77777777" w:rsidR="002F52D7" w:rsidRDefault="00000000">
      <w:pPr>
        <w:spacing w:line="276" w:lineRule="auto"/>
        <w:ind w:left="2635" w:right="2593"/>
        <w:jc w:val="center"/>
        <w:rPr>
          <w:b/>
          <w:sz w:val="24"/>
          <w:szCs w:val="24"/>
        </w:rPr>
      </w:pPr>
      <w:r>
        <w:rPr>
          <w:b/>
          <w:sz w:val="24"/>
          <w:szCs w:val="24"/>
        </w:rPr>
        <w:t>BA SOTAH – International Hotel Management</w:t>
      </w:r>
    </w:p>
    <w:p w14:paraId="4316D546" w14:textId="77777777" w:rsidR="002F52D7" w:rsidRDefault="00000000">
      <w:pPr>
        <w:spacing w:line="276" w:lineRule="auto"/>
        <w:ind w:left="2635" w:right="2593"/>
        <w:jc w:val="center"/>
        <w:rPr>
          <w:b/>
          <w:sz w:val="24"/>
          <w:szCs w:val="24"/>
        </w:rPr>
      </w:pPr>
      <w:r>
        <w:rPr>
          <w:b/>
          <w:sz w:val="24"/>
          <w:szCs w:val="24"/>
        </w:rPr>
        <w:t>Financial Management for the Hotel Industry</w:t>
      </w:r>
    </w:p>
    <w:p w14:paraId="5E00BABD" w14:textId="77777777" w:rsidR="002F52D7" w:rsidRDefault="00000000">
      <w:pPr>
        <w:spacing w:line="276" w:lineRule="auto"/>
        <w:ind w:left="2635" w:right="2593"/>
        <w:jc w:val="center"/>
        <w:rPr>
          <w:b/>
          <w:sz w:val="24"/>
          <w:szCs w:val="24"/>
        </w:rPr>
      </w:pPr>
      <w:r>
        <w:rPr>
          <w:b/>
          <w:sz w:val="24"/>
          <w:szCs w:val="24"/>
        </w:rPr>
        <w:t>Assignment 1: Hilton Hotel</w:t>
      </w:r>
    </w:p>
    <w:p w14:paraId="5D08DC78" w14:textId="77777777" w:rsidR="002F52D7" w:rsidRDefault="002F52D7">
      <w:pPr>
        <w:spacing w:line="276" w:lineRule="auto"/>
        <w:ind w:left="2635" w:right="2593"/>
        <w:jc w:val="center"/>
        <w:rPr>
          <w:b/>
          <w:sz w:val="24"/>
          <w:szCs w:val="24"/>
        </w:rPr>
      </w:pPr>
    </w:p>
    <w:p w14:paraId="37FED271" w14:textId="77777777" w:rsidR="002F52D7" w:rsidRDefault="002F52D7">
      <w:pPr>
        <w:spacing w:line="276" w:lineRule="auto"/>
        <w:ind w:left="2635" w:right="2593"/>
        <w:jc w:val="center"/>
        <w:rPr>
          <w:b/>
          <w:sz w:val="24"/>
          <w:szCs w:val="24"/>
        </w:rPr>
      </w:pPr>
    </w:p>
    <w:p w14:paraId="45DC13A4" w14:textId="77777777" w:rsidR="002F52D7" w:rsidRDefault="002F52D7">
      <w:pPr>
        <w:spacing w:line="276" w:lineRule="auto"/>
        <w:ind w:left="2635" w:right="2593"/>
        <w:jc w:val="center"/>
        <w:rPr>
          <w:b/>
          <w:sz w:val="24"/>
          <w:szCs w:val="24"/>
        </w:rPr>
      </w:pPr>
    </w:p>
    <w:p w14:paraId="26EA4535" w14:textId="77777777" w:rsidR="002F52D7" w:rsidRDefault="002F52D7">
      <w:pPr>
        <w:spacing w:line="276" w:lineRule="auto"/>
        <w:ind w:left="2635" w:right="2593"/>
        <w:jc w:val="center"/>
        <w:rPr>
          <w:b/>
          <w:sz w:val="24"/>
          <w:szCs w:val="24"/>
        </w:rPr>
      </w:pPr>
    </w:p>
    <w:p w14:paraId="046DD8CD" w14:textId="77777777" w:rsidR="002F52D7" w:rsidRDefault="002F52D7">
      <w:pPr>
        <w:spacing w:line="276" w:lineRule="auto"/>
        <w:ind w:left="2635" w:right="2593"/>
        <w:jc w:val="center"/>
        <w:rPr>
          <w:b/>
          <w:sz w:val="24"/>
          <w:szCs w:val="24"/>
        </w:rPr>
      </w:pPr>
    </w:p>
    <w:p w14:paraId="0522DC16" w14:textId="77777777" w:rsidR="002F52D7" w:rsidRDefault="002F52D7">
      <w:pPr>
        <w:spacing w:line="276" w:lineRule="auto"/>
        <w:ind w:left="2635" w:right="2593"/>
        <w:jc w:val="center"/>
        <w:rPr>
          <w:b/>
          <w:sz w:val="24"/>
          <w:szCs w:val="24"/>
        </w:rPr>
      </w:pPr>
    </w:p>
    <w:p w14:paraId="2561E088" w14:textId="77777777" w:rsidR="002F52D7" w:rsidRDefault="002F52D7">
      <w:pPr>
        <w:spacing w:line="276" w:lineRule="auto"/>
        <w:ind w:left="2635" w:right="2593"/>
        <w:jc w:val="center"/>
        <w:rPr>
          <w:b/>
          <w:sz w:val="24"/>
          <w:szCs w:val="24"/>
        </w:rPr>
      </w:pPr>
    </w:p>
    <w:p w14:paraId="36EF7F26" w14:textId="77777777" w:rsidR="002F52D7" w:rsidRDefault="002F52D7">
      <w:pPr>
        <w:spacing w:line="276" w:lineRule="auto"/>
        <w:ind w:left="2635" w:right="2593"/>
        <w:jc w:val="center"/>
        <w:rPr>
          <w:b/>
          <w:sz w:val="24"/>
          <w:szCs w:val="24"/>
        </w:rPr>
      </w:pPr>
    </w:p>
    <w:p w14:paraId="20A00454" w14:textId="77777777" w:rsidR="002F52D7" w:rsidRDefault="00000000">
      <w:pPr>
        <w:spacing w:line="276" w:lineRule="auto"/>
        <w:ind w:left="2635" w:right="2593"/>
        <w:jc w:val="center"/>
        <w:rPr>
          <w:b/>
          <w:sz w:val="24"/>
          <w:szCs w:val="24"/>
        </w:rPr>
      </w:pPr>
      <w:r>
        <w:rPr>
          <w:b/>
          <w:sz w:val="24"/>
          <w:szCs w:val="24"/>
        </w:rPr>
        <w:t>Student ID:</w:t>
      </w:r>
      <w:r w:rsidR="009221A3">
        <w:rPr>
          <w:b/>
          <w:sz w:val="24"/>
          <w:szCs w:val="24"/>
        </w:rPr>
        <w:t xml:space="preserve"> 1905828</w:t>
      </w:r>
    </w:p>
    <w:p w14:paraId="1CEDA20F" w14:textId="029CB530" w:rsidR="009221A3" w:rsidRDefault="009221A3">
      <w:pPr>
        <w:spacing w:line="276" w:lineRule="auto"/>
        <w:ind w:left="2635" w:right="2593"/>
        <w:jc w:val="center"/>
        <w:rPr>
          <w:b/>
          <w:sz w:val="24"/>
          <w:szCs w:val="24"/>
        </w:rPr>
        <w:sectPr w:rsidR="009221A3">
          <w:headerReference w:type="default" r:id="rId8"/>
          <w:pgSz w:w="12240" w:h="15840"/>
          <w:pgMar w:top="1360" w:right="1300" w:bottom="280" w:left="1260" w:header="730" w:footer="720" w:gutter="0"/>
          <w:pgNumType w:start="1"/>
          <w:cols w:space="720"/>
        </w:sectPr>
      </w:pPr>
      <w:r>
        <w:rPr>
          <w:b/>
          <w:sz w:val="24"/>
          <w:szCs w:val="24"/>
        </w:rPr>
        <w:t>Liviu Topala</w:t>
      </w:r>
    </w:p>
    <w:p w14:paraId="636ED757" w14:textId="77777777" w:rsidR="002F52D7" w:rsidRDefault="00000000">
      <w:pPr>
        <w:pStyle w:val="Titlu1"/>
        <w:tabs>
          <w:tab w:val="left" w:pos="899"/>
        </w:tabs>
        <w:spacing w:before="80" w:line="276" w:lineRule="auto"/>
        <w:ind w:left="386"/>
        <w:jc w:val="both"/>
      </w:pPr>
      <w:r>
        <w:lastRenderedPageBreak/>
        <w:t>I.</w:t>
      </w:r>
      <w:r>
        <w:tab/>
        <w:t>Hilton: Background and Financial history</w:t>
      </w:r>
    </w:p>
    <w:p w14:paraId="2E47FFCB" w14:textId="77777777" w:rsidR="002F52D7" w:rsidRDefault="002F52D7">
      <w:pPr>
        <w:pBdr>
          <w:top w:val="nil"/>
          <w:left w:val="nil"/>
          <w:bottom w:val="nil"/>
          <w:right w:val="nil"/>
          <w:between w:val="nil"/>
        </w:pBdr>
        <w:spacing w:before="11" w:line="276" w:lineRule="auto"/>
        <w:jc w:val="both"/>
        <w:rPr>
          <w:b/>
          <w:color w:val="000000"/>
          <w:sz w:val="23"/>
          <w:szCs w:val="23"/>
        </w:rPr>
      </w:pPr>
    </w:p>
    <w:p w14:paraId="1B2CEAC3" w14:textId="77777777" w:rsidR="002F52D7" w:rsidRDefault="00000000">
      <w:pPr>
        <w:pStyle w:val="Titlu1"/>
        <w:tabs>
          <w:tab w:val="left" w:pos="899"/>
          <w:tab w:val="left" w:pos="900"/>
        </w:tabs>
        <w:spacing w:line="276" w:lineRule="auto"/>
        <w:ind w:left="0"/>
        <w:jc w:val="both"/>
        <w:rPr>
          <w:b w:val="0"/>
        </w:rPr>
      </w:pPr>
      <w:r>
        <w:rPr>
          <w:b w:val="0"/>
        </w:rPr>
        <w:t>The predecessor to the current business, Hilton Worldwide Holdings Inc., was The Hilton Hotels Firm. This company oversees and leases a huge network of resorts and hotels. In May 1919, Conrad Hilton opened his hotel to the general public. Marriott International is the primary opponent of Hilton in the hotel industry. Data from a number of other sources, including the most recent 10-K filings from Marriott International and Hilton Worldwide Holdings Inc., were compared.</w:t>
      </w:r>
    </w:p>
    <w:p w14:paraId="2536F06A" w14:textId="77777777" w:rsidR="002F52D7" w:rsidRDefault="002F52D7">
      <w:pPr>
        <w:pStyle w:val="Titlu1"/>
        <w:tabs>
          <w:tab w:val="left" w:pos="899"/>
          <w:tab w:val="left" w:pos="900"/>
        </w:tabs>
        <w:spacing w:line="276" w:lineRule="auto"/>
        <w:ind w:left="0"/>
        <w:jc w:val="both"/>
        <w:rPr>
          <w:b w:val="0"/>
        </w:rPr>
      </w:pPr>
    </w:p>
    <w:p w14:paraId="47B1E77A" w14:textId="77777777" w:rsidR="002F52D7" w:rsidRDefault="00000000">
      <w:pPr>
        <w:pStyle w:val="Titlu1"/>
        <w:tabs>
          <w:tab w:val="left" w:pos="899"/>
          <w:tab w:val="left" w:pos="900"/>
        </w:tabs>
        <w:spacing w:line="276" w:lineRule="auto"/>
        <w:ind w:left="0"/>
        <w:jc w:val="both"/>
      </w:pPr>
      <w:r>
        <w:rPr>
          <w:b w:val="0"/>
        </w:rPr>
        <w:t xml:space="preserve">The relationship between a market's past performance and anticipated future performance is something that Hilton investors spend a lot of time and effort figuring out. Whether you employ expert or fundamental analysis, the only thing that matters is that you have access to crucial information on the Hilton market. Your capacity to invest in Hilton Inc. directly depends on your capacity to predict possible profits with accuracy and steer clear of costly errors in the future. </w:t>
      </w:r>
      <w:r w:rsidRPr="009221A3">
        <w:rPr>
          <w:b w:val="0"/>
        </w:rPr>
        <w:t xml:space="preserve">Analyzing verifiable data necessitates looking at market trends over a specific time frame. Value, volatility, and volume are examples of market-related indicators that can be followed over time. Investors and traders can get knowledge of a market's inner workings by carefully examining historical data. </w:t>
      </w:r>
      <w:r>
        <w:rPr>
          <w:b w:val="0"/>
        </w:rPr>
        <w:t>The historical stock prices of Hilton may be helpful if you are preparing an investment strategy.</w:t>
      </w:r>
    </w:p>
    <w:p w14:paraId="0F0A0C6A" w14:textId="77777777" w:rsidR="002F52D7" w:rsidRDefault="002F52D7">
      <w:pPr>
        <w:pStyle w:val="Titlu1"/>
        <w:tabs>
          <w:tab w:val="left" w:pos="899"/>
          <w:tab w:val="left" w:pos="900"/>
        </w:tabs>
        <w:spacing w:line="276" w:lineRule="auto"/>
        <w:ind w:firstLine="900"/>
        <w:jc w:val="both"/>
      </w:pPr>
    </w:p>
    <w:p w14:paraId="0F8AF0DD" w14:textId="77777777" w:rsidR="002F52D7" w:rsidRDefault="00000000">
      <w:pPr>
        <w:pStyle w:val="Titlu1"/>
        <w:tabs>
          <w:tab w:val="left" w:pos="899"/>
          <w:tab w:val="left" w:pos="900"/>
        </w:tabs>
        <w:spacing w:line="276" w:lineRule="auto"/>
        <w:ind w:left="386"/>
        <w:jc w:val="both"/>
      </w:pPr>
      <w:r>
        <w:t>Short Term Liquidity</w:t>
      </w:r>
    </w:p>
    <w:p w14:paraId="60470428" w14:textId="77777777" w:rsidR="002F52D7" w:rsidRDefault="002F52D7">
      <w:pPr>
        <w:pBdr>
          <w:top w:val="nil"/>
          <w:left w:val="nil"/>
          <w:bottom w:val="nil"/>
          <w:right w:val="nil"/>
          <w:between w:val="nil"/>
        </w:pBdr>
        <w:spacing w:line="276" w:lineRule="auto"/>
        <w:jc w:val="both"/>
        <w:rPr>
          <w:b/>
          <w:color w:val="000000"/>
          <w:sz w:val="24"/>
          <w:szCs w:val="24"/>
        </w:rPr>
      </w:pPr>
    </w:p>
    <w:p w14:paraId="1F776360" w14:textId="77777777" w:rsidR="002F52D7" w:rsidRDefault="00000000">
      <w:pPr>
        <w:spacing w:line="276" w:lineRule="auto"/>
        <w:jc w:val="both"/>
        <w:sectPr w:rsidR="002F52D7">
          <w:pgSz w:w="12240" w:h="15840"/>
          <w:pgMar w:top="1360" w:right="1300" w:bottom="280" w:left="1260" w:header="730" w:footer="0" w:gutter="0"/>
          <w:cols w:space="720"/>
        </w:sectPr>
      </w:pPr>
      <w:r>
        <w:rPr>
          <w:sz w:val="24"/>
          <w:szCs w:val="24"/>
        </w:rPr>
        <w:t>The ability of a company to meet its own short-term financial obligations is known as liquidity. The availability of cash or the amount of cash held by a company are both examples of liquidity. This has to do with how quickly large sums of money may be raised. It assesses if a business has the resources to meet its immediate responsibilities. When assessing a company's short-term liquidity, one should take into account the quick ratio, the cash ratio, and the current ratio.</w:t>
      </w:r>
    </w:p>
    <w:p w14:paraId="422C227B" w14:textId="77777777" w:rsidR="002F52D7" w:rsidRDefault="00000000">
      <w:pPr>
        <w:numPr>
          <w:ilvl w:val="1"/>
          <w:numId w:val="1"/>
        </w:numPr>
        <w:pBdr>
          <w:top w:val="nil"/>
          <w:left w:val="nil"/>
          <w:bottom w:val="nil"/>
          <w:right w:val="nil"/>
          <w:between w:val="nil"/>
        </w:pBdr>
        <w:tabs>
          <w:tab w:val="left" w:pos="1620"/>
        </w:tabs>
        <w:spacing w:before="80" w:line="276" w:lineRule="auto"/>
        <w:jc w:val="both"/>
        <w:rPr>
          <w:color w:val="000000"/>
          <w:sz w:val="24"/>
          <w:szCs w:val="24"/>
        </w:rPr>
      </w:pPr>
      <w:r>
        <w:rPr>
          <w:color w:val="000000"/>
          <w:sz w:val="24"/>
          <w:szCs w:val="24"/>
        </w:rPr>
        <w:lastRenderedPageBreak/>
        <w:t>Current Ratio</w:t>
      </w:r>
    </w:p>
    <w:p w14:paraId="3233A2E6" w14:textId="77777777" w:rsidR="002F52D7" w:rsidRDefault="002F52D7">
      <w:pPr>
        <w:pBdr>
          <w:top w:val="nil"/>
          <w:left w:val="nil"/>
          <w:bottom w:val="nil"/>
          <w:right w:val="nil"/>
          <w:between w:val="nil"/>
        </w:pBdr>
        <w:spacing w:before="11" w:line="276" w:lineRule="auto"/>
        <w:jc w:val="both"/>
        <w:rPr>
          <w:color w:val="000000"/>
          <w:sz w:val="23"/>
          <w:szCs w:val="23"/>
        </w:rPr>
      </w:pPr>
    </w:p>
    <w:p w14:paraId="01FD1FB6" w14:textId="77777777" w:rsidR="002F52D7" w:rsidRDefault="00000000">
      <w:pPr>
        <w:pBdr>
          <w:top w:val="nil"/>
          <w:left w:val="nil"/>
          <w:bottom w:val="nil"/>
          <w:right w:val="nil"/>
          <w:between w:val="nil"/>
        </w:pBdr>
        <w:spacing w:line="276" w:lineRule="auto"/>
        <w:jc w:val="both"/>
        <w:rPr>
          <w:color w:val="000000"/>
          <w:sz w:val="20"/>
          <w:szCs w:val="20"/>
        </w:rPr>
      </w:pPr>
      <w:r>
        <w:rPr>
          <w:color w:val="000000"/>
          <w:sz w:val="24"/>
          <w:szCs w:val="24"/>
        </w:rPr>
        <w:t>By dividing a company's current assets by its current liabilities, the current ratio calculates the company's short-term liquidity. Working capital is in the positive when the current ratio is greater than 1. A current ratio below 1.0 isn't always bad, but it can be a sign that a company won't be able to pay off its short-term debt.</w:t>
      </w:r>
    </w:p>
    <w:p w14:paraId="66B62789" w14:textId="77777777" w:rsidR="002F52D7" w:rsidRDefault="002F52D7">
      <w:pPr>
        <w:pBdr>
          <w:top w:val="nil"/>
          <w:left w:val="nil"/>
          <w:bottom w:val="nil"/>
          <w:right w:val="nil"/>
          <w:between w:val="nil"/>
        </w:pBdr>
        <w:spacing w:line="276" w:lineRule="auto"/>
        <w:jc w:val="both"/>
        <w:rPr>
          <w:color w:val="000000"/>
          <w:sz w:val="27"/>
          <w:szCs w:val="27"/>
        </w:rPr>
      </w:pPr>
    </w:p>
    <w:tbl>
      <w:tblPr>
        <w:tblStyle w:val="a9"/>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7A6CD526" w14:textId="77777777">
        <w:trPr>
          <w:trHeight w:val="470"/>
        </w:trPr>
        <w:tc>
          <w:tcPr>
            <w:tcW w:w="2340" w:type="dxa"/>
          </w:tcPr>
          <w:p w14:paraId="7517A93B" w14:textId="77777777" w:rsidR="002F52D7" w:rsidRDefault="00000000">
            <w:pPr>
              <w:pBdr>
                <w:top w:val="nil"/>
                <w:left w:val="nil"/>
                <w:bottom w:val="nil"/>
                <w:right w:val="nil"/>
                <w:between w:val="nil"/>
              </w:pBdr>
              <w:spacing w:before="106" w:line="276" w:lineRule="auto"/>
              <w:ind w:left="89"/>
              <w:jc w:val="both"/>
              <w:rPr>
                <w:b/>
                <w:color w:val="000000"/>
                <w:sz w:val="24"/>
                <w:szCs w:val="24"/>
              </w:rPr>
            </w:pPr>
            <w:r>
              <w:rPr>
                <w:b/>
                <w:color w:val="000000"/>
                <w:sz w:val="24"/>
                <w:szCs w:val="24"/>
              </w:rPr>
              <w:t>*In Millions</w:t>
            </w:r>
          </w:p>
        </w:tc>
        <w:tc>
          <w:tcPr>
            <w:tcW w:w="2340" w:type="dxa"/>
          </w:tcPr>
          <w:p w14:paraId="27C433F2" w14:textId="77777777" w:rsidR="002F52D7" w:rsidRDefault="00000000">
            <w:pPr>
              <w:pBdr>
                <w:top w:val="nil"/>
                <w:left w:val="nil"/>
                <w:bottom w:val="nil"/>
                <w:right w:val="nil"/>
                <w:between w:val="nil"/>
              </w:pBdr>
              <w:spacing w:before="106" w:line="276" w:lineRule="auto"/>
              <w:ind w:left="89"/>
              <w:jc w:val="both"/>
              <w:rPr>
                <w:b/>
                <w:color w:val="000000"/>
                <w:sz w:val="24"/>
                <w:szCs w:val="24"/>
              </w:rPr>
            </w:pPr>
            <w:r>
              <w:rPr>
                <w:b/>
                <w:color w:val="000000"/>
                <w:sz w:val="24"/>
                <w:szCs w:val="24"/>
              </w:rPr>
              <w:t>Current Assets</w:t>
            </w:r>
          </w:p>
        </w:tc>
        <w:tc>
          <w:tcPr>
            <w:tcW w:w="2340" w:type="dxa"/>
          </w:tcPr>
          <w:p w14:paraId="2D0999F7" w14:textId="77777777" w:rsidR="002F52D7" w:rsidRDefault="00000000">
            <w:pPr>
              <w:pBdr>
                <w:top w:val="nil"/>
                <w:left w:val="nil"/>
                <w:bottom w:val="nil"/>
                <w:right w:val="nil"/>
                <w:between w:val="nil"/>
              </w:pBdr>
              <w:spacing w:before="106" w:line="276" w:lineRule="auto"/>
              <w:ind w:left="89"/>
              <w:jc w:val="both"/>
              <w:rPr>
                <w:b/>
                <w:color w:val="000000"/>
                <w:sz w:val="24"/>
                <w:szCs w:val="24"/>
              </w:rPr>
            </w:pPr>
            <w:r>
              <w:rPr>
                <w:b/>
                <w:color w:val="000000"/>
                <w:sz w:val="24"/>
                <w:szCs w:val="24"/>
              </w:rPr>
              <w:t>Current Liabilities</w:t>
            </w:r>
          </w:p>
        </w:tc>
        <w:tc>
          <w:tcPr>
            <w:tcW w:w="2340" w:type="dxa"/>
          </w:tcPr>
          <w:p w14:paraId="64646468" w14:textId="77777777" w:rsidR="002F52D7" w:rsidRDefault="00000000">
            <w:pPr>
              <w:pBdr>
                <w:top w:val="nil"/>
                <w:left w:val="nil"/>
                <w:bottom w:val="nil"/>
                <w:right w:val="nil"/>
                <w:between w:val="nil"/>
              </w:pBdr>
              <w:spacing w:before="106" w:line="276" w:lineRule="auto"/>
              <w:ind w:left="89"/>
              <w:jc w:val="both"/>
              <w:rPr>
                <w:b/>
                <w:color w:val="000000"/>
                <w:sz w:val="24"/>
                <w:szCs w:val="24"/>
              </w:rPr>
            </w:pPr>
            <w:r>
              <w:rPr>
                <w:b/>
                <w:color w:val="000000"/>
                <w:sz w:val="24"/>
                <w:szCs w:val="24"/>
              </w:rPr>
              <w:t>Current Ratio</w:t>
            </w:r>
          </w:p>
        </w:tc>
      </w:tr>
      <w:tr w:rsidR="002F52D7" w14:paraId="1640FB50" w14:textId="77777777">
        <w:trPr>
          <w:trHeight w:val="470"/>
        </w:trPr>
        <w:tc>
          <w:tcPr>
            <w:tcW w:w="2340" w:type="dxa"/>
          </w:tcPr>
          <w:p w14:paraId="3C3A1E2C" w14:textId="77777777" w:rsidR="002F52D7" w:rsidRDefault="00000000">
            <w:pPr>
              <w:pBdr>
                <w:top w:val="nil"/>
                <w:left w:val="nil"/>
                <w:bottom w:val="nil"/>
                <w:right w:val="nil"/>
                <w:between w:val="nil"/>
              </w:pBdr>
              <w:spacing w:before="107" w:line="276" w:lineRule="auto"/>
              <w:ind w:left="89"/>
              <w:jc w:val="both"/>
              <w:rPr>
                <w:b/>
                <w:color w:val="000000"/>
                <w:sz w:val="24"/>
                <w:szCs w:val="24"/>
              </w:rPr>
            </w:pPr>
            <w:r>
              <w:rPr>
                <w:b/>
                <w:color w:val="000000"/>
                <w:sz w:val="24"/>
                <w:szCs w:val="24"/>
              </w:rPr>
              <w:t>Hilton Worldwide</w:t>
            </w:r>
          </w:p>
        </w:tc>
        <w:tc>
          <w:tcPr>
            <w:tcW w:w="2340" w:type="dxa"/>
          </w:tcPr>
          <w:p w14:paraId="1CA45222" w14:textId="77777777" w:rsidR="002F52D7" w:rsidRDefault="00000000">
            <w:pPr>
              <w:pBdr>
                <w:top w:val="nil"/>
                <w:left w:val="nil"/>
                <w:bottom w:val="nil"/>
                <w:right w:val="nil"/>
                <w:between w:val="nil"/>
              </w:pBdr>
              <w:spacing w:before="107" w:line="276" w:lineRule="auto"/>
              <w:ind w:left="89"/>
              <w:jc w:val="both"/>
              <w:rPr>
                <w:color w:val="000000"/>
                <w:sz w:val="24"/>
                <w:szCs w:val="24"/>
              </w:rPr>
            </w:pPr>
            <w:r>
              <w:rPr>
                <w:color w:val="000000"/>
                <w:sz w:val="24"/>
                <w:szCs w:val="24"/>
              </w:rPr>
              <w:t>42,02,000</w:t>
            </w:r>
          </w:p>
        </w:tc>
        <w:tc>
          <w:tcPr>
            <w:tcW w:w="2340" w:type="dxa"/>
          </w:tcPr>
          <w:p w14:paraId="66EF9527" w14:textId="77777777" w:rsidR="002F52D7" w:rsidRDefault="00000000">
            <w:pPr>
              <w:pBdr>
                <w:top w:val="nil"/>
                <w:left w:val="nil"/>
                <w:bottom w:val="nil"/>
                <w:right w:val="nil"/>
                <w:between w:val="nil"/>
              </w:pBdr>
              <w:spacing w:before="107" w:line="276" w:lineRule="auto"/>
              <w:ind w:left="89"/>
              <w:jc w:val="both"/>
              <w:rPr>
                <w:color w:val="000000"/>
                <w:sz w:val="24"/>
                <w:szCs w:val="24"/>
              </w:rPr>
            </w:pPr>
            <w:r>
              <w:rPr>
                <w:color w:val="000000"/>
                <w:sz w:val="24"/>
                <w:szCs w:val="24"/>
              </w:rPr>
              <w:t>24,31,000</w:t>
            </w:r>
          </w:p>
        </w:tc>
        <w:tc>
          <w:tcPr>
            <w:tcW w:w="2340" w:type="dxa"/>
          </w:tcPr>
          <w:p w14:paraId="1039D8DB" w14:textId="77777777" w:rsidR="002F52D7" w:rsidRDefault="00000000">
            <w:pPr>
              <w:pBdr>
                <w:top w:val="nil"/>
                <w:left w:val="nil"/>
                <w:bottom w:val="nil"/>
                <w:right w:val="nil"/>
                <w:between w:val="nil"/>
              </w:pBdr>
              <w:spacing w:before="107" w:line="276" w:lineRule="auto"/>
              <w:ind w:left="89"/>
              <w:jc w:val="both"/>
              <w:rPr>
                <w:color w:val="000000"/>
                <w:sz w:val="24"/>
                <w:szCs w:val="24"/>
              </w:rPr>
            </w:pPr>
            <w:r>
              <w:rPr>
                <w:color w:val="000000"/>
                <w:sz w:val="24"/>
                <w:szCs w:val="24"/>
              </w:rPr>
              <w:t>1.73</w:t>
            </w:r>
          </w:p>
        </w:tc>
      </w:tr>
      <w:tr w:rsidR="002F52D7" w14:paraId="3892CA93" w14:textId="77777777">
        <w:trPr>
          <w:trHeight w:val="750"/>
        </w:trPr>
        <w:tc>
          <w:tcPr>
            <w:tcW w:w="2340" w:type="dxa"/>
          </w:tcPr>
          <w:p w14:paraId="55F5F6EA" w14:textId="77777777" w:rsidR="002F52D7" w:rsidRDefault="00000000">
            <w:pPr>
              <w:pBdr>
                <w:top w:val="nil"/>
                <w:left w:val="nil"/>
                <w:bottom w:val="nil"/>
                <w:right w:val="nil"/>
                <w:between w:val="nil"/>
              </w:pBdr>
              <w:spacing w:before="108" w:line="276" w:lineRule="auto"/>
              <w:ind w:left="89"/>
              <w:jc w:val="both"/>
              <w:rPr>
                <w:b/>
                <w:color w:val="000000"/>
                <w:sz w:val="24"/>
                <w:szCs w:val="24"/>
              </w:rPr>
            </w:pPr>
            <w:r>
              <w:rPr>
                <w:b/>
                <w:color w:val="000000"/>
                <w:sz w:val="24"/>
                <w:szCs w:val="24"/>
              </w:rPr>
              <w:t>Marriott</w:t>
            </w:r>
          </w:p>
          <w:p w14:paraId="580E5A74"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39B1001D" w14:textId="77777777" w:rsidR="002F52D7" w:rsidRDefault="00000000">
            <w:pPr>
              <w:pBdr>
                <w:top w:val="nil"/>
                <w:left w:val="nil"/>
                <w:bottom w:val="nil"/>
                <w:right w:val="nil"/>
                <w:between w:val="nil"/>
              </w:pBdr>
              <w:spacing w:before="108" w:line="276" w:lineRule="auto"/>
              <w:ind w:left="89"/>
              <w:jc w:val="both"/>
              <w:rPr>
                <w:color w:val="000000"/>
                <w:sz w:val="24"/>
                <w:szCs w:val="24"/>
              </w:rPr>
            </w:pPr>
            <w:r>
              <w:rPr>
                <w:color w:val="000000"/>
                <w:sz w:val="24"/>
                <w:szCs w:val="24"/>
              </w:rPr>
              <w:t>2,825,000</w:t>
            </w:r>
          </w:p>
        </w:tc>
        <w:tc>
          <w:tcPr>
            <w:tcW w:w="2340" w:type="dxa"/>
          </w:tcPr>
          <w:p w14:paraId="565E288F" w14:textId="77777777" w:rsidR="002F52D7" w:rsidRDefault="00000000">
            <w:pPr>
              <w:pBdr>
                <w:top w:val="nil"/>
                <w:left w:val="nil"/>
                <w:bottom w:val="nil"/>
                <w:right w:val="nil"/>
                <w:between w:val="nil"/>
              </w:pBdr>
              <w:spacing w:before="108" w:line="276" w:lineRule="auto"/>
              <w:ind w:left="89"/>
              <w:jc w:val="both"/>
              <w:rPr>
                <w:color w:val="000000"/>
                <w:sz w:val="24"/>
                <w:szCs w:val="24"/>
              </w:rPr>
            </w:pPr>
            <w:r>
              <w:rPr>
                <w:color w:val="000000"/>
                <w:sz w:val="24"/>
                <w:szCs w:val="24"/>
              </w:rPr>
              <w:t>5,752,000</w:t>
            </w:r>
          </w:p>
        </w:tc>
        <w:tc>
          <w:tcPr>
            <w:tcW w:w="2340" w:type="dxa"/>
          </w:tcPr>
          <w:p w14:paraId="7546CF7C" w14:textId="77777777" w:rsidR="002F52D7" w:rsidRDefault="00000000">
            <w:pPr>
              <w:pBdr>
                <w:top w:val="nil"/>
                <w:left w:val="nil"/>
                <w:bottom w:val="nil"/>
                <w:right w:val="nil"/>
                <w:between w:val="nil"/>
              </w:pBdr>
              <w:spacing w:before="108" w:line="276" w:lineRule="auto"/>
              <w:ind w:left="89"/>
              <w:jc w:val="both"/>
              <w:rPr>
                <w:color w:val="000000"/>
                <w:sz w:val="24"/>
                <w:szCs w:val="24"/>
              </w:rPr>
            </w:pPr>
            <w:r>
              <w:rPr>
                <w:color w:val="000000"/>
                <w:sz w:val="24"/>
                <w:szCs w:val="24"/>
              </w:rPr>
              <w:t>0.49</w:t>
            </w:r>
          </w:p>
        </w:tc>
      </w:tr>
    </w:tbl>
    <w:p w14:paraId="72722D0F" w14:textId="77777777" w:rsidR="002F52D7" w:rsidRDefault="002F52D7">
      <w:pPr>
        <w:pBdr>
          <w:top w:val="nil"/>
          <w:left w:val="nil"/>
          <w:bottom w:val="nil"/>
          <w:right w:val="nil"/>
          <w:between w:val="nil"/>
        </w:pBdr>
        <w:spacing w:line="276" w:lineRule="auto"/>
        <w:jc w:val="both"/>
        <w:rPr>
          <w:color w:val="000000"/>
          <w:sz w:val="20"/>
          <w:szCs w:val="20"/>
        </w:rPr>
      </w:pPr>
    </w:p>
    <w:p w14:paraId="2137997A" w14:textId="77777777" w:rsidR="002F52D7" w:rsidRDefault="002F52D7">
      <w:pPr>
        <w:pBdr>
          <w:top w:val="nil"/>
          <w:left w:val="nil"/>
          <w:bottom w:val="nil"/>
          <w:right w:val="nil"/>
          <w:between w:val="nil"/>
        </w:pBdr>
        <w:spacing w:before="7" w:line="276" w:lineRule="auto"/>
        <w:jc w:val="both"/>
        <w:rPr>
          <w:color w:val="000000"/>
          <w:sz w:val="20"/>
          <w:szCs w:val="20"/>
        </w:rPr>
      </w:pPr>
    </w:p>
    <w:p w14:paraId="6D07AF11" w14:textId="77777777" w:rsidR="002F52D7" w:rsidRDefault="00000000">
      <w:pPr>
        <w:numPr>
          <w:ilvl w:val="1"/>
          <w:numId w:val="1"/>
        </w:numPr>
        <w:pBdr>
          <w:top w:val="nil"/>
          <w:left w:val="nil"/>
          <w:bottom w:val="nil"/>
          <w:right w:val="nil"/>
          <w:between w:val="nil"/>
        </w:pBdr>
        <w:tabs>
          <w:tab w:val="left" w:pos="1620"/>
        </w:tabs>
        <w:spacing w:before="90" w:line="276" w:lineRule="auto"/>
        <w:jc w:val="both"/>
        <w:rPr>
          <w:color w:val="000000"/>
          <w:sz w:val="24"/>
          <w:szCs w:val="24"/>
        </w:rPr>
      </w:pPr>
      <w:r>
        <w:rPr>
          <w:color w:val="000000"/>
          <w:sz w:val="24"/>
          <w:szCs w:val="24"/>
        </w:rPr>
        <w:t>Cash Ratio</w:t>
      </w:r>
    </w:p>
    <w:p w14:paraId="5AD3FF88" w14:textId="77777777" w:rsidR="002F52D7" w:rsidRDefault="002F52D7">
      <w:pPr>
        <w:pBdr>
          <w:top w:val="nil"/>
          <w:left w:val="nil"/>
          <w:bottom w:val="nil"/>
          <w:right w:val="nil"/>
          <w:between w:val="nil"/>
        </w:pBdr>
        <w:spacing w:line="276" w:lineRule="auto"/>
        <w:jc w:val="both"/>
        <w:rPr>
          <w:color w:val="000000"/>
          <w:sz w:val="24"/>
          <w:szCs w:val="24"/>
        </w:rPr>
      </w:pPr>
    </w:p>
    <w:p w14:paraId="11FEF507" w14:textId="77777777" w:rsidR="002F52D7" w:rsidRDefault="00000000">
      <w:pPr>
        <w:pBdr>
          <w:top w:val="nil"/>
          <w:left w:val="nil"/>
          <w:bottom w:val="nil"/>
          <w:right w:val="nil"/>
          <w:between w:val="nil"/>
        </w:pBdr>
        <w:spacing w:line="276" w:lineRule="auto"/>
        <w:ind w:left="180" w:right="175"/>
        <w:jc w:val="both"/>
        <w:rPr>
          <w:color w:val="000000"/>
          <w:sz w:val="24"/>
          <w:szCs w:val="24"/>
        </w:rPr>
      </w:pPr>
      <w:r>
        <w:rPr>
          <w:color w:val="000000"/>
          <w:sz w:val="24"/>
          <w:szCs w:val="24"/>
        </w:rPr>
        <w:t>The ability of a corporation to pay down short-term debt is evaluated by the cash ratio. The third and most cautious tactic is this one. The total quantity of cash and marketable securities is subtracted from the total amount of obligations to determine the cash ratio. This data can be used by creditors to decide how much money, if any at all, they are willing to loan to a business.</w:t>
      </w:r>
    </w:p>
    <w:p w14:paraId="7D0AC13D" w14:textId="77777777" w:rsidR="002F52D7" w:rsidRDefault="002F52D7">
      <w:pPr>
        <w:pBdr>
          <w:top w:val="nil"/>
          <w:left w:val="nil"/>
          <w:bottom w:val="nil"/>
          <w:right w:val="nil"/>
          <w:between w:val="nil"/>
        </w:pBdr>
        <w:spacing w:line="276" w:lineRule="auto"/>
        <w:ind w:left="180" w:right="175"/>
        <w:jc w:val="both"/>
        <w:rPr>
          <w:color w:val="000000"/>
          <w:sz w:val="24"/>
          <w:szCs w:val="24"/>
        </w:rPr>
      </w:pPr>
    </w:p>
    <w:tbl>
      <w:tblPr>
        <w:tblStyle w:val="aa"/>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58F56B8E" w14:textId="77777777">
        <w:trPr>
          <w:trHeight w:val="470"/>
        </w:trPr>
        <w:tc>
          <w:tcPr>
            <w:tcW w:w="2340" w:type="dxa"/>
          </w:tcPr>
          <w:p w14:paraId="20A44E1A" w14:textId="77777777" w:rsidR="002F52D7" w:rsidRDefault="00000000">
            <w:pPr>
              <w:pBdr>
                <w:top w:val="nil"/>
                <w:left w:val="nil"/>
                <w:bottom w:val="nil"/>
                <w:right w:val="nil"/>
                <w:between w:val="nil"/>
              </w:pBdr>
              <w:spacing w:before="95" w:line="276" w:lineRule="auto"/>
              <w:ind w:left="89"/>
              <w:jc w:val="both"/>
              <w:rPr>
                <w:b/>
                <w:color w:val="000000"/>
                <w:sz w:val="24"/>
                <w:szCs w:val="24"/>
              </w:rPr>
            </w:pPr>
            <w:r>
              <w:rPr>
                <w:b/>
                <w:color w:val="000000"/>
                <w:sz w:val="24"/>
                <w:szCs w:val="24"/>
              </w:rPr>
              <w:t>*In Million</w:t>
            </w:r>
          </w:p>
        </w:tc>
        <w:tc>
          <w:tcPr>
            <w:tcW w:w="2340" w:type="dxa"/>
          </w:tcPr>
          <w:p w14:paraId="5A55088C" w14:textId="77777777" w:rsidR="002F52D7" w:rsidRDefault="00000000">
            <w:pPr>
              <w:pBdr>
                <w:top w:val="nil"/>
                <w:left w:val="nil"/>
                <w:bottom w:val="nil"/>
                <w:right w:val="nil"/>
                <w:between w:val="nil"/>
              </w:pBdr>
              <w:spacing w:before="95" w:line="276" w:lineRule="auto"/>
              <w:ind w:left="89"/>
              <w:jc w:val="both"/>
              <w:rPr>
                <w:b/>
                <w:color w:val="000000"/>
                <w:sz w:val="24"/>
                <w:szCs w:val="24"/>
              </w:rPr>
            </w:pPr>
            <w:r>
              <w:rPr>
                <w:b/>
                <w:color w:val="000000"/>
                <w:sz w:val="24"/>
                <w:szCs w:val="24"/>
              </w:rPr>
              <w:t xml:space="preserve">Cash &amp; Cash </w:t>
            </w:r>
            <w:proofErr w:type="spellStart"/>
            <w:r>
              <w:rPr>
                <w:b/>
                <w:color w:val="000000"/>
                <w:sz w:val="24"/>
                <w:szCs w:val="24"/>
              </w:rPr>
              <w:t>Equ</w:t>
            </w:r>
            <w:proofErr w:type="spellEnd"/>
            <w:r>
              <w:rPr>
                <w:b/>
                <w:color w:val="000000"/>
                <w:sz w:val="24"/>
                <w:szCs w:val="24"/>
              </w:rPr>
              <w:t>.</w:t>
            </w:r>
          </w:p>
        </w:tc>
        <w:tc>
          <w:tcPr>
            <w:tcW w:w="2340" w:type="dxa"/>
          </w:tcPr>
          <w:p w14:paraId="0B35B92E" w14:textId="77777777" w:rsidR="002F52D7" w:rsidRDefault="00000000">
            <w:pPr>
              <w:pBdr>
                <w:top w:val="nil"/>
                <w:left w:val="nil"/>
                <w:bottom w:val="nil"/>
                <w:right w:val="nil"/>
                <w:between w:val="nil"/>
              </w:pBdr>
              <w:spacing w:before="95" w:line="276" w:lineRule="auto"/>
              <w:ind w:left="89"/>
              <w:jc w:val="both"/>
              <w:rPr>
                <w:b/>
                <w:color w:val="000000"/>
                <w:sz w:val="24"/>
                <w:szCs w:val="24"/>
              </w:rPr>
            </w:pPr>
            <w:r>
              <w:rPr>
                <w:b/>
                <w:color w:val="000000"/>
                <w:sz w:val="24"/>
                <w:szCs w:val="24"/>
              </w:rPr>
              <w:t>Current Liabilities</w:t>
            </w:r>
          </w:p>
        </w:tc>
        <w:tc>
          <w:tcPr>
            <w:tcW w:w="2340" w:type="dxa"/>
          </w:tcPr>
          <w:p w14:paraId="270DD6C8" w14:textId="77777777" w:rsidR="002F52D7" w:rsidRDefault="00000000">
            <w:pPr>
              <w:pBdr>
                <w:top w:val="nil"/>
                <w:left w:val="nil"/>
                <w:bottom w:val="nil"/>
                <w:right w:val="nil"/>
                <w:between w:val="nil"/>
              </w:pBdr>
              <w:spacing w:before="95" w:line="276" w:lineRule="auto"/>
              <w:ind w:left="89"/>
              <w:jc w:val="both"/>
              <w:rPr>
                <w:b/>
                <w:color w:val="000000"/>
                <w:sz w:val="24"/>
                <w:szCs w:val="24"/>
              </w:rPr>
            </w:pPr>
            <w:r>
              <w:rPr>
                <w:b/>
                <w:color w:val="000000"/>
                <w:sz w:val="24"/>
                <w:szCs w:val="24"/>
              </w:rPr>
              <w:t>Cash Ratio</w:t>
            </w:r>
          </w:p>
        </w:tc>
      </w:tr>
      <w:tr w:rsidR="002F52D7" w14:paraId="173325B5" w14:textId="77777777">
        <w:trPr>
          <w:trHeight w:val="470"/>
        </w:trPr>
        <w:tc>
          <w:tcPr>
            <w:tcW w:w="2340" w:type="dxa"/>
          </w:tcPr>
          <w:p w14:paraId="5A2C0991" w14:textId="77777777" w:rsidR="002F52D7" w:rsidRDefault="00000000">
            <w:pPr>
              <w:pBdr>
                <w:top w:val="nil"/>
                <w:left w:val="nil"/>
                <w:bottom w:val="nil"/>
                <w:right w:val="nil"/>
                <w:between w:val="nil"/>
              </w:pBdr>
              <w:spacing w:before="96" w:line="276" w:lineRule="auto"/>
              <w:ind w:left="89"/>
              <w:jc w:val="both"/>
              <w:rPr>
                <w:b/>
                <w:color w:val="000000"/>
                <w:sz w:val="24"/>
                <w:szCs w:val="24"/>
              </w:rPr>
            </w:pPr>
            <w:r>
              <w:rPr>
                <w:b/>
                <w:color w:val="000000"/>
                <w:sz w:val="24"/>
                <w:szCs w:val="24"/>
              </w:rPr>
              <w:t>Hilton Worldwide</w:t>
            </w:r>
          </w:p>
        </w:tc>
        <w:tc>
          <w:tcPr>
            <w:tcW w:w="2340" w:type="dxa"/>
          </w:tcPr>
          <w:p w14:paraId="6677D77D" w14:textId="77777777" w:rsidR="002F52D7" w:rsidRDefault="00000000">
            <w:pPr>
              <w:pBdr>
                <w:top w:val="nil"/>
                <w:left w:val="nil"/>
                <w:bottom w:val="nil"/>
                <w:right w:val="nil"/>
                <w:between w:val="nil"/>
              </w:pBdr>
              <w:spacing w:before="96" w:line="276" w:lineRule="auto"/>
              <w:ind w:left="89"/>
              <w:jc w:val="both"/>
              <w:rPr>
                <w:color w:val="000000"/>
                <w:sz w:val="24"/>
                <w:szCs w:val="24"/>
              </w:rPr>
            </w:pPr>
            <w:r>
              <w:rPr>
                <w:color w:val="000000"/>
                <w:sz w:val="24"/>
                <w:szCs w:val="24"/>
              </w:rPr>
              <w:t>32,18,000</w:t>
            </w:r>
          </w:p>
        </w:tc>
        <w:tc>
          <w:tcPr>
            <w:tcW w:w="2340" w:type="dxa"/>
          </w:tcPr>
          <w:p w14:paraId="1E92D21E" w14:textId="77777777" w:rsidR="002F52D7" w:rsidRDefault="00000000">
            <w:pPr>
              <w:pBdr>
                <w:top w:val="nil"/>
                <w:left w:val="nil"/>
                <w:bottom w:val="nil"/>
                <w:right w:val="nil"/>
                <w:between w:val="nil"/>
              </w:pBdr>
              <w:spacing w:before="96" w:line="276" w:lineRule="auto"/>
              <w:ind w:left="89"/>
              <w:jc w:val="both"/>
              <w:rPr>
                <w:color w:val="000000"/>
                <w:sz w:val="24"/>
                <w:szCs w:val="24"/>
              </w:rPr>
            </w:pPr>
            <w:r>
              <w:rPr>
                <w:color w:val="000000"/>
                <w:sz w:val="24"/>
                <w:szCs w:val="24"/>
              </w:rPr>
              <w:t>24,31,000</w:t>
            </w:r>
          </w:p>
        </w:tc>
        <w:tc>
          <w:tcPr>
            <w:tcW w:w="2340" w:type="dxa"/>
          </w:tcPr>
          <w:p w14:paraId="01939E78" w14:textId="77777777" w:rsidR="002F52D7" w:rsidRDefault="00000000">
            <w:pPr>
              <w:pBdr>
                <w:top w:val="nil"/>
                <w:left w:val="nil"/>
                <w:bottom w:val="nil"/>
                <w:right w:val="nil"/>
                <w:between w:val="nil"/>
              </w:pBdr>
              <w:spacing w:before="96" w:line="276" w:lineRule="auto"/>
              <w:ind w:left="89"/>
              <w:jc w:val="both"/>
              <w:rPr>
                <w:color w:val="000000"/>
                <w:sz w:val="24"/>
                <w:szCs w:val="24"/>
              </w:rPr>
            </w:pPr>
            <w:r>
              <w:rPr>
                <w:color w:val="000000"/>
                <w:sz w:val="24"/>
                <w:szCs w:val="24"/>
              </w:rPr>
              <w:t>1.33</w:t>
            </w:r>
          </w:p>
        </w:tc>
      </w:tr>
      <w:tr w:rsidR="002F52D7" w14:paraId="27DBB161" w14:textId="77777777">
        <w:trPr>
          <w:trHeight w:val="750"/>
        </w:trPr>
        <w:tc>
          <w:tcPr>
            <w:tcW w:w="2340" w:type="dxa"/>
          </w:tcPr>
          <w:p w14:paraId="203A4881" w14:textId="77777777" w:rsidR="002F52D7" w:rsidRDefault="00000000">
            <w:pPr>
              <w:pBdr>
                <w:top w:val="nil"/>
                <w:left w:val="nil"/>
                <w:bottom w:val="nil"/>
                <w:right w:val="nil"/>
                <w:between w:val="nil"/>
              </w:pBdr>
              <w:spacing w:before="97" w:line="276" w:lineRule="auto"/>
              <w:ind w:left="89"/>
              <w:jc w:val="both"/>
              <w:rPr>
                <w:b/>
                <w:color w:val="000000"/>
                <w:sz w:val="24"/>
                <w:szCs w:val="24"/>
              </w:rPr>
            </w:pPr>
            <w:r>
              <w:rPr>
                <w:b/>
                <w:color w:val="000000"/>
                <w:sz w:val="24"/>
                <w:szCs w:val="24"/>
              </w:rPr>
              <w:t>Marriott</w:t>
            </w:r>
          </w:p>
          <w:p w14:paraId="76FC413B"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465F7E1D" w14:textId="77777777" w:rsidR="002F52D7" w:rsidRDefault="00000000">
            <w:pPr>
              <w:pBdr>
                <w:top w:val="nil"/>
                <w:left w:val="nil"/>
                <w:bottom w:val="nil"/>
                <w:right w:val="nil"/>
                <w:between w:val="nil"/>
              </w:pBdr>
              <w:spacing w:before="97" w:line="276" w:lineRule="auto"/>
              <w:ind w:left="89"/>
              <w:jc w:val="both"/>
              <w:rPr>
                <w:color w:val="000000"/>
                <w:sz w:val="24"/>
                <w:szCs w:val="24"/>
              </w:rPr>
            </w:pPr>
            <w:r>
              <w:rPr>
                <w:color w:val="000000"/>
                <w:sz w:val="24"/>
                <w:szCs w:val="24"/>
              </w:rPr>
              <w:t>877,000</w:t>
            </w:r>
          </w:p>
        </w:tc>
        <w:tc>
          <w:tcPr>
            <w:tcW w:w="2340" w:type="dxa"/>
          </w:tcPr>
          <w:p w14:paraId="58760290" w14:textId="77777777" w:rsidR="002F52D7" w:rsidRDefault="00000000">
            <w:pPr>
              <w:pBdr>
                <w:top w:val="nil"/>
                <w:left w:val="nil"/>
                <w:bottom w:val="nil"/>
                <w:right w:val="nil"/>
                <w:between w:val="nil"/>
              </w:pBdr>
              <w:spacing w:before="97" w:line="276" w:lineRule="auto"/>
              <w:ind w:left="89"/>
              <w:jc w:val="both"/>
              <w:rPr>
                <w:color w:val="000000"/>
                <w:sz w:val="24"/>
                <w:szCs w:val="24"/>
              </w:rPr>
            </w:pPr>
            <w:r>
              <w:rPr>
                <w:color w:val="000000"/>
                <w:sz w:val="24"/>
                <w:szCs w:val="24"/>
              </w:rPr>
              <w:t>5,752,000</w:t>
            </w:r>
          </w:p>
        </w:tc>
        <w:tc>
          <w:tcPr>
            <w:tcW w:w="2340" w:type="dxa"/>
          </w:tcPr>
          <w:p w14:paraId="424D3AF5" w14:textId="77777777" w:rsidR="002F52D7" w:rsidRDefault="00000000">
            <w:pPr>
              <w:pBdr>
                <w:top w:val="nil"/>
                <w:left w:val="nil"/>
                <w:bottom w:val="nil"/>
                <w:right w:val="nil"/>
                <w:between w:val="nil"/>
              </w:pBdr>
              <w:spacing w:before="97" w:line="276" w:lineRule="auto"/>
              <w:ind w:left="89"/>
              <w:jc w:val="both"/>
              <w:rPr>
                <w:color w:val="000000"/>
                <w:sz w:val="24"/>
                <w:szCs w:val="24"/>
              </w:rPr>
            </w:pPr>
            <w:r>
              <w:rPr>
                <w:color w:val="000000"/>
                <w:sz w:val="24"/>
                <w:szCs w:val="24"/>
              </w:rPr>
              <w:t>0.15</w:t>
            </w:r>
          </w:p>
        </w:tc>
      </w:tr>
    </w:tbl>
    <w:p w14:paraId="3230B10D" w14:textId="77777777" w:rsidR="002F52D7" w:rsidRDefault="002F52D7">
      <w:pPr>
        <w:pBdr>
          <w:top w:val="nil"/>
          <w:left w:val="nil"/>
          <w:bottom w:val="nil"/>
          <w:right w:val="nil"/>
          <w:between w:val="nil"/>
        </w:pBdr>
        <w:spacing w:line="276" w:lineRule="auto"/>
        <w:jc w:val="both"/>
        <w:rPr>
          <w:color w:val="000000"/>
          <w:sz w:val="26"/>
          <w:szCs w:val="26"/>
        </w:rPr>
      </w:pPr>
    </w:p>
    <w:p w14:paraId="11051F42" w14:textId="77777777" w:rsidR="002F52D7" w:rsidRDefault="002F52D7">
      <w:pPr>
        <w:pBdr>
          <w:top w:val="nil"/>
          <w:left w:val="nil"/>
          <w:bottom w:val="nil"/>
          <w:right w:val="nil"/>
          <w:between w:val="nil"/>
        </w:pBdr>
        <w:spacing w:before="6" w:line="276" w:lineRule="auto"/>
        <w:jc w:val="both"/>
        <w:rPr>
          <w:color w:val="000000"/>
          <w:sz w:val="21"/>
          <w:szCs w:val="21"/>
        </w:rPr>
      </w:pPr>
    </w:p>
    <w:p w14:paraId="0C8CF129" w14:textId="77777777" w:rsidR="002F52D7" w:rsidRDefault="00000000">
      <w:pPr>
        <w:numPr>
          <w:ilvl w:val="1"/>
          <w:numId w:val="1"/>
        </w:numPr>
        <w:pBdr>
          <w:top w:val="nil"/>
          <w:left w:val="nil"/>
          <w:bottom w:val="nil"/>
          <w:right w:val="nil"/>
          <w:between w:val="nil"/>
        </w:pBdr>
        <w:tabs>
          <w:tab w:val="left" w:pos="1620"/>
        </w:tabs>
        <w:spacing w:line="276" w:lineRule="auto"/>
        <w:jc w:val="both"/>
        <w:rPr>
          <w:color w:val="000000"/>
          <w:sz w:val="24"/>
          <w:szCs w:val="24"/>
        </w:rPr>
      </w:pPr>
      <w:r>
        <w:rPr>
          <w:color w:val="000000"/>
          <w:sz w:val="24"/>
          <w:szCs w:val="24"/>
        </w:rPr>
        <w:t>Quick Ratio</w:t>
      </w:r>
    </w:p>
    <w:p w14:paraId="160C5EA1" w14:textId="77777777" w:rsidR="002F52D7" w:rsidRDefault="002F52D7">
      <w:pPr>
        <w:pBdr>
          <w:top w:val="nil"/>
          <w:left w:val="nil"/>
          <w:bottom w:val="nil"/>
          <w:right w:val="nil"/>
          <w:between w:val="nil"/>
        </w:pBdr>
        <w:spacing w:line="276" w:lineRule="auto"/>
        <w:jc w:val="both"/>
        <w:rPr>
          <w:color w:val="000000"/>
          <w:sz w:val="24"/>
          <w:szCs w:val="24"/>
        </w:rPr>
      </w:pPr>
    </w:p>
    <w:p w14:paraId="73970AD2" w14:textId="77777777" w:rsidR="002F52D7" w:rsidRDefault="00000000">
      <w:pPr>
        <w:pStyle w:val="Titlu1"/>
        <w:spacing w:line="276" w:lineRule="auto"/>
        <w:ind w:left="0"/>
        <w:jc w:val="both"/>
        <w:rPr>
          <w:b w:val="0"/>
        </w:rPr>
      </w:pPr>
      <w:r>
        <w:rPr>
          <w:b w:val="0"/>
        </w:rPr>
        <w:t>Current commitments are split by cash, marketable securities, and accounts receivable to determine the fast ratio. The difference between the quick ratio and the current ratio must be understood. This ratio gives liquid assets precedence (assets that can be converted into cash fast). Stock that is now in stock, prepayments, and other current assets are not considered in the quick ratio.</w:t>
      </w:r>
    </w:p>
    <w:p w14:paraId="04870D4F" w14:textId="77777777" w:rsidR="002F52D7" w:rsidRDefault="002F52D7">
      <w:pPr>
        <w:pStyle w:val="Titlu1"/>
        <w:spacing w:line="276" w:lineRule="auto"/>
        <w:ind w:left="4236"/>
        <w:jc w:val="both"/>
        <w:rPr>
          <w:b w:val="0"/>
        </w:rPr>
      </w:pPr>
    </w:p>
    <w:p w14:paraId="4C163C48" w14:textId="77777777" w:rsidR="002F52D7" w:rsidRDefault="00000000">
      <w:pPr>
        <w:pStyle w:val="Titlu1"/>
        <w:spacing w:line="276" w:lineRule="auto"/>
        <w:ind w:left="4236"/>
        <w:jc w:val="both"/>
      </w:pPr>
      <w:r>
        <w:t>Quick Ratio</w:t>
      </w:r>
    </w:p>
    <w:p w14:paraId="0C1372EC" w14:textId="77777777" w:rsidR="002F52D7" w:rsidRDefault="002F52D7">
      <w:pPr>
        <w:pBdr>
          <w:top w:val="nil"/>
          <w:left w:val="nil"/>
          <w:bottom w:val="nil"/>
          <w:right w:val="nil"/>
          <w:between w:val="nil"/>
        </w:pBdr>
        <w:spacing w:before="6" w:after="1" w:line="276" w:lineRule="auto"/>
        <w:jc w:val="both"/>
        <w:rPr>
          <w:b/>
          <w:color w:val="000000"/>
        </w:rPr>
      </w:pPr>
    </w:p>
    <w:tbl>
      <w:tblPr>
        <w:tblStyle w:val="ab"/>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560"/>
        <w:gridCol w:w="1560"/>
        <w:gridCol w:w="1560"/>
        <w:gridCol w:w="1560"/>
        <w:gridCol w:w="1560"/>
        <w:gridCol w:w="1560"/>
      </w:tblGrid>
      <w:tr w:rsidR="002F52D7" w14:paraId="4DA28192" w14:textId="77777777">
        <w:trPr>
          <w:trHeight w:val="750"/>
        </w:trPr>
        <w:tc>
          <w:tcPr>
            <w:tcW w:w="1560" w:type="dxa"/>
          </w:tcPr>
          <w:p w14:paraId="612C7643" w14:textId="77777777" w:rsidR="002F52D7" w:rsidRDefault="00000000">
            <w:pPr>
              <w:pBdr>
                <w:top w:val="nil"/>
                <w:left w:val="nil"/>
                <w:bottom w:val="nil"/>
                <w:right w:val="nil"/>
                <w:between w:val="nil"/>
              </w:pBdr>
              <w:spacing w:before="111" w:line="276" w:lineRule="auto"/>
              <w:ind w:left="89"/>
              <w:jc w:val="both"/>
              <w:rPr>
                <w:b/>
                <w:color w:val="000000"/>
                <w:sz w:val="24"/>
                <w:szCs w:val="24"/>
              </w:rPr>
            </w:pPr>
            <w:r>
              <w:rPr>
                <w:b/>
                <w:color w:val="000000"/>
                <w:sz w:val="24"/>
                <w:szCs w:val="24"/>
              </w:rPr>
              <w:t>*In Millions</w:t>
            </w:r>
          </w:p>
        </w:tc>
        <w:tc>
          <w:tcPr>
            <w:tcW w:w="1560" w:type="dxa"/>
          </w:tcPr>
          <w:p w14:paraId="01C1E0D4" w14:textId="77777777" w:rsidR="002F52D7" w:rsidRDefault="00000000">
            <w:pPr>
              <w:pBdr>
                <w:top w:val="nil"/>
                <w:left w:val="nil"/>
                <w:bottom w:val="nil"/>
                <w:right w:val="nil"/>
                <w:between w:val="nil"/>
              </w:pBdr>
              <w:spacing w:before="111" w:line="276" w:lineRule="auto"/>
              <w:ind w:left="89"/>
              <w:jc w:val="both"/>
              <w:rPr>
                <w:b/>
                <w:color w:val="000000"/>
                <w:sz w:val="24"/>
                <w:szCs w:val="24"/>
              </w:rPr>
            </w:pPr>
            <w:r>
              <w:rPr>
                <w:b/>
                <w:color w:val="000000"/>
                <w:sz w:val="24"/>
                <w:szCs w:val="24"/>
              </w:rPr>
              <w:t>Cash</w:t>
            </w:r>
          </w:p>
        </w:tc>
        <w:tc>
          <w:tcPr>
            <w:tcW w:w="1560" w:type="dxa"/>
          </w:tcPr>
          <w:p w14:paraId="05DADB7E" w14:textId="77777777" w:rsidR="002F52D7" w:rsidRDefault="00000000">
            <w:pPr>
              <w:pBdr>
                <w:top w:val="nil"/>
                <w:left w:val="nil"/>
                <w:bottom w:val="nil"/>
                <w:right w:val="nil"/>
                <w:between w:val="nil"/>
              </w:pBdr>
              <w:spacing w:before="111" w:line="276" w:lineRule="auto"/>
              <w:ind w:left="89" w:right="221"/>
              <w:jc w:val="both"/>
              <w:rPr>
                <w:b/>
                <w:color w:val="000000"/>
                <w:sz w:val="24"/>
                <w:szCs w:val="24"/>
              </w:rPr>
            </w:pPr>
            <w:r>
              <w:rPr>
                <w:b/>
                <w:color w:val="000000"/>
                <w:sz w:val="24"/>
                <w:szCs w:val="24"/>
              </w:rPr>
              <w:t>Marketable Securities</w:t>
            </w:r>
          </w:p>
        </w:tc>
        <w:tc>
          <w:tcPr>
            <w:tcW w:w="1560" w:type="dxa"/>
          </w:tcPr>
          <w:p w14:paraId="38232646" w14:textId="77777777" w:rsidR="002F52D7" w:rsidRDefault="00000000">
            <w:pPr>
              <w:pBdr>
                <w:top w:val="nil"/>
                <w:left w:val="nil"/>
                <w:bottom w:val="nil"/>
                <w:right w:val="nil"/>
                <w:between w:val="nil"/>
              </w:pBdr>
              <w:spacing w:before="111" w:line="276" w:lineRule="auto"/>
              <w:ind w:left="89"/>
              <w:jc w:val="both"/>
              <w:rPr>
                <w:b/>
                <w:color w:val="000000"/>
                <w:sz w:val="24"/>
                <w:szCs w:val="24"/>
              </w:rPr>
            </w:pPr>
            <w:r>
              <w:rPr>
                <w:b/>
                <w:color w:val="000000"/>
                <w:sz w:val="24"/>
                <w:szCs w:val="24"/>
              </w:rPr>
              <w:t>Receivables</w:t>
            </w:r>
          </w:p>
        </w:tc>
        <w:tc>
          <w:tcPr>
            <w:tcW w:w="1560" w:type="dxa"/>
          </w:tcPr>
          <w:p w14:paraId="3780306D" w14:textId="77777777" w:rsidR="002F52D7" w:rsidRDefault="00000000">
            <w:pPr>
              <w:pBdr>
                <w:top w:val="nil"/>
                <w:left w:val="nil"/>
                <w:bottom w:val="nil"/>
                <w:right w:val="nil"/>
                <w:between w:val="nil"/>
              </w:pBdr>
              <w:spacing w:before="111" w:line="276" w:lineRule="auto"/>
              <w:ind w:left="89"/>
              <w:jc w:val="both"/>
              <w:rPr>
                <w:b/>
                <w:color w:val="000000"/>
                <w:sz w:val="24"/>
                <w:szCs w:val="24"/>
              </w:rPr>
            </w:pPr>
            <w:r>
              <w:rPr>
                <w:b/>
                <w:color w:val="000000"/>
                <w:sz w:val="24"/>
                <w:szCs w:val="24"/>
              </w:rPr>
              <w:t>Liabilities</w:t>
            </w:r>
          </w:p>
        </w:tc>
        <w:tc>
          <w:tcPr>
            <w:tcW w:w="1560" w:type="dxa"/>
          </w:tcPr>
          <w:p w14:paraId="4BCE8A75" w14:textId="77777777" w:rsidR="002F52D7" w:rsidRDefault="00000000">
            <w:pPr>
              <w:pBdr>
                <w:top w:val="nil"/>
                <w:left w:val="nil"/>
                <w:bottom w:val="nil"/>
                <w:right w:val="nil"/>
                <w:between w:val="nil"/>
              </w:pBdr>
              <w:spacing w:before="111" w:line="276" w:lineRule="auto"/>
              <w:ind w:left="89"/>
              <w:jc w:val="both"/>
              <w:rPr>
                <w:b/>
                <w:color w:val="000000"/>
                <w:sz w:val="24"/>
                <w:szCs w:val="24"/>
              </w:rPr>
            </w:pPr>
            <w:r>
              <w:rPr>
                <w:b/>
                <w:color w:val="000000"/>
                <w:sz w:val="24"/>
                <w:szCs w:val="24"/>
              </w:rPr>
              <w:t>Quick Ratio</w:t>
            </w:r>
          </w:p>
        </w:tc>
      </w:tr>
      <w:tr w:rsidR="002F52D7" w14:paraId="49D83278" w14:textId="77777777">
        <w:trPr>
          <w:trHeight w:val="750"/>
        </w:trPr>
        <w:tc>
          <w:tcPr>
            <w:tcW w:w="1560" w:type="dxa"/>
          </w:tcPr>
          <w:p w14:paraId="6E519A6C" w14:textId="77777777" w:rsidR="002F52D7" w:rsidRDefault="00000000">
            <w:pPr>
              <w:pBdr>
                <w:top w:val="nil"/>
                <w:left w:val="nil"/>
                <w:bottom w:val="nil"/>
                <w:right w:val="nil"/>
                <w:between w:val="nil"/>
              </w:pBdr>
              <w:spacing w:before="108" w:line="276" w:lineRule="auto"/>
              <w:ind w:left="89" w:right="292"/>
              <w:jc w:val="both"/>
              <w:rPr>
                <w:b/>
                <w:color w:val="000000"/>
                <w:sz w:val="24"/>
                <w:szCs w:val="24"/>
              </w:rPr>
            </w:pPr>
            <w:r>
              <w:rPr>
                <w:b/>
                <w:color w:val="000000"/>
                <w:sz w:val="24"/>
                <w:szCs w:val="24"/>
              </w:rPr>
              <w:t>Hilton Worldwide</w:t>
            </w:r>
          </w:p>
        </w:tc>
        <w:tc>
          <w:tcPr>
            <w:tcW w:w="1560" w:type="dxa"/>
          </w:tcPr>
          <w:p w14:paraId="4B9E2003" w14:textId="77777777" w:rsidR="002F52D7" w:rsidRDefault="00000000">
            <w:pPr>
              <w:pBdr>
                <w:top w:val="nil"/>
                <w:left w:val="nil"/>
                <w:bottom w:val="nil"/>
                <w:right w:val="nil"/>
                <w:between w:val="nil"/>
              </w:pBdr>
              <w:spacing w:before="108" w:line="276" w:lineRule="auto"/>
              <w:ind w:left="89"/>
              <w:jc w:val="both"/>
              <w:rPr>
                <w:color w:val="000000"/>
                <w:sz w:val="24"/>
                <w:szCs w:val="24"/>
              </w:rPr>
            </w:pPr>
            <w:r>
              <w:rPr>
                <w:color w:val="000000"/>
                <w:sz w:val="24"/>
                <w:szCs w:val="24"/>
              </w:rPr>
              <w:t>32,18,000</w:t>
            </w:r>
          </w:p>
        </w:tc>
        <w:tc>
          <w:tcPr>
            <w:tcW w:w="1560" w:type="dxa"/>
          </w:tcPr>
          <w:p w14:paraId="0C3EF9D2" w14:textId="77777777" w:rsidR="002F52D7" w:rsidRDefault="00000000">
            <w:pPr>
              <w:pBdr>
                <w:top w:val="nil"/>
                <w:left w:val="nil"/>
                <w:bottom w:val="nil"/>
                <w:right w:val="nil"/>
                <w:between w:val="nil"/>
              </w:pBdr>
              <w:spacing w:before="108" w:line="276" w:lineRule="auto"/>
              <w:ind w:left="725"/>
              <w:jc w:val="both"/>
              <w:rPr>
                <w:color w:val="000000"/>
                <w:sz w:val="24"/>
                <w:szCs w:val="24"/>
              </w:rPr>
            </w:pPr>
            <w:r>
              <w:rPr>
                <w:color w:val="000000"/>
                <w:sz w:val="24"/>
                <w:szCs w:val="24"/>
              </w:rPr>
              <w:t>-</w:t>
            </w:r>
          </w:p>
        </w:tc>
        <w:tc>
          <w:tcPr>
            <w:tcW w:w="1560" w:type="dxa"/>
          </w:tcPr>
          <w:p w14:paraId="6702A1E3" w14:textId="77777777" w:rsidR="002F52D7" w:rsidRDefault="00000000">
            <w:pPr>
              <w:pBdr>
                <w:top w:val="nil"/>
                <w:left w:val="nil"/>
                <w:bottom w:val="nil"/>
                <w:right w:val="nil"/>
                <w:between w:val="nil"/>
              </w:pBdr>
              <w:spacing w:before="108" w:line="276" w:lineRule="auto"/>
              <w:ind w:left="89"/>
              <w:jc w:val="both"/>
              <w:rPr>
                <w:color w:val="000000"/>
                <w:sz w:val="24"/>
                <w:szCs w:val="24"/>
              </w:rPr>
            </w:pPr>
            <w:r>
              <w:rPr>
                <w:color w:val="000000"/>
                <w:sz w:val="24"/>
                <w:szCs w:val="24"/>
              </w:rPr>
              <w:t>7,71,000</w:t>
            </w:r>
          </w:p>
        </w:tc>
        <w:tc>
          <w:tcPr>
            <w:tcW w:w="1560" w:type="dxa"/>
          </w:tcPr>
          <w:p w14:paraId="6B096EEF" w14:textId="77777777" w:rsidR="002F52D7" w:rsidRDefault="00000000">
            <w:pPr>
              <w:pBdr>
                <w:top w:val="nil"/>
                <w:left w:val="nil"/>
                <w:bottom w:val="nil"/>
                <w:right w:val="nil"/>
                <w:between w:val="nil"/>
              </w:pBdr>
              <w:spacing w:before="108" w:line="276" w:lineRule="auto"/>
              <w:ind w:left="89"/>
              <w:jc w:val="both"/>
              <w:rPr>
                <w:color w:val="000000"/>
                <w:sz w:val="24"/>
                <w:szCs w:val="24"/>
              </w:rPr>
            </w:pPr>
            <w:r>
              <w:rPr>
                <w:color w:val="000000"/>
                <w:sz w:val="24"/>
                <w:szCs w:val="24"/>
              </w:rPr>
              <w:t>24,31,000</w:t>
            </w:r>
          </w:p>
        </w:tc>
        <w:tc>
          <w:tcPr>
            <w:tcW w:w="1560" w:type="dxa"/>
          </w:tcPr>
          <w:p w14:paraId="63F1AF1F" w14:textId="77777777" w:rsidR="002F52D7" w:rsidRDefault="00000000">
            <w:pPr>
              <w:pBdr>
                <w:top w:val="nil"/>
                <w:left w:val="nil"/>
                <w:bottom w:val="nil"/>
                <w:right w:val="nil"/>
                <w:between w:val="nil"/>
              </w:pBdr>
              <w:spacing w:before="108" w:line="276" w:lineRule="auto"/>
              <w:ind w:left="89"/>
              <w:jc w:val="both"/>
              <w:rPr>
                <w:color w:val="000000"/>
                <w:sz w:val="24"/>
                <w:szCs w:val="24"/>
              </w:rPr>
            </w:pPr>
            <w:r>
              <w:rPr>
                <w:color w:val="000000"/>
                <w:sz w:val="24"/>
                <w:szCs w:val="24"/>
              </w:rPr>
              <w:t>1.64</w:t>
            </w:r>
          </w:p>
        </w:tc>
      </w:tr>
      <w:tr w:rsidR="002F52D7" w14:paraId="3C04BF4F" w14:textId="77777777">
        <w:trPr>
          <w:trHeight w:val="1030"/>
        </w:trPr>
        <w:tc>
          <w:tcPr>
            <w:tcW w:w="1560" w:type="dxa"/>
          </w:tcPr>
          <w:p w14:paraId="06150941" w14:textId="77777777" w:rsidR="002F52D7" w:rsidRDefault="00000000">
            <w:pPr>
              <w:pBdr>
                <w:top w:val="nil"/>
                <w:left w:val="nil"/>
                <w:bottom w:val="nil"/>
                <w:right w:val="nil"/>
                <w:between w:val="nil"/>
              </w:pBdr>
              <w:spacing w:before="104" w:line="276" w:lineRule="auto"/>
              <w:ind w:left="89"/>
              <w:jc w:val="both"/>
              <w:rPr>
                <w:b/>
                <w:color w:val="000000"/>
                <w:sz w:val="24"/>
                <w:szCs w:val="24"/>
              </w:rPr>
            </w:pPr>
            <w:r>
              <w:rPr>
                <w:b/>
                <w:color w:val="000000"/>
                <w:sz w:val="24"/>
                <w:szCs w:val="24"/>
              </w:rPr>
              <w:lastRenderedPageBreak/>
              <w:t>Marriott</w:t>
            </w:r>
          </w:p>
          <w:p w14:paraId="7010A60D" w14:textId="77777777" w:rsidR="002F52D7" w:rsidRDefault="00000000">
            <w:pPr>
              <w:pBdr>
                <w:top w:val="nil"/>
                <w:left w:val="nil"/>
                <w:bottom w:val="nil"/>
                <w:right w:val="nil"/>
                <w:between w:val="nil"/>
              </w:pBdr>
              <w:spacing w:line="276" w:lineRule="auto"/>
              <w:ind w:left="89" w:right="127"/>
              <w:jc w:val="both"/>
              <w:rPr>
                <w:b/>
                <w:color w:val="000000"/>
                <w:sz w:val="24"/>
                <w:szCs w:val="24"/>
              </w:rPr>
            </w:pPr>
            <w:proofErr w:type="spellStart"/>
            <w:r>
              <w:rPr>
                <w:b/>
                <w:color w:val="000000"/>
                <w:sz w:val="24"/>
                <w:szCs w:val="24"/>
              </w:rPr>
              <w:t>Internationa</w:t>
            </w:r>
            <w:proofErr w:type="spellEnd"/>
            <w:r>
              <w:rPr>
                <w:b/>
                <w:color w:val="000000"/>
                <w:sz w:val="24"/>
                <w:szCs w:val="24"/>
              </w:rPr>
              <w:t xml:space="preserve"> l</w:t>
            </w:r>
          </w:p>
        </w:tc>
        <w:tc>
          <w:tcPr>
            <w:tcW w:w="1560" w:type="dxa"/>
          </w:tcPr>
          <w:p w14:paraId="49BF3DB4" w14:textId="77777777" w:rsidR="002F52D7" w:rsidRDefault="00000000">
            <w:pPr>
              <w:pBdr>
                <w:top w:val="nil"/>
                <w:left w:val="nil"/>
                <w:bottom w:val="nil"/>
                <w:right w:val="nil"/>
                <w:between w:val="nil"/>
              </w:pBdr>
              <w:spacing w:before="104" w:line="276" w:lineRule="auto"/>
              <w:ind w:left="89"/>
              <w:jc w:val="both"/>
              <w:rPr>
                <w:color w:val="000000"/>
                <w:sz w:val="24"/>
                <w:szCs w:val="24"/>
              </w:rPr>
            </w:pPr>
            <w:r>
              <w:rPr>
                <w:color w:val="000000"/>
                <w:sz w:val="24"/>
                <w:szCs w:val="24"/>
              </w:rPr>
              <w:t>877,000</w:t>
            </w:r>
          </w:p>
        </w:tc>
        <w:tc>
          <w:tcPr>
            <w:tcW w:w="1560" w:type="dxa"/>
          </w:tcPr>
          <w:p w14:paraId="48AEFB55" w14:textId="77777777" w:rsidR="002F52D7" w:rsidRDefault="00000000">
            <w:pPr>
              <w:pBdr>
                <w:top w:val="nil"/>
                <w:left w:val="nil"/>
                <w:bottom w:val="nil"/>
                <w:right w:val="nil"/>
                <w:between w:val="nil"/>
              </w:pBdr>
              <w:spacing w:before="104" w:line="276" w:lineRule="auto"/>
              <w:ind w:left="725"/>
              <w:jc w:val="both"/>
              <w:rPr>
                <w:color w:val="000000"/>
                <w:sz w:val="24"/>
                <w:szCs w:val="24"/>
              </w:rPr>
            </w:pPr>
            <w:r>
              <w:rPr>
                <w:color w:val="000000"/>
                <w:sz w:val="24"/>
                <w:szCs w:val="24"/>
              </w:rPr>
              <w:t>-</w:t>
            </w:r>
          </w:p>
        </w:tc>
        <w:tc>
          <w:tcPr>
            <w:tcW w:w="1560" w:type="dxa"/>
          </w:tcPr>
          <w:p w14:paraId="7BECB6A7" w14:textId="77777777" w:rsidR="002F52D7" w:rsidRDefault="00000000">
            <w:pPr>
              <w:pBdr>
                <w:top w:val="nil"/>
                <w:left w:val="nil"/>
                <w:bottom w:val="nil"/>
                <w:right w:val="nil"/>
                <w:between w:val="nil"/>
              </w:pBdr>
              <w:spacing w:before="104" w:line="276" w:lineRule="auto"/>
              <w:ind w:left="89"/>
              <w:jc w:val="both"/>
              <w:rPr>
                <w:color w:val="000000"/>
                <w:sz w:val="24"/>
                <w:szCs w:val="24"/>
              </w:rPr>
            </w:pPr>
            <w:r>
              <w:rPr>
                <w:color w:val="000000"/>
                <w:sz w:val="24"/>
                <w:szCs w:val="24"/>
              </w:rPr>
              <w:t>1,768,000</w:t>
            </w:r>
          </w:p>
        </w:tc>
        <w:tc>
          <w:tcPr>
            <w:tcW w:w="1560" w:type="dxa"/>
          </w:tcPr>
          <w:p w14:paraId="43282F83" w14:textId="77777777" w:rsidR="002F52D7" w:rsidRDefault="00000000">
            <w:pPr>
              <w:pBdr>
                <w:top w:val="nil"/>
                <w:left w:val="nil"/>
                <w:bottom w:val="nil"/>
                <w:right w:val="nil"/>
                <w:between w:val="nil"/>
              </w:pBdr>
              <w:spacing w:before="104" w:line="276" w:lineRule="auto"/>
              <w:ind w:left="89"/>
              <w:jc w:val="both"/>
              <w:rPr>
                <w:color w:val="000000"/>
                <w:sz w:val="24"/>
                <w:szCs w:val="24"/>
              </w:rPr>
            </w:pPr>
            <w:r>
              <w:rPr>
                <w:color w:val="000000"/>
                <w:sz w:val="24"/>
                <w:szCs w:val="24"/>
              </w:rPr>
              <w:t>5,752,000</w:t>
            </w:r>
          </w:p>
        </w:tc>
        <w:tc>
          <w:tcPr>
            <w:tcW w:w="1560" w:type="dxa"/>
          </w:tcPr>
          <w:p w14:paraId="77B37E64" w14:textId="77777777" w:rsidR="002F52D7" w:rsidRDefault="00000000">
            <w:pPr>
              <w:pBdr>
                <w:top w:val="nil"/>
                <w:left w:val="nil"/>
                <w:bottom w:val="nil"/>
                <w:right w:val="nil"/>
                <w:between w:val="nil"/>
              </w:pBdr>
              <w:spacing w:before="104" w:line="276" w:lineRule="auto"/>
              <w:ind w:left="89"/>
              <w:jc w:val="both"/>
              <w:rPr>
                <w:color w:val="000000"/>
                <w:sz w:val="24"/>
                <w:szCs w:val="24"/>
              </w:rPr>
            </w:pPr>
            <w:r>
              <w:rPr>
                <w:color w:val="000000"/>
                <w:sz w:val="24"/>
                <w:szCs w:val="24"/>
              </w:rPr>
              <w:t>0.46</w:t>
            </w:r>
          </w:p>
        </w:tc>
      </w:tr>
    </w:tbl>
    <w:p w14:paraId="1D2C12A4" w14:textId="77777777" w:rsidR="002F52D7" w:rsidRDefault="002F52D7">
      <w:pPr>
        <w:pBdr>
          <w:top w:val="nil"/>
          <w:left w:val="nil"/>
          <w:bottom w:val="nil"/>
          <w:right w:val="nil"/>
          <w:between w:val="nil"/>
        </w:pBdr>
        <w:spacing w:line="276" w:lineRule="auto"/>
        <w:jc w:val="both"/>
        <w:rPr>
          <w:b/>
          <w:color w:val="000000"/>
          <w:sz w:val="26"/>
          <w:szCs w:val="26"/>
        </w:rPr>
      </w:pPr>
    </w:p>
    <w:p w14:paraId="3ED3E85B" w14:textId="77777777" w:rsidR="002F52D7" w:rsidRDefault="002F52D7">
      <w:pPr>
        <w:pBdr>
          <w:top w:val="nil"/>
          <w:left w:val="nil"/>
          <w:bottom w:val="nil"/>
          <w:right w:val="nil"/>
          <w:between w:val="nil"/>
        </w:pBdr>
        <w:spacing w:before="9" w:line="276" w:lineRule="auto"/>
        <w:jc w:val="both"/>
        <w:rPr>
          <w:b/>
          <w:color w:val="000000"/>
          <w:sz w:val="21"/>
          <w:szCs w:val="21"/>
        </w:rPr>
      </w:pPr>
    </w:p>
    <w:p w14:paraId="6285CF89" w14:textId="77777777" w:rsidR="002F52D7" w:rsidRDefault="00000000">
      <w:pPr>
        <w:pStyle w:val="Titlu1"/>
        <w:tabs>
          <w:tab w:val="left" w:pos="900"/>
        </w:tabs>
        <w:spacing w:line="276" w:lineRule="auto"/>
        <w:ind w:left="0"/>
        <w:jc w:val="both"/>
        <w:rPr>
          <w:b w:val="0"/>
        </w:rPr>
      </w:pPr>
      <w:r>
        <w:rPr>
          <w:b w:val="0"/>
        </w:rPr>
        <w:t>It is abundantly clear which of the two companies offers the more lucrative investment opportunity after taking into consideration a variety of unique liquidity indicators for each of the companies. According to the available data, Hilton is a more trustworthy investment than Marriott, making Hilton the better choice.</w:t>
      </w:r>
    </w:p>
    <w:p w14:paraId="4277AADD" w14:textId="77777777" w:rsidR="002F52D7" w:rsidRDefault="002F52D7">
      <w:pPr>
        <w:pStyle w:val="Titlu1"/>
        <w:tabs>
          <w:tab w:val="left" w:pos="900"/>
        </w:tabs>
        <w:spacing w:line="276" w:lineRule="auto"/>
        <w:ind w:left="0"/>
        <w:jc w:val="both"/>
      </w:pPr>
    </w:p>
    <w:p w14:paraId="03E2AFF0" w14:textId="77777777" w:rsidR="002F52D7" w:rsidRDefault="002F52D7">
      <w:pPr>
        <w:pStyle w:val="Titlu1"/>
        <w:tabs>
          <w:tab w:val="left" w:pos="900"/>
        </w:tabs>
        <w:spacing w:line="276" w:lineRule="auto"/>
        <w:ind w:firstLine="900"/>
        <w:jc w:val="both"/>
      </w:pPr>
    </w:p>
    <w:p w14:paraId="2A8440E3" w14:textId="77777777" w:rsidR="002F52D7" w:rsidRDefault="00000000">
      <w:pPr>
        <w:pStyle w:val="Titlu1"/>
        <w:numPr>
          <w:ilvl w:val="0"/>
          <w:numId w:val="1"/>
        </w:numPr>
        <w:tabs>
          <w:tab w:val="left" w:pos="900"/>
        </w:tabs>
        <w:spacing w:line="276" w:lineRule="auto"/>
        <w:ind w:hanging="607"/>
        <w:jc w:val="both"/>
      </w:pPr>
      <w:r>
        <w:t>Capital Structure and Solvency</w:t>
      </w:r>
    </w:p>
    <w:p w14:paraId="2EBA0EDF" w14:textId="77777777" w:rsidR="002F52D7" w:rsidRDefault="002F52D7">
      <w:pPr>
        <w:pBdr>
          <w:top w:val="nil"/>
          <w:left w:val="nil"/>
          <w:bottom w:val="nil"/>
          <w:right w:val="nil"/>
          <w:between w:val="nil"/>
        </w:pBdr>
        <w:spacing w:line="276" w:lineRule="auto"/>
        <w:jc w:val="both"/>
        <w:rPr>
          <w:b/>
          <w:color w:val="000000"/>
          <w:sz w:val="24"/>
          <w:szCs w:val="24"/>
        </w:rPr>
      </w:pPr>
    </w:p>
    <w:p w14:paraId="32D942A6" w14:textId="77777777" w:rsidR="002F52D7" w:rsidRDefault="00000000">
      <w:pPr>
        <w:tabs>
          <w:tab w:val="left" w:pos="1620"/>
        </w:tabs>
        <w:spacing w:line="276" w:lineRule="auto"/>
        <w:jc w:val="both"/>
        <w:rPr>
          <w:sz w:val="24"/>
          <w:szCs w:val="24"/>
        </w:rPr>
      </w:pPr>
      <w:r>
        <w:rPr>
          <w:sz w:val="24"/>
          <w:szCs w:val="24"/>
        </w:rPr>
        <w:t>The ability of a company to pay off its debts is referred to as "solvency." Calculating the obligation to equity ratio is the goal of the solvency measurement approach. The ratio of total liabilities to equity as well as the ratio of total debt to equity are examples of solvency ratios.</w:t>
      </w:r>
    </w:p>
    <w:p w14:paraId="53DEB8A3" w14:textId="77777777" w:rsidR="002F52D7" w:rsidRDefault="002F52D7">
      <w:pPr>
        <w:pBdr>
          <w:top w:val="nil"/>
          <w:left w:val="nil"/>
          <w:bottom w:val="nil"/>
          <w:right w:val="nil"/>
          <w:between w:val="nil"/>
        </w:pBdr>
        <w:tabs>
          <w:tab w:val="left" w:pos="1620"/>
        </w:tabs>
        <w:spacing w:line="276" w:lineRule="auto"/>
        <w:ind w:left="1620"/>
        <w:jc w:val="both"/>
        <w:rPr>
          <w:color w:val="000000"/>
          <w:sz w:val="24"/>
          <w:szCs w:val="24"/>
        </w:rPr>
      </w:pPr>
    </w:p>
    <w:p w14:paraId="225E395B" w14:textId="77777777" w:rsidR="002F52D7" w:rsidRDefault="00000000">
      <w:pPr>
        <w:pBdr>
          <w:top w:val="nil"/>
          <w:left w:val="nil"/>
          <w:bottom w:val="nil"/>
          <w:right w:val="nil"/>
          <w:between w:val="nil"/>
        </w:pBdr>
        <w:tabs>
          <w:tab w:val="left" w:pos="1620"/>
        </w:tabs>
        <w:spacing w:line="276" w:lineRule="auto"/>
        <w:ind w:left="1620"/>
        <w:jc w:val="both"/>
        <w:rPr>
          <w:b/>
          <w:color w:val="000000"/>
          <w:sz w:val="24"/>
          <w:szCs w:val="24"/>
        </w:rPr>
      </w:pPr>
      <w:r>
        <w:rPr>
          <w:b/>
          <w:color w:val="000000"/>
          <w:sz w:val="24"/>
          <w:szCs w:val="24"/>
        </w:rPr>
        <w:t>Total Debt to Equity</w:t>
      </w:r>
    </w:p>
    <w:p w14:paraId="13CB205E" w14:textId="77777777" w:rsidR="002F52D7" w:rsidRDefault="002F52D7">
      <w:pPr>
        <w:pBdr>
          <w:top w:val="nil"/>
          <w:left w:val="nil"/>
          <w:bottom w:val="nil"/>
          <w:right w:val="nil"/>
          <w:between w:val="nil"/>
        </w:pBdr>
        <w:spacing w:before="6" w:line="276" w:lineRule="auto"/>
        <w:jc w:val="both"/>
        <w:rPr>
          <w:color w:val="000000"/>
          <w:sz w:val="23"/>
          <w:szCs w:val="23"/>
        </w:rPr>
      </w:pPr>
    </w:p>
    <w:tbl>
      <w:tblPr>
        <w:tblStyle w:val="ac"/>
        <w:tblW w:w="930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860"/>
        <w:gridCol w:w="1860"/>
        <w:gridCol w:w="1860"/>
        <w:gridCol w:w="1860"/>
        <w:gridCol w:w="1860"/>
      </w:tblGrid>
      <w:tr w:rsidR="002F52D7" w14:paraId="6A0873C4" w14:textId="77777777">
        <w:trPr>
          <w:trHeight w:val="750"/>
        </w:trPr>
        <w:tc>
          <w:tcPr>
            <w:tcW w:w="1860" w:type="dxa"/>
          </w:tcPr>
          <w:p w14:paraId="72A5747C" w14:textId="77777777" w:rsidR="002F52D7" w:rsidRDefault="00000000">
            <w:pPr>
              <w:pBdr>
                <w:top w:val="nil"/>
                <w:left w:val="nil"/>
                <w:bottom w:val="nil"/>
                <w:right w:val="nil"/>
                <w:between w:val="nil"/>
              </w:pBdr>
              <w:spacing w:before="100" w:line="276" w:lineRule="auto"/>
              <w:ind w:left="89"/>
              <w:jc w:val="both"/>
              <w:rPr>
                <w:b/>
                <w:color w:val="000000"/>
                <w:sz w:val="24"/>
                <w:szCs w:val="24"/>
              </w:rPr>
            </w:pPr>
            <w:r>
              <w:rPr>
                <w:b/>
                <w:color w:val="000000"/>
                <w:sz w:val="24"/>
                <w:szCs w:val="24"/>
              </w:rPr>
              <w:t>*In Millions</w:t>
            </w:r>
          </w:p>
        </w:tc>
        <w:tc>
          <w:tcPr>
            <w:tcW w:w="1860" w:type="dxa"/>
          </w:tcPr>
          <w:p w14:paraId="5072BE0B" w14:textId="77777777" w:rsidR="002F52D7" w:rsidRDefault="00000000">
            <w:pPr>
              <w:pBdr>
                <w:top w:val="nil"/>
                <w:left w:val="nil"/>
                <w:bottom w:val="nil"/>
                <w:right w:val="nil"/>
                <w:between w:val="nil"/>
              </w:pBdr>
              <w:spacing w:before="100" w:line="276" w:lineRule="auto"/>
              <w:ind w:left="89" w:right="561"/>
              <w:jc w:val="both"/>
              <w:rPr>
                <w:b/>
                <w:color w:val="000000"/>
                <w:sz w:val="24"/>
                <w:szCs w:val="24"/>
              </w:rPr>
            </w:pPr>
            <w:r>
              <w:rPr>
                <w:b/>
                <w:color w:val="000000"/>
                <w:sz w:val="24"/>
                <w:szCs w:val="24"/>
              </w:rPr>
              <w:t>Long-Term Debt</w:t>
            </w:r>
          </w:p>
        </w:tc>
        <w:tc>
          <w:tcPr>
            <w:tcW w:w="1860" w:type="dxa"/>
          </w:tcPr>
          <w:p w14:paraId="5CF195B8" w14:textId="77777777" w:rsidR="002F52D7" w:rsidRDefault="00000000">
            <w:pPr>
              <w:pBdr>
                <w:top w:val="nil"/>
                <w:left w:val="nil"/>
                <w:bottom w:val="nil"/>
                <w:right w:val="nil"/>
                <w:between w:val="nil"/>
              </w:pBdr>
              <w:spacing w:before="100" w:line="276" w:lineRule="auto"/>
              <w:ind w:left="89" w:right="514"/>
              <w:jc w:val="both"/>
              <w:rPr>
                <w:b/>
                <w:color w:val="000000"/>
                <w:sz w:val="24"/>
                <w:szCs w:val="24"/>
              </w:rPr>
            </w:pPr>
            <w:r>
              <w:rPr>
                <w:b/>
                <w:color w:val="000000"/>
                <w:sz w:val="24"/>
                <w:szCs w:val="24"/>
              </w:rPr>
              <w:t>Short-Term Debt</w:t>
            </w:r>
          </w:p>
        </w:tc>
        <w:tc>
          <w:tcPr>
            <w:tcW w:w="1860" w:type="dxa"/>
          </w:tcPr>
          <w:p w14:paraId="3B0998FF" w14:textId="77777777" w:rsidR="002F52D7" w:rsidRDefault="00000000">
            <w:pPr>
              <w:pBdr>
                <w:top w:val="nil"/>
                <w:left w:val="nil"/>
                <w:bottom w:val="nil"/>
                <w:right w:val="nil"/>
                <w:between w:val="nil"/>
              </w:pBdr>
              <w:spacing w:before="100" w:line="276" w:lineRule="auto"/>
              <w:ind w:left="89" w:right="387"/>
              <w:jc w:val="both"/>
              <w:rPr>
                <w:b/>
                <w:color w:val="000000"/>
                <w:sz w:val="24"/>
                <w:szCs w:val="24"/>
              </w:rPr>
            </w:pPr>
            <w:proofErr w:type="spellStart"/>
            <w:r>
              <w:rPr>
                <w:b/>
                <w:color w:val="000000"/>
                <w:sz w:val="24"/>
                <w:szCs w:val="24"/>
              </w:rPr>
              <w:t>Stockholders</w:t>
            </w:r>
            <w:proofErr w:type="spellEnd"/>
            <w:r>
              <w:rPr>
                <w:b/>
                <w:color w:val="000000"/>
                <w:sz w:val="24"/>
                <w:szCs w:val="24"/>
              </w:rPr>
              <w:t xml:space="preserve"> Equity</w:t>
            </w:r>
          </w:p>
        </w:tc>
        <w:tc>
          <w:tcPr>
            <w:tcW w:w="1860" w:type="dxa"/>
          </w:tcPr>
          <w:p w14:paraId="7A3F50B7" w14:textId="77777777" w:rsidR="002F52D7" w:rsidRDefault="00000000">
            <w:pPr>
              <w:pBdr>
                <w:top w:val="nil"/>
                <w:left w:val="nil"/>
                <w:bottom w:val="nil"/>
                <w:right w:val="nil"/>
                <w:between w:val="nil"/>
              </w:pBdr>
              <w:spacing w:before="100" w:line="276" w:lineRule="auto"/>
              <w:ind w:left="89" w:right="396"/>
              <w:jc w:val="both"/>
              <w:rPr>
                <w:b/>
                <w:color w:val="000000"/>
                <w:sz w:val="24"/>
                <w:szCs w:val="24"/>
              </w:rPr>
            </w:pPr>
            <w:r>
              <w:rPr>
                <w:b/>
                <w:color w:val="000000"/>
                <w:sz w:val="24"/>
                <w:szCs w:val="24"/>
              </w:rPr>
              <w:t>Total Debt to Equity</w:t>
            </w:r>
          </w:p>
        </w:tc>
      </w:tr>
      <w:tr w:rsidR="002F52D7" w14:paraId="703B12F4" w14:textId="77777777">
        <w:trPr>
          <w:trHeight w:val="730"/>
        </w:trPr>
        <w:tc>
          <w:tcPr>
            <w:tcW w:w="1860" w:type="dxa"/>
          </w:tcPr>
          <w:p w14:paraId="614E06A2" w14:textId="77777777" w:rsidR="002F52D7" w:rsidRDefault="00000000">
            <w:pPr>
              <w:pBdr>
                <w:top w:val="nil"/>
                <w:left w:val="nil"/>
                <w:bottom w:val="nil"/>
                <w:right w:val="nil"/>
                <w:between w:val="nil"/>
              </w:pBdr>
              <w:spacing w:before="97" w:line="276" w:lineRule="auto"/>
              <w:ind w:left="89" w:right="592"/>
              <w:jc w:val="both"/>
              <w:rPr>
                <w:b/>
                <w:color w:val="000000"/>
                <w:sz w:val="24"/>
                <w:szCs w:val="24"/>
              </w:rPr>
            </w:pPr>
            <w:r>
              <w:rPr>
                <w:b/>
                <w:color w:val="000000"/>
                <w:sz w:val="24"/>
                <w:szCs w:val="24"/>
              </w:rPr>
              <w:t>Hilton Worldwide</w:t>
            </w:r>
          </w:p>
        </w:tc>
        <w:tc>
          <w:tcPr>
            <w:tcW w:w="1860" w:type="dxa"/>
          </w:tcPr>
          <w:p w14:paraId="09616C4A" w14:textId="77777777" w:rsidR="002F52D7" w:rsidRDefault="00000000">
            <w:pPr>
              <w:pBdr>
                <w:top w:val="nil"/>
                <w:left w:val="nil"/>
                <w:bottom w:val="nil"/>
                <w:right w:val="nil"/>
                <w:between w:val="nil"/>
              </w:pBdr>
              <w:spacing w:before="97" w:line="276" w:lineRule="auto"/>
              <w:ind w:left="89"/>
              <w:jc w:val="both"/>
              <w:rPr>
                <w:color w:val="000000"/>
                <w:sz w:val="24"/>
                <w:szCs w:val="24"/>
              </w:rPr>
            </w:pPr>
            <w:r>
              <w:rPr>
                <w:color w:val="000000"/>
                <w:sz w:val="24"/>
                <w:szCs w:val="24"/>
              </w:rPr>
              <w:t>10,235,000</w:t>
            </w:r>
          </w:p>
        </w:tc>
        <w:tc>
          <w:tcPr>
            <w:tcW w:w="1860" w:type="dxa"/>
          </w:tcPr>
          <w:p w14:paraId="79841AE3" w14:textId="77777777" w:rsidR="002F52D7" w:rsidRDefault="00000000">
            <w:pPr>
              <w:pBdr>
                <w:top w:val="nil"/>
                <w:left w:val="nil"/>
                <w:bottom w:val="nil"/>
                <w:right w:val="nil"/>
                <w:between w:val="nil"/>
              </w:pBdr>
              <w:spacing w:before="97" w:line="276" w:lineRule="auto"/>
              <w:ind w:left="89"/>
              <w:jc w:val="both"/>
              <w:rPr>
                <w:color w:val="000000"/>
                <w:sz w:val="24"/>
                <w:szCs w:val="24"/>
              </w:rPr>
            </w:pPr>
            <w:r>
              <w:rPr>
                <w:color w:val="000000"/>
                <w:sz w:val="24"/>
                <w:szCs w:val="24"/>
              </w:rPr>
              <w:t>170</w:t>
            </w:r>
          </w:p>
        </w:tc>
        <w:tc>
          <w:tcPr>
            <w:tcW w:w="1860" w:type="dxa"/>
          </w:tcPr>
          <w:p w14:paraId="5C0865A8" w14:textId="77777777" w:rsidR="002F52D7" w:rsidRDefault="00000000">
            <w:pPr>
              <w:pBdr>
                <w:top w:val="nil"/>
                <w:left w:val="nil"/>
                <w:bottom w:val="nil"/>
                <w:right w:val="nil"/>
                <w:between w:val="nil"/>
              </w:pBdr>
              <w:spacing w:before="97" w:line="276" w:lineRule="auto"/>
              <w:ind w:left="89"/>
              <w:jc w:val="both"/>
              <w:rPr>
                <w:color w:val="000000"/>
                <w:sz w:val="24"/>
                <w:szCs w:val="24"/>
              </w:rPr>
            </w:pPr>
            <w:r>
              <w:rPr>
                <w:color w:val="000000"/>
                <w:sz w:val="24"/>
                <w:szCs w:val="24"/>
              </w:rPr>
              <w:t>-14,90,000</w:t>
            </w:r>
          </w:p>
        </w:tc>
        <w:tc>
          <w:tcPr>
            <w:tcW w:w="1860" w:type="dxa"/>
          </w:tcPr>
          <w:p w14:paraId="4930CD26" w14:textId="77777777" w:rsidR="002F52D7" w:rsidRDefault="00000000">
            <w:pPr>
              <w:pBdr>
                <w:top w:val="nil"/>
                <w:left w:val="nil"/>
                <w:bottom w:val="nil"/>
                <w:right w:val="nil"/>
                <w:between w:val="nil"/>
              </w:pBdr>
              <w:spacing w:before="97" w:line="276" w:lineRule="auto"/>
              <w:ind w:left="89"/>
              <w:jc w:val="both"/>
              <w:rPr>
                <w:color w:val="000000"/>
                <w:sz w:val="24"/>
                <w:szCs w:val="24"/>
              </w:rPr>
            </w:pPr>
            <w:r>
              <w:rPr>
                <w:color w:val="000000"/>
                <w:sz w:val="24"/>
                <w:szCs w:val="24"/>
              </w:rPr>
              <w:t>-6.8</w:t>
            </w:r>
          </w:p>
        </w:tc>
      </w:tr>
      <w:tr w:rsidR="002F52D7" w14:paraId="4DCEC129" w14:textId="77777777">
        <w:trPr>
          <w:trHeight w:val="749"/>
        </w:trPr>
        <w:tc>
          <w:tcPr>
            <w:tcW w:w="1860" w:type="dxa"/>
          </w:tcPr>
          <w:p w14:paraId="255306EA" w14:textId="77777777" w:rsidR="002F52D7" w:rsidRDefault="00000000">
            <w:pPr>
              <w:pBdr>
                <w:top w:val="nil"/>
                <w:left w:val="nil"/>
                <w:bottom w:val="nil"/>
                <w:right w:val="nil"/>
                <w:between w:val="nil"/>
              </w:pBdr>
              <w:spacing w:before="114" w:line="276" w:lineRule="auto"/>
              <w:ind w:left="89"/>
              <w:jc w:val="both"/>
              <w:rPr>
                <w:b/>
                <w:color w:val="000000"/>
                <w:sz w:val="24"/>
                <w:szCs w:val="24"/>
              </w:rPr>
            </w:pPr>
            <w:r>
              <w:rPr>
                <w:b/>
                <w:color w:val="000000"/>
                <w:sz w:val="24"/>
                <w:szCs w:val="24"/>
              </w:rPr>
              <w:t>Marriott</w:t>
            </w:r>
          </w:p>
          <w:p w14:paraId="7D3D049D"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1860" w:type="dxa"/>
          </w:tcPr>
          <w:p w14:paraId="28E6F16C" w14:textId="77777777" w:rsidR="002F52D7" w:rsidRDefault="00000000">
            <w:pPr>
              <w:pBdr>
                <w:top w:val="nil"/>
                <w:left w:val="nil"/>
                <w:bottom w:val="nil"/>
                <w:right w:val="nil"/>
                <w:between w:val="nil"/>
              </w:pBdr>
              <w:spacing w:before="114" w:line="276" w:lineRule="auto"/>
              <w:ind w:left="89"/>
              <w:jc w:val="both"/>
              <w:rPr>
                <w:color w:val="000000"/>
                <w:sz w:val="24"/>
                <w:szCs w:val="24"/>
              </w:rPr>
            </w:pPr>
            <w:r>
              <w:rPr>
                <w:color w:val="000000"/>
                <w:sz w:val="24"/>
                <w:szCs w:val="24"/>
              </w:rPr>
              <w:t>9,203,000</w:t>
            </w:r>
          </w:p>
        </w:tc>
        <w:tc>
          <w:tcPr>
            <w:tcW w:w="1860" w:type="dxa"/>
          </w:tcPr>
          <w:p w14:paraId="3EC895C6" w14:textId="77777777" w:rsidR="002F52D7" w:rsidRDefault="00000000">
            <w:pPr>
              <w:pBdr>
                <w:top w:val="nil"/>
                <w:left w:val="nil"/>
                <w:bottom w:val="nil"/>
                <w:right w:val="nil"/>
                <w:between w:val="nil"/>
              </w:pBdr>
              <w:spacing w:before="114" w:line="276" w:lineRule="auto"/>
              <w:ind w:left="89"/>
              <w:jc w:val="both"/>
              <w:rPr>
                <w:color w:val="000000"/>
                <w:sz w:val="24"/>
                <w:szCs w:val="24"/>
              </w:rPr>
            </w:pPr>
            <w:r>
              <w:rPr>
                <w:color w:val="000000"/>
                <w:sz w:val="24"/>
                <w:szCs w:val="24"/>
              </w:rPr>
              <w:t>147</w:t>
            </w:r>
          </w:p>
        </w:tc>
        <w:tc>
          <w:tcPr>
            <w:tcW w:w="1860" w:type="dxa"/>
          </w:tcPr>
          <w:p w14:paraId="3026A918" w14:textId="77777777" w:rsidR="002F52D7" w:rsidRDefault="00000000">
            <w:pPr>
              <w:pBdr>
                <w:top w:val="nil"/>
                <w:left w:val="nil"/>
                <w:bottom w:val="nil"/>
                <w:right w:val="nil"/>
                <w:between w:val="nil"/>
              </w:pBdr>
              <w:spacing w:before="114" w:line="276" w:lineRule="auto"/>
              <w:ind w:left="89"/>
              <w:jc w:val="both"/>
              <w:rPr>
                <w:color w:val="000000"/>
                <w:sz w:val="24"/>
                <w:szCs w:val="24"/>
              </w:rPr>
            </w:pPr>
            <w:r>
              <w:rPr>
                <w:color w:val="000000"/>
                <w:sz w:val="24"/>
                <w:szCs w:val="24"/>
              </w:rPr>
              <w:t>430,000</w:t>
            </w:r>
          </w:p>
        </w:tc>
        <w:tc>
          <w:tcPr>
            <w:tcW w:w="1860" w:type="dxa"/>
          </w:tcPr>
          <w:p w14:paraId="5631C13A" w14:textId="77777777" w:rsidR="002F52D7" w:rsidRDefault="00000000">
            <w:pPr>
              <w:pBdr>
                <w:top w:val="nil"/>
                <w:left w:val="nil"/>
                <w:bottom w:val="nil"/>
                <w:right w:val="nil"/>
                <w:between w:val="nil"/>
              </w:pBdr>
              <w:spacing w:before="114" w:line="276" w:lineRule="auto"/>
              <w:ind w:left="89"/>
              <w:jc w:val="both"/>
              <w:rPr>
                <w:color w:val="000000"/>
                <w:sz w:val="24"/>
                <w:szCs w:val="24"/>
              </w:rPr>
            </w:pPr>
            <w:r>
              <w:rPr>
                <w:color w:val="000000"/>
                <w:sz w:val="24"/>
                <w:szCs w:val="24"/>
              </w:rPr>
              <w:t>21.40</w:t>
            </w:r>
          </w:p>
        </w:tc>
      </w:tr>
    </w:tbl>
    <w:p w14:paraId="0FD51BBD" w14:textId="77777777" w:rsidR="002F52D7" w:rsidRDefault="002F52D7">
      <w:pPr>
        <w:spacing w:line="276" w:lineRule="auto"/>
        <w:jc w:val="both"/>
        <w:rPr>
          <w:sz w:val="24"/>
          <w:szCs w:val="24"/>
        </w:rPr>
        <w:sectPr w:rsidR="002F52D7">
          <w:pgSz w:w="12240" w:h="15840"/>
          <w:pgMar w:top="1360" w:right="1300" w:bottom="280" w:left="1260" w:header="730" w:footer="0" w:gutter="0"/>
          <w:cols w:space="720"/>
        </w:sectPr>
      </w:pPr>
    </w:p>
    <w:p w14:paraId="7D95CCF7" w14:textId="77777777" w:rsidR="002F52D7" w:rsidRDefault="00000000">
      <w:pPr>
        <w:pBdr>
          <w:top w:val="nil"/>
          <w:left w:val="nil"/>
          <w:bottom w:val="nil"/>
          <w:right w:val="nil"/>
          <w:between w:val="nil"/>
        </w:pBdr>
        <w:spacing w:line="276" w:lineRule="auto"/>
        <w:jc w:val="both"/>
        <w:rPr>
          <w:color w:val="000000"/>
          <w:sz w:val="24"/>
          <w:szCs w:val="24"/>
        </w:rPr>
      </w:pPr>
      <w:r>
        <w:rPr>
          <w:color w:val="000000"/>
          <w:sz w:val="24"/>
          <w:szCs w:val="24"/>
        </w:rPr>
        <w:lastRenderedPageBreak/>
        <w:t>Since Mariott's overall debt-to-equity ratio is rather high (21.40), it's possible that their stockholders are taking out additional loans, which raises the risk of debt. Hillton's ratio is lower than the national average, indicating a lesser likelihood of debt. The ratio's value of -6.8 serves as evidence for this.</w:t>
      </w:r>
    </w:p>
    <w:p w14:paraId="76E51F7B" w14:textId="77777777" w:rsidR="002F52D7" w:rsidRDefault="002F52D7">
      <w:pPr>
        <w:pBdr>
          <w:top w:val="nil"/>
          <w:left w:val="nil"/>
          <w:bottom w:val="nil"/>
          <w:right w:val="nil"/>
          <w:between w:val="nil"/>
        </w:pBdr>
        <w:spacing w:line="276" w:lineRule="auto"/>
        <w:jc w:val="both"/>
        <w:rPr>
          <w:color w:val="000000"/>
          <w:sz w:val="26"/>
          <w:szCs w:val="26"/>
        </w:rPr>
      </w:pPr>
    </w:p>
    <w:p w14:paraId="4EF5A659" w14:textId="77777777" w:rsidR="002F52D7" w:rsidRDefault="002F52D7">
      <w:pPr>
        <w:pBdr>
          <w:top w:val="nil"/>
          <w:left w:val="nil"/>
          <w:bottom w:val="nil"/>
          <w:right w:val="nil"/>
          <w:between w:val="nil"/>
        </w:pBdr>
        <w:spacing w:line="276" w:lineRule="auto"/>
        <w:jc w:val="both"/>
        <w:rPr>
          <w:color w:val="000000"/>
          <w:sz w:val="26"/>
          <w:szCs w:val="26"/>
        </w:rPr>
      </w:pPr>
    </w:p>
    <w:p w14:paraId="40FB7721" w14:textId="77777777" w:rsidR="002F52D7" w:rsidRDefault="00000000">
      <w:pPr>
        <w:numPr>
          <w:ilvl w:val="1"/>
          <w:numId w:val="1"/>
        </w:numPr>
        <w:pBdr>
          <w:top w:val="nil"/>
          <w:left w:val="nil"/>
          <w:bottom w:val="nil"/>
          <w:right w:val="nil"/>
          <w:between w:val="nil"/>
        </w:pBdr>
        <w:tabs>
          <w:tab w:val="left" w:pos="1620"/>
        </w:tabs>
        <w:spacing w:before="206" w:line="276" w:lineRule="auto"/>
        <w:jc w:val="both"/>
        <w:rPr>
          <w:b/>
          <w:color w:val="000000"/>
          <w:sz w:val="24"/>
          <w:szCs w:val="24"/>
        </w:rPr>
      </w:pPr>
      <w:r>
        <w:rPr>
          <w:b/>
          <w:color w:val="000000"/>
          <w:sz w:val="24"/>
          <w:szCs w:val="24"/>
        </w:rPr>
        <w:t>Total Debt to Assets</w:t>
      </w:r>
    </w:p>
    <w:p w14:paraId="0A15FBD1" w14:textId="77777777" w:rsidR="002F52D7" w:rsidRDefault="002F52D7">
      <w:pPr>
        <w:pBdr>
          <w:top w:val="nil"/>
          <w:left w:val="nil"/>
          <w:bottom w:val="nil"/>
          <w:right w:val="nil"/>
          <w:between w:val="nil"/>
        </w:pBdr>
        <w:spacing w:line="276" w:lineRule="auto"/>
        <w:jc w:val="both"/>
        <w:rPr>
          <w:color w:val="000000"/>
          <w:sz w:val="20"/>
          <w:szCs w:val="20"/>
        </w:rPr>
      </w:pPr>
    </w:p>
    <w:p w14:paraId="086A37B4" w14:textId="77777777" w:rsidR="002F52D7" w:rsidRDefault="002F52D7">
      <w:pPr>
        <w:pBdr>
          <w:top w:val="nil"/>
          <w:left w:val="nil"/>
          <w:bottom w:val="nil"/>
          <w:right w:val="nil"/>
          <w:between w:val="nil"/>
        </w:pBdr>
        <w:spacing w:line="276" w:lineRule="auto"/>
        <w:jc w:val="both"/>
        <w:rPr>
          <w:color w:val="000000"/>
          <w:sz w:val="20"/>
          <w:szCs w:val="20"/>
        </w:rPr>
      </w:pPr>
    </w:p>
    <w:p w14:paraId="6DE79F66" w14:textId="77777777" w:rsidR="002F52D7" w:rsidRDefault="002F52D7">
      <w:pPr>
        <w:pBdr>
          <w:top w:val="nil"/>
          <w:left w:val="nil"/>
          <w:bottom w:val="nil"/>
          <w:right w:val="nil"/>
          <w:between w:val="nil"/>
        </w:pBdr>
        <w:spacing w:line="276" w:lineRule="auto"/>
        <w:jc w:val="both"/>
        <w:rPr>
          <w:color w:val="000000"/>
          <w:sz w:val="20"/>
          <w:szCs w:val="20"/>
        </w:rPr>
      </w:pPr>
    </w:p>
    <w:p w14:paraId="69DAEFEF" w14:textId="77777777" w:rsidR="002F52D7" w:rsidRDefault="002F52D7">
      <w:pPr>
        <w:pBdr>
          <w:top w:val="nil"/>
          <w:left w:val="nil"/>
          <w:bottom w:val="nil"/>
          <w:right w:val="nil"/>
          <w:between w:val="nil"/>
        </w:pBdr>
        <w:spacing w:before="8" w:line="276" w:lineRule="auto"/>
        <w:jc w:val="both"/>
        <w:rPr>
          <w:color w:val="000000"/>
          <w:sz w:val="11"/>
          <w:szCs w:val="11"/>
        </w:rPr>
      </w:pPr>
    </w:p>
    <w:tbl>
      <w:tblPr>
        <w:tblStyle w:val="ad"/>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70A4D2D7" w14:textId="77777777">
        <w:trPr>
          <w:trHeight w:val="469"/>
        </w:trPr>
        <w:tc>
          <w:tcPr>
            <w:tcW w:w="2340" w:type="dxa"/>
          </w:tcPr>
          <w:p w14:paraId="0F33829D" w14:textId="77777777" w:rsidR="002F52D7" w:rsidRDefault="00000000">
            <w:pPr>
              <w:pBdr>
                <w:top w:val="nil"/>
                <w:left w:val="nil"/>
                <w:bottom w:val="nil"/>
                <w:right w:val="nil"/>
                <w:between w:val="nil"/>
              </w:pBdr>
              <w:spacing w:before="98" w:line="276" w:lineRule="auto"/>
              <w:ind w:left="89"/>
              <w:jc w:val="both"/>
              <w:rPr>
                <w:b/>
                <w:color w:val="000000"/>
                <w:sz w:val="24"/>
                <w:szCs w:val="24"/>
              </w:rPr>
            </w:pPr>
            <w:r>
              <w:rPr>
                <w:b/>
                <w:color w:val="000000"/>
                <w:sz w:val="24"/>
                <w:szCs w:val="24"/>
              </w:rPr>
              <w:t>*In Millions</w:t>
            </w:r>
          </w:p>
        </w:tc>
        <w:tc>
          <w:tcPr>
            <w:tcW w:w="2340" w:type="dxa"/>
          </w:tcPr>
          <w:p w14:paraId="46266BE5" w14:textId="77777777" w:rsidR="002F52D7" w:rsidRDefault="00000000">
            <w:pPr>
              <w:pBdr>
                <w:top w:val="nil"/>
                <w:left w:val="nil"/>
                <w:bottom w:val="nil"/>
                <w:right w:val="nil"/>
                <w:between w:val="nil"/>
              </w:pBdr>
              <w:spacing w:before="98" w:line="276" w:lineRule="auto"/>
              <w:ind w:left="89"/>
              <w:jc w:val="both"/>
              <w:rPr>
                <w:b/>
                <w:color w:val="000000"/>
                <w:sz w:val="24"/>
                <w:szCs w:val="24"/>
              </w:rPr>
            </w:pPr>
            <w:r>
              <w:rPr>
                <w:b/>
                <w:color w:val="000000"/>
                <w:sz w:val="24"/>
                <w:szCs w:val="24"/>
              </w:rPr>
              <w:t>Total Debt</w:t>
            </w:r>
          </w:p>
        </w:tc>
        <w:tc>
          <w:tcPr>
            <w:tcW w:w="2340" w:type="dxa"/>
          </w:tcPr>
          <w:p w14:paraId="4B060622" w14:textId="77777777" w:rsidR="002F52D7" w:rsidRDefault="00000000">
            <w:pPr>
              <w:pBdr>
                <w:top w:val="nil"/>
                <w:left w:val="nil"/>
                <w:bottom w:val="nil"/>
                <w:right w:val="nil"/>
                <w:between w:val="nil"/>
              </w:pBdr>
              <w:spacing w:before="98" w:line="276" w:lineRule="auto"/>
              <w:ind w:left="89"/>
              <w:jc w:val="both"/>
              <w:rPr>
                <w:b/>
                <w:color w:val="000000"/>
                <w:sz w:val="24"/>
                <w:szCs w:val="24"/>
              </w:rPr>
            </w:pPr>
            <w:r>
              <w:rPr>
                <w:b/>
                <w:color w:val="000000"/>
                <w:sz w:val="24"/>
                <w:szCs w:val="24"/>
              </w:rPr>
              <w:t>Total Assets</w:t>
            </w:r>
          </w:p>
        </w:tc>
        <w:tc>
          <w:tcPr>
            <w:tcW w:w="2340" w:type="dxa"/>
          </w:tcPr>
          <w:p w14:paraId="41262D4E" w14:textId="77777777" w:rsidR="002F52D7" w:rsidRDefault="00000000">
            <w:pPr>
              <w:pBdr>
                <w:top w:val="nil"/>
                <w:left w:val="nil"/>
                <w:bottom w:val="nil"/>
                <w:right w:val="nil"/>
                <w:between w:val="nil"/>
              </w:pBdr>
              <w:spacing w:before="98" w:line="276" w:lineRule="auto"/>
              <w:ind w:left="89"/>
              <w:jc w:val="both"/>
              <w:rPr>
                <w:b/>
                <w:color w:val="000000"/>
                <w:sz w:val="24"/>
                <w:szCs w:val="24"/>
              </w:rPr>
            </w:pPr>
            <w:r>
              <w:rPr>
                <w:b/>
                <w:color w:val="000000"/>
                <w:sz w:val="24"/>
                <w:szCs w:val="24"/>
              </w:rPr>
              <w:t>Debt to Asset</w:t>
            </w:r>
          </w:p>
        </w:tc>
      </w:tr>
      <w:tr w:rsidR="002F52D7" w14:paraId="59A1A1D2" w14:textId="77777777">
        <w:trPr>
          <w:trHeight w:val="469"/>
        </w:trPr>
        <w:tc>
          <w:tcPr>
            <w:tcW w:w="2340" w:type="dxa"/>
          </w:tcPr>
          <w:p w14:paraId="7E396336" w14:textId="77777777" w:rsidR="002F52D7" w:rsidRDefault="00000000">
            <w:pPr>
              <w:pBdr>
                <w:top w:val="nil"/>
                <w:left w:val="nil"/>
                <w:bottom w:val="nil"/>
                <w:right w:val="nil"/>
                <w:between w:val="nil"/>
              </w:pBdr>
              <w:spacing w:before="99" w:line="276" w:lineRule="auto"/>
              <w:ind w:left="89"/>
              <w:jc w:val="both"/>
              <w:rPr>
                <w:b/>
                <w:color w:val="000000"/>
                <w:sz w:val="24"/>
                <w:szCs w:val="24"/>
              </w:rPr>
            </w:pPr>
            <w:r>
              <w:rPr>
                <w:b/>
                <w:color w:val="000000"/>
                <w:sz w:val="24"/>
                <w:szCs w:val="24"/>
              </w:rPr>
              <w:t>Hilton Worldwide</w:t>
            </w:r>
          </w:p>
        </w:tc>
        <w:tc>
          <w:tcPr>
            <w:tcW w:w="2340" w:type="dxa"/>
          </w:tcPr>
          <w:p w14:paraId="7A9FF80A" w14:textId="77777777" w:rsidR="002F52D7" w:rsidRDefault="00000000">
            <w:pPr>
              <w:pBdr>
                <w:top w:val="nil"/>
                <w:left w:val="nil"/>
                <w:bottom w:val="nil"/>
                <w:right w:val="nil"/>
                <w:between w:val="nil"/>
              </w:pBdr>
              <w:spacing w:before="99" w:line="276" w:lineRule="auto"/>
              <w:ind w:left="89"/>
              <w:jc w:val="both"/>
              <w:rPr>
                <w:color w:val="000000"/>
                <w:sz w:val="24"/>
                <w:szCs w:val="24"/>
              </w:rPr>
            </w:pPr>
            <w:r>
              <w:rPr>
                <w:color w:val="000000"/>
                <w:sz w:val="24"/>
                <w:szCs w:val="24"/>
              </w:rPr>
              <w:t>11,628,000</w:t>
            </w:r>
          </w:p>
        </w:tc>
        <w:tc>
          <w:tcPr>
            <w:tcW w:w="2340" w:type="dxa"/>
          </w:tcPr>
          <w:p w14:paraId="65FB8759" w14:textId="77777777" w:rsidR="002F52D7" w:rsidRDefault="00000000">
            <w:pPr>
              <w:pBdr>
                <w:top w:val="nil"/>
                <w:left w:val="nil"/>
                <w:bottom w:val="nil"/>
                <w:right w:val="nil"/>
                <w:between w:val="nil"/>
              </w:pBdr>
              <w:spacing w:before="99" w:line="276" w:lineRule="auto"/>
              <w:ind w:left="89"/>
              <w:jc w:val="both"/>
              <w:rPr>
                <w:color w:val="000000"/>
                <w:sz w:val="24"/>
                <w:szCs w:val="24"/>
              </w:rPr>
            </w:pPr>
            <w:r>
              <w:rPr>
                <w:color w:val="000000"/>
                <w:sz w:val="24"/>
                <w:szCs w:val="24"/>
              </w:rPr>
              <w:t>16,755,000</w:t>
            </w:r>
          </w:p>
        </w:tc>
        <w:tc>
          <w:tcPr>
            <w:tcW w:w="2340" w:type="dxa"/>
          </w:tcPr>
          <w:p w14:paraId="7D845AF0" w14:textId="77777777" w:rsidR="002F52D7" w:rsidRDefault="00000000">
            <w:pPr>
              <w:pBdr>
                <w:top w:val="nil"/>
                <w:left w:val="nil"/>
                <w:bottom w:val="nil"/>
                <w:right w:val="nil"/>
                <w:between w:val="nil"/>
              </w:pBdr>
              <w:spacing w:before="99" w:line="276" w:lineRule="auto"/>
              <w:ind w:left="89"/>
              <w:jc w:val="both"/>
              <w:rPr>
                <w:color w:val="000000"/>
                <w:sz w:val="24"/>
                <w:szCs w:val="24"/>
              </w:rPr>
            </w:pPr>
            <w:r>
              <w:rPr>
                <w:color w:val="000000"/>
                <w:sz w:val="24"/>
                <w:szCs w:val="24"/>
              </w:rPr>
              <w:t>0.69</w:t>
            </w:r>
          </w:p>
        </w:tc>
      </w:tr>
      <w:tr w:rsidR="002F52D7" w14:paraId="78CE8939" w14:textId="77777777">
        <w:trPr>
          <w:trHeight w:val="750"/>
        </w:trPr>
        <w:tc>
          <w:tcPr>
            <w:tcW w:w="2340" w:type="dxa"/>
          </w:tcPr>
          <w:p w14:paraId="28C9E037" w14:textId="77777777" w:rsidR="002F52D7" w:rsidRDefault="00000000">
            <w:pPr>
              <w:pBdr>
                <w:top w:val="nil"/>
                <w:left w:val="nil"/>
                <w:bottom w:val="nil"/>
                <w:right w:val="nil"/>
                <w:between w:val="nil"/>
              </w:pBdr>
              <w:spacing w:before="100" w:line="276" w:lineRule="auto"/>
              <w:ind w:left="89"/>
              <w:jc w:val="both"/>
              <w:rPr>
                <w:b/>
                <w:color w:val="000000"/>
                <w:sz w:val="24"/>
                <w:szCs w:val="24"/>
              </w:rPr>
            </w:pPr>
            <w:r>
              <w:rPr>
                <w:b/>
                <w:color w:val="000000"/>
                <w:sz w:val="24"/>
                <w:szCs w:val="24"/>
              </w:rPr>
              <w:t>Marriott</w:t>
            </w:r>
          </w:p>
          <w:p w14:paraId="63AB592C"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3F88D9DB" w14:textId="77777777" w:rsidR="002F52D7" w:rsidRDefault="00000000">
            <w:pPr>
              <w:pBdr>
                <w:top w:val="nil"/>
                <w:left w:val="nil"/>
                <w:bottom w:val="nil"/>
                <w:right w:val="nil"/>
                <w:between w:val="nil"/>
              </w:pBdr>
              <w:spacing w:before="100" w:line="276" w:lineRule="auto"/>
              <w:ind w:left="89"/>
              <w:jc w:val="both"/>
              <w:rPr>
                <w:color w:val="000000"/>
                <w:sz w:val="24"/>
                <w:szCs w:val="24"/>
              </w:rPr>
            </w:pPr>
            <w:r>
              <w:rPr>
                <w:color w:val="000000"/>
                <w:sz w:val="24"/>
                <w:szCs w:val="24"/>
              </w:rPr>
              <w:t>11,199,000</w:t>
            </w:r>
          </w:p>
        </w:tc>
        <w:tc>
          <w:tcPr>
            <w:tcW w:w="2340" w:type="dxa"/>
          </w:tcPr>
          <w:p w14:paraId="001A7D7B" w14:textId="77777777" w:rsidR="002F52D7" w:rsidRDefault="00000000">
            <w:pPr>
              <w:pBdr>
                <w:top w:val="nil"/>
                <w:left w:val="nil"/>
                <w:bottom w:val="nil"/>
                <w:right w:val="nil"/>
                <w:between w:val="nil"/>
              </w:pBdr>
              <w:spacing w:before="100" w:line="276" w:lineRule="auto"/>
              <w:ind w:left="89"/>
              <w:jc w:val="both"/>
              <w:rPr>
                <w:color w:val="000000"/>
                <w:sz w:val="24"/>
                <w:szCs w:val="24"/>
              </w:rPr>
            </w:pPr>
            <w:r>
              <w:rPr>
                <w:color w:val="000000"/>
                <w:sz w:val="24"/>
                <w:szCs w:val="24"/>
              </w:rPr>
              <w:t>24,701,000</w:t>
            </w:r>
          </w:p>
        </w:tc>
        <w:tc>
          <w:tcPr>
            <w:tcW w:w="2340" w:type="dxa"/>
          </w:tcPr>
          <w:p w14:paraId="134C7FC6" w14:textId="77777777" w:rsidR="002F52D7" w:rsidRDefault="00000000">
            <w:pPr>
              <w:pBdr>
                <w:top w:val="nil"/>
                <w:left w:val="nil"/>
                <w:bottom w:val="nil"/>
                <w:right w:val="nil"/>
                <w:between w:val="nil"/>
              </w:pBdr>
              <w:spacing w:before="100" w:line="276" w:lineRule="auto"/>
              <w:ind w:left="89"/>
              <w:jc w:val="both"/>
              <w:rPr>
                <w:color w:val="000000"/>
                <w:sz w:val="24"/>
                <w:szCs w:val="24"/>
              </w:rPr>
            </w:pPr>
            <w:r>
              <w:rPr>
                <w:color w:val="000000"/>
                <w:sz w:val="24"/>
                <w:szCs w:val="24"/>
              </w:rPr>
              <w:t>0.05</w:t>
            </w:r>
          </w:p>
        </w:tc>
      </w:tr>
    </w:tbl>
    <w:p w14:paraId="2673440E" w14:textId="77777777" w:rsidR="002F52D7" w:rsidRDefault="002F52D7">
      <w:pPr>
        <w:pBdr>
          <w:top w:val="nil"/>
          <w:left w:val="nil"/>
          <w:bottom w:val="nil"/>
          <w:right w:val="nil"/>
          <w:between w:val="nil"/>
        </w:pBdr>
        <w:spacing w:line="276" w:lineRule="auto"/>
        <w:jc w:val="both"/>
        <w:rPr>
          <w:color w:val="000000"/>
          <w:sz w:val="20"/>
          <w:szCs w:val="20"/>
        </w:rPr>
      </w:pPr>
    </w:p>
    <w:p w14:paraId="2F068BCD" w14:textId="77777777" w:rsidR="002F52D7" w:rsidRDefault="002F52D7">
      <w:pPr>
        <w:pBdr>
          <w:top w:val="nil"/>
          <w:left w:val="nil"/>
          <w:bottom w:val="nil"/>
          <w:right w:val="nil"/>
          <w:between w:val="nil"/>
        </w:pBdr>
        <w:spacing w:before="11" w:line="276" w:lineRule="auto"/>
        <w:jc w:val="both"/>
        <w:rPr>
          <w:color w:val="000000"/>
          <w:sz w:val="19"/>
          <w:szCs w:val="19"/>
        </w:rPr>
      </w:pPr>
    </w:p>
    <w:p w14:paraId="292E1296" w14:textId="77777777" w:rsidR="002F52D7" w:rsidRDefault="00000000">
      <w:pPr>
        <w:pStyle w:val="Titlu1"/>
        <w:numPr>
          <w:ilvl w:val="0"/>
          <w:numId w:val="1"/>
        </w:numPr>
        <w:tabs>
          <w:tab w:val="left" w:pos="899"/>
          <w:tab w:val="left" w:pos="900"/>
        </w:tabs>
        <w:spacing w:before="90" w:line="276" w:lineRule="auto"/>
        <w:ind w:hanging="701"/>
        <w:jc w:val="both"/>
      </w:pPr>
      <w:r>
        <w:t>Asset Utilization</w:t>
      </w:r>
    </w:p>
    <w:p w14:paraId="678BD989" w14:textId="77777777" w:rsidR="002F52D7" w:rsidRDefault="002F52D7">
      <w:pPr>
        <w:pBdr>
          <w:top w:val="nil"/>
          <w:left w:val="nil"/>
          <w:bottom w:val="nil"/>
          <w:right w:val="nil"/>
          <w:between w:val="nil"/>
        </w:pBdr>
        <w:spacing w:line="276" w:lineRule="auto"/>
        <w:jc w:val="both"/>
        <w:rPr>
          <w:b/>
          <w:color w:val="000000"/>
          <w:sz w:val="24"/>
          <w:szCs w:val="24"/>
        </w:rPr>
      </w:pPr>
    </w:p>
    <w:p w14:paraId="7B253CD3" w14:textId="77777777" w:rsidR="002F52D7" w:rsidRDefault="00000000">
      <w:pPr>
        <w:tabs>
          <w:tab w:val="left" w:pos="1620"/>
        </w:tabs>
        <w:spacing w:line="276" w:lineRule="auto"/>
        <w:jc w:val="both"/>
        <w:rPr>
          <w:sz w:val="24"/>
          <w:szCs w:val="24"/>
        </w:rPr>
      </w:pPr>
      <w:r>
        <w:rPr>
          <w:sz w:val="24"/>
          <w:szCs w:val="24"/>
        </w:rPr>
        <w:t>The ratio of a company's total revenue to the total value of all of its assets is known as asset utilization. The abbreviation "NOAT," which stands for "Net Operating Asset Turnover," is used to refer to this efficiency ratio. The NOAT ratio evaluates a company's revenue and asset turnover (Revenue to Asset Turnover). By dividing revenues by average NOA, we can calculate a company's Net Operating Assets Turnover (NOAT) (Net Operating Assets). Operating liabilities are subtracted from Operating Assets to get NOA.</w:t>
      </w:r>
    </w:p>
    <w:p w14:paraId="5E9B659C" w14:textId="77777777" w:rsidR="002F52D7" w:rsidRDefault="002F52D7">
      <w:pPr>
        <w:tabs>
          <w:tab w:val="left" w:pos="1620"/>
        </w:tabs>
        <w:spacing w:line="276" w:lineRule="auto"/>
        <w:jc w:val="both"/>
        <w:rPr>
          <w:sz w:val="24"/>
          <w:szCs w:val="24"/>
        </w:rPr>
      </w:pPr>
    </w:p>
    <w:p w14:paraId="0A95EE5D" w14:textId="77777777" w:rsidR="002F52D7" w:rsidRDefault="002F52D7">
      <w:pPr>
        <w:pBdr>
          <w:top w:val="nil"/>
          <w:left w:val="nil"/>
          <w:bottom w:val="nil"/>
          <w:right w:val="nil"/>
          <w:between w:val="nil"/>
        </w:pBdr>
        <w:tabs>
          <w:tab w:val="left" w:pos="1620"/>
        </w:tabs>
        <w:spacing w:line="276" w:lineRule="auto"/>
        <w:ind w:left="1620"/>
        <w:jc w:val="both"/>
        <w:rPr>
          <w:color w:val="000000"/>
          <w:sz w:val="24"/>
          <w:szCs w:val="24"/>
        </w:rPr>
      </w:pPr>
    </w:p>
    <w:p w14:paraId="34E60D59" w14:textId="77777777" w:rsidR="002F52D7" w:rsidRDefault="00000000">
      <w:pPr>
        <w:pBdr>
          <w:top w:val="nil"/>
          <w:left w:val="nil"/>
          <w:bottom w:val="nil"/>
          <w:right w:val="nil"/>
          <w:between w:val="nil"/>
        </w:pBdr>
        <w:tabs>
          <w:tab w:val="left" w:pos="1620"/>
        </w:tabs>
        <w:spacing w:line="276" w:lineRule="auto"/>
        <w:ind w:left="1620"/>
        <w:jc w:val="both"/>
        <w:rPr>
          <w:b/>
          <w:color w:val="000000"/>
          <w:sz w:val="24"/>
          <w:szCs w:val="24"/>
        </w:rPr>
      </w:pPr>
      <w:r>
        <w:rPr>
          <w:b/>
          <w:color w:val="000000"/>
          <w:sz w:val="24"/>
          <w:szCs w:val="24"/>
        </w:rPr>
        <w:t>NOAT</w:t>
      </w:r>
    </w:p>
    <w:p w14:paraId="789AE592" w14:textId="77777777" w:rsidR="002F52D7" w:rsidRDefault="002F52D7">
      <w:pPr>
        <w:pBdr>
          <w:top w:val="nil"/>
          <w:left w:val="nil"/>
          <w:bottom w:val="nil"/>
          <w:right w:val="nil"/>
          <w:between w:val="nil"/>
        </w:pBdr>
        <w:spacing w:line="276" w:lineRule="auto"/>
        <w:jc w:val="both"/>
        <w:rPr>
          <w:color w:val="000000"/>
          <w:sz w:val="20"/>
          <w:szCs w:val="20"/>
        </w:rPr>
      </w:pPr>
    </w:p>
    <w:p w14:paraId="696614DD" w14:textId="77777777" w:rsidR="002F52D7" w:rsidRDefault="002F52D7">
      <w:pPr>
        <w:pBdr>
          <w:top w:val="nil"/>
          <w:left w:val="nil"/>
          <w:bottom w:val="nil"/>
          <w:right w:val="nil"/>
          <w:between w:val="nil"/>
        </w:pBdr>
        <w:spacing w:line="276" w:lineRule="auto"/>
        <w:jc w:val="both"/>
        <w:rPr>
          <w:color w:val="000000"/>
          <w:sz w:val="20"/>
          <w:szCs w:val="20"/>
        </w:rPr>
      </w:pPr>
    </w:p>
    <w:p w14:paraId="0C3B41D2" w14:textId="77777777" w:rsidR="002F52D7" w:rsidRDefault="002F52D7">
      <w:pPr>
        <w:pBdr>
          <w:top w:val="nil"/>
          <w:left w:val="nil"/>
          <w:bottom w:val="nil"/>
          <w:right w:val="nil"/>
          <w:between w:val="nil"/>
        </w:pBdr>
        <w:spacing w:line="276" w:lineRule="auto"/>
        <w:jc w:val="both"/>
        <w:rPr>
          <w:color w:val="000000"/>
          <w:sz w:val="20"/>
          <w:szCs w:val="20"/>
        </w:rPr>
      </w:pPr>
    </w:p>
    <w:p w14:paraId="5858DF78" w14:textId="77777777" w:rsidR="002F52D7" w:rsidRDefault="002F52D7">
      <w:pPr>
        <w:pBdr>
          <w:top w:val="nil"/>
          <w:left w:val="nil"/>
          <w:bottom w:val="nil"/>
          <w:right w:val="nil"/>
          <w:between w:val="nil"/>
        </w:pBdr>
        <w:spacing w:before="6" w:line="276" w:lineRule="auto"/>
        <w:jc w:val="both"/>
        <w:rPr>
          <w:color w:val="000000"/>
          <w:sz w:val="11"/>
          <w:szCs w:val="11"/>
        </w:rPr>
      </w:pPr>
    </w:p>
    <w:tbl>
      <w:tblPr>
        <w:tblStyle w:val="ae"/>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453EF342" w14:textId="77777777">
        <w:trPr>
          <w:trHeight w:val="470"/>
        </w:trPr>
        <w:tc>
          <w:tcPr>
            <w:tcW w:w="2340" w:type="dxa"/>
          </w:tcPr>
          <w:p w14:paraId="6481D1B0" w14:textId="77777777" w:rsidR="002F52D7" w:rsidRDefault="00000000">
            <w:pPr>
              <w:pBdr>
                <w:top w:val="nil"/>
                <w:left w:val="nil"/>
                <w:bottom w:val="nil"/>
                <w:right w:val="nil"/>
                <w:between w:val="nil"/>
              </w:pBdr>
              <w:spacing w:before="100" w:line="276" w:lineRule="auto"/>
              <w:ind w:left="89"/>
              <w:jc w:val="both"/>
              <w:rPr>
                <w:b/>
                <w:color w:val="000000"/>
                <w:sz w:val="24"/>
                <w:szCs w:val="24"/>
              </w:rPr>
            </w:pPr>
            <w:r>
              <w:rPr>
                <w:b/>
                <w:color w:val="000000"/>
                <w:sz w:val="24"/>
                <w:szCs w:val="24"/>
              </w:rPr>
              <w:t>*In Millions</w:t>
            </w:r>
          </w:p>
        </w:tc>
        <w:tc>
          <w:tcPr>
            <w:tcW w:w="2340" w:type="dxa"/>
          </w:tcPr>
          <w:p w14:paraId="635637A2" w14:textId="77777777" w:rsidR="002F52D7" w:rsidRDefault="00000000">
            <w:pPr>
              <w:pBdr>
                <w:top w:val="nil"/>
                <w:left w:val="nil"/>
                <w:bottom w:val="nil"/>
                <w:right w:val="nil"/>
                <w:between w:val="nil"/>
              </w:pBdr>
              <w:spacing w:before="100" w:line="276" w:lineRule="auto"/>
              <w:ind w:left="89"/>
              <w:jc w:val="both"/>
              <w:rPr>
                <w:b/>
                <w:color w:val="000000"/>
                <w:sz w:val="24"/>
                <w:szCs w:val="24"/>
              </w:rPr>
            </w:pPr>
            <w:r>
              <w:rPr>
                <w:b/>
                <w:color w:val="000000"/>
                <w:sz w:val="24"/>
                <w:szCs w:val="24"/>
              </w:rPr>
              <w:t>Revenues</w:t>
            </w:r>
          </w:p>
        </w:tc>
        <w:tc>
          <w:tcPr>
            <w:tcW w:w="2340" w:type="dxa"/>
          </w:tcPr>
          <w:p w14:paraId="7DA134DD" w14:textId="77777777" w:rsidR="002F52D7" w:rsidRDefault="00000000">
            <w:pPr>
              <w:pBdr>
                <w:top w:val="nil"/>
                <w:left w:val="nil"/>
                <w:bottom w:val="nil"/>
                <w:right w:val="nil"/>
                <w:between w:val="nil"/>
              </w:pBdr>
              <w:spacing w:before="100" w:line="276" w:lineRule="auto"/>
              <w:ind w:left="89"/>
              <w:jc w:val="both"/>
              <w:rPr>
                <w:b/>
                <w:color w:val="000000"/>
                <w:sz w:val="24"/>
                <w:szCs w:val="24"/>
              </w:rPr>
            </w:pPr>
            <w:r>
              <w:rPr>
                <w:b/>
                <w:color w:val="000000"/>
                <w:sz w:val="24"/>
                <w:szCs w:val="24"/>
              </w:rPr>
              <w:t>Average NOA</w:t>
            </w:r>
          </w:p>
        </w:tc>
        <w:tc>
          <w:tcPr>
            <w:tcW w:w="2340" w:type="dxa"/>
          </w:tcPr>
          <w:p w14:paraId="2C75FB85" w14:textId="77777777" w:rsidR="002F52D7" w:rsidRDefault="00000000">
            <w:pPr>
              <w:pBdr>
                <w:top w:val="nil"/>
                <w:left w:val="nil"/>
                <w:bottom w:val="nil"/>
                <w:right w:val="nil"/>
                <w:between w:val="nil"/>
              </w:pBdr>
              <w:spacing w:before="100" w:line="276" w:lineRule="auto"/>
              <w:ind w:left="89"/>
              <w:jc w:val="both"/>
              <w:rPr>
                <w:b/>
                <w:color w:val="000000"/>
                <w:sz w:val="24"/>
                <w:szCs w:val="24"/>
              </w:rPr>
            </w:pPr>
            <w:r>
              <w:rPr>
                <w:b/>
                <w:color w:val="000000"/>
                <w:sz w:val="24"/>
                <w:szCs w:val="24"/>
              </w:rPr>
              <w:t>NOAT</w:t>
            </w:r>
          </w:p>
        </w:tc>
      </w:tr>
      <w:tr w:rsidR="002F52D7" w14:paraId="26928DE7" w14:textId="77777777">
        <w:trPr>
          <w:trHeight w:val="470"/>
        </w:trPr>
        <w:tc>
          <w:tcPr>
            <w:tcW w:w="2340" w:type="dxa"/>
          </w:tcPr>
          <w:p w14:paraId="1B0711EE" w14:textId="77777777" w:rsidR="002F52D7" w:rsidRDefault="00000000">
            <w:pPr>
              <w:pBdr>
                <w:top w:val="nil"/>
                <w:left w:val="nil"/>
                <w:bottom w:val="nil"/>
                <w:right w:val="nil"/>
                <w:between w:val="nil"/>
              </w:pBdr>
              <w:spacing w:before="101" w:line="276" w:lineRule="auto"/>
              <w:ind w:left="89"/>
              <w:jc w:val="both"/>
              <w:rPr>
                <w:b/>
                <w:color w:val="000000"/>
                <w:sz w:val="24"/>
                <w:szCs w:val="24"/>
              </w:rPr>
            </w:pPr>
            <w:r>
              <w:rPr>
                <w:b/>
                <w:color w:val="000000"/>
                <w:sz w:val="24"/>
                <w:szCs w:val="24"/>
              </w:rPr>
              <w:t>Hilton Worldwide</w:t>
            </w:r>
          </w:p>
        </w:tc>
        <w:tc>
          <w:tcPr>
            <w:tcW w:w="2340" w:type="dxa"/>
          </w:tcPr>
          <w:p w14:paraId="7947A0F6" w14:textId="77777777" w:rsidR="002F52D7" w:rsidRDefault="00000000">
            <w:pPr>
              <w:pBdr>
                <w:top w:val="nil"/>
                <w:left w:val="nil"/>
                <w:bottom w:val="nil"/>
                <w:right w:val="nil"/>
                <w:between w:val="nil"/>
              </w:pBdr>
              <w:spacing w:before="101" w:line="276" w:lineRule="auto"/>
              <w:ind w:left="89"/>
              <w:jc w:val="both"/>
              <w:rPr>
                <w:color w:val="000000"/>
                <w:sz w:val="24"/>
                <w:szCs w:val="24"/>
              </w:rPr>
            </w:pPr>
            <w:r>
              <w:rPr>
                <w:color w:val="000000"/>
                <w:sz w:val="24"/>
                <w:szCs w:val="24"/>
              </w:rPr>
              <w:t>5,107,000</w:t>
            </w:r>
          </w:p>
        </w:tc>
        <w:tc>
          <w:tcPr>
            <w:tcW w:w="2340" w:type="dxa"/>
          </w:tcPr>
          <w:p w14:paraId="4BF704D6" w14:textId="77777777" w:rsidR="002F52D7" w:rsidRDefault="00000000">
            <w:pPr>
              <w:pBdr>
                <w:top w:val="nil"/>
                <w:left w:val="nil"/>
                <w:bottom w:val="nil"/>
                <w:right w:val="nil"/>
                <w:between w:val="nil"/>
              </w:pBdr>
              <w:spacing w:before="101" w:line="276" w:lineRule="auto"/>
              <w:ind w:left="89"/>
              <w:jc w:val="both"/>
              <w:rPr>
                <w:color w:val="000000"/>
                <w:sz w:val="24"/>
                <w:szCs w:val="24"/>
              </w:rPr>
            </w:pPr>
            <w:r>
              <w:rPr>
                <w:color w:val="000000"/>
                <w:sz w:val="24"/>
                <w:szCs w:val="24"/>
              </w:rPr>
              <w:t>4,307,000</w:t>
            </w:r>
          </w:p>
        </w:tc>
        <w:tc>
          <w:tcPr>
            <w:tcW w:w="2340" w:type="dxa"/>
          </w:tcPr>
          <w:p w14:paraId="5E816F2A" w14:textId="77777777" w:rsidR="002F52D7" w:rsidRDefault="00000000">
            <w:pPr>
              <w:pBdr>
                <w:top w:val="nil"/>
                <w:left w:val="nil"/>
                <w:bottom w:val="nil"/>
                <w:right w:val="nil"/>
                <w:between w:val="nil"/>
              </w:pBdr>
              <w:spacing w:before="101" w:line="276" w:lineRule="auto"/>
              <w:ind w:left="89"/>
              <w:jc w:val="both"/>
              <w:rPr>
                <w:color w:val="000000"/>
                <w:sz w:val="24"/>
                <w:szCs w:val="24"/>
              </w:rPr>
            </w:pPr>
            <w:r>
              <w:rPr>
                <w:color w:val="000000"/>
                <w:sz w:val="24"/>
                <w:szCs w:val="24"/>
              </w:rPr>
              <w:t>1.18</w:t>
            </w:r>
          </w:p>
        </w:tc>
      </w:tr>
      <w:tr w:rsidR="002F52D7" w14:paraId="2B4E3F74" w14:textId="77777777">
        <w:trPr>
          <w:trHeight w:val="750"/>
        </w:trPr>
        <w:tc>
          <w:tcPr>
            <w:tcW w:w="2340" w:type="dxa"/>
          </w:tcPr>
          <w:p w14:paraId="5F5AA31E" w14:textId="77777777" w:rsidR="002F52D7" w:rsidRDefault="00000000">
            <w:pPr>
              <w:pBdr>
                <w:top w:val="nil"/>
                <w:left w:val="nil"/>
                <w:bottom w:val="nil"/>
                <w:right w:val="nil"/>
                <w:between w:val="nil"/>
              </w:pBdr>
              <w:spacing w:before="102" w:line="276" w:lineRule="auto"/>
              <w:ind w:left="89"/>
              <w:jc w:val="both"/>
              <w:rPr>
                <w:b/>
                <w:color w:val="000000"/>
                <w:sz w:val="24"/>
                <w:szCs w:val="24"/>
              </w:rPr>
            </w:pPr>
            <w:r>
              <w:rPr>
                <w:b/>
                <w:color w:val="000000"/>
                <w:sz w:val="24"/>
                <w:szCs w:val="24"/>
              </w:rPr>
              <w:t>Marriott</w:t>
            </w:r>
          </w:p>
          <w:p w14:paraId="3330ABB0"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6D374717" w14:textId="77777777" w:rsidR="002F52D7" w:rsidRDefault="00000000">
            <w:pPr>
              <w:pBdr>
                <w:top w:val="nil"/>
                <w:left w:val="nil"/>
                <w:bottom w:val="nil"/>
                <w:right w:val="nil"/>
                <w:between w:val="nil"/>
              </w:pBdr>
              <w:spacing w:before="102" w:line="276" w:lineRule="auto"/>
              <w:ind w:left="89"/>
              <w:jc w:val="both"/>
              <w:rPr>
                <w:color w:val="000000"/>
                <w:sz w:val="24"/>
                <w:szCs w:val="24"/>
              </w:rPr>
            </w:pPr>
            <w:r>
              <w:rPr>
                <w:color w:val="000000"/>
                <w:sz w:val="24"/>
                <w:szCs w:val="24"/>
              </w:rPr>
              <w:t>4,121,700</w:t>
            </w:r>
          </w:p>
        </w:tc>
        <w:tc>
          <w:tcPr>
            <w:tcW w:w="2340" w:type="dxa"/>
          </w:tcPr>
          <w:p w14:paraId="7CAF3A7B" w14:textId="77777777" w:rsidR="002F52D7" w:rsidRDefault="00000000">
            <w:pPr>
              <w:pBdr>
                <w:top w:val="nil"/>
                <w:left w:val="nil"/>
                <w:bottom w:val="nil"/>
                <w:right w:val="nil"/>
                <w:between w:val="nil"/>
              </w:pBdr>
              <w:spacing w:before="102" w:line="276" w:lineRule="auto"/>
              <w:ind w:left="89"/>
              <w:jc w:val="both"/>
              <w:rPr>
                <w:color w:val="000000"/>
                <w:sz w:val="24"/>
                <w:szCs w:val="24"/>
              </w:rPr>
            </w:pPr>
            <w:r>
              <w:rPr>
                <w:color w:val="000000"/>
                <w:sz w:val="24"/>
                <w:szCs w:val="24"/>
              </w:rPr>
              <w:t>10,571,000</w:t>
            </w:r>
          </w:p>
        </w:tc>
        <w:tc>
          <w:tcPr>
            <w:tcW w:w="2340" w:type="dxa"/>
          </w:tcPr>
          <w:p w14:paraId="69638E12" w14:textId="77777777" w:rsidR="002F52D7" w:rsidRDefault="00000000">
            <w:pPr>
              <w:pBdr>
                <w:top w:val="nil"/>
                <w:left w:val="nil"/>
                <w:bottom w:val="nil"/>
                <w:right w:val="nil"/>
                <w:between w:val="nil"/>
              </w:pBdr>
              <w:spacing w:before="102" w:line="276" w:lineRule="auto"/>
              <w:ind w:left="89"/>
              <w:jc w:val="both"/>
              <w:rPr>
                <w:color w:val="000000"/>
                <w:sz w:val="24"/>
                <w:szCs w:val="24"/>
              </w:rPr>
            </w:pPr>
            <w:r>
              <w:rPr>
                <w:color w:val="000000"/>
                <w:sz w:val="24"/>
                <w:szCs w:val="24"/>
              </w:rPr>
              <w:t>0.38</w:t>
            </w:r>
          </w:p>
        </w:tc>
      </w:tr>
    </w:tbl>
    <w:p w14:paraId="73E502BB" w14:textId="77777777" w:rsidR="002F52D7" w:rsidRDefault="002F52D7">
      <w:pPr>
        <w:spacing w:line="276" w:lineRule="auto"/>
        <w:jc w:val="both"/>
        <w:rPr>
          <w:sz w:val="24"/>
          <w:szCs w:val="24"/>
        </w:rPr>
        <w:sectPr w:rsidR="002F52D7">
          <w:pgSz w:w="12240" w:h="15840"/>
          <w:pgMar w:top="1360" w:right="1300" w:bottom="280" w:left="1260" w:header="730" w:footer="0" w:gutter="0"/>
          <w:cols w:space="720"/>
        </w:sectPr>
      </w:pPr>
    </w:p>
    <w:p w14:paraId="33A6A59D" w14:textId="77777777" w:rsidR="002F52D7" w:rsidRDefault="00000000">
      <w:pPr>
        <w:pBdr>
          <w:top w:val="nil"/>
          <w:left w:val="nil"/>
          <w:bottom w:val="nil"/>
          <w:right w:val="nil"/>
          <w:between w:val="nil"/>
        </w:pBdr>
        <w:spacing w:before="80" w:line="276" w:lineRule="auto"/>
        <w:ind w:left="180" w:right="310"/>
        <w:jc w:val="both"/>
        <w:rPr>
          <w:color w:val="000000"/>
          <w:sz w:val="24"/>
          <w:szCs w:val="24"/>
        </w:rPr>
      </w:pPr>
      <w:r>
        <w:rPr>
          <w:color w:val="000000"/>
          <w:sz w:val="24"/>
          <w:szCs w:val="24"/>
        </w:rPr>
        <w:lastRenderedPageBreak/>
        <w:t>Hilton in this case has a higher NOAT which means there will be a higher return on their assets when compared to Marriott’s NOAT which is only at 0.38.</w:t>
      </w:r>
    </w:p>
    <w:p w14:paraId="1B2C3E3F" w14:textId="77777777" w:rsidR="002F52D7" w:rsidRDefault="002F52D7">
      <w:pPr>
        <w:pBdr>
          <w:top w:val="nil"/>
          <w:left w:val="nil"/>
          <w:bottom w:val="nil"/>
          <w:right w:val="nil"/>
          <w:between w:val="nil"/>
        </w:pBdr>
        <w:spacing w:line="276" w:lineRule="auto"/>
        <w:jc w:val="both"/>
        <w:rPr>
          <w:color w:val="000000"/>
          <w:sz w:val="26"/>
          <w:szCs w:val="26"/>
        </w:rPr>
      </w:pPr>
    </w:p>
    <w:p w14:paraId="0B5CB1EF" w14:textId="77777777" w:rsidR="002F52D7" w:rsidRDefault="002F52D7">
      <w:pPr>
        <w:pBdr>
          <w:top w:val="nil"/>
          <w:left w:val="nil"/>
          <w:bottom w:val="nil"/>
          <w:right w:val="nil"/>
          <w:between w:val="nil"/>
        </w:pBdr>
        <w:spacing w:before="11" w:line="276" w:lineRule="auto"/>
        <w:jc w:val="both"/>
        <w:rPr>
          <w:color w:val="000000"/>
          <w:sz w:val="21"/>
          <w:szCs w:val="21"/>
        </w:rPr>
      </w:pPr>
    </w:p>
    <w:p w14:paraId="7E22D664" w14:textId="77777777" w:rsidR="002F52D7" w:rsidRDefault="00000000">
      <w:pPr>
        <w:numPr>
          <w:ilvl w:val="1"/>
          <w:numId w:val="1"/>
        </w:numPr>
        <w:pBdr>
          <w:top w:val="nil"/>
          <w:left w:val="nil"/>
          <w:bottom w:val="nil"/>
          <w:right w:val="nil"/>
          <w:between w:val="nil"/>
        </w:pBdr>
        <w:tabs>
          <w:tab w:val="left" w:pos="1620"/>
        </w:tabs>
        <w:spacing w:line="276" w:lineRule="auto"/>
        <w:jc w:val="both"/>
        <w:rPr>
          <w:color w:val="000000"/>
          <w:sz w:val="24"/>
          <w:szCs w:val="24"/>
        </w:rPr>
      </w:pPr>
      <w:r>
        <w:rPr>
          <w:color w:val="000000"/>
          <w:sz w:val="24"/>
          <w:szCs w:val="24"/>
        </w:rPr>
        <w:t>RNOA</w:t>
      </w:r>
    </w:p>
    <w:p w14:paraId="1987BFDA" w14:textId="77777777" w:rsidR="002F52D7" w:rsidRDefault="002F52D7">
      <w:pPr>
        <w:pBdr>
          <w:top w:val="nil"/>
          <w:left w:val="nil"/>
          <w:bottom w:val="nil"/>
          <w:right w:val="nil"/>
          <w:between w:val="nil"/>
        </w:pBdr>
        <w:spacing w:line="276" w:lineRule="auto"/>
        <w:jc w:val="both"/>
        <w:rPr>
          <w:color w:val="000000"/>
          <w:sz w:val="20"/>
          <w:szCs w:val="20"/>
        </w:rPr>
      </w:pPr>
    </w:p>
    <w:p w14:paraId="07D7DC0D" w14:textId="77777777" w:rsidR="002F52D7" w:rsidRDefault="002F52D7">
      <w:pPr>
        <w:pBdr>
          <w:top w:val="nil"/>
          <w:left w:val="nil"/>
          <w:bottom w:val="nil"/>
          <w:right w:val="nil"/>
          <w:between w:val="nil"/>
        </w:pBdr>
        <w:spacing w:line="276" w:lineRule="auto"/>
        <w:jc w:val="both"/>
        <w:rPr>
          <w:color w:val="000000"/>
          <w:sz w:val="20"/>
          <w:szCs w:val="20"/>
        </w:rPr>
      </w:pPr>
    </w:p>
    <w:p w14:paraId="7F2187A1" w14:textId="77777777" w:rsidR="002F52D7" w:rsidRDefault="002F52D7">
      <w:pPr>
        <w:pBdr>
          <w:top w:val="nil"/>
          <w:left w:val="nil"/>
          <w:bottom w:val="nil"/>
          <w:right w:val="nil"/>
          <w:between w:val="nil"/>
        </w:pBdr>
        <w:spacing w:line="276" w:lineRule="auto"/>
        <w:jc w:val="both"/>
        <w:rPr>
          <w:color w:val="000000"/>
          <w:sz w:val="20"/>
          <w:szCs w:val="20"/>
        </w:rPr>
      </w:pPr>
    </w:p>
    <w:p w14:paraId="445D326F" w14:textId="77777777" w:rsidR="002F52D7" w:rsidRDefault="002F52D7">
      <w:pPr>
        <w:pBdr>
          <w:top w:val="nil"/>
          <w:left w:val="nil"/>
          <w:bottom w:val="nil"/>
          <w:right w:val="nil"/>
          <w:between w:val="nil"/>
        </w:pBdr>
        <w:spacing w:before="3" w:line="276" w:lineRule="auto"/>
        <w:jc w:val="both"/>
        <w:rPr>
          <w:color w:val="000000"/>
          <w:sz w:val="10"/>
          <w:szCs w:val="10"/>
        </w:rPr>
      </w:pPr>
    </w:p>
    <w:tbl>
      <w:tblPr>
        <w:tblStyle w:val="af"/>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3195C0D1" w14:textId="77777777">
        <w:trPr>
          <w:trHeight w:val="490"/>
        </w:trPr>
        <w:tc>
          <w:tcPr>
            <w:tcW w:w="2340" w:type="dxa"/>
          </w:tcPr>
          <w:p w14:paraId="4664AB68" w14:textId="77777777" w:rsidR="002F52D7" w:rsidRDefault="002F52D7">
            <w:pPr>
              <w:pBdr>
                <w:top w:val="nil"/>
                <w:left w:val="nil"/>
                <w:bottom w:val="nil"/>
                <w:right w:val="nil"/>
                <w:between w:val="nil"/>
              </w:pBdr>
              <w:spacing w:line="276" w:lineRule="auto"/>
              <w:jc w:val="both"/>
              <w:rPr>
                <w:color w:val="000000"/>
                <w:sz w:val="24"/>
                <w:szCs w:val="24"/>
              </w:rPr>
            </w:pPr>
          </w:p>
        </w:tc>
        <w:tc>
          <w:tcPr>
            <w:tcW w:w="2340" w:type="dxa"/>
          </w:tcPr>
          <w:p w14:paraId="1F10A1E1" w14:textId="77777777" w:rsidR="002F52D7" w:rsidRDefault="00000000">
            <w:pPr>
              <w:pBdr>
                <w:top w:val="nil"/>
                <w:left w:val="nil"/>
                <w:bottom w:val="nil"/>
                <w:right w:val="nil"/>
                <w:between w:val="nil"/>
              </w:pBdr>
              <w:spacing w:before="114" w:line="276" w:lineRule="auto"/>
              <w:ind w:left="89"/>
              <w:jc w:val="both"/>
              <w:rPr>
                <w:b/>
                <w:color w:val="000000"/>
                <w:sz w:val="24"/>
                <w:szCs w:val="24"/>
              </w:rPr>
            </w:pPr>
            <w:r>
              <w:rPr>
                <w:b/>
                <w:color w:val="000000"/>
                <w:sz w:val="24"/>
                <w:szCs w:val="24"/>
              </w:rPr>
              <w:t>NOPAT</w:t>
            </w:r>
          </w:p>
        </w:tc>
        <w:tc>
          <w:tcPr>
            <w:tcW w:w="2340" w:type="dxa"/>
          </w:tcPr>
          <w:p w14:paraId="5C1EFA32" w14:textId="77777777" w:rsidR="002F52D7" w:rsidRDefault="00000000">
            <w:pPr>
              <w:pBdr>
                <w:top w:val="nil"/>
                <w:left w:val="nil"/>
                <w:bottom w:val="nil"/>
                <w:right w:val="nil"/>
                <w:between w:val="nil"/>
              </w:pBdr>
              <w:spacing w:before="114" w:line="276" w:lineRule="auto"/>
              <w:ind w:left="89"/>
              <w:jc w:val="both"/>
              <w:rPr>
                <w:b/>
                <w:color w:val="000000"/>
                <w:sz w:val="24"/>
                <w:szCs w:val="24"/>
              </w:rPr>
            </w:pPr>
            <w:r>
              <w:rPr>
                <w:b/>
                <w:color w:val="000000"/>
                <w:sz w:val="24"/>
                <w:szCs w:val="24"/>
              </w:rPr>
              <w:t>Average NOA</w:t>
            </w:r>
          </w:p>
        </w:tc>
        <w:tc>
          <w:tcPr>
            <w:tcW w:w="2340" w:type="dxa"/>
          </w:tcPr>
          <w:p w14:paraId="2B71389E" w14:textId="77777777" w:rsidR="002F52D7" w:rsidRDefault="00000000">
            <w:pPr>
              <w:pBdr>
                <w:top w:val="nil"/>
                <w:left w:val="nil"/>
                <w:bottom w:val="nil"/>
                <w:right w:val="nil"/>
                <w:between w:val="nil"/>
              </w:pBdr>
              <w:spacing w:before="114" w:line="276" w:lineRule="auto"/>
              <w:ind w:left="89"/>
              <w:jc w:val="both"/>
              <w:rPr>
                <w:b/>
                <w:color w:val="000000"/>
                <w:sz w:val="24"/>
                <w:szCs w:val="24"/>
              </w:rPr>
            </w:pPr>
            <w:r>
              <w:rPr>
                <w:b/>
                <w:color w:val="000000"/>
                <w:sz w:val="24"/>
                <w:szCs w:val="24"/>
              </w:rPr>
              <w:t>RNOA</w:t>
            </w:r>
          </w:p>
        </w:tc>
      </w:tr>
      <w:tr w:rsidR="002F52D7" w14:paraId="3B545077" w14:textId="77777777">
        <w:trPr>
          <w:trHeight w:val="470"/>
        </w:trPr>
        <w:tc>
          <w:tcPr>
            <w:tcW w:w="2340" w:type="dxa"/>
          </w:tcPr>
          <w:p w14:paraId="5912ED56" w14:textId="77777777" w:rsidR="002F52D7" w:rsidRDefault="00000000">
            <w:pPr>
              <w:pBdr>
                <w:top w:val="nil"/>
                <w:left w:val="nil"/>
                <w:bottom w:val="nil"/>
                <w:right w:val="nil"/>
                <w:between w:val="nil"/>
              </w:pBdr>
              <w:spacing w:before="95" w:line="276" w:lineRule="auto"/>
              <w:ind w:left="89"/>
              <w:jc w:val="both"/>
              <w:rPr>
                <w:b/>
                <w:color w:val="000000"/>
                <w:sz w:val="24"/>
                <w:szCs w:val="24"/>
              </w:rPr>
            </w:pPr>
            <w:r>
              <w:rPr>
                <w:b/>
                <w:color w:val="000000"/>
                <w:sz w:val="24"/>
                <w:szCs w:val="24"/>
              </w:rPr>
              <w:t>Hilton Worldwide</w:t>
            </w:r>
          </w:p>
        </w:tc>
        <w:tc>
          <w:tcPr>
            <w:tcW w:w="2340" w:type="dxa"/>
          </w:tcPr>
          <w:p w14:paraId="4627ED29" w14:textId="77777777" w:rsidR="002F52D7" w:rsidRDefault="00000000">
            <w:pPr>
              <w:pBdr>
                <w:top w:val="nil"/>
                <w:left w:val="nil"/>
                <w:bottom w:val="nil"/>
                <w:right w:val="nil"/>
                <w:between w:val="nil"/>
              </w:pBdr>
              <w:spacing w:before="95" w:line="276" w:lineRule="auto"/>
              <w:ind w:left="89"/>
              <w:jc w:val="both"/>
              <w:rPr>
                <w:color w:val="000000"/>
                <w:sz w:val="24"/>
                <w:szCs w:val="24"/>
              </w:rPr>
            </w:pPr>
            <w:r>
              <w:rPr>
                <w:color w:val="000000"/>
                <w:sz w:val="24"/>
                <w:szCs w:val="24"/>
              </w:rPr>
              <w:t>764</w:t>
            </w:r>
          </w:p>
        </w:tc>
        <w:tc>
          <w:tcPr>
            <w:tcW w:w="2340" w:type="dxa"/>
          </w:tcPr>
          <w:p w14:paraId="04C20D79" w14:textId="77777777" w:rsidR="002F52D7" w:rsidRDefault="00000000">
            <w:pPr>
              <w:pBdr>
                <w:top w:val="nil"/>
                <w:left w:val="nil"/>
                <w:bottom w:val="nil"/>
                <w:right w:val="nil"/>
                <w:between w:val="nil"/>
              </w:pBdr>
              <w:spacing w:before="95" w:line="276" w:lineRule="auto"/>
              <w:ind w:left="89"/>
              <w:jc w:val="both"/>
              <w:rPr>
                <w:color w:val="000000"/>
                <w:sz w:val="24"/>
                <w:szCs w:val="24"/>
              </w:rPr>
            </w:pPr>
            <w:r>
              <w:rPr>
                <w:color w:val="000000"/>
                <w:sz w:val="24"/>
                <w:szCs w:val="24"/>
              </w:rPr>
              <w:t>2889</w:t>
            </w:r>
          </w:p>
        </w:tc>
        <w:tc>
          <w:tcPr>
            <w:tcW w:w="2340" w:type="dxa"/>
          </w:tcPr>
          <w:p w14:paraId="238B8AB0" w14:textId="77777777" w:rsidR="002F52D7" w:rsidRDefault="002F52D7">
            <w:pPr>
              <w:pBdr>
                <w:top w:val="nil"/>
                <w:left w:val="nil"/>
                <w:bottom w:val="nil"/>
                <w:right w:val="nil"/>
                <w:between w:val="nil"/>
              </w:pBdr>
              <w:spacing w:line="276" w:lineRule="auto"/>
              <w:jc w:val="both"/>
              <w:rPr>
                <w:color w:val="000000"/>
                <w:sz w:val="24"/>
                <w:szCs w:val="24"/>
              </w:rPr>
            </w:pPr>
          </w:p>
        </w:tc>
      </w:tr>
      <w:tr w:rsidR="002F52D7" w14:paraId="2AC7575C" w14:textId="77777777">
        <w:trPr>
          <w:trHeight w:val="729"/>
        </w:trPr>
        <w:tc>
          <w:tcPr>
            <w:tcW w:w="2340" w:type="dxa"/>
          </w:tcPr>
          <w:p w14:paraId="2C9FA67F" w14:textId="77777777" w:rsidR="002F52D7" w:rsidRDefault="00000000">
            <w:pPr>
              <w:pBdr>
                <w:top w:val="nil"/>
                <w:left w:val="nil"/>
                <w:bottom w:val="nil"/>
                <w:right w:val="nil"/>
                <w:between w:val="nil"/>
              </w:pBdr>
              <w:spacing w:before="96" w:line="276" w:lineRule="auto"/>
              <w:ind w:left="89"/>
              <w:jc w:val="both"/>
              <w:rPr>
                <w:b/>
                <w:color w:val="000000"/>
                <w:sz w:val="24"/>
                <w:szCs w:val="24"/>
              </w:rPr>
            </w:pPr>
            <w:r>
              <w:rPr>
                <w:b/>
                <w:color w:val="000000"/>
                <w:sz w:val="24"/>
                <w:szCs w:val="24"/>
              </w:rPr>
              <w:t>Marriott</w:t>
            </w:r>
          </w:p>
          <w:p w14:paraId="03C311A2"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6D882FDE" w14:textId="77777777" w:rsidR="002F52D7" w:rsidRDefault="00000000">
            <w:pPr>
              <w:pBdr>
                <w:top w:val="nil"/>
                <w:left w:val="nil"/>
                <w:bottom w:val="nil"/>
                <w:right w:val="nil"/>
                <w:between w:val="nil"/>
              </w:pBdr>
              <w:spacing w:before="96" w:line="276" w:lineRule="auto"/>
              <w:ind w:left="89"/>
              <w:jc w:val="both"/>
              <w:rPr>
                <w:color w:val="000000"/>
                <w:sz w:val="24"/>
                <w:szCs w:val="24"/>
              </w:rPr>
            </w:pPr>
            <w:r>
              <w:rPr>
                <w:color w:val="000000"/>
                <w:sz w:val="24"/>
                <w:szCs w:val="24"/>
              </w:rPr>
              <w:t>279</w:t>
            </w:r>
          </w:p>
        </w:tc>
        <w:tc>
          <w:tcPr>
            <w:tcW w:w="2340" w:type="dxa"/>
          </w:tcPr>
          <w:p w14:paraId="1CA14472" w14:textId="77777777" w:rsidR="002F52D7" w:rsidRDefault="00000000">
            <w:pPr>
              <w:pBdr>
                <w:top w:val="nil"/>
                <w:left w:val="nil"/>
                <w:bottom w:val="nil"/>
                <w:right w:val="nil"/>
                <w:between w:val="nil"/>
              </w:pBdr>
              <w:spacing w:before="96" w:line="276" w:lineRule="auto"/>
              <w:ind w:left="89"/>
              <w:jc w:val="both"/>
              <w:rPr>
                <w:color w:val="000000"/>
                <w:sz w:val="24"/>
                <w:szCs w:val="24"/>
              </w:rPr>
            </w:pPr>
            <w:r>
              <w:rPr>
                <w:color w:val="000000"/>
                <w:sz w:val="24"/>
                <w:szCs w:val="24"/>
              </w:rPr>
              <w:t>-661</w:t>
            </w:r>
          </w:p>
        </w:tc>
        <w:tc>
          <w:tcPr>
            <w:tcW w:w="2340" w:type="dxa"/>
          </w:tcPr>
          <w:p w14:paraId="71CB995C" w14:textId="77777777" w:rsidR="002F52D7" w:rsidRDefault="002F52D7">
            <w:pPr>
              <w:pBdr>
                <w:top w:val="nil"/>
                <w:left w:val="nil"/>
                <w:bottom w:val="nil"/>
                <w:right w:val="nil"/>
                <w:between w:val="nil"/>
              </w:pBdr>
              <w:spacing w:line="276" w:lineRule="auto"/>
              <w:jc w:val="both"/>
              <w:rPr>
                <w:color w:val="000000"/>
                <w:sz w:val="24"/>
                <w:szCs w:val="24"/>
              </w:rPr>
            </w:pPr>
          </w:p>
        </w:tc>
      </w:tr>
    </w:tbl>
    <w:p w14:paraId="3C6F1E7E" w14:textId="77777777" w:rsidR="002F52D7" w:rsidRDefault="002F52D7">
      <w:pPr>
        <w:pBdr>
          <w:top w:val="nil"/>
          <w:left w:val="nil"/>
          <w:bottom w:val="nil"/>
          <w:right w:val="nil"/>
          <w:between w:val="nil"/>
        </w:pBdr>
        <w:spacing w:line="276" w:lineRule="auto"/>
        <w:jc w:val="both"/>
        <w:rPr>
          <w:color w:val="000000"/>
          <w:sz w:val="20"/>
          <w:szCs w:val="20"/>
        </w:rPr>
      </w:pPr>
    </w:p>
    <w:p w14:paraId="0DF198D9" w14:textId="77777777" w:rsidR="002F52D7" w:rsidRDefault="002F52D7">
      <w:pPr>
        <w:pBdr>
          <w:top w:val="nil"/>
          <w:left w:val="nil"/>
          <w:bottom w:val="nil"/>
          <w:right w:val="nil"/>
          <w:between w:val="nil"/>
        </w:pBdr>
        <w:spacing w:before="4" w:line="276" w:lineRule="auto"/>
        <w:jc w:val="both"/>
        <w:rPr>
          <w:color w:val="000000"/>
          <w:sz w:val="21"/>
          <w:szCs w:val="21"/>
        </w:rPr>
      </w:pPr>
    </w:p>
    <w:p w14:paraId="088184D8" w14:textId="77777777" w:rsidR="002F52D7" w:rsidRDefault="00000000">
      <w:pPr>
        <w:pStyle w:val="Titlu1"/>
        <w:numPr>
          <w:ilvl w:val="0"/>
          <w:numId w:val="1"/>
        </w:numPr>
        <w:tabs>
          <w:tab w:val="left" w:pos="899"/>
          <w:tab w:val="left" w:pos="900"/>
        </w:tabs>
        <w:spacing w:before="90" w:line="276" w:lineRule="auto"/>
        <w:ind w:hanging="656"/>
        <w:jc w:val="both"/>
      </w:pPr>
      <w:r>
        <w:t>Profitability</w:t>
      </w:r>
    </w:p>
    <w:p w14:paraId="6BD1F4EF" w14:textId="77777777" w:rsidR="002F52D7" w:rsidRDefault="002F52D7">
      <w:pPr>
        <w:pBdr>
          <w:top w:val="nil"/>
          <w:left w:val="nil"/>
          <w:bottom w:val="nil"/>
          <w:right w:val="nil"/>
          <w:between w:val="nil"/>
        </w:pBdr>
        <w:spacing w:line="276" w:lineRule="auto"/>
        <w:jc w:val="both"/>
        <w:rPr>
          <w:b/>
          <w:color w:val="000000"/>
          <w:sz w:val="24"/>
          <w:szCs w:val="24"/>
        </w:rPr>
      </w:pPr>
    </w:p>
    <w:p w14:paraId="70AE63F1" w14:textId="77777777" w:rsidR="002F52D7" w:rsidRDefault="00000000">
      <w:pPr>
        <w:pStyle w:val="Titlu1"/>
        <w:spacing w:line="276" w:lineRule="auto"/>
        <w:ind w:left="0"/>
        <w:jc w:val="both"/>
        <w:rPr>
          <w:b w:val="0"/>
        </w:rPr>
      </w:pPr>
      <w:r>
        <w:rPr>
          <w:b w:val="0"/>
        </w:rPr>
        <w:t xml:space="preserve">The main goal of a business is often to maximize profits. identical to the way the group raises money </w:t>
      </w:r>
      <w:proofErr w:type="gramStart"/>
      <w:r>
        <w:rPr>
          <w:b w:val="0"/>
        </w:rPr>
        <w:t>To</w:t>
      </w:r>
      <w:proofErr w:type="gramEnd"/>
      <w:r>
        <w:rPr>
          <w:b w:val="0"/>
        </w:rPr>
        <w:t xml:space="preserve"> assess a company's financial stability, profit margin, return on net operating assets, and return on equity are used. These ratios could represent an organization's effectiveness and efficiency.</w:t>
      </w:r>
    </w:p>
    <w:p w14:paraId="6D3CFCC6" w14:textId="77777777" w:rsidR="002F52D7" w:rsidRDefault="002F52D7">
      <w:pPr>
        <w:pStyle w:val="Titlu1"/>
        <w:spacing w:line="276" w:lineRule="auto"/>
        <w:ind w:left="4145"/>
        <w:jc w:val="both"/>
        <w:rPr>
          <w:b w:val="0"/>
        </w:rPr>
      </w:pPr>
    </w:p>
    <w:p w14:paraId="57BA2B3E" w14:textId="77777777" w:rsidR="002F52D7" w:rsidRDefault="00000000">
      <w:pPr>
        <w:pStyle w:val="Titlu1"/>
        <w:spacing w:line="276" w:lineRule="auto"/>
        <w:ind w:left="4145"/>
        <w:jc w:val="both"/>
      </w:pPr>
      <w:r>
        <w:t>Profit Margin</w:t>
      </w:r>
    </w:p>
    <w:p w14:paraId="1C19D858" w14:textId="77777777" w:rsidR="002F52D7" w:rsidRDefault="002F52D7">
      <w:pPr>
        <w:pBdr>
          <w:top w:val="nil"/>
          <w:left w:val="nil"/>
          <w:bottom w:val="nil"/>
          <w:right w:val="nil"/>
          <w:between w:val="nil"/>
        </w:pBdr>
        <w:spacing w:before="5" w:after="1" w:line="276" w:lineRule="auto"/>
        <w:jc w:val="both"/>
        <w:rPr>
          <w:b/>
          <w:color w:val="000000"/>
        </w:rPr>
      </w:pPr>
    </w:p>
    <w:tbl>
      <w:tblPr>
        <w:tblStyle w:val="af0"/>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62BD4BE8" w14:textId="77777777">
        <w:trPr>
          <w:trHeight w:val="470"/>
        </w:trPr>
        <w:tc>
          <w:tcPr>
            <w:tcW w:w="2340" w:type="dxa"/>
          </w:tcPr>
          <w:p w14:paraId="268D743F" w14:textId="77777777" w:rsidR="002F52D7" w:rsidRDefault="00000000">
            <w:pPr>
              <w:pBdr>
                <w:top w:val="nil"/>
                <w:left w:val="nil"/>
                <w:bottom w:val="nil"/>
                <w:right w:val="nil"/>
                <w:between w:val="nil"/>
              </w:pBdr>
              <w:spacing w:before="112" w:line="276" w:lineRule="auto"/>
              <w:ind w:left="89"/>
              <w:jc w:val="both"/>
              <w:rPr>
                <w:b/>
                <w:color w:val="000000"/>
                <w:sz w:val="24"/>
                <w:szCs w:val="24"/>
              </w:rPr>
            </w:pPr>
            <w:r>
              <w:rPr>
                <w:b/>
                <w:color w:val="000000"/>
                <w:sz w:val="24"/>
                <w:szCs w:val="24"/>
              </w:rPr>
              <w:t>*In Millions</w:t>
            </w:r>
          </w:p>
        </w:tc>
        <w:tc>
          <w:tcPr>
            <w:tcW w:w="2340" w:type="dxa"/>
          </w:tcPr>
          <w:p w14:paraId="1BB16B48" w14:textId="77777777" w:rsidR="002F52D7" w:rsidRDefault="00000000">
            <w:pPr>
              <w:pBdr>
                <w:top w:val="nil"/>
                <w:left w:val="nil"/>
                <w:bottom w:val="nil"/>
                <w:right w:val="nil"/>
                <w:between w:val="nil"/>
              </w:pBdr>
              <w:spacing w:before="112" w:line="276" w:lineRule="auto"/>
              <w:ind w:left="89"/>
              <w:jc w:val="both"/>
              <w:rPr>
                <w:b/>
                <w:color w:val="000000"/>
                <w:sz w:val="24"/>
                <w:szCs w:val="24"/>
              </w:rPr>
            </w:pPr>
            <w:r>
              <w:rPr>
                <w:b/>
                <w:color w:val="000000"/>
                <w:sz w:val="24"/>
                <w:szCs w:val="24"/>
              </w:rPr>
              <w:t>Gross Profit</w:t>
            </w:r>
          </w:p>
        </w:tc>
        <w:tc>
          <w:tcPr>
            <w:tcW w:w="2340" w:type="dxa"/>
          </w:tcPr>
          <w:p w14:paraId="006D6D32" w14:textId="77777777" w:rsidR="002F52D7" w:rsidRDefault="00000000">
            <w:pPr>
              <w:pBdr>
                <w:top w:val="nil"/>
                <w:left w:val="nil"/>
                <w:bottom w:val="nil"/>
                <w:right w:val="nil"/>
                <w:between w:val="nil"/>
              </w:pBdr>
              <w:spacing w:before="112" w:line="276" w:lineRule="auto"/>
              <w:ind w:left="89"/>
              <w:jc w:val="both"/>
              <w:rPr>
                <w:b/>
                <w:color w:val="000000"/>
                <w:sz w:val="24"/>
                <w:szCs w:val="24"/>
              </w:rPr>
            </w:pPr>
            <w:r>
              <w:rPr>
                <w:b/>
                <w:color w:val="000000"/>
                <w:sz w:val="24"/>
                <w:szCs w:val="24"/>
              </w:rPr>
              <w:t>Total Revenue</w:t>
            </w:r>
          </w:p>
        </w:tc>
        <w:tc>
          <w:tcPr>
            <w:tcW w:w="2340" w:type="dxa"/>
          </w:tcPr>
          <w:p w14:paraId="0102C7F2" w14:textId="77777777" w:rsidR="002F52D7" w:rsidRDefault="00000000">
            <w:pPr>
              <w:pBdr>
                <w:top w:val="nil"/>
                <w:left w:val="nil"/>
                <w:bottom w:val="nil"/>
                <w:right w:val="nil"/>
                <w:between w:val="nil"/>
              </w:pBdr>
              <w:spacing w:before="112" w:line="276" w:lineRule="auto"/>
              <w:ind w:left="89"/>
              <w:jc w:val="both"/>
              <w:rPr>
                <w:b/>
                <w:color w:val="000000"/>
                <w:sz w:val="24"/>
                <w:szCs w:val="24"/>
              </w:rPr>
            </w:pPr>
            <w:r>
              <w:rPr>
                <w:b/>
                <w:color w:val="000000"/>
                <w:sz w:val="24"/>
                <w:szCs w:val="24"/>
              </w:rPr>
              <w:t>Profit Margin</w:t>
            </w:r>
          </w:p>
        </w:tc>
      </w:tr>
      <w:tr w:rsidR="002F52D7" w14:paraId="789A29B1" w14:textId="77777777">
        <w:trPr>
          <w:trHeight w:val="470"/>
        </w:trPr>
        <w:tc>
          <w:tcPr>
            <w:tcW w:w="2340" w:type="dxa"/>
          </w:tcPr>
          <w:p w14:paraId="1315E314" w14:textId="77777777" w:rsidR="002F52D7" w:rsidRDefault="00000000">
            <w:pPr>
              <w:pBdr>
                <w:top w:val="nil"/>
                <w:left w:val="nil"/>
                <w:bottom w:val="nil"/>
                <w:right w:val="nil"/>
                <w:between w:val="nil"/>
              </w:pBdr>
              <w:spacing w:before="113" w:line="276" w:lineRule="auto"/>
              <w:ind w:left="89"/>
              <w:jc w:val="both"/>
              <w:rPr>
                <w:b/>
                <w:color w:val="000000"/>
                <w:sz w:val="24"/>
                <w:szCs w:val="24"/>
              </w:rPr>
            </w:pPr>
            <w:r>
              <w:rPr>
                <w:b/>
                <w:color w:val="000000"/>
                <w:sz w:val="24"/>
                <w:szCs w:val="24"/>
              </w:rPr>
              <w:t>Hilton Worldwide</w:t>
            </w:r>
          </w:p>
        </w:tc>
        <w:tc>
          <w:tcPr>
            <w:tcW w:w="2340" w:type="dxa"/>
          </w:tcPr>
          <w:p w14:paraId="49B52EB0" w14:textId="77777777" w:rsidR="002F52D7" w:rsidRDefault="00000000">
            <w:pPr>
              <w:pBdr>
                <w:top w:val="nil"/>
                <w:left w:val="nil"/>
                <w:bottom w:val="nil"/>
                <w:right w:val="nil"/>
                <w:between w:val="nil"/>
              </w:pBdr>
              <w:spacing w:before="113" w:line="276" w:lineRule="auto"/>
              <w:ind w:left="89"/>
              <w:jc w:val="both"/>
              <w:rPr>
                <w:color w:val="000000"/>
                <w:sz w:val="24"/>
                <w:szCs w:val="24"/>
              </w:rPr>
            </w:pPr>
            <w:r>
              <w:rPr>
                <w:color w:val="000000"/>
                <w:sz w:val="24"/>
                <w:szCs w:val="24"/>
              </w:rPr>
              <w:t>252</w:t>
            </w:r>
          </w:p>
        </w:tc>
        <w:tc>
          <w:tcPr>
            <w:tcW w:w="2340" w:type="dxa"/>
          </w:tcPr>
          <w:p w14:paraId="46CCE729" w14:textId="77777777" w:rsidR="002F52D7" w:rsidRDefault="00000000">
            <w:pPr>
              <w:pBdr>
                <w:top w:val="nil"/>
                <w:left w:val="nil"/>
                <w:bottom w:val="nil"/>
                <w:right w:val="nil"/>
                <w:between w:val="nil"/>
              </w:pBdr>
              <w:spacing w:before="113" w:line="276" w:lineRule="auto"/>
              <w:ind w:left="89"/>
              <w:jc w:val="both"/>
              <w:rPr>
                <w:color w:val="000000"/>
                <w:sz w:val="24"/>
                <w:szCs w:val="24"/>
              </w:rPr>
            </w:pPr>
            <w:r>
              <w:rPr>
                <w:color w:val="000000"/>
                <w:sz w:val="24"/>
                <w:szCs w:val="24"/>
              </w:rPr>
              <w:t>4.336</w:t>
            </w:r>
          </w:p>
        </w:tc>
        <w:tc>
          <w:tcPr>
            <w:tcW w:w="2340" w:type="dxa"/>
          </w:tcPr>
          <w:p w14:paraId="3DCCE5D6" w14:textId="77777777" w:rsidR="002F52D7" w:rsidRDefault="00000000">
            <w:pPr>
              <w:pBdr>
                <w:top w:val="nil"/>
                <w:left w:val="nil"/>
                <w:bottom w:val="nil"/>
                <w:right w:val="nil"/>
                <w:between w:val="nil"/>
              </w:pBdr>
              <w:spacing w:before="113" w:line="276" w:lineRule="auto"/>
              <w:ind w:left="89"/>
              <w:jc w:val="both"/>
              <w:rPr>
                <w:color w:val="000000"/>
                <w:sz w:val="24"/>
                <w:szCs w:val="24"/>
              </w:rPr>
            </w:pPr>
            <w:r>
              <w:rPr>
                <w:color w:val="000000"/>
                <w:sz w:val="24"/>
                <w:szCs w:val="24"/>
              </w:rPr>
              <w:t>5.81</w:t>
            </w:r>
          </w:p>
        </w:tc>
      </w:tr>
      <w:tr w:rsidR="002F52D7" w14:paraId="69521531" w14:textId="77777777">
        <w:trPr>
          <w:trHeight w:val="750"/>
        </w:trPr>
        <w:tc>
          <w:tcPr>
            <w:tcW w:w="2340" w:type="dxa"/>
          </w:tcPr>
          <w:p w14:paraId="4D3E5B2B" w14:textId="77777777" w:rsidR="002F52D7" w:rsidRDefault="00000000">
            <w:pPr>
              <w:pBdr>
                <w:top w:val="nil"/>
                <w:left w:val="nil"/>
                <w:bottom w:val="nil"/>
                <w:right w:val="nil"/>
                <w:between w:val="nil"/>
              </w:pBdr>
              <w:spacing w:before="114" w:line="276" w:lineRule="auto"/>
              <w:ind w:left="89"/>
              <w:jc w:val="both"/>
              <w:rPr>
                <w:b/>
                <w:color w:val="000000"/>
                <w:sz w:val="24"/>
                <w:szCs w:val="24"/>
              </w:rPr>
            </w:pPr>
            <w:r>
              <w:rPr>
                <w:b/>
                <w:color w:val="000000"/>
                <w:sz w:val="24"/>
                <w:szCs w:val="24"/>
              </w:rPr>
              <w:t>Marriott</w:t>
            </w:r>
          </w:p>
          <w:p w14:paraId="6C3C61CD"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6380E5DD" w14:textId="77777777" w:rsidR="002F52D7" w:rsidRDefault="00000000">
            <w:pPr>
              <w:pBdr>
                <w:top w:val="nil"/>
                <w:left w:val="nil"/>
                <w:bottom w:val="nil"/>
                <w:right w:val="nil"/>
                <w:between w:val="nil"/>
              </w:pBdr>
              <w:spacing w:before="114" w:line="276" w:lineRule="auto"/>
              <w:ind w:left="89"/>
              <w:jc w:val="both"/>
              <w:rPr>
                <w:color w:val="000000"/>
                <w:sz w:val="24"/>
                <w:szCs w:val="24"/>
              </w:rPr>
            </w:pPr>
            <w:r>
              <w:rPr>
                <w:color w:val="000000"/>
                <w:sz w:val="24"/>
                <w:szCs w:val="24"/>
              </w:rPr>
              <w:t>1.442</w:t>
            </w:r>
          </w:p>
        </w:tc>
        <w:tc>
          <w:tcPr>
            <w:tcW w:w="2340" w:type="dxa"/>
          </w:tcPr>
          <w:p w14:paraId="62FF3ACE" w14:textId="77777777" w:rsidR="002F52D7" w:rsidRDefault="00000000">
            <w:pPr>
              <w:pBdr>
                <w:top w:val="nil"/>
                <w:left w:val="nil"/>
                <w:bottom w:val="nil"/>
                <w:right w:val="nil"/>
                <w:between w:val="nil"/>
              </w:pBdr>
              <w:spacing w:before="114" w:line="276" w:lineRule="auto"/>
              <w:ind w:left="89"/>
              <w:jc w:val="both"/>
              <w:rPr>
                <w:color w:val="000000"/>
                <w:sz w:val="24"/>
                <w:szCs w:val="24"/>
              </w:rPr>
            </w:pPr>
            <w:r>
              <w:rPr>
                <w:color w:val="000000"/>
                <w:sz w:val="24"/>
                <w:szCs w:val="24"/>
              </w:rPr>
              <w:t>2.119</w:t>
            </w:r>
          </w:p>
        </w:tc>
        <w:tc>
          <w:tcPr>
            <w:tcW w:w="2340" w:type="dxa"/>
          </w:tcPr>
          <w:p w14:paraId="747FE3C6" w14:textId="77777777" w:rsidR="002F52D7" w:rsidRDefault="00000000">
            <w:pPr>
              <w:pBdr>
                <w:top w:val="nil"/>
                <w:left w:val="nil"/>
                <w:bottom w:val="nil"/>
                <w:right w:val="nil"/>
                <w:between w:val="nil"/>
              </w:pBdr>
              <w:spacing w:before="114" w:line="276" w:lineRule="auto"/>
              <w:ind w:left="89"/>
              <w:jc w:val="both"/>
              <w:rPr>
                <w:color w:val="000000"/>
                <w:sz w:val="24"/>
                <w:szCs w:val="24"/>
              </w:rPr>
            </w:pPr>
            <w:r>
              <w:rPr>
                <w:color w:val="000000"/>
                <w:sz w:val="24"/>
                <w:szCs w:val="24"/>
              </w:rPr>
              <w:t>68.1</w:t>
            </w:r>
          </w:p>
        </w:tc>
      </w:tr>
    </w:tbl>
    <w:p w14:paraId="0D03F928" w14:textId="77777777" w:rsidR="002F52D7" w:rsidRDefault="002F52D7">
      <w:pPr>
        <w:pBdr>
          <w:top w:val="nil"/>
          <w:left w:val="nil"/>
          <w:bottom w:val="nil"/>
          <w:right w:val="nil"/>
          <w:between w:val="nil"/>
        </w:pBdr>
        <w:spacing w:line="276" w:lineRule="auto"/>
        <w:jc w:val="both"/>
        <w:rPr>
          <w:b/>
          <w:color w:val="000000"/>
          <w:sz w:val="26"/>
          <w:szCs w:val="26"/>
        </w:rPr>
      </w:pPr>
    </w:p>
    <w:p w14:paraId="6C7A2CC6" w14:textId="77777777" w:rsidR="002F52D7" w:rsidRDefault="002F52D7">
      <w:pPr>
        <w:pBdr>
          <w:top w:val="nil"/>
          <w:left w:val="nil"/>
          <w:bottom w:val="nil"/>
          <w:right w:val="nil"/>
          <w:between w:val="nil"/>
        </w:pBdr>
        <w:spacing w:before="11" w:line="276" w:lineRule="auto"/>
        <w:jc w:val="both"/>
        <w:rPr>
          <w:b/>
          <w:color w:val="000000"/>
        </w:rPr>
      </w:pPr>
    </w:p>
    <w:p w14:paraId="26149F71" w14:textId="77777777" w:rsidR="002F52D7" w:rsidRDefault="00000000">
      <w:pPr>
        <w:pBdr>
          <w:top w:val="nil"/>
          <w:left w:val="nil"/>
          <w:bottom w:val="nil"/>
          <w:right w:val="nil"/>
          <w:between w:val="nil"/>
        </w:pBdr>
        <w:spacing w:line="276" w:lineRule="auto"/>
        <w:ind w:left="180" w:right="395"/>
        <w:jc w:val="both"/>
        <w:rPr>
          <w:color w:val="000000"/>
          <w:sz w:val="24"/>
          <w:szCs w:val="24"/>
        </w:rPr>
        <w:sectPr w:rsidR="002F52D7">
          <w:pgSz w:w="12240" w:h="15840"/>
          <w:pgMar w:top="1360" w:right="1300" w:bottom="280" w:left="1260" w:header="730" w:footer="0" w:gutter="0"/>
          <w:cols w:space="720"/>
        </w:sectPr>
      </w:pPr>
      <w:r>
        <w:rPr>
          <w:color w:val="000000"/>
          <w:sz w:val="24"/>
          <w:szCs w:val="24"/>
        </w:rPr>
        <w:t>Profit margin is determined by dividing the net income by sales. It reflects the profit in each dollar of sales. It is influenced by both gross profit on sales and overhead expenses.</w:t>
      </w:r>
    </w:p>
    <w:p w14:paraId="0035811B" w14:textId="77777777" w:rsidR="002F52D7" w:rsidRDefault="002F52D7">
      <w:pPr>
        <w:pBdr>
          <w:top w:val="nil"/>
          <w:left w:val="nil"/>
          <w:bottom w:val="nil"/>
          <w:right w:val="nil"/>
          <w:between w:val="nil"/>
        </w:pBdr>
        <w:spacing w:line="276" w:lineRule="auto"/>
        <w:jc w:val="both"/>
        <w:rPr>
          <w:color w:val="000000"/>
          <w:sz w:val="20"/>
          <w:szCs w:val="20"/>
        </w:rPr>
      </w:pPr>
    </w:p>
    <w:p w14:paraId="1FA68E20" w14:textId="77777777" w:rsidR="002F52D7" w:rsidRDefault="002F52D7">
      <w:pPr>
        <w:pBdr>
          <w:top w:val="nil"/>
          <w:left w:val="nil"/>
          <w:bottom w:val="nil"/>
          <w:right w:val="nil"/>
          <w:between w:val="nil"/>
        </w:pBdr>
        <w:spacing w:before="1" w:line="276" w:lineRule="auto"/>
        <w:jc w:val="both"/>
        <w:rPr>
          <w:color w:val="000000"/>
          <w:sz w:val="27"/>
          <w:szCs w:val="27"/>
        </w:rPr>
      </w:pPr>
    </w:p>
    <w:p w14:paraId="53A726A2" w14:textId="77777777" w:rsidR="002F52D7" w:rsidRDefault="00000000">
      <w:pPr>
        <w:numPr>
          <w:ilvl w:val="1"/>
          <w:numId w:val="1"/>
        </w:numPr>
        <w:pBdr>
          <w:top w:val="nil"/>
          <w:left w:val="nil"/>
          <w:bottom w:val="nil"/>
          <w:right w:val="nil"/>
          <w:between w:val="nil"/>
        </w:pBdr>
        <w:tabs>
          <w:tab w:val="left" w:pos="1620"/>
        </w:tabs>
        <w:spacing w:before="90" w:line="276" w:lineRule="auto"/>
        <w:jc w:val="both"/>
        <w:rPr>
          <w:color w:val="000000"/>
          <w:sz w:val="24"/>
          <w:szCs w:val="24"/>
        </w:rPr>
      </w:pPr>
      <w:r>
        <w:rPr>
          <w:color w:val="000000"/>
          <w:sz w:val="24"/>
          <w:szCs w:val="24"/>
        </w:rPr>
        <w:t>ROE</w:t>
      </w:r>
    </w:p>
    <w:p w14:paraId="4E82083E" w14:textId="77777777" w:rsidR="002F52D7" w:rsidRDefault="002F52D7">
      <w:pPr>
        <w:pBdr>
          <w:top w:val="nil"/>
          <w:left w:val="nil"/>
          <w:bottom w:val="nil"/>
          <w:right w:val="nil"/>
          <w:between w:val="nil"/>
        </w:pBdr>
        <w:spacing w:before="7" w:after="1" w:line="276" w:lineRule="auto"/>
        <w:jc w:val="both"/>
        <w:rPr>
          <w:color w:val="000000"/>
          <w:sz w:val="23"/>
          <w:szCs w:val="23"/>
        </w:rPr>
      </w:pPr>
    </w:p>
    <w:tbl>
      <w:tblPr>
        <w:tblStyle w:val="af1"/>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7101DDBE" w14:textId="77777777">
        <w:trPr>
          <w:trHeight w:val="1010"/>
        </w:trPr>
        <w:tc>
          <w:tcPr>
            <w:tcW w:w="2340" w:type="dxa"/>
          </w:tcPr>
          <w:p w14:paraId="6D8301DF" w14:textId="77777777" w:rsidR="002F52D7" w:rsidRDefault="00000000">
            <w:pPr>
              <w:pBdr>
                <w:top w:val="nil"/>
                <w:left w:val="nil"/>
                <w:bottom w:val="nil"/>
                <w:right w:val="nil"/>
                <w:between w:val="nil"/>
              </w:pBdr>
              <w:spacing w:before="99" w:line="276" w:lineRule="auto"/>
              <w:ind w:left="89"/>
              <w:jc w:val="both"/>
              <w:rPr>
                <w:b/>
                <w:color w:val="000000"/>
                <w:sz w:val="24"/>
                <w:szCs w:val="24"/>
              </w:rPr>
            </w:pPr>
            <w:r>
              <w:rPr>
                <w:b/>
                <w:color w:val="000000"/>
                <w:sz w:val="24"/>
                <w:szCs w:val="24"/>
              </w:rPr>
              <w:t>*In Millions</w:t>
            </w:r>
          </w:p>
        </w:tc>
        <w:tc>
          <w:tcPr>
            <w:tcW w:w="2340" w:type="dxa"/>
          </w:tcPr>
          <w:p w14:paraId="55EBAF90" w14:textId="77777777" w:rsidR="002F52D7" w:rsidRDefault="00000000">
            <w:pPr>
              <w:pBdr>
                <w:top w:val="nil"/>
                <w:left w:val="nil"/>
                <w:bottom w:val="nil"/>
                <w:right w:val="nil"/>
                <w:between w:val="nil"/>
              </w:pBdr>
              <w:spacing w:before="99" w:line="276" w:lineRule="auto"/>
              <w:ind w:left="89"/>
              <w:jc w:val="both"/>
              <w:rPr>
                <w:b/>
                <w:color w:val="000000"/>
                <w:sz w:val="24"/>
                <w:szCs w:val="24"/>
              </w:rPr>
            </w:pPr>
            <w:r>
              <w:rPr>
                <w:b/>
                <w:color w:val="000000"/>
                <w:sz w:val="24"/>
                <w:szCs w:val="24"/>
              </w:rPr>
              <w:t>Net Income</w:t>
            </w:r>
          </w:p>
        </w:tc>
        <w:tc>
          <w:tcPr>
            <w:tcW w:w="2340" w:type="dxa"/>
          </w:tcPr>
          <w:p w14:paraId="4DBB025A" w14:textId="77777777" w:rsidR="002F52D7" w:rsidRDefault="00000000">
            <w:pPr>
              <w:pBdr>
                <w:top w:val="nil"/>
                <w:left w:val="nil"/>
                <w:bottom w:val="nil"/>
                <w:right w:val="nil"/>
                <w:between w:val="nil"/>
              </w:pBdr>
              <w:spacing w:before="99" w:line="276" w:lineRule="auto"/>
              <w:ind w:left="89" w:right="800"/>
              <w:jc w:val="both"/>
              <w:rPr>
                <w:b/>
                <w:color w:val="000000"/>
                <w:sz w:val="24"/>
                <w:szCs w:val="24"/>
              </w:rPr>
            </w:pPr>
            <w:r>
              <w:rPr>
                <w:b/>
                <w:color w:val="000000"/>
                <w:sz w:val="24"/>
                <w:szCs w:val="24"/>
              </w:rPr>
              <w:t>Average Stockholder’s Equity</w:t>
            </w:r>
          </w:p>
        </w:tc>
        <w:tc>
          <w:tcPr>
            <w:tcW w:w="2340" w:type="dxa"/>
          </w:tcPr>
          <w:p w14:paraId="1A5604C6" w14:textId="77777777" w:rsidR="002F52D7" w:rsidRDefault="00000000">
            <w:pPr>
              <w:pBdr>
                <w:top w:val="nil"/>
                <w:left w:val="nil"/>
                <w:bottom w:val="nil"/>
                <w:right w:val="nil"/>
                <w:between w:val="nil"/>
              </w:pBdr>
              <w:spacing w:before="99" w:line="276" w:lineRule="auto"/>
              <w:ind w:left="89"/>
              <w:jc w:val="both"/>
              <w:rPr>
                <w:b/>
                <w:color w:val="000000"/>
                <w:sz w:val="24"/>
                <w:szCs w:val="24"/>
              </w:rPr>
            </w:pPr>
            <w:r>
              <w:rPr>
                <w:b/>
                <w:color w:val="000000"/>
                <w:sz w:val="24"/>
                <w:szCs w:val="24"/>
              </w:rPr>
              <w:t>Return on Equity</w:t>
            </w:r>
          </w:p>
        </w:tc>
      </w:tr>
      <w:tr w:rsidR="002F52D7" w14:paraId="61638743" w14:textId="77777777">
        <w:trPr>
          <w:trHeight w:val="469"/>
        </w:trPr>
        <w:tc>
          <w:tcPr>
            <w:tcW w:w="2340" w:type="dxa"/>
          </w:tcPr>
          <w:p w14:paraId="6FA4BC9B" w14:textId="77777777" w:rsidR="002F52D7" w:rsidRDefault="00000000">
            <w:pPr>
              <w:pBdr>
                <w:top w:val="nil"/>
                <w:left w:val="nil"/>
                <w:bottom w:val="nil"/>
                <w:right w:val="nil"/>
                <w:between w:val="nil"/>
              </w:pBdr>
              <w:spacing w:before="112" w:line="276" w:lineRule="auto"/>
              <w:ind w:left="89"/>
              <w:jc w:val="both"/>
              <w:rPr>
                <w:b/>
                <w:color w:val="000000"/>
                <w:sz w:val="24"/>
                <w:szCs w:val="24"/>
              </w:rPr>
            </w:pPr>
            <w:r>
              <w:rPr>
                <w:b/>
                <w:color w:val="000000"/>
                <w:sz w:val="24"/>
                <w:szCs w:val="24"/>
              </w:rPr>
              <w:t>Hilton Worldwide</w:t>
            </w:r>
          </w:p>
        </w:tc>
        <w:tc>
          <w:tcPr>
            <w:tcW w:w="2340" w:type="dxa"/>
          </w:tcPr>
          <w:p w14:paraId="1DE46672" w14:textId="77777777" w:rsidR="002F52D7" w:rsidRDefault="00000000">
            <w:pPr>
              <w:pBdr>
                <w:top w:val="nil"/>
                <w:left w:val="nil"/>
                <w:bottom w:val="nil"/>
                <w:right w:val="nil"/>
                <w:between w:val="nil"/>
              </w:pBdr>
              <w:spacing w:before="112" w:line="276" w:lineRule="auto"/>
              <w:ind w:left="89"/>
              <w:jc w:val="both"/>
              <w:rPr>
                <w:color w:val="000000"/>
                <w:sz w:val="24"/>
                <w:szCs w:val="24"/>
              </w:rPr>
            </w:pPr>
            <w:r>
              <w:rPr>
                <w:color w:val="000000"/>
                <w:sz w:val="24"/>
                <w:szCs w:val="24"/>
              </w:rPr>
              <w:t>764</w:t>
            </w:r>
          </w:p>
        </w:tc>
        <w:tc>
          <w:tcPr>
            <w:tcW w:w="2340" w:type="dxa"/>
          </w:tcPr>
          <w:p w14:paraId="5E3AD8B0" w14:textId="77777777" w:rsidR="002F52D7" w:rsidRDefault="00000000">
            <w:pPr>
              <w:pBdr>
                <w:top w:val="nil"/>
                <w:left w:val="nil"/>
                <w:bottom w:val="nil"/>
                <w:right w:val="nil"/>
                <w:between w:val="nil"/>
              </w:pBdr>
              <w:spacing w:before="112" w:line="276" w:lineRule="auto"/>
              <w:ind w:left="89"/>
              <w:jc w:val="both"/>
              <w:rPr>
                <w:color w:val="000000"/>
                <w:sz w:val="24"/>
                <w:szCs w:val="24"/>
              </w:rPr>
            </w:pPr>
            <w:r>
              <w:rPr>
                <w:color w:val="000000"/>
                <w:sz w:val="24"/>
                <w:szCs w:val="24"/>
              </w:rPr>
              <w:t>-1.49</w:t>
            </w:r>
          </w:p>
        </w:tc>
        <w:tc>
          <w:tcPr>
            <w:tcW w:w="2340" w:type="dxa"/>
          </w:tcPr>
          <w:p w14:paraId="1297B766" w14:textId="77777777" w:rsidR="002F52D7" w:rsidRDefault="00000000">
            <w:pPr>
              <w:pBdr>
                <w:top w:val="nil"/>
                <w:left w:val="nil"/>
                <w:bottom w:val="nil"/>
                <w:right w:val="nil"/>
                <w:between w:val="nil"/>
              </w:pBdr>
              <w:spacing w:before="112" w:line="276" w:lineRule="auto"/>
              <w:ind w:left="89"/>
              <w:jc w:val="both"/>
              <w:rPr>
                <w:color w:val="000000"/>
                <w:sz w:val="24"/>
                <w:szCs w:val="24"/>
              </w:rPr>
            </w:pPr>
            <w:r>
              <w:rPr>
                <w:color w:val="000000"/>
                <w:sz w:val="24"/>
                <w:szCs w:val="24"/>
              </w:rPr>
              <w:t>-0.51</w:t>
            </w:r>
          </w:p>
        </w:tc>
      </w:tr>
      <w:tr w:rsidR="002F52D7" w14:paraId="7055D4F6" w14:textId="77777777">
        <w:trPr>
          <w:trHeight w:val="750"/>
        </w:trPr>
        <w:tc>
          <w:tcPr>
            <w:tcW w:w="2340" w:type="dxa"/>
          </w:tcPr>
          <w:p w14:paraId="424912EB" w14:textId="77777777" w:rsidR="002F52D7" w:rsidRDefault="00000000">
            <w:pPr>
              <w:pBdr>
                <w:top w:val="nil"/>
                <w:left w:val="nil"/>
                <w:bottom w:val="nil"/>
                <w:right w:val="nil"/>
                <w:between w:val="nil"/>
              </w:pBdr>
              <w:spacing w:before="113" w:line="276" w:lineRule="auto"/>
              <w:ind w:left="89"/>
              <w:jc w:val="both"/>
              <w:rPr>
                <w:b/>
                <w:color w:val="000000"/>
                <w:sz w:val="24"/>
                <w:szCs w:val="24"/>
              </w:rPr>
            </w:pPr>
            <w:r>
              <w:rPr>
                <w:b/>
                <w:color w:val="000000"/>
                <w:sz w:val="24"/>
                <w:szCs w:val="24"/>
              </w:rPr>
              <w:t>Marriott</w:t>
            </w:r>
          </w:p>
          <w:p w14:paraId="0867ABB3"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0C329BD7" w14:textId="77777777" w:rsidR="002F52D7" w:rsidRDefault="00000000">
            <w:pPr>
              <w:pBdr>
                <w:top w:val="nil"/>
                <w:left w:val="nil"/>
                <w:bottom w:val="nil"/>
                <w:right w:val="nil"/>
                <w:between w:val="nil"/>
              </w:pBdr>
              <w:spacing w:before="113" w:line="276" w:lineRule="auto"/>
              <w:ind w:left="89"/>
              <w:jc w:val="both"/>
              <w:rPr>
                <w:color w:val="000000"/>
                <w:sz w:val="24"/>
                <w:szCs w:val="24"/>
              </w:rPr>
            </w:pPr>
            <w:r>
              <w:rPr>
                <w:color w:val="000000"/>
                <w:sz w:val="24"/>
                <w:szCs w:val="24"/>
              </w:rPr>
              <w:t>279</w:t>
            </w:r>
          </w:p>
        </w:tc>
        <w:tc>
          <w:tcPr>
            <w:tcW w:w="2340" w:type="dxa"/>
          </w:tcPr>
          <w:p w14:paraId="0C914839" w14:textId="77777777" w:rsidR="002F52D7" w:rsidRDefault="00000000">
            <w:pPr>
              <w:pBdr>
                <w:top w:val="nil"/>
                <w:left w:val="nil"/>
                <w:bottom w:val="nil"/>
                <w:right w:val="nil"/>
                <w:between w:val="nil"/>
              </w:pBdr>
              <w:spacing w:before="113" w:line="276" w:lineRule="auto"/>
              <w:ind w:left="89"/>
              <w:jc w:val="both"/>
              <w:rPr>
                <w:color w:val="000000"/>
                <w:sz w:val="24"/>
                <w:szCs w:val="24"/>
              </w:rPr>
            </w:pPr>
            <w:r>
              <w:rPr>
                <w:color w:val="000000"/>
                <w:sz w:val="24"/>
                <w:szCs w:val="24"/>
              </w:rPr>
              <w:t>430</w:t>
            </w:r>
          </w:p>
        </w:tc>
        <w:tc>
          <w:tcPr>
            <w:tcW w:w="2340" w:type="dxa"/>
          </w:tcPr>
          <w:p w14:paraId="3C8C6044" w14:textId="77777777" w:rsidR="002F52D7" w:rsidRDefault="00000000">
            <w:pPr>
              <w:pBdr>
                <w:top w:val="nil"/>
                <w:left w:val="nil"/>
                <w:bottom w:val="nil"/>
                <w:right w:val="nil"/>
                <w:between w:val="nil"/>
              </w:pBdr>
              <w:spacing w:before="113" w:line="276" w:lineRule="auto"/>
              <w:ind w:left="89"/>
              <w:jc w:val="both"/>
              <w:rPr>
                <w:color w:val="000000"/>
                <w:sz w:val="24"/>
                <w:szCs w:val="24"/>
              </w:rPr>
            </w:pPr>
            <w:r>
              <w:rPr>
                <w:color w:val="000000"/>
                <w:sz w:val="24"/>
                <w:szCs w:val="24"/>
              </w:rPr>
              <w:t>0.64</w:t>
            </w:r>
          </w:p>
        </w:tc>
      </w:tr>
    </w:tbl>
    <w:p w14:paraId="27D7CD6A" w14:textId="77777777" w:rsidR="002F52D7" w:rsidRDefault="002F52D7">
      <w:pPr>
        <w:pBdr>
          <w:top w:val="nil"/>
          <w:left w:val="nil"/>
          <w:bottom w:val="nil"/>
          <w:right w:val="nil"/>
          <w:between w:val="nil"/>
        </w:pBdr>
        <w:spacing w:line="276" w:lineRule="auto"/>
        <w:jc w:val="both"/>
        <w:rPr>
          <w:color w:val="000000"/>
          <w:sz w:val="26"/>
          <w:szCs w:val="26"/>
        </w:rPr>
      </w:pPr>
    </w:p>
    <w:p w14:paraId="1CF032A7" w14:textId="77777777" w:rsidR="002F52D7" w:rsidRDefault="002F52D7">
      <w:pPr>
        <w:pBdr>
          <w:top w:val="nil"/>
          <w:left w:val="nil"/>
          <w:bottom w:val="nil"/>
          <w:right w:val="nil"/>
          <w:between w:val="nil"/>
        </w:pBdr>
        <w:spacing w:before="9" w:line="276" w:lineRule="auto"/>
        <w:jc w:val="both"/>
        <w:rPr>
          <w:color w:val="000000"/>
        </w:rPr>
      </w:pPr>
    </w:p>
    <w:p w14:paraId="45D3EDA9" w14:textId="77777777" w:rsidR="002F52D7" w:rsidRDefault="00000000">
      <w:pPr>
        <w:pBdr>
          <w:top w:val="nil"/>
          <w:left w:val="nil"/>
          <w:bottom w:val="nil"/>
          <w:right w:val="nil"/>
          <w:between w:val="nil"/>
        </w:pBdr>
        <w:spacing w:line="276" w:lineRule="auto"/>
        <w:ind w:left="180" w:right="395"/>
        <w:jc w:val="both"/>
        <w:rPr>
          <w:color w:val="000000"/>
          <w:sz w:val="24"/>
          <w:szCs w:val="24"/>
        </w:rPr>
      </w:pPr>
      <w:r>
        <w:rPr>
          <w:color w:val="000000"/>
          <w:sz w:val="24"/>
          <w:szCs w:val="24"/>
        </w:rPr>
        <w:t>Marriott International has a higher ROE which shows that their profit is at a higher rate of growth when compared to Hilton.</w:t>
      </w:r>
    </w:p>
    <w:p w14:paraId="6E5140B0" w14:textId="77777777" w:rsidR="002F52D7" w:rsidRDefault="002F52D7">
      <w:pPr>
        <w:pBdr>
          <w:top w:val="nil"/>
          <w:left w:val="nil"/>
          <w:bottom w:val="nil"/>
          <w:right w:val="nil"/>
          <w:between w:val="nil"/>
        </w:pBdr>
        <w:spacing w:line="276" w:lineRule="auto"/>
        <w:jc w:val="both"/>
        <w:rPr>
          <w:color w:val="000000"/>
          <w:sz w:val="26"/>
          <w:szCs w:val="26"/>
        </w:rPr>
      </w:pPr>
    </w:p>
    <w:p w14:paraId="3E2B870A" w14:textId="77777777" w:rsidR="002F52D7" w:rsidRDefault="002F52D7">
      <w:pPr>
        <w:pBdr>
          <w:top w:val="nil"/>
          <w:left w:val="nil"/>
          <w:bottom w:val="nil"/>
          <w:right w:val="nil"/>
          <w:between w:val="nil"/>
        </w:pBdr>
        <w:spacing w:line="276" w:lineRule="auto"/>
        <w:jc w:val="both"/>
        <w:rPr>
          <w:color w:val="000000"/>
        </w:rPr>
      </w:pPr>
    </w:p>
    <w:p w14:paraId="26E86213" w14:textId="77777777" w:rsidR="002F52D7" w:rsidRDefault="00000000">
      <w:pPr>
        <w:pStyle w:val="Titlu1"/>
        <w:numPr>
          <w:ilvl w:val="0"/>
          <w:numId w:val="1"/>
        </w:numPr>
        <w:tabs>
          <w:tab w:val="left" w:pos="899"/>
          <w:tab w:val="left" w:pos="900"/>
        </w:tabs>
        <w:spacing w:line="276" w:lineRule="auto"/>
        <w:ind w:hanging="563"/>
        <w:jc w:val="both"/>
      </w:pPr>
      <w:r>
        <w:t>Equity Valuation</w:t>
      </w:r>
    </w:p>
    <w:p w14:paraId="3C074BC5" w14:textId="77777777" w:rsidR="002F52D7" w:rsidRDefault="002F52D7">
      <w:pPr>
        <w:pBdr>
          <w:top w:val="nil"/>
          <w:left w:val="nil"/>
          <w:bottom w:val="nil"/>
          <w:right w:val="nil"/>
          <w:between w:val="nil"/>
        </w:pBdr>
        <w:spacing w:line="276" w:lineRule="auto"/>
        <w:jc w:val="both"/>
        <w:rPr>
          <w:b/>
          <w:color w:val="000000"/>
          <w:sz w:val="24"/>
          <w:szCs w:val="24"/>
        </w:rPr>
      </w:pPr>
    </w:p>
    <w:p w14:paraId="7EF2885F" w14:textId="77777777" w:rsidR="002F52D7" w:rsidRDefault="00000000">
      <w:pPr>
        <w:pBdr>
          <w:top w:val="nil"/>
          <w:left w:val="nil"/>
          <w:bottom w:val="nil"/>
          <w:right w:val="nil"/>
          <w:between w:val="nil"/>
        </w:pBdr>
        <w:spacing w:line="276" w:lineRule="auto"/>
        <w:jc w:val="both"/>
        <w:rPr>
          <w:color w:val="000000"/>
          <w:sz w:val="24"/>
          <w:szCs w:val="24"/>
        </w:rPr>
      </w:pPr>
      <w:r>
        <w:rPr>
          <w:color w:val="000000"/>
          <w:sz w:val="24"/>
          <w:szCs w:val="24"/>
        </w:rPr>
        <w:t>To ascertain a company's "intrinsic value," which accounts for the value of both its operations and its assets, equity valuation procedures are used. Both the discounted cash flow (DCF) model and the residual operating income (ROPI) model can be used to value an equity. These two individuals are viewed as "models."</w:t>
      </w:r>
    </w:p>
    <w:p w14:paraId="3966B37A" w14:textId="77777777" w:rsidR="002F52D7" w:rsidRDefault="00000000">
      <w:pPr>
        <w:pBdr>
          <w:top w:val="nil"/>
          <w:left w:val="nil"/>
          <w:bottom w:val="nil"/>
          <w:right w:val="nil"/>
          <w:between w:val="nil"/>
        </w:pBdr>
        <w:spacing w:line="276" w:lineRule="auto"/>
        <w:jc w:val="both"/>
        <w:rPr>
          <w:color w:val="000000"/>
          <w:sz w:val="24"/>
          <w:szCs w:val="24"/>
        </w:rPr>
      </w:pPr>
      <w:r>
        <w:rPr>
          <w:color w:val="000000"/>
          <w:sz w:val="24"/>
          <w:szCs w:val="24"/>
        </w:rPr>
        <w:t>The company's free cash flows, which are normally equal to its net operating profit after taxes, have a major impact on the increase in net operational assets. Therefore, we refer to net transfers to holders of net non-operating debt and business shares when we talk about FCFF. This is shown by the fact that we are talking about FCFF.</w:t>
      </w:r>
    </w:p>
    <w:p w14:paraId="340018AD" w14:textId="77777777" w:rsidR="002F52D7" w:rsidRDefault="002F52D7">
      <w:pPr>
        <w:pBdr>
          <w:top w:val="nil"/>
          <w:left w:val="nil"/>
          <w:bottom w:val="nil"/>
          <w:right w:val="nil"/>
          <w:between w:val="nil"/>
        </w:pBdr>
        <w:spacing w:line="276" w:lineRule="auto"/>
        <w:jc w:val="both"/>
        <w:rPr>
          <w:color w:val="000000"/>
          <w:sz w:val="20"/>
          <w:szCs w:val="20"/>
        </w:rPr>
      </w:pPr>
    </w:p>
    <w:p w14:paraId="02BF7806" w14:textId="77777777" w:rsidR="002F52D7" w:rsidRDefault="002F52D7">
      <w:pPr>
        <w:pBdr>
          <w:top w:val="nil"/>
          <w:left w:val="nil"/>
          <w:bottom w:val="nil"/>
          <w:right w:val="nil"/>
          <w:between w:val="nil"/>
        </w:pBdr>
        <w:spacing w:before="10" w:line="276" w:lineRule="auto"/>
        <w:jc w:val="both"/>
        <w:rPr>
          <w:color w:val="000000"/>
          <w:sz w:val="26"/>
          <w:szCs w:val="26"/>
        </w:rPr>
      </w:pPr>
    </w:p>
    <w:tbl>
      <w:tblPr>
        <w:tblStyle w:val="af2"/>
        <w:tblW w:w="9360" w:type="dxa"/>
        <w:tblInd w:w="2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40"/>
        <w:gridCol w:w="2340"/>
        <w:gridCol w:w="2340"/>
        <w:gridCol w:w="2340"/>
      </w:tblGrid>
      <w:tr w:rsidR="002F52D7" w14:paraId="5A6D1641" w14:textId="77777777">
        <w:trPr>
          <w:trHeight w:val="470"/>
        </w:trPr>
        <w:tc>
          <w:tcPr>
            <w:tcW w:w="2340" w:type="dxa"/>
          </w:tcPr>
          <w:p w14:paraId="066C2320" w14:textId="77777777" w:rsidR="002F52D7" w:rsidRDefault="002F52D7">
            <w:pPr>
              <w:pBdr>
                <w:top w:val="nil"/>
                <w:left w:val="nil"/>
                <w:bottom w:val="nil"/>
                <w:right w:val="nil"/>
                <w:between w:val="nil"/>
              </w:pBdr>
              <w:spacing w:line="276" w:lineRule="auto"/>
              <w:jc w:val="both"/>
              <w:rPr>
                <w:color w:val="000000"/>
                <w:sz w:val="24"/>
                <w:szCs w:val="24"/>
              </w:rPr>
            </w:pPr>
          </w:p>
        </w:tc>
        <w:tc>
          <w:tcPr>
            <w:tcW w:w="2340" w:type="dxa"/>
          </w:tcPr>
          <w:p w14:paraId="7D8C24CB" w14:textId="77777777" w:rsidR="002F52D7" w:rsidRDefault="00000000">
            <w:pPr>
              <w:pBdr>
                <w:top w:val="nil"/>
                <w:left w:val="nil"/>
                <w:bottom w:val="nil"/>
                <w:right w:val="nil"/>
                <w:between w:val="nil"/>
              </w:pBdr>
              <w:spacing w:before="108" w:line="276" w:lineRule="auto"/>
              <w:ind w:left="89"/>
              <w:jc w:val="both"/>
              <w:rPr>
                <w:b/>
                <w:color w:val="000000"/>
                <w:sz w:val="24"/>
                <w:szCs w:val="24"/>
              </w:rPr>
            </w:pPr>
            <w:r>
              <w:rPr>
                <w:b/>
                <w:color w:val="000000"/>
                <w:sz w:val="24"/>
                <w:szCs w:val="24"/>
              </w:rPr>
              <w:t>NOPAT</w:t>
            </w:r>
          </w:p>
        </w:tc>
        <w:tc>
          <w:tcPr>
            <w:tcW w:w="2340" w:type="dxa"/>
          </w:tcPr>
          <w:p w14:paraId="046C69FD" w14:textId="77777777" w:rsidR="002F52D7" w:rsidRDefault="00000000">
            <w:pPr>
              <w:pBdr>
                <w:top w:val="nil"/>
                <w:left w:val="nil"/>
                <w:bottom w:val="nil"/>
                <w:right w:val="nil"/>
                <w:between w:val="nil"/>
              </w:pBdr>
              <w:spacing w:before="108" w:line="276" w:lineRule="auto"/>
              <w:ind w:left="89"/>
              <w:jc w:val="both"/>
              <w:rPr>
                <w:b/>
                <w:color w:val="000000"/>
                <w:sz w:val="24"/>
                <w:szCs w:val="24"/>
              </w:rPr>
            </w:pPr>
            <w:r>
              <w:rPr>
                <w:b/>
                <w:color w:val="000000"/>
                <w:sz w:val="24"/>
                <w:szCs w:val="24"/>
              </w:rPr>
              <w:t>Increase in NOA</w:t>
            </w:r>
          </w:p>
        </w:tc>
        <w:tc>
          <w:tcPr>
            <w:tcW w:w="2340" w:type="dxa"/>
          </w:tcPr>
          <w:p w14:paraId="4E2AC8FB" w14:textId="77777777" w:rsidR="002F52D7" w:rsidRDefault="00000000">
            <w:pPr>
              <w:pBdr>
                <w:top w:val="nil"/>
                <w:left w:val="nil"/>
                <w:bottom w:val="nil"/>
                <w:right w:val="nil"/>
                <w:between w:val="nil"/>
              </w:pBdr>
              <w:spacing w:before="108" w:line="276" w:lineRule="auto"/>
              <w:ind w:left="89"/>
              <w:jc w:val="both"/>
              <w:rPr>
                <w:b/>
                <w:color w:val="000000"/>
                <w:sz w:val="24"/>
                <w:szCs w:val="24"/>
              </w:rPr>
            </w:pPr>
            <w:r>
              <w:rPr>
                <w:b/>
                <w:color w:val="000000"/>
                <w:sz w:val="24"/>
                <w:szCs w:val="24"/>
              </w:rPr>
              <w:t>FCFF</w:t>
            </w:r>
          </w:p>
        </w:tc>
      </w:tr>
      <w:tr w:rsidR="002F52D7" w14:paraId="3C818182" w14:textId="77777777">
        <w:trPr>
          <w:trHeight w:val="469"/>
        </w:trPr>
        <w:tc>
          <w:tcPr>
            <w:tcW w:w="2340" w:type="dxa"/>
          </w:tcPr>
          <w:p w14:paraId="25FBA9FC" w14:textId="77777777" w:rsidR="002F52D7" w:rsidRDefault="00000000">
            <w:pPr>
              <w:pBdr>
                <w:top w:val="nil"/>
                <w:left w:val="nil"/>
                <w:bottom w:val="nil"/>
                <w:right w:val="nil"/>
                <w:between w:val="nil"/>
              </w:pBdr>
              <w:spacing w:before="109" w:line="276" w:lineRule="auto"/>
              <w:ind w:left="89"/>
              <w:jc w:val="both"/>
              <w:rPr>
                <w:b/>
                <w:color w:val="000000"/>
                <w:sz w:val="24"/>
                <w:szCs w:val="24"/>
              </w:rPr>
            </w:pPr>
            <w:r>
              <w:rPr>
                <w:b/>
                <w:color w:val="000000"/>
                <w:sz w:val="24"/>
                <w:szCs w:val="24"/>
              </w:rPr>
              <w:t>Hilton Worldwide</w:t>
            </w:r>
          </w:p>
        </w:tc>
        <w:tc>
          <w:tcPr>
            <w:tcW w:w="2340" w:type="dxa"/>
          </w:tcPr>
          <w:p w14:paraId="42B4F161" w14:textId="77777777" w:rsidR="002F52D7" w:rsidRDefault="00000000">
            <w:pPr>
              <w:pBdr>
                <w:top w:val="nil"/>
                <w:left w:val="nil"/>
                <w:bottom w:val="nil"/>
                <w:right w:val="nil"/>
                <w:between w:val="nil"/>
              </w:pBdr>
              <w:spacing w:before="109" w:line="276" w:lineRule="auto"/>
              <w:ind w:left="89"/>
              <w:jc w:val="both"/>
              <w:rPr>
                <w:color w:val="000000"/>
                <w:sz w:val="24"/>
                <w:szCs w:val="24"/>
              </w:rPr>
            </w:pPr>
            <w:r>
              <w:rPr>
                <w:color w:val="000000"/>
                <w:sz w:val="24"/>
                <w:szCs w:val="24"/>
              </w:rPr>
              <w:t>1.534</w:t>
            </w:r>
          </w:p>
        </w:tc>
        <w:tc>
          <w:tcPr>
            <w:tcW w:w="2340" w:type="dxa"/>
          </w:tcPr>
          <w:p w14:paraId="329CDEFF" w14:textId="77777777" w:rsidR="002F52D7" w:rsidRDefault="00000000">
            <w:pPr>
              <w:pBdr>
                <w:top w:val="nil"/>
                <w:left w:val="nil"/>
                <w:bottom w:val="nil"/>
                <w:right w:val="nil"/>
                <w:between w:val="nil"/>
              </w:pBdr>
              <w:spacing w:before="109" w:line="276" w:lineRule="auto"/>
              <w:jc w:val="both"/>
              <w:rPr>
                <w:color w:val="000000"/>
                <w:sz w:val="24"/>
                <w:szCs w:val="24"/>
              </w:rPr>
            </w:pPr>
            <w:r>
              <w:rPr>
                <w:color w:val="000000"/>
                <w:sz w:val="24"/>
                <w:szCs w:val="24"/>
              </w:rPr>
              <w:t>-</w:t>
            </w:r>
          </w:p>
        </w:tc>
        <w:tc>
          <w:tcPr>
            <w:tcW w:w="2340" w:type="dxa"/>
          </w:tcPr>
          <w:p w14:paraId="47239E6C" w14:textId="77777777" w:rsidR="002F52D7" w:rsidRDefault="00000000">
            <w:pPr>
              <w:pBdr>
                <w:top w:val="nil"/>
                <w:left w:val="nil"/>
                <w:bottom w:val="nil"/>
                <w:right w:val="nil"/>
                <w:between w:val="nil"/>
              </w:pBdr>
              <w:spacing w:before="109" w:line="276" w:lineRule="auto"/>
              <w:jc w:val="both"/>
              <w:rPr>
                <w:color w:val="000000"/>
                <w:sz w:val="24"/>
                <w:szCs w:val="24"/>
              </w:rPr>
            </w:pPr>
            <w:r>
              <w:rPr>
                <w:color w:val="000000"/>
                <w:sz w:val="24"/>
                <w:szCs w:val="24"/>
              </w:rPr>
              <w:t>-</w:t>
            </w:r>
          </w:p>
        </w:tc>
      </w:tr>
      <w:tr w:rsidR="002F52D7" w14:paraId="5D85F719" w14:textId="77777777">
        <w:trPr>
          <w:trHeight w:val="750"/>
        </w:trPr>
        <w:tc>
          <w:tcPr>
            <w:tcW w:w="2340" w:type="dxa"/>
          </w:tcPr>
          <w:p w14:paraId="4F521DC2" w14:textId="77777777" w:rsidR="002F52D7" w:rsidRDefault="00000000">
            <w:pPr>
              <w:pBdr>
                <w:top w:val="nil"/>
                <w:left w:val="nil"/>
                <w:bottom w:val="nil"/>
                <w:right w:val="nil"/>
                <w:between w:val="nil"/>
              </w:pBdr>
              <w:spacing w:before="110" w:line="276" w:lineRule="auto"/>
              <w:ind w:left="89"/>
              <w:jc w:val="both"/>
              <w:rPr>
                <w:b/>
                <w:color w:val="000000"/>
                <w:sz w:val="24"/>
                <w:szCs w:val="24"/>
              </w:rPr>
            </w:pPr>
            <w:r>
              <w:rPr>
                <w:b/>
                <w:color w:val="000000"/>
                <w:sz w:val="24"/>
                <w:szCs w:val="24"/>
              </w:rPr>
              <w:t>Marriott</w:t>
            </w:r>
          </w:p>
          <w:p w14:paraId="1C4C8AE6" w14:textId="77777777" w:rsidR="002F52D7" w:rsidRDefault="00000000">
            <w:pPr>
              <w:pBdr>
                <w:top w:val="nil"/>
                <w:left w:val="nil"/>
                <w:bottom w:val="nil"/>
                <w:right w:val="nil"/>
                <w:between w:val="nil"/>
              </w:pBdr>
              <w:spacing w:line="276" w:lineRule="auto"/>
              <w:ind w:left="89"/>
              <w:jc w:val="both"/>
              <w:rPr>
                <w:b/>
                <w:color w:val="000000"/>
                <w:sz w:val="24"/>
                <w:szCs w:val="24"/>
              </w:rPr>
            </w:pPr>
            <w:r>
              <w:rPr>
                <w:b/>
                <w:color w:val="000000"/>
                <w:sz w:val="24"/>
                <w:szCs w:val="24"/>
              </w:rPr>
              <w:t>International</w:t>
            </w:r>
          </w:p>
        </w:tc>
        <w:tc>
          <w:tcPr>
            <w:tcW w:w="2340" w:type="dxa"/>
          </w:tcPr>
          <w:p w14:paraId="3F7950DA" w14:textId="77777777" w:rsidR="002F52D7" w:rsidRDefault="00000000">
            <w:pPr>
              <w:pBdr>
                <w:top w:val="nil"/>
                <w:left w:val="nil"/>
                <w:bottom w:val="nil"/>
                <w:right w:val="nil"/>
                <w:between w:val="nil"/>
              </w:pBdr>
              <w:spacing w:before="110" w:line="276" w:lineRule="auto"/>
              <w:ind w:left="89"/>
              <w:jc w:val="both"/>
              <w:rPr>
                <w:color w:val="000000"/>
                <w:sz w:val="24"/>
                <w:szCs w:val="24"/>
              </w:rPr>
            </w:pPr>
            <w:r>
              <w:rPr>
                <w:color w:val="000000"/>
                <w:sz w:val="24"/>
                <w:szCs w:val="24"/>
              </w:rPr>
              <w:t>1.577</w:t>
            </w:r>
          </w:p>
        </w:tc>
        <w:tc>
          <w:tcPr>
            <w:tcW w:w="2340" w:type="dxa"/>
          </w:tcPr>
          <w:p w14:paraId="2C1F96FC" w14:textId="77777777" w:rsidR="002F52D7" w:rsidRDefault="00000000">
            <w:pPr>
              <w:pBdr>
                <w:top w:val="nil"/>
                <w:left w:val="nil"/>
                <w:bottom w:val="nil"/>
                <w:right w:val="nil"/>
                <w:between w:val="nil"/>
              </w:pBdr>
              <w:spacing w:before="110" w:line="276" w:lineRule="auto"/>
              <w:ind w:left="89"/>
              <w:jc w:val="both"/>
              <w:rPr>
                <w:color w:val="000000"/>
                <w:sz w:val="24"/>
                <w:szCs w:val="24"/>
              </w:rPr>
            </w:pPr>
            <w:r>
              <w:rPr>
                <w:color w:val="000000"/>
                <w:sz w:val="24"/>
                <w:szCs w:val="24"/>
              </w:rPr>
              <w:t>23.62</w:t>
            </w:r>
          </w:p>
        </w:tc>
        <w:tc>
          <w:tcPr>
            <w:tcW w:w="2340" w:type="dxa"/>
          </w:tcPr>
          <w:p w14:paraId="52F00894" w14:textId="77777777" w:rsidR="002F52D7" w:rsidRDefault="00000000">
            <w:pPr>
              <w:pBdr>
                <w:top w:val="nil"/>
                <w:left w:val="nil"/>
                <w:bottom w:val="nil"/>
                <w:right w:val="nil"/>
                <w:between w:val="nil"/>
              </w:pBdr>
              <w:spacing w:before="110" w:line="276" w:lineRule="auto"/>
              <w:ind w:left="89"/>
              <w:jc w:val="both"/>
              <w:rPr>
                <w:color w:val="000000"/>
                <w:sz w:val="24"/>
                <w:szCs w:val="24"/>
              </w:rPr>
            </w:pPr>
            <w:r>
              <w:rPr>
                <w:color w:val="000000"/>
                <w:sz w:val="24"/>
                <w:szCs w:val="24"/>
              </w:rPr>
              <w:t>1,764,000</w:t>
            </w:r>
          </w:p>
        </w:tc>
      </w:tr>
    </w:tbl>
    <w:p w14:paraId="7765520B" w14:textId="77777777" w:rsidR="002F52D7" w:rsidRDefault="002F52D7">
      <w:pPr>
        <w:spacing w:line="276" w:lineRule="auto"/>
        <w:jc w:val="both"/>
        <w:rPr>
          <w:sz w:val="24"/>
          <w:szCs w:val="24"/>
        </w:rPr>
        <w:sectPr w:rsidR="002F52D7">
          <w:pgSz w:w="12240" w:h="15840"/>
          <w:pgMar w:top="1360" w:right="1300" w:bottom="280" w:left="1260" w:header="730" w:footer="0" w:gutter="0"/>
          <w:cols w:space="720"/>
        </w:sectPr>
      </w:pPr>
    </w:p>
    <w:p w14:paraId="050979A5" w14:textId="77777777" w:rsidR="002F52D7" w:rsidRDefault="002F52D7">
      <w:pPr>
        <w:pBdr>
          <w:top w:val="nil"/>
          <w:left w:val="nil"/>
          <w:bottom w:val="nil"/>
          <w:right w:val="nil"/>
          <w:between w:val="nil"/>
        </w:pBdr>
        <w:spacing w:line="276" w:lineRule="auto"/>
        <w:jc w:val="both"/>
        <w:rPr>
          <w:color w:val="000000"/>
          <w:sz w:val="20"/>
          <w:szCs w:val="20"/>
        </w:rPr>
      </w:pPr>
    </w:p>
    <w:p w14:paraId="578C55FA" w14:textId="77777777" w:rsidR="002F52D7" w:rsidRDefault="002F52D7">
      <w:pPr>
        <w:pBdr>
          <w:top w:val="nil"/>
          <w:left w:val="nil"/>
          <w:bottom w:val="nil"/>
          <w:right w:val="nil"/>
          <w:between w:val="nil"/>
        </w:pBdr>
        <w:spacing w:line="276" w:lineRule="auto"/>
        <w:jc w:val="both"/>
        <w:rPr>
          <w:color w:val="000000"/>
          <w:sz w:val="20"/>
          <w:szCs w:val="20"/>
        </w:rPr>
      </w:pPr>
    </w:p>
    <w:p w14:paraId="3DCB4A03" w14:textId="77777777" w:rsidR="002F52D7" w:rsidRDefault="002F52D7">
      <w:pPr>
        <w:pBdr>
          <w:top w:val="nil"/>
          <w:left w:val="nil"/>
          <w:bottom w:val="nil"/>
          <w:right w:val="nil"/>
          <w:between w:val="nil"/>
        </w:pBdr>
        <w:spacing w:line="276" w:lineRule="auto"/>
        <w:jc w:val="both"/>
        <w:rPr>
          <w:color w:val="000000"/>
          <w:sz w:val="20"/>
          <w:szCs w:val="20"/>
        </w:rPr>
      </w:pPr>
    </w:p>
    <w:p w14:paraId="3AE32809" w14:textId="77777777" w:rsidR="002F52D7" w:rsidRDefault="002F52D7">
      <w:pPr>
        <w:pBdr>
          <w:top w:val="nil"/>
          <w:left w:val="nil"/>
          <w:bottom w:val="nil"/>
          <w:right w:val="nil"/>
          <w:between w:val="nil"/>
        </w:pBdr>
        <w:spacing w:line="276" w:lineRule="auto"/>
        <w:jc w:val="both"/>
        <w:rPr>
          <w:color w:val="000000"/>
          <w:sz w:val="20"/>
          <w:szCs w:val="20"/>
        </w:rPr>
      </w:pPr>
    </w:p>
    <w:p w14:paraId="3783BE08" w14:textId="77777777" w:rsidR="002F52D7" w:rsidRDefault="002F52D7">
      <w:pPr>
        <w:pBdr>
          <w:top w:val="nil"/>
          <w:left w:val="nil"/>
          <w:bottom w:val="nil"/>
          <w:right w:val="nil"/>
          <w:between w:val="nil"/>
        </w:pBdr>
        <w:spacing w:before="10" w:line="276" w:lineRule="auto"/>
        <w:jc w:val="both"/>
        <w:rPr>
          <w:color w:val="000000"/>
        </w:rPr>
      </w:pPr>
    </w:p>
    <w:p w14:paraId="541E0DCD" w14:textId="77777777" w:rsidR="002F52D7" w:rsidRDefault="00000000">
      <w:pPr>
        <w:pStyle w:val="Titlu1"/>
        <w:numPr>
          <w:ilvl w:val="0"/>
          <w:numId w:val="1"/>
        </w:numPr>
        <w:tabs>
          <w:tab w:val="left" w:pos="899"/>
          <w:tab w:val="left" w:pos="900"/>
        </w:tabs>
        <w:spacing w:before="1" w:line="276" w:lineRule="auto"/>
        <w:ind w:hanging="687"/>
        <w:jc w:val="both"/>
      </w:pPr>
      <w:r>
        <w:t>Memorandum</w:t>
      </w:r>
    </w:p>
    <w:p w14:paraId="20044399" w14:textId="77777777" w:rsidR="002F52D7" w:rsidRDefault="002F52D7">
      <w:pPr>
        <w:pBdr>
          <w:top w:val="nil"/>
          <w:left w:val="nil"/>
          <w:bottom w:val="nil"/>
          <w:right w:val="nil"/>
          <w:between w:val="nil"/>
        </w:pBdr>
        <w:spacing w:before="11" w:line="276" w:lineRule="auto"/>
        <w:jc w:val="both"/>
        <w:rPr>
          <w:b/>
          <w:color w:val="000000"/>
          <w:sz w:val="23"/>
          <w:szCs w:val="23"/>
        </w:rPr>
      </w:pPr>
    </w:p>
    <w:p w14:paraId="3C5ED66F" w14:textId="77777777" w:rsidR="009221A3" w:rsidRDefault="00000000">
      <w:pPr>
        <w:pBdr>
          <w:top w:val="nil"/>
          <w:left w:val="nil"/>
          <w:bottom w:val="nil"/>
          <w:right w:val="nil"/>
          <w:between w:val="nil"/>
        </w:pBdr>
        <w:spacing w:line="276" w:lineRule="auto"/>
        <w:ind w:left="180" w:right="6993"/>
        <w:jc w:val="both"/>
        <w:rPr>
          <w:color w:val="000000"/>
          <w:sz w:val="24"/>
          <w:szCs w:val="24"/>
        </w:rPr>
      </w:pPr>
      <w:r>
        <w:rPr>
          <w:color w:val="000000"/>
          <w:sz w:val="24"/>
          <w:szCs w:val="24"/>
        </w:rPr>
        <w:t xml:space="preserve">To: </w:t>
      </w:r>
      <w:r w:rsidR="009221A3">
        <w:rPr>
          <w:color w:val="000000"/>
          <w:sz w:val="24"/>
          <w:szCs w:val="24"/>
        </w:rPr>
        <w:t>Dale Clarke</w:t>
      </w:r>
    </w:p>
    <w:p w14:paraId="7E93A367" w14:textId="77777777" w:rsidR="009221A3" w:rsidRDefault="00000000">
      <w:pPr>
        <w:pBdr>
          <w:top w:val="nil"/>
          <w:left w:val="nil"/>
          <w:bottom w:val="nil"/>
          <w:right w:val="nil"/>
          <w:between w:val="nil"/>
        </w:pBdr>
        <w:spacing w:line="276" w:lineRule="auto"/>
        <w:ind w:left="180" w:right="6993"/>
        <w:jc w:val="both"/>
        <w:rPr>
          <w:color w:val="000000"/>
          <w:sz w:val="24"/>
          <w:szCs w:val="24"/>
        </w:rPr>
      </w:pPr>
      <w:r>
        <w:rPr>
          <w:color w:val="000000"/>
          <w:sz w:val="24"/>
          <w:szCs w:val="24"/>
        </w:rPr>
        <w:t xml:space="preserve">From: </w:t>
      </w:r>
      <w:r w:rsidR="009221A3">
        <w:rPr>
          <w:color w:val="000000"/>
          <w:sz w:val="24"/>
          <w:szCs w:val="24"/>
        </w:rPr>
        <w:t>Liviu Topala</w:t>
      </w:r>
    </w:p>
    <w:p w14:paraId="5EA1FB0E" w14:textId="09449B53" w:rsidR="002F52D7" w:rsidRDefault="00000000">
      <w:pPr>
        <w:pBdr>
          <w:top w:val="nil"/>
          <w:left w:val="nil"/>
          <w:bottom w:val="nil"/>
          <w:right w:val="nil"/>
          <w:between w:val="nil"/>
        </w:pBdr>
        <w:spacing w:line="276" w:lineRule="auto"/>
        <w:ind w:left="180" w:right="6993"/>
        <w:jc w:val="both"/>
        <w:rPr>
          <w:color w:val="000000"/>
          <w:sz w:val="24"/>
          <w:szCs w:val="24"/>
        </w:rPr>
      </w:pPr>
      <w:r>
        <w:rPr>
          <w:color w:val="000000"/>
          <w:sz w:val="24"/>
          <w:szCs w:val="24"/>
        </w:rPr>
        <w:t xml:space="preserve">Date: </w:t>
      </w:r>
      <w:r w:rsidR="009221A3">
        <w:rPr>
          <w:color w:val="000000"/>
          <w:sz w:val="24"/>
          <w:szCs w:val="24"/>
        </w:rPr>
        <w:t>14/11/2022</w:t>
      </w:r>
    </w:p>
    <w:p w14:paraId="072923F4" w14:textId="77777777" w:rsidR="002F52D7" w:rsidRDefault="00000000">
      <w:pPr>
        <w:pBdr>
          <w:top w:val="nil"/>
          <w:left w:val="nil"/>
          <w:bottom w:val="nil"/>
          <w:right w:val="nil"/>
          <w:between w:val="nil"/>
        </w:pBdr>
        <w:spacing w:line="276" w:lineRule="auto"/>
        <w:ind w:left="180"/>
        <w:jc w:val="both"/>
        <w:rPr>
          <w:color w:val="000000"/>
          <w:sz w:val="24"/>
          <w:szCs w:val="24"/>
        </w:rPr>
      </w:pPr>
      <w:r>
        <w:rPr>
          <w:color w:val="000000"/>
          <w:sz w:val="24"/>
          <w:szCs w:val="24"/>
        </w:rPr>
        <w:t>Valuation of Hilton Worldwide</w:t>
      </w:r>
    </w:p>
    <w:p w14:paraId="5054EF47" w14:textId="77777777" w:rsidR="002F52D7" w:rsidRDefault="002F52D7">
      <w:pPr>
        <w:pBdr>
          <w:top w:val="nil"/>
          <w:left w:val="nil"/>
          <w:bottom w:val="nil"/>
          <w:right w:val="nil"/>
          <w:between w:val="nil"/>
        </w:pBdr>
        <w:spacing w:line="276" w:lineRule="auto"/>
        <w:jc w:val="both"/>
        <w:rPr>
          <w:color w:val="000000"/>
          <w:sz w:val="26"/>
          <w:szCs w:val="26"/>
        </w:rPr>
      </w:pPr>
    </w:p>
    <w:p w14:paraId="656C5400" w14:textId="77777777" w:rsidR="002F52D7" w:rsidRDefault="002F52D7">
      <w:pPr>
        <w:pBdr>
          <w:top w:val="nil"/>
          <w:left w:val="nil"/>
          <w:bottom w:val="nil"/>
          <w:right w:val="nil"/>
          <w:between w:val="nil"/>
        </w:pBdr>
        <w:spacing w:line="276" w:lineRule="auto"/>
        <w:jc w:val="both"/>
        <w:rPr>
          <w:color w:val="000000"/>
        </w:rPr>
      </w:pPr>
    </w:p>
    <w:p w14:paraId="07DF82B5" w14:textId="77777777" w:rsidR="002F52D7" w:rsidRDefault="00000000">
      <w:pPr>
        <w:numPr>
          <w:ilvl w:val="0"/>
          <w:numId w:val="3"/>
        </w:numPr>
        <w:pBdr>
          <w:top w:val="nil"/>
          <w:left w:val="nil"/>
          <w:bottom w:val="nil"/>
          <w:right w:val="nil"/>
          <w:between w:val="nil"/>
        </w:pBdr>
        <w:spacing w:line="276" w:lineRule="auto"/>
        <w:jc w:val="both"/>
        <w:rPr>
          <w:color w:val="000000"/>
          <w:sz w:val="24"/>
          <w:szCs w:val="24"/>
        </w:rPr>
      </w:pPr>
      <w:r w:rsidRPr="009221A3">
        <w:rPr>
          <w:color w:val="000000"/>
          <w:sz w:val="24"/>
          <w:szCs w:val="24"/>
        </w:rPr>
        <w:t xml:space="preserve">The company that is now known as Hilton Worldwide Holdings Inc. was formerly known as Hilton Hotels Corporation. It controls and leases a large portion of the hospitality and resort industry. The 6,215 assets of the company are spread throughout 118 countries and territories. </w:t>
      </w:r>
      <w:r>
        <w:rPr>
          <w:color w:val="000000"/>
          <w:sz w:val="24"/>
          <w:szCs w:val="24"/>
        </w:rPr>
        <w:t>These holdings include timeshare properties in addition to 690 managed hotels, 5,405 franchised hotels, and 953,944 rooms. On the list of the top privately held companies in the US, Hilton comes in at number 36. The common stock of Hilton Worldwide Holdings is traded on the NASDAQ under the ticker "HLT" (HLT). The weighted average interest rate on B. Hilton's 9.6 billion in long-term debt, which was due on March 31, 2020, was 3.92 percent. Discounts or expenses for delayed financing were not taken into account by this rate. The company has $9.3 billion in long-term debt with a weighted average interest rate of 3.0% that is due in 2024. Finance leasing contracts and any other debt owned by Hilton's consolidated variable-interest subsidiaries are not included in this rate. A total of $279 million, or $107.26 per share, was spent on the repurchase of more than 2.6 million shares of Hilton common stock.</w:t>
      </w:r>
    </w:p>
    <w:p w14:paraId="24A61327" w14:textId="77777777" w:rsidR="002F52D7" w:rsidRDefault="002F52D7">
      <w:pPr>
        <w:pBdr>
          <w:top w:val="nil"/>
          <w:left w:val="nil"/>
          <w:bottom w:val="nil"/>
          <w:right w:val="nil"/>
          <w:between w:val="nil"/>
        </w:pBdr>
        <w:spacing w:line="276" w:lineRule="auto"/>
        <w:ind w:left="900" w:hanging="360"/>
        <w:jc w:val="both"/>
        <w:rPr>
          <w:color w:val="000000"/>
          <w:sz w:val="24"/>
          <w:szCs w:val="24"/>
        </w:rPr>
      </w:pPr>
    </w:p>
    <w:p w14:paraId="123977E4" w14:textId="77777777" w:rsidR="002F52D7" w:rsidRDefault="00000000">
      <w:pPr>
        <w:numPr>
          <w:ilvl w:val="0"/>
          <w:numId w:val="3"/>
        </w:numPr>
        <w:pBdr>
          <w:top w:val="nil"/>
          <w:left w:val="nil"/>
          <w:bottom w:val="nil"/>
          <w:right w:val="nil"/>
          <w:between w:val="nil"/>
        </w:pBdr>
        <w:spacing w:line="276" w:lineRule="auto"/>
        <w:jc w:val="both"/>
        <w:rPr>
          <w:color w:val="000000"/>
          <w:sz w:val="24"/>
          <w:szCs w:val="24"/>
        </w:rPr>
      </w:pPr>
      <w:r>
        <w:rPr>
          <w:color w:val="000000"/>
          <w:sz w:val="24"/>
          <w:szCs w:val="24"/>
        </w:rPr>
        <w:t>Compare and contrast the hotels that briefly stopped operating in full or in part with the hotels that didn't in order to locate "similar hotels."</w:t>
      </w:r>
    </w:p>
    <w:p w14:paraId="41B92C90" w14:textId="77777777" w:rsidR="002F52D7" w:rsidRDefault="002F52D7">
      <w:pPr>
        <w:pBdr>
          <w:top w:val="nil"/>
          <w:left w:val="nil"/>
          <w:bottom w:val="nil"/>
          <w:right w:val="nil"/>
          <w:between w:val="nil"/>
        </w:pBdr>
        <w:spacing w:line="276" w:lineRule="auto"/>
        <w:ind w:left="900" w:hanging="360"/>
        <w:jc w:val="both"/>
        <w:rPr>
          <w:color w:val="000000"/>
          <w:sz w:val="24"/>
          <w:szCs w:val="24"/>
        </w:rPr>
      </w:pPr>
    </w:p>
    <w:p w14:paraId="77EF55C5" w14:textId="77777777" w:rsidR="002F52D7" w:rsidRDefault="00000000">
      <w:pPr>
        <w:numPr>
          <w:ilvl w:val="0"/>
          <w:numId w:val="3"/>
        </w:numPr>
        <w:pBdr>
          <w:top w:val="nil"/>
          <w:left w:val="nil"/>
          <w:bottom w:val="nil"/>
          <w:right w:val="nil"/>
          <w:between w:val="nil"/>
        </w:pBdr>
        <w:spacing w:line="276" w:lineRule="auto"/>
        <w:jc w:val="both"/>
        <w:rPr>
          <w:color w:val="000000"/>
          <w:sz w:val="24"/>
          <w:szCs w:val="24"/>
        </w:rPr>
      </w:pPr>
      <w:r>
        <w:rPr>
          <w:color w:val="000000"/>
          <w:sz w:val="24"/>
          <w:szCs w:val="24"/>
        </w:rPr>
        <w:t>The term "comparable hotels" can be applied to any calendar quarter ending on March 31, 2020, thanks to COVID-19 law. According to Hilton, the figures for the three months ending March 31, 2020, which comprise occupancy, the average daily rate, and the revenue per available room, accurately reflect the company's core financial performance.</w:t>
      </w:r>
    </w:p>
    <w:p w14:paraId="33BA4F04" w14:textId="77777777" w:rsidR="002F52D7" w:rsidRDefault="002F52D7">
      <w:pPr>
        <w:pBdr>
          <w:top w:val="nil"/>
          <w:left w:val="nil"/>
          <w:bottom w:val="nil"/>
          <w:right w:val="nil"/>
          <w:between w:val="nil"/>
        </w:pBdr>
        <w:spacing w:line="276" w:lineRule="auto"/>
        <w:ind w:left="720"/>
        <w:jc w:val="both"/>
        <w:rPr>
          <w:color w:val="000000"/>
          <w:sz w:val="24"/>
          <w:szCs w:val="24"/>
        </w:rPr>
      </w:pPr>
    </w:p>
    <w:p w14:paraId="0D762E63" w14:textId="71461992" w:rsidR="002F52D7" w:rsidRDefault="00000000">
      <w:pPr>
        <w:numPr>
          <w:ilvl w:val="0"/>
          <w:numId w:val="2"/>
        </w:numPr>
        <w:pBdr>
          <w:top w:val="nil"/>
          <w:left w:val="nil"/>
          <w:bottom w:val="nil"/>
          <w:right w:val="nil"/>
          <w:between w:val="nil"/>
        </w:pBdr>
        <w:spacing w:line="276" w:lineRule="auto"/>
        <w:jc w:val="both"/>
        <w:rPr>
          <w:color w:val="000000"/>
          <w:sz w:val="24"/>
          <w:szCs w:val="24"/>
        </w:rPr>
      </w:pPr>
      <w:r>
        <w:rPr>
          <w:color w:val="000000"/>
          <w:sz w:val="24"/>
          <w:szCs w:val="24"/>
        </w:rPr>
        <w:t xml:space="preserve">Hilton Worldwide wants to grow while still offering accommodations of the highest caliber. The feasibility of global marketplaces will determine their potential to </w:t>
      </w:r>
      <w:r w:rsidR="009221A3">
        <w:rPr>
          <w:color w:val="000000"/>
          <w:sz w:val="24"/>
          <w:szCs w:val="24"/>
        </w:rPr>
        <w:t>grow. The</w:t>
      </w:r>
      <w:r>
        <w:rPr>
          <w:color w:val="000000"/>
          <w:sz w:val="24"/>
          <w:szCs w:val="24"/>
        </w:rPr>
        <w:t xml:space="preserve"> cost of an E. Hilton share has increased to $127.40.</w:t>
      </w:r>
    </w:p>
    <w:p w14:paraId="09DE4EF4" w14:textId="77777777" w:rsidR="002F52D7" w:rsidRDefault="002F52D7">
      <w:pPr>
        <w:spacing w:line="276" w:lineRule="auto"/>
        <w:jc w:val="both"/>
        <w:rPr>
          <w:sz w:val="24"/>
          <w:szCs w:val="24"/>
        </w:rPr>
      </w:pPr>
    </w:p>
    <w:p w14:paraId="3087A8F4" w14:textId="77777777" w:rsidR="002F52D7" w:rsidRDefault="00000000">
      <w:pPr>
        <w:numPr>
          <w:ilvl w:val="0"/>
          <w:numId w:val="2"/>
        </w:numPr>
        <w:pBdr>
          <w:top w:val="nil"/>
          <w:left w:val="nil"/>
          <w:bottom w:val="nil"/>
          <w:right w:val="nil"/>
          <w:between w:val="nil"/>
        </w:pBdr>
        <w:spacing w:line="276" w:lineRule="auto"/>
        <w:jc w:val="both"/>
        <w:sectPr w:rsidR="002F52D7">
          <w:pgSz w:w="12240" w:h="15840"/>
          <w:pgMar w:top="1360" w:right="1300" w:bottom="280" w:left="1260" w:header="730" w:footer="0" w:gutter="0"/>
          <w:cols w:space="720"/>
        </w:sectPr>
      </w:pPr>
      <w:r>
        <w:rPr>
          <w:color w:val="000000"/>
          <w:sz w:val="24"/>
          <w:szCs w:val="24"/>
        </w:rPr>
        <w:t>Analysts believe Hilton Worldwide will recover quickly from the effects of COVID-19 and continue to develop in the near future, making it a solid investment. For instance, the introduction of vaccines may have contributed to its proliferation. More people are traveling to and residing in more places as comfort levels rise. In addition, venues are growing to accommodate an increase in tourists.</w:t>
      </w:r>
    </w:p>
    <w:p w14:paraId="5F6968F6" w14:textId="77777777" w:rsidR="002F52D7" w:rsidRDefault="002F52D7">
      <w:pPr>
        <w:pBdr>
          <w:top w:val="nil"/>
          <w:left w:val="nil"/>
          <w:bottom w:val="nil"/>
          <w:right w:val="nil"/>
          <w:between w:val="nil"/>
        </w:pBdr>
        <w:spacing w:line="276" w:lineRule="auto"/>
        <w:jc w:val="both"/>
        <w:rPr>
          <w:color w:val="000000"/>
          <w:sz w:val="20"/>
          <w:szCs w:val="20"/>
        </w:rPr>
      </w:pPr>
    </w:p>
    <w:p w14:paraId="69EC9AC7" w14:textId="77777777" w:rsidR="002F52D7" w:rsidRDefault="002F52D7">
      <w:pPr>
        <w:pBdr>
          <w:top w:val="nil"/>
          <w:left w:val="nil"/>
          <w:bottom w:val="nil"/>
          <w:right w:val="nil"/>
          <w:between w:val="nil"/>
        </w:pBdr>
        <w:spacing w:line="276" w:lineRule="auto"/>
        <w:jc w:val="both"/>
        <w:rPr>
          <w:color w:val="000000"/>
          <w:sz w:val="20"/>
          <w:szCs w:val="20"/>
        </w:rPr>
      </w:pPr>
    </w:p>
    <w:p w14:paraId="34FAB656" w14:textId="77777777" w:rsidR="002F52D7" w:rsidRDefault="002F52D7">
      <w:pPr>
        <w:pBdr>
          <w:top w:val="nil"/>
          <w:left w:val="nil"/>
          <w:bottom w:val="nil"/>
          <w:right w:val="nil"/>
          <w:between w:val="nil"/>
        </w:pBdr>
        <w:spacing w:line="276" w:lineRule="auto"/>
        <w:jc w:val="both"/>
        <w:rPr>
          <w:color w:val="000000"/>
          <w:sz w:val="20"/>
          <w:szCs w:val="20"/>
        </w:rPr>
      </w:pPr>
    </w:p>
    <w:p w14:paraId="1131C641" w14:textId="77777777" w:rsidR="002F52D7" w:rsidRDefault="002F52D7">
      <w:pPr>
        <w:pBdr>
          <w:top w:val="nil"/>
          <w:left w:val="nil"/>
          <w:bottom w:val="nil"/>
          <w:right w:val="nil"/>
          <w:between w:val="nil"/>
        </w:pBdr>
        <w:spacing w:line="276" w:lineRule="auto"/>
        <w:jc w:val="both"/>
        <w:rPr>
          <w:color w:val="000000"/>
          <w:sz w:val="20"/>
          <w:szCs w:val="20"/>
        </w:rPr>
      </w:pPr>
    </w:p>
    <w:p w14:paraId="3D8F6A41" w14:textId="77777777" w:rsidR="002F52D7" w:rsidRDefault="002F52D7">
      <w:pPr>
        <w:pBdr>
          <w:top w:val="nil"/>
          <w:left w:val="nil"/>
          <w:bottom w:val="nil"/>
          <w:right w:val="nil"/>
          <w:between w:val="nil"/>
        </w:pBdr>
        <w:spacing w:before="10" w:line="276" w:lineRule="auto"/>
        <w:jc w:val="both"/>
        <w:rPr>
          <w:color w:val="000000"/>
        </w:rPr>
      </w:pPr>
    </w:p>
    <w:p w14:paraId="41EC13C2" w14:textId="77777777" w:rsidR="002F52D7" w:rsidRDefault="00000000">
      <w:pPr>
        <w:pStyle w:val="Titlu1"/>
        <w:numPr>
          <w:ilvl w:val="0"/>
          <w:numId w:val="1"/>
        </w:numPr>
        <w:tabs>
          <w:tab w:val="left" w:pos="899"/>
          <w:tab w:val="left" w:pos="900"/>
        </w:tabs>
        <w:spacing w:before="1" w:line="276" w:lineRule="auto"/>
        <w:ind w:hanging="781"/>
        <w:jc w:val="both"/>
      </w:pPr>
      <w:r>
        <w:t>References</w:t>
      </w:r>
    </w:p>
    <w:p w14:paraId="18BED2A5" w14:textId="77777777" w:rsidR="002F52D7" w:rsidRDefault="002F52D7">
      <w:pPr>
        <w:pBdr>
          <w:top w:val="nil"/>
          <w:left w:val="nil"/>
          <w:bottom w:val="nil"/>
          <w:right w:val="nil"/>
          <w:between w:val="nil"/>
        </w:pBdr>
        <w:spacing w:line="276" w:lineRule="auto"/>
        <w:jc w:val="both"/>
        <w:rPr>
          <w:b/>
          <w:color w:val="000000"/>
          <w:sz w:val="26"/>
          <w:szCs w:val="26"/>
        </w:rPr>
      </w:pPr>
    </w:p>
    <w:p w14:paraId="6BA3BD42" w14:textId="77777777" w:rsidR="002F52D7" w:rsidRDefault="002F52D7">
      <w:pPr>
        <w:pBdr>
          <w:top w:val="nil"/>
          <w:left w:val="nil"/>
          <w:bottom w:val="nil"/>
          <w:right w:val="nil"/>
          <w:between w:val="nil"/>
        </w:pBdr>
        <w:spacing w:line="276" w:lineRule="auto"/>
        <w:jc w:val="both"/>
        <w:rPr>
          <w:b/>
          <w:color w:val="000000"/>
          <w:sz w:val="26"/>
          <w:szCs w:val="26"/>
        </w:rPr>
      </w:pPr>
    </w:p>
    <w:p w14:paraId="03A08B76" w14:textId="77777777" w:rsidR="002F52D7" w:rsidRDefault="002F52D7">
      <w:pPr>
        <w:pBdr>
          <w:top w:val="nil"/>
          <w:left w:val="nil"/>
          <w:bottom w:val="nil"/>
          <w:right w:val="nil"/>
          <w:between w:val="nil"/>
        </w:pBdr>
        <w:spacing w:line="276" w:lineRule="auto"/>
        <w:jc w:val="both"/>
        <w:rPr>
          <w:b/>
          <w:color w:val="000000"/>
          <w:sz w:val="26"/>
          <w:szCs w:val="26"/>
        </w:rPr>
      </w:pPr>
    </w:p>
    <w:p w14:paraId="0A1CD882" w14:textId="60CB10F1" w:rsidR="002F52D7" w:rsidRPr="009221A3" w:rsidRDefault="00000000" w:rsidP="009221A3">
      <w:pPr>
        <w:numPr>
          <w:ilvl w:val="1"/>
          <w:numId w:val="4"/>
        </w:numPr>
        <w:spacing w:before="171" w:line="276" w:lineRule="auto"/>
        <w:jc w:val="both"/>
        <w:rPr>
          <w:rFonts w:ascii="Arial" w:hAnsi="Arial" w:cs="Arial"/>
          <w:sz w:val="20"/>
          <w:szCs w:val="20"/>
        </w:rPr>
      </w:pPr>
      <w:r w:rsidRPr="009221A3">
        <w:rPr>
          <w:rFonts w:ascii="Arial" w:hAnsi="Arial" w:cs="Arial"/>
          <w:sz w:val="20"/>
          <w:szCs w:val="20"/>
        </w:rPr>
        <w:t xml:space="preserve">Yahoo! (2021, April 24). </w:t>
      </w:r>
      <w:r w:rsidRPr="009221A3">
        <w:rPr>
          <w:rFonts w:ascii="Arial" w:hAnsi="Arial" w:cs="Arial"/>
          <w:i/>
          <w:sz w:val="20"/>
          <w:szCs w:val="20"/>
        </w:rPr>
        <w:t>Marriott International (MAR) Income Statement</w:t>
      </w:r>
      <w:r w:rsidRPr="009221A3">
        <w:rPr>
          <w:rFonts w:ascii="Arial" w:hAnsi="Arial" w:cs="Arial"/>
          <w:sz w:val="20"/>
          <w:szCs w:val="20"/>
        </w:rPr>
        <w:t>. Yahoo! Finance. https://finance.yahoo.com/quote/MAR/financials?p=MAR.</w:t>
      </w:r>
    </w:p>
    <w:p w14:paraId="2381B9C5" w14:textId="72BAB971" w:rsidR="002F52D7" w:rsidRPr="009221A3" w:rsidRDefault="00000000" w:rsidP="009221A3">
      <w:pPr>
        <w:numPr>
          <w:ilvl w:val="1"/>
          <w:numId w:val="4"/>
        </w:numPr>
        <w:pBdr>
          <w:top w:val="nil"/>
          <w:left w:val="nil"/>
          <w:bottom w:val="nil"/>
          <w:right w:val="nil"/>
          <w:between w:val="nil"/>
        </w:pBdr>
        <w:spacing w:line="276" w:lineRule="auto"/>
        <w:ind w:right="627"/>
        <w:jc w:val="both"/>
        <w:rPr>
          <w:rFonts w:ascii="Arial" w:hAnsi="Arial" w:cs="Arial"/>
          <w:color w:val="000000"/>
          <w:sz w:val="20"/>
          <w:szCs w:val="20"/>
        </w:rPr>
      </w:pPr>
      <w:r w:rsidRPr="009221A3">
        <w:rPr>
          <w:rFonts w:ascii="Arial" w:hAnsi="Arial" w:cs="Arial"/>
          <w:color w:val="000000"/>
          <w:sz w:val="20"/>
          <w:szCs w:val="20"/>
        </w:rPr>
        <w:t xml:space="preserve">“Hilton Worldwide Holdings Inc. (HLT) Stock Price, News, Quote &amp; History.” </w:t>
      </w:r>
      <w:r w:rsidRPr="009221A3">
        <w:rPr>
          <w:rFonts w:ascii="Arial" w:hAnsi="Arial" w:cs="Arial"/>
          <w:i/>
          <w:color w:val="000000"/>
          <w:sz w:val="20"/>
          <w:szCs w:val="20"/>
        </w:rPr>
        <w:t>Yahoo! Finance</w:t>
      </w:r>
      <w:r w:rsidRPr="009221A3">
        <w:rPr>
          <w:rFonts w:ascii="Arial" w:hAnsi="Arial" w:cs="Arial"/>
          <w:color w:val="000000"/>
          <w:sz w:val="20"/>
          <w:szCs w:val="20"/>
        </w:rPr>
        <w:t>, Yahoo!, 25 Apr. 2021, finance.yahoo.com/quote/HLT/.</w:t>
      </w:r>
    </w:p>
    <w:p w14:paraId="42C06DBE" w14:textId="77777777" w:rsidR="002F52D7" w:rsidRPr="009221A3" w:rsidRDefault="00000000">
      <w:pPr>
        <w:numPr>
          <w:ilvl w:val="1"/>
          <w:numId w:val="4"/>
        </w:numPr>
        <w:pBdr>
          <w:top w:val="nil"/>
          <w:left w:val="nil"/>
          <w:bottom w:val="nil"/>
          <w:right w:val="nil"/>
          <w:between w:val="nil"/>
        </w:pBdr>
        <w:spacing w:line="276" w:lineRule="auto"/>
        <w:jc w:val="both"/>
        <w:rPr>
          <w:rFonts w:ascii="Arial" w:hAnsi="Arial" w:cs="Arial"/>
          <w:color w:val="000000"/>
          <w:sz w:val="20"/>
          <w:szCs w:val="20"/>
        </w:rPr>
      </w:pPr>
      <w:r w:rsidRPr="009221A3">
        <w:rPr>
          <w:rFonts w:ascii="Arial" w:hAnsi="Arial" w:cs="Arial"/>
          <w:color w:val="000000"/>
          <w:sz w:val="20"/>
          <w:szCs w:val="20"/>
        </w:rPr>
        <w:t xml:space="preserve">“Hilton Announces Fourth Quarter and Full Year 2020 Earnings Release Date.” </w:t>
      </w:r>
      <w:r w:rsidRPr="009221A3">
        <w:rPr>
          <w:rFonts w:ascii="Arial" w:hAnsi="Arial" w:cs="Arial"/>
          <w:i/>
          <w:color w:val="000000"/>
          <w:sz w:val="20"/>
          <w:szCs w:val="20"/>
        </w:rPr>
        <w:t>Business Wire</w:t>
      </w:r>
      <w:r w:rsidRPr="009221A3">
        <w:rPr>
          <w:rFonts w:ascii="Arial" w:hAnsi="Arial" w:cs="Arial"/>
          <w:color w:val="000000"/>
          <w:sz w:val="20"/>
          <w:szCs w:val="20"/>
        </w:rPr>
        <w:t>, 21 Jan. 2021,</w:t>
      </w:r>
    </w:p>
    <w:p w14:paraId="68446AF2" w14:textId="39025EAB" w:rsidR="002F52D7" w:rsidRPr="009221A3" w:rsidRDefault="00000000" w:rsidP="009221A3">
      <w:pPr>
        <w:numPr>
          <w:ilvl w:val="1"/>
          <w:numId w:val="4"/>
        </w:numPr>
        <w:pBdr>
          <w:top w:val="nil"/>
          <w:left w:val="nil"/>
          <w:bottom w:val="nil"/>
          <w:right w:val="nil"/>
          <w:between w:val="nil"/>
        </w:pBdr>
        <w:spacing w:line="276" w:lineRule="auto"/>
        <w:ind w:right="173"/>
        <w:jc w:val="both"/>
        <w:rPr>
          <w:rFonts w:ascii="Arial" w:hAnsi="Arial" w:cs="Arial"/>
          <w:color w:val="000000"/>
          <w:sz w:val="20"/>
          <w:szCs w:val="20"/>
        </w:rPr>
      </w:pPr>
      <w:hyperlink r:id="rId9">
        <w:r w:rsidRPr="009221A3">
          <w:rPr>
            <w:rFonts w:ascii="Arial" w:hAnsi="Arial" w:cs="Arial"/>
            <w:color w:val="000000"/>
            <w:sz w:val="20"/>
            <w:szCs w:val="20"/>
          </w:rPr>
          <w:t>www.businesswire.com/news/home/20210121005703/en/Hilton-Announces-Fourth-Quarte</w:t>
        </w:r>
      </w:hyperlink>
      <w:r w:rsidRPr="009221A3">
        <w:rPr>
          <w:rFonts w:ascii="Arial" w:hAnsi="Arial" w:cs="Arial"/>
          <w:color w:val="000000"/>
          <w:sz w:val="20"/>
          <w:szCs w:val="20"/>
        </w:rPr>
        <w:t xml:space="preserve"> r-and-Full-Year-2020-Earnings-Release-Date.</w:t>
      </w:r>
    </w:p>
    <w:p w14:paraId="23C7B915" w14:textId="77777777" w:rsidR="002F52D7" w:rsidRPr="009221A3" w:rsidRDefault="00000000">
      <w:pPr>
        <w:numPr>
          <w:ilvl w:val="1"/>
          <w:numId w:val="4"/>
        </w:numPr>
        <w:pBdr>
          <w:top w:val="nil"/>
          <w:left w:val="nil"/>
          <w:bottom w:val="nil"/>
          <w:right w:val="nil"/>
          <w:between w:val="nil"/>
        </w:pBdr>
        <w:spacing w:line="276" w:lineRule="auto"/>
        <w:ind w:right="288"/>
        <w:jc w:val="both"/>
        <w:rPr>
          <w:rFonts w:ascii="Arial" w:hAnsi="Arial" w:cs="Arial"/>
          <w:color w:val="000000"/>
          <w:sz w:val="20"/>
          <w:szCs w:val="20"/>
        </w:rPr>
      </w:pPr>
      <w:r w:rsidRPr="009221A3">
        <w:rPr>
          <w:rFonts w:ascii="Arial" w:hAnsi="Arial" w:cs="Arial"/>
          <w:color w:val="000000"/>
          <w:sz w:val="20"/>
          <w:szCs w:val="20"/>
        </w:rPr>
        <w:t xml:space="preserve">Journal, Wall Street. “MAR | Marriott International Inc. Financial Statements - WSJ.” </w:t>
      </w:r>
      <w:r w:rsidRPr="009221A3">
        <w:rPr>
          <w:rFonts w:ascii="Arial" w:hAnsi="Arial" w:cs="Arial"/>
          <w:i/>
          <w:color w:val="000000"/>
          <w:sz w:val="20"/>
          <w:szCs w:val="20"/>
        </w:rPr>
        <w:t>The Wall Street Journal</w:t>
      </w:r>
      <w:r w:rsidRPr="009221A3">
        <w:rPr>
          <w:rFonts w:ascii="Arial" w:hAnsi="Arial" w:cs="Arial"/>
          <w:color w:val="000000"/>
          <w:sz w:val="20"/>
          <w:szCs w:val="20"/>
        </w:rPr>
        <w:t>, Dow Jones &amp; Company,</w:t>
      </w:r>
    </w:p>
    <w:p w14:paraId="5D794774" w14:textId="08946154" w:rsidR="002F52D7" w:rsidRPr="009221A3" w:rsidRDefault="00000000" w:rsidP="009221A3">
      <w:pPr>
        <w:numPr>
          <w:ilvl w:val="1"/>
          <w:numId w:val="4"/>
        </w:numPr>
        <w:pBdr>
          <w:top w:val="nil"/>
          <w:left w:val="nil"/>
          <w:bottom w:val="nil"/>
          <w:right w:val="nil"/>
          <w:between w:val="nil"/>
        </w:pBdr>
        <w:spacing w:line="276" w:lineRule="auto"/>
        <w:jc w:val="both"/>
        <w:rPr>
          <w:rFonts w:ascii="Arial" w:hAnsi="Arial" w:cs="Arial"/>
          <w:sz w:val="20"/>
          <w:szCs w:val="20"/>
        </w:rPr>
      </w:pPr>
      <w:hyperlink r:id="rId10">
        <w:r w:rsidRPr="009221A3">
          <w:rPr>
            <w:rFonts w:ascii="Arial" w:hAnsi="Arial" w:cs="Arial"/>
            <w:color w:val="000000"/>
            <w:sz w:val="20"/>
            <w:szCs w:val="20"/>
          </w:rPr>
          <w:t>www.wsj.com/market-data/quotes/MAR/financials.</w:t>
        </w:r>
      </w:hyperlink>
    </w:p>
    <w:p w14:paraId="10B706E8" w14:textId="77777777" w:rsidR="002F52D7" w:rsidRPr="009221A3" w:rsidRDefault="00000000">
      <w:pPr>
        <w:numPr>
          <w:ilvl w:val="1"/>
          <w:numId w:val="4"/>
        </w:numPr>
        <w:pBdr>
          <w:top w:val="nil"/>
          <w:left w:val="nil"/>
          <w:bottom w:val="nil"/>
          <w:right w:val="nil"/>
          <w:between w:val="nil"/>
        </w:pBdr>
        <w:spacing w:line="276" w:lineRule="auto"/>
        <w:jc w:val="both"/>
        <w:rPr>
          <w:rFonts w:ascii="Arial" w:hAnsi="Arial" w:cs="Arial"/>
          <w:color w:val="000000"/>
          <w:sz w:val="20"/>
          <w:szCs w:val="20"/>
        </w:rPr>
      </w:pPr>
      <w:r w:rsidRPr="009221A3">
        <w:rPr>
          <w:rFonts w:ascii="Arial" w:hAnsi="Arial" w:cs="Arial"/>
          <w:i/>
          <w:color w:val="000000"/>
          <w:sz w:val="20"/>
          <w:szCs w:val="20"/>
        </w:rPr>
        <w:t>Login</w:t>
      </w:r>
      <w:r w:rsidRPr="009221A3">
        <w:rPr>
          <w:rFonts w:ascii="Arial" w:hAnsi="Arial" w:cs="Arial"/>
          <w:color w:val="000000"/>
          <w:sz w:val="20"/>
          <w:szCs w:val="20"/>
        </w:rPr>
        <w:t>, jwuglobaltradingcenter.stocktrak.com/portfolio/</w:t>
      </w:r>
      <w:proofErr w:type="spellStart"/>
      <w:r w:rsidRPr="009221A3">
        <w:rPr>
          <w:rFonts w:ascii="Arial" w:hAnsi="Arial" w:cs="Arial"/>
          <w:color w:val="000000"/>
          <w:sz w:val="20"/>
          <w:szCs w:val="20"/>
        </w:rPr>
        <w:t>openpositions</w:t>
      </w:r>
      <w:proofErr w:type="spellEnd"/>
      <w:r w:rsidRPr="009221A3">
        <w:rPr>
          <w:rFonts w:ascii="Arial" w:hAnsi="Arial" w:cs="Arial"/>
          <w:color w:val="000000"/>
          <w:sz w:val="20"/>
          <w:szCs w:val="20"/>
        </w:rPr>
        <w:t>.</w:t>
      </w:r>
    </w:p>
    <w:p w14:paraId="5890BCFC"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Rocha, R. A. (2022). </w:t>
      </w:r>
      <w:r>
        <w:rPr>
          <w:rFonts w:ascii="Arial" w:eastAsia="Arial" w:hAnsi="Arial" w:cs="Arial"/>
          <w:i/>
          <w:color w:val="222222"/>
          <w:sz w:val="20"/>
          <w:szCs w:val="20"/>
          <w:highlight w:val="white"/>
        </w:rPr>
        <w:t>Hilton equity research-the value under Hilton´ s strong brand portfolio</w:t>
      </w:r>
      <w:r>
        <w:rPr>
          <w:rFonts w:ascii="Arial" w:eastAsia="Arial" w:hAnsi="Arial" w:cs="Arial"/>
          <w:color w:val="222222"/>
          <w:sz w:val="20"/>
          <w:szCs w:val="20"/>
          <w:highlight w:val="white"/>
        </w:rPr>
        <w:t> (Doctoral dissertation).</w:t>
      </w:r>
    </w:p>
    <w:p w14:paraId="43AEED0F"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Austin, N., &amp; </w:t>
      </w:r>
      <w:proofErr w:type="spellStart"/>
      <w:r>
        <w:rPr>
          <w:rFonts w:ascii="Arial" w:eastAsia="Arial" w:hAnsi="Arial" w:cs="Arial"/>
          <w:color w:val="222222"/>
          <w:sz w:val="20"/>
          <w:szCs w:val="20"/>
          <w:highlight w:val="white"/>
        </w:rPr>
        <w:t>Phalippou</w:t>
      </w:r>
      <w:proofErr w:type="spellEnd"/>
      <w:r>
        <w:rPr>
          <w:rFonts w:ascii="Arial" w:eastAsia="Arial" w:hAnsi="Arial" w:cs="Arial"/>
          <w:color w:val="222222"/>
          <w:sz w:val="20"/>
          <w:szCs w:val="20"/>
          <w:highlight w:val="white"/>
        </w:rPr>
        <w:t>, L. (2022). Decomposing Value Gains-The Case of the Best Leveraged Buy-Out ever. </w:t>
      </w:r>
      <w:r>
        <w:rPr>
          <w:rFonts w:ascii="Arial" w:eastAsia="Arial" w:hAnsi="Arial" w:cs="Arial"/>
          <w:i/>
          <w:color w:val="222222"/>
          <w:sz w:val="20"/>
          <w:szCs w:val="20"/>
          <w:highlight w:val="white"/>
        </w:rPr>
        <w:t>University of Oxford, Said Business School, Working Paper</w:t>
      </w:r>
      <w:r>
        <w:rPr>
          <w:rFonts w:ascii="Arial" w:eastAsia="Arial" w:hAnsi="Arial" w:cs="Arial"/>
          <w:color w:val="222222"/>
          <w:sz w:val="20"/>
          <w:szCs w:val="20"/>
          <w:highlight w:val="white"/>
        </w:rPr>
        <w:t>.</w:t>
      </w:r>
    </w:p>
    <w:p w14:paraId="28C9264D"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Seruna, A. (2022). </w:t>
      </w:r>
      <w:r>
        <w:rPr>
          <w:rFonts w:ascii="Arial" w:eastAsia="Arial" w:hAnsi="Arial" w:cs="Arial"/>
          <w:i/>
          <w:color w:val="222222"/>
          <w:sz w:val="20"/>
          <w:szCs w:val="20"/>
          <w:highlight w:val="white"/>
        </w:rPr>
        <w:t>Equity research on intercontinental hotels group Plc-enduring the implications of Covid-19</w:t>
      </w:r>
      <w:r>
        <w:rPr>
          <w:rFonts w:ascii="Arial" w:eastAsia="Arial" w:hAnsi="Arial" w:cs="Arial"/>
          <w:color w:val="222222"/>
          <w:sz w:val="20"/>
          <w:szCs w:val="20"/>
          <w:highlight w:val="white"/>
        </w:rPr>
        <w:t> (Doctoral dissertation).</w:t>
      </w:r>
    </w:p>
    <w:p w14:paraId="47CF273F"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proofErr w:type="spellStart"/>
      <w:r>
        <w:rPr>
          <w:rFonts w:ascii="Arial" w:eastAsia="Arial" w:hAnsi="Arial" w:cs="Arial"/>
          <w:color w:val="222222"/>
          <w:sz w:val="20"/>
          <w:szCs w:val="20"/>
          <w:highlight w:val="white"/>
        </w:rPr>
        <w:t>Envall</w:t>
      </w:r>
      <w:proofErr w:type="spellEnd"/>
      <w:r>
        <w:rPr>
          <w:rFonts w:ascii="Arial" w:eastAsia="Arial" w:hAnsi="Arial" w:cs="Arial"/>
          <w:color w:val="222222"/>
          <w:sz w:val="20"/>
          <w:szCs w:val="20"/>
          <w:highlight w:val="white"/>
        </w:rPr>
        <w:t xml:space="preserve">, D., &amp; </w:t>
      </w:r>
      <w:proofErr w:type="spellStart"/>
      <w:r>
        <w:rPr>
          <w:rFonts w:ascii="Arial" w:eastAsia="Arial" w:hAnsi="Arial" w:cs="Arial"/>
          <w:color w:val="222222"/>
          <w:sz w:val="20"/>
          <w:szCs w:val="20"/>
          <w:highlight w:val="white"/>
        </w:rPr>
        <w:t>Blåberg</w:t>
      </w:r>
      <w:proofErr w:type="spellEnd"/>
      <w:r>
        <w:rPr>
          <w:rFonts w:ascii="Arial" w:eastAsia="Arial" w:hAnsi="Arial" w:cs="Arial"/>
          <w:color w:val="222222"/>
          <w:sz w:val="20"/>
          <w:szCs w:val="20"/>
          <w:highlight w:val="white"/>
        </w:rPr>
        <w:t xml:space="preserve"> </w:t>
      </w:r>
      <w:proofErr w:type="spellStart"/>
      <w:r>
        <w:rPr>
          <w:rFonts w:ascii="Arial" w:eastAsia="Arial" w:hAnsi="Arial" w:cs="Arial"/>
          <w:color w:val="222222"/>
          <w:sz w:val="20"/>
          <w:szCs w:val="20"/>
          <w:highlight w:val="white"/>
        </w:rPr>
        <w:t>Kristoffersson</w:t>
      </w:r>
      <w:proofErr w:type="spellEnd"/>
      <w:r>
        <w:rPr>
          <w:rFonts w:ascii="Arial" w:eastAsia="Arial" w:hAnsi="Arial" w:cs="Arial"/>
          <w:color w:val="222222"/>
          <w:sz w:val="20"/>
          <w:szCs w:val="20"/>
          <w:highlight w:val="white"/>
        </w:rPr>
        <w:t>, P. (2022). The buzz behind the stock market: Analysis and characterization of the social media activity around the time of big stock valuation changes.</w:t>
      </w:r>
    </w:p>
    <w:p w14:paraId="71217C77"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Schwartz, H. M. (2022). Intellectual property, </w:t>
      </w:r>
      <w:proofErr w:type="spellStart"/>
      <w:r>
        <w:rPr>
          <w:rFonts w:ascii="Arial" w:eastAsia="Arial" w:hAnsi="Arial" w:cs="Arial"/>
          <w:color w:val="222222"/>
          <w:sz w:val="20"/>
          <w:szCs w:val="20"/>
          <w:highlight w:val="white"/>
        </w:rPr>
        <w:t>technorents</w:t>
      </w:r>
      <w:proofErr w:type="spellEnd"/>
      <w:r>
        <w:rPr>
          <w:rFonts w:ascii="Arial" w:eastAsia="Arial" w:hAnsi="Arial" w:cs="Arial"/>
          <w:color w:val="222222"/>
          <w:sz w:val="20"/>
          <w:szCs w:val="20"/>
          <w:highlight w:val="white"/>
        </w:rPr>
        <w:t xml:space="preserve"> and the </w:t>
      </w:r>
      <w:proofErr w:type="spellStart"/>
      <w:r>
        <w:rPr>
          <w:rFonts w:ascii="Arial" w:eastAsia="Arial" w:hAnsi="Arial" w:cs="Arial"/>
          <w:color w:val="222222"/>
          <w:sz w:val="20"/>
          <w:szCs w:val="20"/>
          <w:highlight w:val="white"/>
        </w:rPr>
        <w:t>labour</w:t>
      </w:r>
      <w:proofErr w:type="spellEnd"/>
      <w:r>
        <w:rPr>
          <w:rFonts w:ascii="Arial" w:eastAsia="Arial" w:hAnsi="Arial" w:cs="Arial"/>
          <w:color w:val="222222"/>
          <w:sz w:val="20"/>
          <w:szCs w:val="20"/>
          <w:highlight w:val="white"/>
        </w:rPr>
        <w:t xml:space="preserve"> share of production. </w:t>
      </w:r>
      <w:r>
        <w:rPr>
          <w:rFonts w:ascii="Arial" w:eastAsia="Arial" w:hAnsi="Arial" w:cs="Arial"/>
          <w:i/>
          <w:color w:val="222222"/>
          <w:sz w:val="20"/>
          <w:szCs w:val="20"/>
          <w:highlight w:val="white"/>
        </w:rPr>
        <w:t>Competition &amp; Change</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26</w:t>
      </w:r>
      <w:r>
        <w:rPr>
          <w:rFonts w:ascii="Arial" w:eastAsia="Arial" w:hAnsi="Arial" w:cs="Arial"/>
          <w:color w:val="222222"/>
          <w:sz w:val="20"/>
          <w:szCs w:val="20"/>
          <w:highlight w:val="white"/>
        </w:rPr>
        <w:t>(3-4), 415-435.</w:t>
      </w:r>
    </w:p>
    <w:p w14:paraId="2CB0E69B"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Alameri, M., </w:t>
      </w:r>
      <w:proofErr w:type="spellStart"/>
      <w:r>
        <w:rPr>
          <w:rFonts w:ascii="Arial" w:eastAsia="Arial" w:hAnsi="Arial" w:cs="Arial"/>
          <w:color w:val="222222"/>
          <w:sz w:val="20"/>
          <w:szCs w:val="20"/>
          <w:highlight w:val="white"/>
        </w:rPr>
        <w:t>Alshamsi</w:t>
      </w:r>
      <w:proofErr w:type="spellEnd"/>
      <w:r>
        <w:rPr>
          <w:rFonts w:ascii="Arial" w:eastAsia="Arial" w:hAnsi="Arial" w:cs="Arial"/>
          <w:color w:val="222222"/>
          <w:sz w:val="20"/>
          <w:szCs w:val="20"/>
          <w:highlight w:val="white"/>
        </w:rPr>
        <w:t xml:space="preserve">, F., Alsaedi, S., Alkaabi, A., Alamri, R., </w:t>
      </w:r>
      <w:proofErr w:type="spellStart"/>
      <w:r>
        <w:rPr>
          <w:rFonts w:ascii="Arial" w:eastAsia="Arial" w:hAnsi="Arial" w:cs="Arial"/>
          <w:color w:val="222222"/>
          <w:sz w:val="20"/>
          <w:szCs w:val="20"/>
          <w:highlight w:val="white"/>
        </w:rPr>
        <w:t>Alshamsi</w:t>
      </w:r>
      <w:proofErr w:type="spellEnd"/>
      <w:r>
        <w:rPr>
          <w:rFonts w:ascii="Arial" w:eastAsia="Arial" w:hAnsi="Arial" w:cs="Arial"/>
          <w:color w:val="222222"/>
          <w:sz w:val="20"/>
          <w:szCs w:val="20"/>
          <w:highlight w:val="white"/>
        </w:rPr>
        <w:t xml:space="preserve">, M., &amp; </w:t>
      </w:r>
      <w:proofErr w:type="spellStart"/>
      <w:r>
        <w:rPr>
          <w:rFonts w:ascii="Arial" w:eastAsia="Arial" w:hAnsi="Arial" w:cs="Arial"/>
          <w:color w:val="222222"/>
          <w:sz w:val="20"/>
          <w:szCs w:val="20"/>
          <w:highlight w:val="white"/>
        </w:rPr>
        <w:t>Nobanee</w:t>
      </w:r>
      <w:proofErr w:type="spellEnd"/>
      <w:r>
        <w:rPr>
          <w:rFonts w:ascii="Arial" w:eastAsia="Arial" w:hAnsi="Arial" w:cs="Arial"/>
          <w:color w:val="222222"/>
          <w:sz w:val="20"/>
          <w:szCs w:val="20"/>
          <w:highlight w:val="white"/>
        </w:rPr>
        <w:t>, H. (2021). Financial Analysis of Hilton Holdings. </w:t>
      </w:r>
      <w:r>
        <w:rPr>
          <w:rFonts w:ascii="Arial" w:eastAsia="Arial" w:hAnsi="Arial" w:cs="Arial"/>
          <w:i/>
          <w:color w:val="222222"/>
          <w:sz w:val="20"/>
          <w:szCs w:val="20"/>
          <w:highlight w:val="white"/>
        </w:rPr>
        <w:t>Available at SSRN</w:t>
      </w:r>
      <w:r>
        <w:rPr>
          <w:rFonts w:ascii="Arial" w:eastAsia="Arial" w:hAnsi="Arial" w:cs="Arial"/>
          <w:color w:val="222222"/>
          <w:sz w:val="20"/>
          <w:szCs w:val="20"/>
          <w:highlight w:val="white"/>
        </w:rPr>
        <w:t>.</w:t>
      </w:r>
    </w:p>
    <w:p w14:paraId="198B8813"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Passmore, W., &amp; </w:t>
      </w:r>
      <w:proofErr w:type="spellStart"/>
      <w:r>
        <w:rPr>
          <w:rFonts w:ascii="Arial" w:eastAsia="Arial" w:hAnsi="Arial" w:cs="Arial"/>
          <w:color w:val="222222"/>
          <w:sz w:val="20"/>
          <w:szCs w:val="20"/>
          <w:highlight w:val="white"/>
        </w:rPr>
        <w:t>Temesvary</w:t>
      </w:r>
      <w:proofErr w:type="spellEnd"/>
      <w:r>
        <w:rPr>
          <w:rFonts w:ascii="Arial" w:eastAsia="Arial" w:hAnsi="Arial" w:cs="Arial"/>
          <w:color w:val="222222"/>
          <w:sz w:val="20"/>
          <w:szCs w:val="20"/>
          <w:highlight w:val="white"/>
        </w:rPr>
        <w:t xml:space="preserve">, J. (2022). How investor demands for safety influence bank capital and liquidity trade-offs. </w:t>
      </w:r>
      <w:r>
        <w:rPr>
          <w:rFonts w:ascii="Arial" w:eastAsia="Arial" w:hAnsi="Arial" w:cs="Arial"/>
          <w:i/>
          <w:color w:val="222222"/>
          <w:sz w:val="20"/>
          <w:szCs w:val="20"/>
          <w:highlight w:val="white"/>
        </w:rPr>
        <w:t>Journal of Financial Stability</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60</w:t>
      </w:r>
      <w:r>
        <w:rPr>
          <w:rFonts w:ascii="Arial" w:eastAsia="Arial" w:hAnsi="Arial" w:cs="Arial"/>
          <w:color w:val="222222"/>
          <w:sz w:val="20"/>
          <w:szCs w:val="20"/>
          <w:highlight w:val="white"/>
        </w:rPr>
        <w:t>, 100987.</w:t>
      </w:r>
    </w:p>
    <w:p w14:paraId="4BCEF8C2" w14:textId="3F9C0713" w:rsidR="002F52D7" w:rsidRPr="009221A3" w:rsidRDefault="00000000" w:rsidP="009221A3">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BIAN, Y. (2022). Private Equity Valuation under Model Uncertainty. </w:t>
      </w:r>
      <w:r>
        <w:rPr>
          <w:rFonts w:ascii="Arial" w:eastAsia="Arial" w:hAnsi="Arial" w:cs="Arial"/>
          <w:i/>
          <w:color w:val="222222"/>
          <w:sz w:val="20"/>
          <w:szCs w:val="20"/>
          <w:highlight w:val="white"/>
        </w:rPr>
        <w:t>The Journal of Asian Finance, Economics and Business</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9</w:t>
      </w:r>
      <w:r>
        <w:rPr>
          <w:rFonts w:ascii="Arial" w:eastAsia="Arial" w:hAnsi="Arial" w:cs="Arial"/>
          <w:color w:val="222222"/>
          <w:sz w:val="20"/>
          <w:szCs w:val="20"/>
          <w:highlight w:val="white"/>
        </w:rPr>
        <w:t>(1), 1-11.</w:t>
      </w:r>
    </w:p>
    <w:p w14:paraId="5E2A0FC7"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proofErr w:type="spellStart"/>
      <w:r>
        <w:rPr>
          <w:rFonts w:ascii="Arial" w:eastAsia="Arial" w:hAnsi="Arial" w:cs="Arial"/>
          <w:color w:val="222222"/>
          <w:sz w:val="20"/>
          <w:szCs w:val="20"/>
          <w:highlight w:val="white"/>
        </w:rPr>
        <w:t>Budhi</w:t>
      </w:r>
      <w:proofErr w:type="spellEnd"/>
      <w:r>
        <w:rPr>
          <w:rFonts w:ascii="Arial" w:eastAsia="Arial" w:hAnsi="Arial" w:cs="Arial"/>
          <w:color w:val="222222"/>
          <w:sz w:val="20"/>
          <w:szCs w:val="20"/>
          <w:highlight w:val="white"/>
        </w:rPr>
        <w:t xml:space="preserve">, S., &amp; Jamaluddin, J. (2022). OPTIMIZATION OF ASSET UTILIZATION WITH BUILD-TO-SHIFT PATTERN TO INCREASE REVENUE OF PUBLIC SERVICE AGENCY AREA HOSPITAL DREAM REGION IN BANJARBARU CITY. </w:t>
      </w:r>
      <w:r>
        <w:rPr>
          <w:rFonts w:ascii="Arial" w:eastAsia="Arial" w:hAnsi="Arial" w:cs="Arial"/>
          <w:i/>
          <w:color w:val="222222"/>
          <w:sz w:val="20"/>
          <w:szCs w:val="20"/>
          <w:highlight w:val="white"/>
        </w:rPr>
        <w:t>International Journal Political, Law, and Social Science</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3</w:t>
      </w:r>
      <w:r>
        <w:rPr>
          <w:rFonts w:ascii="Arial" w:eastAsia="Arial" w:hAnsi="Arial" w:cs="Arial"/>
          <w:color w:val="222222"/>
          <w:sz w:val="20"/>
          <w:szCs w:val="20"/>
          <w:highlight w:val="white"/>
        </w:rPr>
        <w:t>(1).</w:t>
      </w:r>
    </w:p>
    <w:p w14:paraId="0EAC3550"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Crespo Márquez, A. (2022). Advanced Asset Performance Management (APM) and Asset Investment Planning (AIP) Systems. In </w:t>
      </w:r>
      <w:r>
        <w:rPr>
          <w:rFonts w:ascii="Arial" w:eastAsia="Arial" w:hAnsi="Arial" w:cs="Arial"/>
          <w:i/>
          <w:color w:val="222222"/>
          <w:sz w:val="20"/>
          <w:szCs w:val="20"/>
          <w:highlight w:val="white"/>
        </w:rPr>
        <w:t>Digital Maintenance Management</w:t>
      </w:r>
      <w:r>
        <w:rPr>
          <w:rFonts w:ascii="Arial" w:eastAsia="Arial" w:hAnsi="Arial" w:cs="Arial"/>
          <w:color w:val="222222"/>
          <w:sz w:val="20"/>
          <w:szCs w:val="20"/>
          <w:highlight w:val="white"/>
        </w:rPr>
        <w:t xml:space="preserve"> (pp. 43-53). Springer, Cham.</w:t>
      </w:r>
    </w:p>
    <w:p w14:paraId="7F8606BD"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Javed, A. (2021, December). Enhance the Plant Operating Capacity-Maximize the Revenue/Asset Utilization. In </w:t>
      </w:r>
      <w:r>
        <w:rPr>
          <w:rFonts w:ascii="Arial" w:eastAsia="Arial" w:hAnsi="Arial" w:cs="Arial"/>
          <w:i/>
          <w:color w:val="222222"/>
          <w:sz w:val="20"/>
          <w:szCs w:val="20"/>
          <w:highlight w:val="white"/>
        </w:rPr>
        <w:t>Abu Dhabi International Petroleum Exhibition &amp; Conference</w:t>
      </w:r>
      <w:r>
        <w:rPr>
          <w:rFonts w:ascii="Arial" w:eastAsia="Arial" w:hAnsi="Arial" w:cs="Arial"/>
          <w:color w:val="222222"/>
          <w:sz w:val="20"/>
          <w:szCs w:val="20"/>
          <w:highlight w:val="white"/>
        </w:rPr>
        <w:t xml:space="preserve">. </w:t>
      </w:r>
      <w:proofErr w:type="spellStart"/>
      <w:r>
        <w:rPr>
          <w:rFonts w:ascii="Arial" w:eastAsia="Arial" w:hAnsi="Arial" w:cs="Arial"/>
          <w:color w:val="222222"/>
          <w:sz w:val="20"/>
          <w:szCs w:val="20"/>
          <w:highlight w:val="white"/>
        </w:rPr>
        <w:t>OnePetro</w:t>
      </w:r>
      <w:proofErr w:type="spellEnd"/>
      <w:r>
        <w:rPr>
          <w:rFonts w:ascii="Arial" w:eastAsia="Arial" w:hAnsi="Arial" w:cs="Arial"/>
          <w:color w:val="222222"/>
          <w:sz w:val="20"/>
          <w:szCs w:val="20"/>
          <w:highlight w:val="white"/>
        </w:rPr>
        <w:t>.</w:t>
      </w:r>
    </w:p>
    <w:p w14:paraId="53BD8834"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proofErr w:type="spellStart"/>
      <w:r>
        <w:rPr>
          <w:rFonts w:ascii="Arial" w:eastAsia="Arial" w:hAnsi="Arial" w:cs="Arial"/>
          <w:color w:val="222222"/>
          <w:sz w:val="20"/>
          <w:szCs w:val="20"/>
          <w:highlight w:val="white"/>
        </w:rPr>
        <w:t>Hendrawati</w:t>
      </w:r>
      <w:proofErr w:type="spellEnd"/>
      <w:r>
        <w:rPr>
          <w:rFonts w:ascii="Arial" w:eastAsia="Arial" w:hAnsi="Arial" w:cs="Arial"/>
          <w:color w:val="222222"/>
          <w:sz w:val="20"/>
          <w:szCs w:val="20"/>
          <w:highlight w:val="white"/>
        </w:rPr>
        <w:t xml:space="preserve">, E. (2021). Asset Utilization Optimization, Local Government Support, Asset Management Professionalism Towards Increasing Village Original Income. </w:t>
      </w:r>
      <w:proofErr w:type="spellStart"/>
      <w:r>
        <w:rPr>
          <w:rFonts w:ascii="Arial" w:eastAsia="Arial" w:hAnsi="Arial" w:cs="Arial"/>
          <w:i/>
          <w:color w:val="222222"/>
          <w:sz w:val="20"/>
          <w:szCs w:val="20"/>
          <w:highlight w:val="white"/>
        </w:rPr>
        <w:t>Jurnal</w:t>
      </w:r>
      <w:proofErr w:type="spellEnd"/>
      <w:r>
        <w:rPr>
          <w:rFonts w:ascii="Arial" w:eastAsia="Arial" w:hAnsi="Arial" w:cs="Arial"/>
          <w:i/>
          <w:color w:val="222222"/>
          <w:sz w:val="20"/>
          <w:szCs w:val="20"/>
          <w:highlight w:val="white"/>
        </w:rPr>
        <w:t xml:space="preserve"> </w:t>
      </w:r>
      <w:proofErr w:type="spellStart"/>
      <w:r>
        <w:rPr>
          <w:rFonts w:ascii="Arial" w:eastAsia="Arial" w:hAnsi="Arial" w:cs="Arial"/>
          <w:i/>
          <w:color w:val="222222"/>
          <w:sz w:val="20"/>
          <w:szCs w:val="20"/>
          <w:highlight w:val="white"/>
        </w:rPr>
        <w:t>Akuntansi</w:t>
      </w:r>
      <w:proofErr w:type="spellEnd"/>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11</w:t>
      </w:r>
      <w:r>
        <w:rPr>
          <w:rFonts w:ascii="Arial" w:eastAsia="Arial" w:hAnsi="Arial" w:cs="Arial"/>
          <w:color w:val="222222"/>
          <w:sz w:val="20"/>
          <w:szCs w:val="20"/>
          <w:highlight w:val="white"/>
        </w:rPr>
        <w:t>(2), 163-174.</w:t>
      </w:r>
    </w:p>
    <w:p w14:paraId="291F235C"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proofErr w:type="spellStart"/>
      <w:r>
        <w:rPr>
          <w:rFonts w:ascii="Arial" w:eastAsia="Arial" w:hAnsi="Arial" w:cs="Arial"/>
          <w:color w:val="222222"/>
          <w:sz w:val="20"/>
          <w:szCs w:val="20"/>
          <w:highlight w:val="white"/>
        </w:rPr>
        <w:t>Khoirudin</w:t>
      </w:r>
      <w:proofErr w:type="spellEnd"/>
      <w:r>
        <w:rPr>
          <w:rFonts w:ascii="Arial" w:eastAsia="Arial" w:hAnsi="Arial" w:cs="Arial"/>
          <w:color w:val="222222"/>
          <w:sz w:val="20"/>
          <w:szCs w:val="20"/>
          <w:highlight w:val="white"/>
        </w:rPr>
        <w:t xml:space="preserve">, R., Wahyuni, S., &amp; </w:t>
      </w:r>
      <w:proofErr w:type="spellStart"/>
      <w:r>
        <w:rPr>
          <w:rFonts w:ascii="Arial" w:eastAsia="Arial" w:hAnsi="Arial" w:cs="Arial"/>
          <w:color w:val="222222"/>
          <w:sz w:val="20"/>
          <w:szCs w:val="20"/>
          <w:highlight w:val="white"/>
        </w:rPr>
        <w:t>Nugraha</w:t>
      </w:r>
      <w:proofErr w:type="spellEnd"/>
      <w:r>
        <w:rPr>
          <w:rFonts w:ascii="Arial" w:eastAsia="Arial" w:hAnsi="Arial" w:cs="Arial"/>
          <w:color w:val="222222"/>
          <w:sz w:val="20"/>
          <w:szCs w:val="20"/>
          <w:highlight w:val="white"/>
        </w:rPr>
        <w:t xml:space="preserve">, C. B. (2021). Distribution of Optimized Public Assets </w:t>
      </w:r>
      <w:r>
        <w:rPr>
          <w:rFonts w:ascii="Arial" w:eastAsia="Arial" w:hAnsi="Arial" w:cs="Arial"/>
          <w:color w:val="222222"/>
          <w:sz w:val="20"/>
          <w:szCs w:val="20"/>
          <w:highlight w:val="white"/>
        </w:rPr>
        <w:lastRenderedPageBreak/>
        <w:t xml:space="preserve">Utilization in Yogyakarta Province. </w:t>
      </w:r>
      <w:proofErr w:type="spellStart"/>
      <w:r>
        <w:rPr>
          <w:rFonts w:ascii="Arial" w:eastAsia="Arial" w:hAnsi="Arial" w:cs="Arial"/>
          <w:i/>
          <w:color w:val="222222"/>
          <w:sz w:val="20"/>
          <w:szCs w:val="20"/>
          <w:highlight w:val="white"/>
        </w:rPr>
        <w:t>Jurnal</w:t>
      </w:r>
      <w:proofErr w:type="spellEnd"/>
      <w:r>
        <w:rPr>
          <w:rFonts w:ascii="Arial" w:eastAsia="Arial" w:hAnsi="Arial" w:cs="Arial"/>
          <w:i/>
          <w:color w:val="222222"/>
          <w:sz w:val="20"/>
          <w:szCs w:val="20"/>
          <w:highlight w:val="white"/>
        </w:rPr>
        <w:t xml:space="preserve"> </w:t>
      </w:r>
      <w:proofErr w:type="spellStart"/>
      <w:r>
        <w:rPr>
          <w:rFonts w:ascii="Arial" w:eastAsia="Arial" w:hAnsi="Arial" w:cs="Arial"/>
          <w:i/>
          <w:color w:val="222222"/>
          <w:sz w:val="20"/>
          <w:szCs w:val="20"/>
          <w:highlight w:val="white"/>
        </w:rPr>
        <w:t>Analisis</w:t>
      </w:r>
      <w:proofErr w:type="spellEnd"/>
      <w:r>
        <w:rPr>
          <w:rFonts w:ascii="Arial" w:eastAsia="Arial" w:hAnsi="Arial" w:cs="Arial"/>
          <w:i/>
          <w:color w:val="222222"/>
          <w:sz w:val="20"/>
          <w:szCs w:val="20"/>
          <w:highlight w:val="white"/>
        </w:rPr>
        <w:t xml:space="preserve"> </w:t>
      </w:r>
      <w:proofErr w:type="spellStart"/>
      <w:r>
        <w:rPr>
          <w:rFonts w:ascii="Arial" w:eastAsia="Arial" w:hAnsi="Arial" w:cs="Arial"/>
          <w:i/>
          <w:color w:val="222222"/>
          <w:sz w:val="20"/>
          <w:szCs w:val="20"/>
          <w:highlight w:val="white"/>
        </w:rPr>
        <w:t>Bisnis</w:t>
      </w:r>
      <w:proofErr w:type="spellEnd"/>
      <w:r>
        <w:rPr>
          <w:rFonts w:ascii="Arial" w:eastAsia="Arial" w:hAnsi="Arial" w:cs="Arial"/>
          <w:i/>
          <w:color w:val="222222"/>
          <w:sz w:val="20"/>
          <w:szCs w:val="20"/>
          <w:highlight w:val="white"/>
        </w:rPr>
        <w:t xml:space="preserve"> Ekonomi</w:t>
      </w:r>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19</w:t>
      </w:r>
      <w:r>
        <w:rPr>
          <w:rFonts w:ascii="Arial" w:eastAsia="Arial" w:hAnsi="Arial" w:cs="Arial"/>
          <w:color w:val="222222"/>
          <w:sz w:val="20"/>
          <w:szCs w:val="20"/>
          <w:highlight w:val="white"/>
        </w:rPr>
        <w:t>(1), 48-62.</w:t>
      </w:r>
    </w:p>
    <w:p w14:paraId="2A9C4C8D" w14:textId="77777777" w:rsidR="002F52D7" w:rsidRDefault="00000000">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Alameri, M., </w:t>
      </w:r>
      <w:proofErr w:type="spellStart"/>
      <w:r>
        <w:rPr>
          <w:rFonts w:ascii="Arial" w:eastAsia="Arial" w:hAnsi="Arial" w:cs="Arial"/>
          <w:color w:val="222222"/>
          <w:sz w:val="20"/>
          <w:szCs w:val="20"/>
          <w:highlight w:val="white"/>
        </w:rPr>
        <w:t>Alshamsi</w:t>
      </w:r>
      <w:proofErr w:type="spellEnd"/>
      <w:r>
        <w:rPr>
          <w:rFonts w:ascii="Arial" w:eastAsia="Arial" w:hAnsi="Arial" w:cs="Arial"/>
          <w:color w:val="222222"/>
          <w:sz w:val="20"/>
          <w:szCs w:val="20"/>
          <w:highlight w:val="white"/>
        </w:rPr>
        <w:t xml:space="preserve">, F., Alsaedi, S., Alkaabi, A., Alamri, R., </w:t>
      </w:r>
      <w:proofErr w:type="spellStart"/>
      <w:r>
        <w:rPr>
          <w:rFonts w:ascii="Arial" w:eastAsia="Arial" w:hAnsi="Arial" w:cs="Arial"/>
          <w:color w:val="222222"/>
          <w:sz w:val="20"/>
          <w:szCs w:val="20"/>
          <w:highlight w:val="white"/>
        </w:rPr>
        <w:t>Alshamsi</w:t>
      </w:r>
      <w:proofErr w:type="spellEnd"/>
      <w:r>
        <w:rPr>
          <w:rFonts w:ascii="Arial" w:eastAsia="Arial" w:hAnsi="Arial" w:cs="Arial"/>
          <w:color w:val="222222"/>
          <w:sz w:val="20"/>
          <w:szCs w:val="20"/>
          <w:highlight w:val="white"/>
        </w:rPr>
        <w:t xml:space="preserve">, M., &amp; </w:t>
      </w:r>
      <w:proofErr w:type="spellStart"/>
      <w:r>
        <w:rPr>
          <w:rFonts w:ascii="Arial" w:eastAsia="Arial" w:hAnsi="Arial" w:cs="Arial"/>
          <w:color w:val="222222"/>
          <w:sz w:val="20"/>
          <w:szCs w:val="20"/>
          <w:highlight w:val="white"/>
        </w:rPr>
        <w:t>Nobanee</w:t>
      </w:r>
      <w:proofErr w:type="spellEnd"/>
      <w:r>
        <w:rPr>
          <w:rFonts w:ascii="Arial" w:eastAsia="Arial" w:hAnsi="Arial" w:cs="Arial"/>
          <w:color w:val="222222"/>
          <w:sz w:val="20"/>
          <w:szCs w:val="20"/>
          <w:highlight w:val="white"/>
        </w:rPr>
        <w:t xml:space="preserve">, H. (2021). Financial Analysis of Hilton Holdings. </w:t>
      </w:r>
      <w:r>
        <w:rPr>
          <w:rFonts w:ascii="Arial" w:eastAsia="Arial" w:hAnsi="Arial" w:cs="Arial"/>
          <w:i/>
          <w:color w:val="222222"/>
          <w:sz w:val="20"/>
          <w:szCs w:val="20"/>
          <w:highlight w:val="white"/>
        </w:rPr>
        <w:t>Available at SSRN</w:t>
      </w:r>
      <w:r>
        <w:rPr>
          <w:rFonts w:ascii="Arial" w:eastAsia="Arial" w:hAnsi="Arial" w:cs="Arial"/>
          <w:color w:val="222222"/>
          <w:sz w:val="20"/>
          <w:szCs w:val="20"/>
          <w:highlight w:val="white"/>
        </w:rPr>
        <w:t>.</w:t>
      </w:r>
    </w:p>
    <w:p w14:paraId="0BE2307E" w14:textId="5E3F8EEF" w:rsidR="002F52D7" w:rsidRPr="009221A3" w:rsidRDefault="00000000" w:rsidP="009221A3">
      <w:pPr>
        <w:numPr>
          <w:ilvl w:val="1"/>
          <w:numId w:val="4"/>
        </w:numPr>
        <w:pBdr>
          <w:top w:val="nil"/>
          <w:left w:val="nil"/>
          <w:bottom w:val="nil"/>
          <w:right w:val="nil"/>
          <w:between w:val="nil"/>
        </w:pBdr>
        <w:spacing w:line="276" w:lineRule="auto"/>
        <w:jc w:val="both"/>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Groves, C., &amp; Hilton, C. (2021). Montagu Lomax: The background and motivation of a ‘remarkable </w:t>
      </w:r>
      <w:proofErr w:type="spellStart"/>
      <w:r>
        <w:rPr>
          <w:rFonts w:ascii="Arial" w:eastAsia="Arial" w:hAnsi="Arial" w:cs="Arial"/>
          <w:color w:val="222222"/>
          <w:sz w:val="20"/>
          <w:szCs w:val="20"/>
          <w:highlight w:val="white"/>
        </w:rPr>
        <w:t>man’who</w:t>
      </w:r>
      <w:proofErr w:type="spellEnd"/>
      <w:r>
        <w:rPr>
          <w:rFonts w:ascii="Arial" w:eastAsia="Arial" w:hAnsi="Arial" w:cs="Arial"/>
          <w:color w:val="222222"/>
          <w:sz w:val="20"/>
          <w:szCs w:val="20"/>
          <w:highlight w:val="white"/>
        </w:rPr>
        <w:t xml:space="preserve"> spearheaded lunacy reform. </w:t>
      </w:r>
      <w:r>
        <w:rPr>
          <w:rFonts w:ascii="Arial" w:eastAsia="Arial" w:hAnsi="Arial" w:cs="Arial"/>
          <w:i/>
          <w:color w:val="222222"/>
          <w:sz w:val="20"/>
          <w:szCs w:val="20"/>
          <w:highlight w:val="white"/>
        </w:rPr>
        <w:t>Journal of Medical Biography</w:t>
      </w:r>
      <w:r>
        <w:rPr>
          <w:rFonts w:ascii="Arial" w:eastAsia="Arial" w:hAnsi="Arial" w:cs="Arial"/>
          <w:color w:val="222222"/>
          <w:sz w:val="20"/>
          <w:szCs w:val="20"/>
          <w:highlight w:val="white"/>
        </w:rPr>
        <w:t>, 09677720211005268.</w:t>
      </w:r>
    </w:p>
    <w:p w14:paraId="7F6B01CD" w14:textId="77777777" w:rsidR="002F52D7" w:rsidRDefault="002F52D7">
      <w:pPr>
        <w:pBdr>
          <w:top w:val="nil"/>
          <w:left w:val="nil"/>
          <w:bottom w:val="nil"/>
          <w:right w:val="nil"/>
          <w:between w:val="nil"/>
        </w:pBdr>
        <w:spacing w:before="217" w:line="276" w:lineRule="auto"/>
        <w:ind w:left="735"/>
        <w:jc w:val="both"/>
        <w:rPr>
          <w:rFonts w:ascii="Arial" w:eastAsia="Arial" w:hAnsi="Arial" w:cs="Arial"/>
          <w:color w:val="222222"/>
          <w:sz w:val="20"/>
          <w:szCs w:val="20"/>
          <w:highlight w:val="white"/>
        </w:rPr>
      </w:pPr>
    </w:p>
    <w:sectPr w:rsidR="002F52D7">
      <w:pgSz w:w="12240" w:h="15840"/>
      <w:pgMar w:top="1360" w:right="1300" w:bottom="280" w:left="1260" w:header="73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47D65" w14:textId="77777777" w:rsidR="00833511" w:rsidRDefault="00833511">
      <w:r>
        <w:separator/>
      </w:r>
    </w:p>
  </w:endnote>
  <w:endnote w:type="continuationSeparator" w:id="0">
    <w:p w14:paraId="3F2E33CD" w14:textId="77777777" w:rsidR="00833511" w:rsidRDefault="00833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56C1B" w14:textId="77777777" w:rsidR="00833511" w:rsidRDefault="00833511">
      <w:r>
        <w:separator/>
      </w:r>
    </w:p>
  </w:footnote>
  <w:footnote w:type="continuationSeparator" w:id="0">
    <w:p w14:paraId="177D0A07" w14:textId="77777777" w:rsidR="00833511" w:rsidRDefault="00833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F270E" w14:textId="77777777" w:rsidR="002F52D7" w:rsidRDefault="00000000">
    <w:pPr>
      <w:pBdr>
        <w:top w:val="nil"/>
        <w:left w:val="nil"/>
        <w:bottom w:val="nil"/>
        <w:right w:val="nil"/>
        <w:between w:val="nil"/>
      </w:pBdr>
      <w:spacing w:line="14" w:lineRule="auto"/>
      <w:rPr>
        <w:color w:val="000000"/>
        <w:sz w:val="20"/>
        <w:szCs w:val="20"/>
      </w:rPr>
    </w:pPr>
    <w:r>
      <w:rPr>
        <w:noProof/>
        <w:color w:val="000000"/>
        <w:sz w:val="24"/>
        <w:szCs w:val="24"/>
      </w:rPr>
      <mc:AlternateContent>
        <mc:Choice Requires="wps">
          <w:drawing>
            <wp:anchor distT="0" distB="0" distL="0" distR="0" simplePos="0" relativeHeight="251658240" behindDoc="1" locked="0" layoutInCell="1" hidden="0" allowOverlap="1" wp14:anchorId="4D41CD07" wp14:editId="7063746F">
              <wp:simplePos x="0" y="0"/>
              <wp:positionH relativeFrom="page">
                <wp:posOffset>892176</wp:posOffset>
              </wp:positionH>
              <wp:positionV relativeFrom="page">
                <wp:posOffset>441326</wp:posOffset>
              </wp:positionV>
              <wp:extent cx="1633855" cy="213360"/>
              <wp:effectExtent l="0" t="0" r="0" b="0"/>
              <wp:wrapNone/>
              <wp:docPr id="2" name="Freeform: Shape 2"/>
              <wp:cNvGraphicFramePr/>
              <a:graphic xmlns:a="http://schemas.openxmlformats.org/drawingml/2006/main">
                <a:graphicData uri="http://schemas.microsoft.com/office/word/2010/wordprocessingShape">
                  <wps:wsp>
                    <wps:cNvSpPr/>
                    <wps:spPr>
                      <a:xfrm>
                        <a:off x="4538598" y="3682845"/>
                        <a:ext cx="1614805" cy="194310"/>
                      </a:xfrm>
                      <a:custGeom>
                        <a:avLst/>
                        <a:gdLst/>
                        <a:ahLst/>
                        <a:cxnLst/>
                        <a:rect l="l" t="t" r="r" b="b"/>
                        <a:pathLst>
                          <a:path w="1614805" h="194310" extrusionOk="0">
                            <a:moveTo>
                              <a:pt x="0" y="0"/>
                            </a:moveTo>
                            <a:lnTo>
                              <a:pt x="0" y="194310"/>
                            </a:lnTo>
                            <a:lnTo>
                              <a:pt x="1614805" y="194310"/>
                            </a:lnTo>
                            <a:lnTo>
                              <a:pt x="1614805" y="0"/>
                            </a:lnTo>
                            <a:close/>
                          </a:path>
                        </a:pathLst>
                      </a:custGeom>
                      <a:noFill/>
                      <a:ln>
                        <a:noFill/>
                      </a:ln>
                    </wps:spPr>
                    <wps:txbx>
                      <w:txbxContent>
                        <w:p w14:paraId="3276BFEF" w14:textId="77777777" w:rsidR="002F52D7" w:rsidRDefault="00000000">
                          <w:pPr>
                            <w:spacing w:before="10"/>
                            <w:ind w:left="20" w:firstLine="40"/>
                            <w:textDirection w:val="btLr"/>
                          </w:pPr>
                          <w:r>
                            <w:rPr>
                              <w:b/>
                              <w:color w:val="000000"/>
                              <w:sz w:val="24"/>
                            </w:rPr>
                            <w:t>Hilton Valuation Project</w:t>
                          </w:r>
                        </w:p>
                      </w:txbxContent>
                    </wps:txbx>
                    <wps:bodyPr spcFirstLastPara="1" wrap="square" lIns="88900" tIns="38100" rIns="88900" bIns="38100" anchor="t" anchorCtr="0">
                      <a:noAutofit/>
                    </wps:bodyPr>
                  </wps:wsp>
                </a:graphicData>
              </a:graphic>
            </wp:anchor>
          </w:drawing>
        </mc:Choice>
        <mc:Fallback>
          <w:pict>
            <v:shape w14:anchorId="4D41CD07" id="Freeform: Shape 2" o:spid="_x0000_s1026" style="position:absolute;margin-left:70.25pt;margin-top:34.75pt;width:128.65pt;height:16.8pt;z-index:-251658240;visibility:visible;mso-wrap-style:square;mso-wrap-distance-left:0;mso-wrap-distance-top:0;mso-wrap-distance-right:0;mso-wrap-distance-bottom:0;mso-position-horizontal:absolute;mso-position-horizontal-relative:page;mso-position-vertical:absolute;mso-position-vertical-relative:page;v-text-anchor:top" coordsize="1614805,1943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" adj="-11796480,,5400" path="m,l,194310r1614805,l1614805,,,xe" filled="f" stroked="f">
              <v:stroke joinstyle="miter"/>
              <v:formulas/>
              <v:path arrowok="t" o:extrusionok="f" o:connecttype="custom" textboxrect="0,0,1614805,194310"/>
              <v:textbox inset="7pt,3pt,7pt,3pt">
                <w:txbxContent>
                  <w:p w14:paraId="3276BFEF" w14:textId="77777777" w:rsidR="002F52D7" w:rsidRDefault="00000000">
                    <w:pPr>
                      <w:spacing w:before="10"/>
                      <w:ind w:left="20" w:firstLine="40"/>
                      <w:textDirection w:val="btLr"/>
                    </w:pPr>
                    <w:r>
                      <w:rPr>
                        <w:b/>
                        <w:color w:val="000000"/>
                        <w:sz w:val="24"/>
                      </w:rPr>
                      <w:t>Hilton Valuation Project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42A65"/>
    <w:multiLevelType w:val="multilevel"/>
    <w:tmpl w:val="2AA6A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CD0EF8"/>
    <w:multiLevelType w:val="multilevel"/>
    <w:tmpl w:val="D38E8E16"/>
    <w:lvl w:ilvl="0">
      <w:start w:val="1"/>
      <w:numFmt w:val="bullet"/>
      <w:lvlText w:val="●"/>
      <w:lvlJc w:val="left"/>
      <w:pPr>
        <w:ind w:left="1260" w:hanging="360"/>
      </w:pPr>
      <w:rPr>
        <w:rFonts w:ascii="Noto Sans" w:eastAsia="Noto Sans" w:hAnsi="Noto Sans" w:cs="Noto San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w:eastAsia="Noto Sans" w:hAnsi="Noto Sans" w:cs="Noto Sans"/>
      </w:rPr>
    </w:lvl>
    <w:lvl w:ilvl="3">
      <w:start w:val="1"/>
      <w:numFmt w:val="bullet"/>
      <w:lvlText w:val="●"/>
      <w:lvlJc w:val="left"/>
      <w:pPr>
        <w:ind w:left="3420" w:hanging="360"/>
      </w:pPr>
      <w:rPr>
        <w:rFonts w:ascii="Noto Sans" w:eastAsia="Noto Sans" w:hAnsi="Noto Sans" w:cs="Noto San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w:eastAsia="Noto Sans" w:hAnsi="Noto Sans" w:cs="Noto Sans"/>
      </w:rPr>
    </w:lvl>
    <w:lvl w:ilvl="6">
      <w:start w:val="1"/>
      <w:numFmt w:val="bullet"/>
      <w:lvlText w:val="●"/>
      <w:lvlJc w:val="left"/>
      <w:pPr>
        <w:ind w:left="5580" w:hanging="360"/>
      </w:pPr>
      <w:rPr>
        <w:rFonts w:ascii="Noto Sans" w:eastAsia="Noto Sans" w:hAnsi="Noto Sans" w:cs="Noto San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w:eastAsia="Noto Sans" w:hAnsi="Noto Sans" w:cs="Noto Sans"/>
      </w:rPr>
    </w:lvl>
  </w:abstractNum>
  <w:abstractNum w:abstractNumId="2" w15:restartNumberingAfterBreak="0">
    <w:nsid w:val="31CF1220"/>
    <w:multiLevelType w:val="multilevel"/>
    <w:tmpl w:val="34225744"/>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443C6806"/>
    <w:multiLevelType w:val="multilevel"/>
    <w:tmpl w:val="F4342E48"/>
    <w:lvl w:ilvl="0">
      <w:start w:val="1"/>
      <w:numFmt w:val="upperRoman"/>
      <w:lvlText w:val="%1."/>
      <w:lvlJc w:val="left"/>
      <w:pPr>
        <w:ind w:left="900" w:hanging="514"/>
      </w:pPr>
      <w:rPr>
        <w:rFonts w:ascii="Times New Roman" w:eastAsia="Times New Roman" w:hAnsi="Times New Roman" w:cs="Times New Roman"/>
        <w:b/>
        <w:sz w:val="24"/>
        <w:szCs w:val="24"/>
      </w:rPr>
    </w:lvl>
    <w:lvl w:ilvl="1">
      <w:start w:val="1"/>
      <w:numFmt w:val="upperLetter"/>
      <w:lvlText w:val="%2."/>
      <w:lvlJc w:val="left"/>
      <w:pPr>
        <w:ind w:left="1620" w:hanging="360"/>
      </w:pPr>
      <w:rPr>
        <w:rFonts w:ascii="Times New Roman" w:eastAsia="Times New Roman" w:hAnsi="Times New Roman" w:cs="Times New Roman"/>
        <w:sz w:val="24"/>
        <w:szCs w:val="24"/>
      </w:rPr>
    </w:lvl>
    <w:lvl w:ilvl="2">
      <w:numFmt w:val="bullet"/>
      <w:lvlText w:val="•"/>
      <w:lvlJc w:val="left"/>
      <w:pPr>
        <w:ind w:left="2515" w:hanging="360"/>
      </w:pPr>
    </w:lvl>
    <w:lvl w:ilvl="3">
      <w:numFmt w:val="bullet"/>
      <w:lvlText w:val="•"/>
      <w:lvlJc w:val="left"/>
      <w:pPr>
        <w:ind w:left="3411" w:hanging="360"/>
      </w:pPr>
    </w:lvl>
    <w:lvl w:ilvl="4">
      <w:numFmt w:val="bullet"/>
      <w:lvlText w:val="•"/>
      <w:lvlJc w:val="left"/>
      <w:pPr>
        <w:ind w:left="4306" w:hanging="360"/>
      </w:pPr>
    </w:lvl>
    <w:lvl w:ilvl="5">
      <w:numFmt w:val="bullet"/>
      <w:lvlText w:val="•"/>
      <w:lvlJc w:val="left"/>
      <w:pPr>
        <w:ind w:left="5202" w:hanging="360"/>
      </w:pPr>
    </w:lvl>
    <w:lvl w:ilvl="6">
      <w:numFmt w:val="bullet"/>
      <w:lvlText w:val="•"/>
      <w:lvlJc w:val="left"/>
      <w:pPr>
        <w:ind w:left="6097" w:hanging="360"/>
      </w:pPr>
    </w:lvl>
    <w:lvl w:ilvl="7">
      <w:numFmt w:val="bullet"/>
      <w:lvlText w:val="•"/>
      <w:lvlJc w:val="left"/>
      <w:pPr>
        <w:ind w:left="6993" w:hanging="360"/>
      </w:pPr>
    </w:lvl>
    <w:lvl w:ilvl="8">
      <w:numFmt w:val="bullet"/>
      <w:lvlText w:val="•"/>
      <w:lvlJc w:val="left"/>
      <w:pPr>
        <w:ind w:left="7888" w:hanging="360"/>
      </w:pPr>
    </w:lvl>
  </w:abstractNum>
  <w:num w:numId="1" w16cid:durableId="637225122">
    <w:abstractNumId w:val="3"/>
  </w:num>
  <w:num w:numId="2" w16cid:durableId="955522270">
    <w:abstractNumId w:val="2"/>
  </w:num>
  <w:num w:numId="3" w16cid:durableId="166942996">
    <w:abstractNumId w:val="1"/>
  </w:num>
  <w:num w:numId="4" w16cid:durableId="466512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2D7"/>
    <w:rsid w:val="002F52D7"/>
    <w:rsid w:val="006967D2"/>
    <w:rsid w:val="007F4E93"/>
    <w:rsid w:val="00833511"/>
    <w:rsid w:val="00922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EFBB9"/>
  <w15:docId w15:val="{122E6A38-E797-4E94-963F-1356040DD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uiPriority w:val="9"/>
    <w:qFormat/>
    <w:pPr>
      <w:ind w:left="900"/>
      <w:outlineLvl w:val="0"/>
    </w:pPr>
    <w:rPr>
      <w:b/>
      <w:bCs/>
      <w:sz w:val="24"/>
      <w:szCs w:val="24"/>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Corptext">
    <w:name w:val="Body Text"/>
    <w:basedOn w:val="Normal"/>
    <w:uiPriority w:val="1"/>
    <w:qFormat/>
    <w:rPr>
      <w:sz w:val="24"/>
      <w:szCs w:val="24"/>
    </w:rPr>
  </w:style>
  <w:style w:type="paragraph" w:styleId="Listparagraf">
    <w:name w:val="List Paragraph"/>
    <w:basedOn w:val="Normal"/>
    <w:uiPriority w:val="1"/>
    <w:qFormat/>
    <w:pPr>
      <w:ind w:left="900" w:hanging="360"/>
    </w:pPr>
  </w:style>
  <w:style w:type="paragraph" w:customStyle="1" w:styleId="TableParagraph">
    <w:name w:val="Table Paragraph"/>
    <w:basedOn w:val="Normal"/>
    <w:uiPriority w:val="1"/>
    <w:qFormat/>
    <w:pPr>
      <w:ind w:left="89"/>
    </w:p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0" w:type="dxa"/>
        <w:right w:w="0" w:type="dxa"/>
      </w:tblCellMar>
    </w:tblPr>
  </w:style>
  <w:style w:type="table" w:customStyle="1" w:styleId="a0">
    <w:basedOn w:val="TabelNormal"/>
    <w:tblPr>
      <w:tblStyleRowBandSize w:val="1"/>
      <w:tblStyleColBandSize w:val="1"/>
      <w:tblCellMar>
        <w:left w:w="0" w:type="dxa"/>
        <w:right w:w="0" w:type="dxa"/>
      </w:tblCellMar>
    </w:tblPr>
  </w:style>
  <w:style w:type="table" w:customStyle="1" w:styleId="a1">
    <w:basedOn w:val="TabelNormal"/>
    <w:tblPr>
      <w:tblStyleRowBandSize w:val="1"/>
      <w:tblStyleColBandSize w:val="1"/>
      <w:tblCellMar>
        <w:left w:w="0" w:type="dxa"/>
        <w:right w:w="0" w:type="dxa"/>
      </w:tblCellMar>
    </w:tblPr>
  </w:style>
  <w:style w:type="table" w:customStyle="1" w:styleId="a2">
    <w:basedOn w:val="TabelNormal"/>
    <w:tblPr>
      <w:tblStyleRowBandSize w:val="1"/>
      <w:tblStyleColBandSize w:val="1"/>
      <w:tblCellMar>
        <w:left w:w="0" w:type="dxa"/>
        <w:right w:w="0" w:type="dxa"/>
      </w:tblCellMar>
    </w:tblPr>
  </w:style>
  <w:style w:type="table" w:customStyle="1" w:styleId="a3">
    <w:basedOn w:val="TabelNormal"/>
    <w:tblPr>
      <w:tblStyleRowBandSize w:val="1"/>
      <w:tblStyleColBandSize w:val="1"/>
      <w:tblCellMar>
        <w:left w:w="0" w:type="dxa"/>
        <w:right w:w="0" w:type="dxa"/>
      </w:tblCellMar>
    </w:tblPr>
  </w:style>
  <w:style w:type="table" w:customStyle="1" w:styleId="a4">
    <w:basedOn w:val="TabelNormal"/>
    <w:tblPr>
      <w:tblStyleRowBandSize w:val="1"/>
      <w:tblStyleColBandSize w:val="1"/>
      <w:tblCellMar>
        <w:left w:w="0" w:type="dxa"/>
        <w:right w:w="0" w:type="dxa"/>
      </w:tblCellMar>
    </w:tblPr>
  </w:style>
  <w:style w:type="table" w:customStyle="1" w:styleId="a5">
    <w:basedOn w:val="TabelNormal"/>
    <w:tblPr>
      <w:tblStyleRowBandSize w:val="1"/>
      <w:tblStyleColBandSize w:val="1"/>
      <w:tblCellMar>
        <w:left w:w="0" w:type="dxa"/>
        <w:right w:w="0" w:type="dxa"/>
      </w:tblCellMar>
    </w:tblPr>
  </w:style>
  <w:style w:type="table" w:customStyle="1" w:styleId="a6">
    <w:basedOn w:val="TabelNormal"/>
    <w:tblPr>
      <w:tblStyleRowBandSize w:val="1"/>
      <w:tblStyleColBandSize w:val="1"/>
      <w:tblCellMar>
        <w:left w:w="0" w:type="dxa"/>
        <w:right w:w="0" w:type="dxa"/>
      </w:tblCellMar>
    </w:tblPr>
  </w:style>
  <w:style w:type="table" w:customStyle="1" w:styleId="a7">
    <w:basedOn w:val="TabelNormal"/>
    <w:tblPr>
      <w:tblStyleRowBandSize w:val="1"/>
      <w:tblStyleColBandSize w:val="1"/>
      <w:tblCellMar>
        <w:left w:w="0" w:type="dxa"/>
        <w:right w:w="0" w:type="dxa"/>
      </w:tblCellMar>
    </w:tblPr>
  </w:style>
  <w:style w:type="table" w:customStyle="1" w:styleId="a8">
    <w:basedOn w:val="TabelNormal"/>
    <w:tblPr>
      <w:tblStyleRowBandSize w:val="1"/>
      <w:tblStyleColBandSize w:val="1"/>
      <w:tblCellMar>
        <w:left w:w="0" w:type="dxa"/>
        <w:right w:w="0" w:type="dxa"/>
      </w:tblCellMar>
    </w:tblPr>
  </w:style>
  <w:style w:type="table" w:customStyle="1" w:styleId="a9">
    <w:basedOn w:val="TabelNormal"/>
    <w:tblPr>
      <w:tblStyleRowBandSize w:val="1"/>
      <w:tblStyleColBandSize w:val="1"/>
      <w:tblCellMar>
        <w:left w:w="0" w:type="dxa"/>
        <w:right w:w="0" w:type="dxa"/>
      </w:tblCellMar>
    </w:tblPr>
  </w:style>
  <w:style w:type="table" w:customStyle="1" w:styleId="aa">
    <w:basedOn w:val="TabelNormal"/>
    <w:tblPr>
      <w:tblStyleRowBandSize w:val="1"/>
      <w:tblStyleColBandSize w:val="1"/>
      <w:tblCellMar>
        <w:left w:w="0" w:type="dxa"/>
        <w:right w:w="0" w:type="dxa"/>
      </w:tblCellMar>
    </w:tblPr>
  </w:style>
  <w:style w:type="table" w:customStyle="1" w:styleId="ab">
    <w:basedOn w:val="TabelNormal"/>
    <w:tblPr>
      <w:tblStyleRowBandSize w:val="1"/>
      <w:tblStyleColBandSize w:val="1"/>
      <w:tblCellMar>
        <w:left w:w="0" w:type="dxa"/>
        <w:right w:w="0" w:type="dxa"/>
      </w:tblCellMar>
    </w:tblPr>
  </w:style>
  <w:style w:type="table" w:customStyle="1" w:styleId="ac">
    <w:basedOn w:val="TabelNormal"/>
    <w:tblPr>
      <w:tblStyleRowBandSize w:val="1"/>
      <w:tblStyleColBandSize w:val="1"/>
      <w:tblCellMar>
        <w:left w:w="0" w:type="dxa"/>
        <w:right w:w="0" w:type="dxa"/>
      </w:tblCellMar>
    </w:tblPr>
  </w:style>
  <w:style w:type="table" w:customStyle="1" w:styleId="ad">
    <w:basedOn w:val="TabelNormal"/>
    <w:tblPr>
      <w:tblStyleRowBandSize w:val="1"/>
      <w:tblStyleColBandSize w:val="1"/>
      <w:tblCellMar>
        <w:left w:w="0" w:type="dxa"/>
        <w:right w:w="0" w:type="dxa"/>
      </w:tblCellMar>
    </w:tblPr>
  </w:style>
  <w:style w:type="table" w:customStyle="1" w:styleId="ae">
    <w:basedOn w:val="TabelNormal"/>
    <w:tblPr>
      <w:tblStyleRowBandSize w:val="1"/>
      <w:tblStyleColBandSize w:val="1"/>
      <w:tblCellMar>
        <w:left w:w="0" w:type="dxa"/>
        <w:right w:w="0" w:type="dxa"/>
      </w:tblCellMar>
    </w:tblPr>
  </w:style>
  <w:style w:type="table" w:customStyle="1" w:styleId="af">
    <w:basedOn w:val="TabelNormal"/>
    <w:tblPr>
      <w:tblStyleRowBandSize w:val="1"/>
      <w:tblStyleColBandSize w:val="1"/>
      <w:tblCellMar>
        <w:left w:w="0" w:type="dxa"/>
        <w:right w:w="0" w:type="dxa"/>
      </w:tblCellMar>
    </w:tblPr>
  </w:style>
  <w:style w:type="table" w:customStyle="1" w:styleId="af0">
    <w:basedOn w:val="TabelNormal"/>
    <w:tblPr>
      <w:tblStyleRowBandSize w:val="1"/>
      <w:tblStyleColBandSize w:val="1"/>
      <w:tblCellMar>
        <w:left w:w="0" w:type="dxa"/>
        <w:right w:w="0" w:type="dxa"/>
      </w:tblCellMar>
    </w:tblPr>
  </w:style>
  <w:style w:type="table" w:customStyle="1" w:styleId="af1">
    <w:basedOn w:val="TabelNormal"/>
    <w:tblPr>
      <w:tblStyleRowBandSize w:val="1"/>
      <w:tblStyleColBandSize w:val="1"/>
      <w:tblCellMar>
        <w:left w:w="0" w:type="dxa"/>
        <w:right w:w="0" w:type="dxa"/>
      </w:tblCellMar>
    </w:tblPr>
  </w:style>
  <w:style w:type="table" w:customStyle="1" w:styleId="af2">
    <w:basedOn w:val="Tabel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wsj.com/market-data/quotes/MAR/financials" TargetMode="External"/><Relationship Id="rId4" Type="http://schemas.openxmlformats.org/officeDocument/2006/relationships/settings" Target="settings.xml"/><Relationship Id="rId9" Type="http://schemas.openxmlformats.org/officeDocument/2006/relationships/hyperlink" Target="http://www.businesswire.com/news/home/20210121005703/en/Hilton-Announces-Fourth-Quar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NJI9cbX6/hUJ96tpa+iqwDYqIg==">AMUW2mUQWC9DLNYF2+KLkVXjpp4rGT/1aUXFpMsC8d0E1EI2NWhUrf+7MP7sBZMnZcLVGnMsyfUnR8kkj9NTP/At7RJD5lSHFcloDVFTAe+eXKWRxd28PF8=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2002</Words>
  <Characters>11612</Characters>
  <Application>Microsoft Office Word</Application>
  <DocSecurity>0</DocSecurity>
  <Lines>96</Lines>
  <Paragraphs>27</Paragraphs>
  <ScaleCrop>false</ScaleCrop>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airportexpertuk@gmail.com</cp:lastModifiedBy>
  <cp:revision>2</cp:revision>
  <dcterms:created xsi:type="dcterms:W3CDTF">2022-11-15T09:13:00Z</dcterms:created>
  <dcterms:modified xsi:type="dcterms:W3CDTF">2022-11-15T09:13:00Z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65ec9f0a5e47d8dd3b8562bfe1b460ada9700f7152fde5360518b856db117966</vt:lpwstr>
  </property>
</Properties>
</file>