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3996402"/>
        <w:docPartObj>
          <w:docPartGallery w:val="Cover Pages"/>
          <w:docPartUnique/>
        </w:docPartObj>
      </w:sdtPr>
      <w:sdtContent>
        <w:p w14:paraId="5D86C691" w14:textId="12A0CBCB" w:rsidR="00710FBF" w:rsidRDefault="00710FBF">
          <w:r>
            <w:rPr>
              <w:noProof/>
            </w:rPr>
            <mc:AlternateContent>
              <mc:Choice Requires="wpg">
                <w:drawing>
                  <wp:anchor distT="0" distB="0" distL="114300" distR="114300" simplePos="0" relativeHeight="251662336" behindDoc="0" locked="0" layoutInCell="1" allowOverlap="1" wp14:anchorId="167C8CEF" wp14:editId="433761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313E7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EA9F951" wp14:editId="19CE745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F0F86C" w14:textId="726FF7EF" w:rsidR="00710FBF" w:rsidRDefault="00710FBF">
                                    <w:pPr>
                                      <w:pStyle w:val="NoSpacing"/>
                                      <w:jc w:val="right"/>
                                      <w:rPr>
                                        <w:color w:val="595959" w:themeColor="text1" w:themeTint="A6"/>
                                        <w:sz w:val="28"/>
                                        <w:szCs w:val="28"/>
                                      </w:rPr>
                                    </w:pPr>
                                    <w:r>
                                      <w:rPr>
                                        <w:color w:val="595959" w:themeColor="text1" w:themeTint="A6"/>
                                        <w:sz w:val="28"/>
                                        <w:szCs w:val="28"/>
                                      </w:rPr>
                                      <w:t>Veneta Stoyanova-Georgieva (2225023)</w:t>
                                    </w:r>
                                  </w:p>
                                </w:sdtContent>
                              </w:sdt>
                              <w:p w14:paraId="63771156" w14:textId="77777777" w:rsidR="00710FB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10FBF">
                                      <w:rPr>
                                        <w:color w:val="595959" w:themeColor="text1" w:themeTint="A6"/>
                                        <w:sz w:val="18"/>
                                        <w:szCs w:val="18"/>
                                        <w:lang w:val="en-GB"/>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A9F95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F0F86C" w14:textId="726FF7EF" w:rsidR="00710FBF" w:rsidRDefault="00710FBF">
                              <w:pPr>
                                <w:pStyle w:val="NoSpacing"/>
                                <w:jc w:val="right"/>
                                <w:rPr>
                                  <w:color w:val="595959" w:themeColor="text1" w:themeTint="A6"/>
                                  <w:sz w:val="28"/>
                                  <w:szCs w:val="28"/>
                                </w:rPr>
                              </w:pPr>
                              <w:r>
                                <w:rPr>
                                  <w:color w:val="595959" w:themeColor="text1" w:themeTint="A6"/>
                                  <w:sz w:val="28"/>
                                  <w:szCs w:val="28"/>
                                </w:rPr>
                                <w:t>Veneta Stoyanova-Georgieva (2225023)</w:t>
                              </w:r>
                            </w:p>
                          </w:sdtContent>
                        </w:sdt>
                        <w:p w14:paraId="63771156" w14:textId="77777777" w:rsidR="00710FB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10FBF">
                                <w:rPr>
                                  <w:color w:val="595959" w:themeColor="text1" w:themeTint="A6"/>
                                  <w:sz w:val="18"/>
                                  <w:szCs w:val="18"/>
                                  <w:lang w:val="en-GB"/>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052E8C2" wp14:editId="27B80D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32AEC0" w14:textId="4737AE2D" w:rsidR="00710FBF" w:rsidRDefault="00710FBF">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B66EE64" w14:textId="0783D553" w:rsidR="00710FBF" w:rsidRDefault="00710FB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52E8C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832AEC0" w14:textId="4737AE2D" w:rsidR="00710FBF" w:rsidRDefault="00710FBF">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B66EE64" w14:textId="0783D553" w:rsidR="00710FBF" w:rsidRDefault="00710FB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FE1B75A" w14:textId="77777777" w:rsidR="00710FBF" w:rsidRDefault="00710FBF"/>
        <w:p w14:paraId="565C31CE" w14:textId="77777777" w:rsidR="00710FBF" w:rsidRDefault="00710FBF"/>
        <w:p w14:paraId="6674BDAC" w14:textId="4E8C383B" w:rsidR="00710FBF" w:rsidRDefault="00710FBF">
          <w:pPr>
            <w:rPr>
              <w:rFonts w:ascii="Bernard MT Condensed" w:hAnsi="Bernard MT Condensed"/>
              <w:sz w:val="72"/>
              <w:szCs w:val="72"/>
            </w:rPr>
          </w:pPr>
          <w:r w:rsidRPr="00710FBF">
            <w:rPr>
              <w:rFonts w:ascii="Bernard MT Condensed" w:hAnsi="Bernard MT Condensed"/>
              <w:sz w:val="72"/>
              <w:szCs w:val="72"/>
            </w:rPr>
            <w:t>Individual Report: Globalisation</w:t>
          </w:r>
        </w:p>
        <w:p w14:paraId="2509DCB3" w14:textId="6EB3101B" w:rsidR="00710FBF" w:rsidRDefault="00710FBF">
          <w:pPr>
            <w:rPr>
              <w:rFonts w:ascii="Bernard MT Condensed" w:hAnsi="Bernard MT Condensed"/>
              <w:sz w:val="72"/>
              <w:szCs w:val="72"/>
            </w:rPr>
          </w:pPr>
          <w:r>
            <w:rPr>
              <w:rFonts w:ascii="Bernard MT Condensed" w:hAnsi="Bernard MT Condensed"/>
              <w:sz w:val="72"/>
              <w:szCs w:val="72"/>
            </w:rPr>
            <w:t>Of the Shell Company</w:t>
          </w:r>
        </w:p>
        <w:p w14:paraId="68AE0048" w14:textId="21075DCA" w:rsidR="00710FBF" w:rsidRDefault="00710FBF" w:rsidP="00AA12E5">
          <w:pPr>
            <w:jc w:val="center"/>
            <w:rPr>
              <w:rFonts w:ascii="Agency FB" w:hAnsi="Agency FB"/>
              <w:sz w:val="44"/>
              <w:szCs w:val="44"/>
            </w:rPr>
          </w:pPr>
          <w:r>
            <w:rPr>
              <w:rFonts w:ascii="Agency FB" w:hAnsi="Agency FB"/>
              <w:sz w:val="44"/>
              <w:szCs w:val="44"/>
            </w:rPr>
            <w:t>Veneta Georgieva</w:t>
          </w:r>
        </w:p>
        <w:p w14:paraId="1DE53142" w14:textId="4EFA2DBC" w:rsidR="00710FBF" w:rsidRDefault="00710FBF" w:rsidP="00AA12E5">
          <w:pPr>
            <w:jc w:val="center"/>
            <w:rPr>
              <w:rFonts w:ascii="Agency FB" w:hAnsi="Agency FB"/>
              <w:sz w:val="44"/>
              <w:szCs w:val="44"/>
            </w:rPr>
          </w:pPr>
          <w:r>
            <w:rPr>
              <w:rFonts w:ascii="Agency FB" w:hAnsi="Agency FB"/>
              <w:sz w:val="44"/>
              <w:szCs w:val="44"/>
            </w:rPr>
            <w:t>Student ID:2225023</w:t>
          </w:r>
        </w:p>
        <w:p w14:paraId="5AC284FC" w14:textId="65386EE4" w:rsidR="00710FBF" w:rsidRDefault="00AA12E5" w:rsidP="00AA12E5">
          <w:pPr>
            <w:jc w:val="center"/>
            <w:rPr>
              <w:rFonts w:ascii="Agency FB" w:hAnsi="Agency FB"/>
              <w:sz w:val="44"/>
              <w:szCs w:val="44"/>
            </w:rPr>
          </w:pPr>
          <w:r>
            <w:rPr>
              <w:rFonts w:ascii="Agency FB" w:hAnsi="Agency FB"/>
              <w:sz w:val="44"/>
              <w:szCs w:val="44"/>
            </w:rPr>
            <w:t>Module: Marketing Fundamentals (LCBB4004)</w:t>
          </w:r>
        </w:p>
        <w:p w14:paraId="2EF1CEC5" w14:textId="6548DC5F" w:rsidR="00AA12E5" w:rsidRDefault="00AA12E5" w:rsidP="00AA12E5">
          <w:pPr>
            <w:jc w:val="center"/>
            <w:rPr>
              <w:rFonts w:ascii="Agency FB" w:hAnsi="Agency FB"/>
              <w:sz w:val="44"/>
              <w:szCs w:val="44"/>
            </w:rPr>
          </w:pPr>
          <w:r>
            <w:rPr>
              <w:rFonts w:ascii="Agency FB" w:hAnsi="Agency FB"/>
              <w:sz w:val="44"/>
              <w:szCs w:val="44"/>
            </w:rPr>
            <w:t>Module leader: UMAR SADAA</w:t>
          </w:r>
        </w:p>
        <w:p w14:paraId="70376CF3" w14:textId="29610CC3" w:rsidR="00AA12E5" w:rsidRDefault="00AA12E5" w:rsidP="00AA12E5">
          <w:pPr>
            <w:jc w:val="center"/>
            <w:rPr>
              <w:rFonts w:ascii="Agency FB" w:hAnsi="Agency FB"/>
              <w:sz w:val="44"/>
              <w:szCs w:val="44"/>
            </w:rPr>
          </w:pPr>
          <w:r>
            <w:rPr>
              <w:rFonts w:ascii="Agency FB" w:hAnsi="Agency FB"/>
              <w:sz w:val="44"/>
              <w:szCs w:val="44"/>
            </w:rPr>
            <w:t>UWTSD BIRMINGHAM</w:t>
          </w:r>
        </w:p>
        <w:p w14:paraId="1E1A053C" w14:textId="77777777" w:rsidR="00AA12E5" w:rsidRDefault="00AA12E5">
          <w:pPr>
            <w:rPr>
              <w:rFonts w:ascii="Agency FB" w:hAnsi="Agency FB"/>
              <w:sz w:val="44"/>
              <w:szCs w:val="44"/>
            </w:rPr>
          </w:pPr>
        </w:p>
        <w:p w14:paraId="2C31A21A" w14:textId="77777777" w:rsidR="00AA12E5" w:rsidRPr="00710FBF" w:rsidRDefault="00AA12E5">
          <w:pPr>
            <w:rPr>
              <w:rFonts w:ascii="Agency FB" w:hAnsi="Agency FB"/>
              <w:sz w:val="44"/>
              <w:szCs w:val="44"/>
            </w:rPr>
          </w:pPr>
        </w:p>
        <w:p w14:paraId="64E8C943" w14:textId="458262A2" w:rsidR="00710FBF" w:rsidRPr="00710FBF" w:rsidRDefault="00710FBF">
          <w:pPr>
            <w:rPr>
              <w:rFonts w:ascii="Agency FB" w:hAnsi="Agency FB"/>
              <w:sz w:val="36"/>
              <w:szCs w:val="36"/>
            </w:rPr>
          </w:pPr>
        </w:p>
        <w:p w14:paraId="77CD8378" w14:textId="77777777" w:rsidR="004F455F" w:rsidRDefault="004F455F">
          <w:pPr>
            <w:rPr>
              <w:rFonts w:ascii="Arial" w:hAnsi="Arial" w:cs="Arial"/>
              <w:sz w:val="28"/>
              <w:szCs w:val="28"/>
            </w:rPr>
          </w:pPr>
        </w:p>
        <w:p w14:paraId="16CFA1B4" w14:textId="77777777" w:rsidR="004F455F" w:rsidRDefault="004F455F">
          <w:pPr>
            <w:rPr>
              <w:rFonts w:ascii="Arial" w:hAnsi="Arial" w:cs="Arial"/>
              <w:sz w:val="28"/>
              <w:szCs w:val="28"/>
            </w:rPr>
          </w:pPr>
        </w:p>
        <w:p w14:paraId="2E6C5689" w14:textId="77777777" w:rsidR="004F455F" w:rsidRDefault="004F455F">
          <w:pPr>
            <w:rPr>
              <w:rFonts w:ascii="Arial" w:hAnsi="Arial" w:cs="Arial"/>
              <w:sz w:val="28"/>
              <w:szCs w:val="28"/>
            </w:rPr>
          </w:pPr>
        </w:p>
        <w:p w14:paraId="034C1471" w14:textId="77777777" w:rsidR="004F455F" w:rsidRDefault="004F455F">
          <w:pPr>
            <w:rPr>
              <w:rFonts w:ascii="Arial" w:hAnsi="Arial" w:cs="Arial"/>
              <w:sz w:val="28"/>
              <w:szCs w:val="28"/>
            </w:rPr>
          </w:pPr>
        </w:p>
        <w:p w14:paraId="09CC6B13" w14:textId="77777777" w:rsidR="004F455F" w:rsidRDefault="004F455F">
          <w:pPr>
            <w:rPr>
              <w:rFonts w:ascii="Arial" w:hAnsi="Arial" w:cs="Arial"/>
              <w:sz w:val="28"/>
              <w:szCs w:val="28"/>
            </w:rPr>
          </w:pPr>
        </w:p>
        <w:p w14:paraId="1372FEF1" w14:textId="77777777" w:rsidR="009F44B0" w:rsidRDefault="009F44B0">
          <w:pPr>
            <w:rPr>
              <w:rFonts w:ascii="Arial" w:hAnsi="Arial" w:cs="Arial"/>
              <w:sz w:val="28"/>
              <w:szCs w:val="28"/>
            </w:rPr>
          </w:pPr>
        </w:p>
        <w:sdt>
          <w:sdtPr>
            <w:rPr>
              <w:rFonts w:asciiTheme="minorHAnsi" w:eastAsiaTheme="minorHAnsi" w:hAnsiTheme="minorHAnsi" w:cstheme="minorBidi"/>
              <w:color w:val="auto"/>
              <w:sz w:val="22"/>
              <w:szCs w:val="22"/>
              <w:lang w:val="en-GB" w:eastAsia="en-US"/>
            </w:rPr>
            <w:id w:val="372513517"/>
            <w:docPartObj>
              <w:docPartGallery w:val="Table of Contents"/>
              <w:docPartUnique/>
            </w:docPartObj>
          </w:sdtPr>
          <w:sdtEndPr>
            <w:rPr>
              <w:b/>
              <w:bCs/>
            </w:rPr>
          </w:sdtEndPr>
          <w:sdtContent>
            <w:p w14:paraId="08E856B8" w14:textId="28922ECE" w:rsidR="009F44B0" w:rsidRDefault="009F44B0">
              <w:pPr>
                <w:pStyle w:val="TOCHeading"/>
              </w:pPr>
              <w:r>
                <w:rPr>
                  <w:lang w:val="en-GB"/>
                </w:rPr>
                <w:t>Table of Contents</w:t>
              </w:r>
            </w:p>
            <w:p w14:paraId="5282424D" w14:textId="5E036870" w:rsidR="00FE44CA" w:rsidRDefault="009F44B0">
              <w:pPr>
                <w:pStyle w:val="TOC1"/>
                <w:tabs>
                  <w:tab w:val="right" w:leader="dot" w:pos="9062"/>
                </w:tabs>
                <w:rPr>
                  <w:rFonts w:eastAsiaTheme="minorEastAsia"/>
                  <w:noProof/>
                  <w:kern w:val="2"/>
                  <w:lang w:val="bg-BG" w:eastAsia="bg-BG"/>
                  <w14:ligatures w14:val="standardContextual"/>
                </w:rPr>
              </w:pPr>
              <w:r>
                <w:fldChar w:fldCharType="begin"/>
              </w:r>
              <w:r>
                <w:instrText xml:space="preserve"> TOC \o "1-3" \h \z \u </w:instrText>
              </w:r>
              <w:r>
                <w:fldChar w:fldCharType="separate"/>
              </w:r>
              <w:hyperlink w:anchor="_Toc140770706" w:history="1">
                <w:r w:rsidR="00FE44CA" w:rsidRPr="00101BE1">
                  <w:rPr>
                    <w:rStyle w:val="Hyperlink"/>
                    <w:rFonts w:ascii="Arial" w:hAnsi="Arial" w:cs="Arial"/>
                    <w:noProof/>
                  </w:rPr>
                  <w:t>Introduction</w:t>
                </w:r>
                <w:r w:rsidR="00FE44CA">
                  <w:rPr>
                    <w:noProof/>
                    <w:webHidden/>
                  </w:rPr>
                  <w:tab/>
                </w:r>
                <w:r w:rsidR="00FE44CA">
                  <w:rPr>
                    <w:noProof/>
                    <w:webHidden/>
                  </w:rPr>
                  <w:fldChar w:fldCharType="begin"/>
                </w:r>
                <w:r w:rsidR="00FE44CA">
                  <w:rPr>
                    <w:noProof/>
                    <w:webHidden/>
                  </w:rPr>
                  <w:instrText xml:space="preserve"> PAGEREF _Toc140770706 \h </w:instrText>
                </w:r>
                <w:r w:rsidR="00FE44CA">
                  <w:rPr>
                    <w:noProof/>
                    <w:webHidden/>
                  </w:rPr>
                </w:r>
                <w:r w:rsidR="00FE44CA">
                  <w:rPr>
                    <w:noProof/>
                    <w:webHidden/>
                  </w:rPr>
                  <w:fldChar w:fldCharType="separate"/>
                </w:r>
                <w:r w:rsidR="00FE44CA">
                  <w:rPr>
                    <w:noProof/>
                    <w:webHidden/>
                  </w:rPr>
                  <w:t>2</w:t>
                </w:r>
                <w:r w:rsidR="00FE44CA">
                  <w:rPr>
                    <w:noProof/>
                    <w:webHidden/>
                  </w:rPr>
                  <w:fldChar w:fldCharType="end"/>
                </w:r>
              </w:hyperlink>
            </w:p>
            <w:p w14:paraId="6A36690C" w14:textId="497956CA" w:rsidR="00FE44CA" w:rsidRDefault="00000000">
              <w:pPr>
                <w:pStyle w:val="TOC1"/>
                <w:tabs>
                  <w:tab w:val="right" w:leader="dot" w:pos="9062"/>
                </w:tabs>
                <w:rPr>
                  <w:rFonts w:eastAsiaTheme="minorEastAsia"/>
                  <w:noProof/>
                  <w:kern w:val="2"/>
                  <w:lang w:val="bg-BG" w:eastAsia="bg-BG"/>
                  <w14:ligatures w14:val="standardContextual"/>
                </w:rPr>
              </w:pPr>
              <w:hyperlink w:anchor="_Toc140770707" w:history="1">
                <w:r w:rsidR="00FE44CA" w:rsidRPr="00101BE1">
                  <w:rPr>
                    <w:rStyle w:val="Hyperlink"/>
                    <w:rFonts w:ascii="Arial" w:hAnsi="Arial" w:cs="Arial"/>
                    <w:noProof/>
                  </w:rPr>
                  <w:t>Globalisation</w:t>
                </w:r>
                <w:r w:rsidR="00FE44CA">
                  <w:rPr>
                    <w:noProof/>
                    <w:webHidden/>
                  </w:rPr>
                  <w:tab/>
                </w:r>
                <w:r w:rsidR="00FE44CA">
                  <w:rPr>
                    <w:noProof/>
                    <w:webHidden/>
                  </w:rPr>
                  <w:fldChar w:fldCharType="begin"/>
                </w:r>
                <w:r w:rsidR="00FE44CA">
                  <w:rPr>
                    <w:noProof/>
                    <w:webHidden/>
                  </w:rPr>
                  <w:instrText xml:space="preserve"> PAGEREF _Toc140770707 \h </w:instrText>
                </w:r>
                <w:r w:rsidR="00FE44CA">
                  <w:rPr>
                    <w:noProof/>
                    <w:webHidden/>
                  </w:rPr>
                </w:r>
                <w:r w:rsidR="00FE44CA">
                  <w:rPr>
                    <w:noProof/>
                    <w:webHidden/>
                  </w:rPr>
                  <w:fldChar w:fldCharType="separate"/>
                </w:r>
                <w:r w:rsidR="00FE44CA">
                  <w:rPr>
                    <w:noProof/>
                    <w:webHidden/>
                  </w:rPr>
                  <w:t>2</w:t>
                </w:r>
                <w:r w:rsidR="00FE44CA">
                  <w:rPr>
                    <w:noProof/>
                    <w:webHidden/>
                  </w:rPr>
                  <w:fldChar w:fldCharType="end"/>
                </w:r>
              </w:hyperlink>
            </w:p>
            <w:p w14:paraId="4468F2D6" w14:textId="4FC5BDBF" w:rsidR="00FE44CA" w:rsidRDefault="00000000">
              <w:pPr>
                <w:pStyle w:val="TOC1"/>
                <w:tabs>
                  <w:tab w:val="right" w:leader="dot" w:pos="9062"/>
                </w:tabs>
                <w:rPr>
                  <w:rFonts w:eastAsiaTheme="minorEastAsia"/>
                  <w:noProof/>
                  <w:kern w:val="2"/>
                  <w:lang w:val="bg-BG" w:eastAsia="bg-BG"/>
                  <w14:ligatures w14:val="standardContextual"/>
                </w:rPr>
              </w:pPr>
              <w:hyperlink w:anchor="_Toc140770708" w:history="1">
                <w:r w:rsidR="00FE44CA" w:rsidRPr="00101BE1">
                  <w:rPr>
                    <w:rStyle w:val="Hyperlink"/>
                    <w:rFonts w:ascii="Arial" w:hAnsi="Arial" w:cs="Arial"/>
                    <w:noProof/>
                  </w:rPr>
                  <w:t>SWOT ANALYSIS</w:t>
                </w:r>
                <w:r w:rsidR="00FE44CA">
                  <w:rPr>
                    <w:noProof/>
                    <w:webHidden/>
                  </w:rPr>
                  <w:tab/>
                </w:r>
                <w:r w:rsidR="00FE44CA">
                  <w:rPr>
                    <w:noProof/>
                    <w:webHidden/>
                  </w:rPr>
                  <w:fldChar w:fldCharType="begin"/>
                </w:r>
                <w:r w:rsidR="00FE44CA">
                  <w:rPr>
                    <w:noProof/>
                    <w:webHidden/>
                  </w:rPr>
                  <w:instrText xml:space="preserve"> PAGEREF _Toc140770708 \h </w:instrText>
                </w:r>
                <w:r w:rsidR="00FE44CA">
                  <w:rPr>
                    <w:noProof/>
                    <w:webHidden/>
                  </w:rPr>
                </w:r>
                <w:r w:rsidR="00FE44CA">
                  <w:rPr>
                    <w:noProof/>
                    <w:webHidden/>
                  </w:rPr>
                  <w:fldChar w:fldCharType="separate"/>
                </w:r>
                <w:r w:rsidR="00FE44CA">
                  <w:rPr>
                    <w:noProof/>
                    <w:webHidden/>
                  </w:rPr>
                  <w:t>5</w:t>
                </w:r>
                <w:r w:rsidR="00FE44CA">
                  <w:rPr>
                    <w:noProof/>
                    <w:webHidden/>
                  </w:rPr>
                  <w:fldChar w:fldCharType="end"/>
                </w:r>
              </w:hyperlink>
            </w:p>
            <w:p w14:paraId="0938D0CA" w14:textId="46A411AD" w:rsidR="00FE44CA" w:rsidRDefault="00000000">
              <w:pPr>
                <w:pStyle w:val="TOC2"/>
                <w:tabs>
                  <w:tab w:val="right" w:leader="dot" w:pos="9062"/>
                </w:tabs>
                <w:rPr>
                  <w:rFonts w:eastAsiaTheme="minorEastAsia"/>
                  <w:noProof/>
                  <w:kern w:val="2"/>
                  <w:lang w:val="bg-BG" w:eastAsia="bg-BG"/>
                  <w14:ligatures w14:val="standardContextual"/>
                </w:rPr>
              </w:pPr>
              <w:hyperlink w:anchor="_Toc140770709" w:history="1">
                <w:r w:rsidR="00FE44CA" w:rsidRPr="00101BE1">
                  <w:rPr>
                    <w:rStyle w:val="Hyperlink"/>
                    <w:rFonts w:ascii="Arial" w:hAnsi="Arial" w:cs="Arial"/>
                    <w:noProof/>
                  </w:rPr>
                  <w:t>Strengths</w:t>
                </w:r>
                <w:r w:rsidR="00FE44CA">
                  <w:rPr>
                    <w:noProof/>
                    <w:webHidden/>
                  </w:rPr>
                  <w:tab/>
                </w:r>
                <w:r w:rsidR="00FE44CA">
                  <w:rPr>
                    <w:noProof/>
                    <w:webHidden/>
                  </w:rPr>
                  <w:fldChar w:fldCharType="begin"/>
                </w:r>
                <w:r w:rsidR="00FE44CA">
                  <w:rPr>
                    <w:noProof/>
                    <w:webHidden/>
                  </w:rPr>
                  <w:instrText xml:space="preserve"> PAGEREF _Toc140770709 \h </w:instrText>
                </w:r>
                <w:r w:rsidR="00FE44CA">
                  <w:rPr>
                    <w:noProof/>
                    <w:webHidden/>
                  </w:rPr>
                </w:r>
                <w:r w:rsidR="00FE44CA">
                  <w:rPr>
                    <w:noProof/>
                    <w:webHidden/>
                  </w:rPr>
                  <w:fldChar w:fldCharType="separate"/>
                </w:r>
                <w:r w:rsidR="00FE44CA">
                  <w:rPr>
                    <w:noProof/>
                    <w:webHidden/>
                  </w:rPr>
                  <w:t>5</w:t>
                </w:r>
                <w:r w:rsidR="00FE44CA">
                  <w:rPr>
                    <w:noProof/>
                    <w:webHidden/>
                  </w:rPr>
                  <w:fldChar w:fldCharType="end"/>
                </w:r>
              </w:hyperlink>
            </w:p>
            <w:p w14:paraId="63AE8F13" w14:textId="01416A21" w:rsidR="00FE44CA" w:rsidRDefault="00000000">
              <w:pPr>
                <w:pStyle w:val="TOC2"/>
                <w:tabs>
                  <w:tab w:val="right" w:leader="dot" w:pos="9062"/>
                </w:tabs>
                <w:rPr>
                  <w:rFonts w:eastAsiaTheme="minorEastAsia"/>
                  <w:noProof/>
                  <w:kern w:val="2"/>
                  <w:lang w:val="bg-BG" w:eastAsia="bg-BG"/>
                  <w14:ligatures w14:val="standardContextual"/>
                </w:rPr>
              </w:pPr>
              <w:hyperlink w:anchor="_Toc140770710" w:history="1">
                <w:r w:rsidR="00FE44CA" w:rsidRPr="00101BE1">
                  <w:rPr>
                    <w:rStyle w:val="Hyperlink"/>
                    <w:rFonts w:ascii="Arial" w:hAnsi="Arial" w:cs="Arial"/>
                    <w:noProof/>
                  </w:rPr>
                  <w:t>Weaknesses</w:t>
                </w:r>
                <w:r w:rsidR="00FE44CA">
                  <w:rPr>
                    <w:noProof/>
                    <w:webHidden/>
                  </w:rPr>
                  <w:tab/>
                </w:r>
                <w:r w:rsidR="00FE44CA">
                  <w:rPr>
                    <w:noProof/>
                    <w:webHidden/>
                  </w:rPr>
                  <w:fldChar w:fldCharType="begin"/>
                </w:r>
                <w:r w:rsidR="00FE44CA">
                  <w:rPr>
                    <w:noProof/>
                    <w:webHidden/>
                  </w:rPr>
                  <w:instrText xml:space="preserve"> PAGEREF _Toc140770710 \h </w:instrText>
                </w:r>
                <w:r w:rsidR="00FE44CA">
                  <w:rPr>
                    <w:noProof/>
                    <w:webHidden/>
                  </w:rPr>
                </w:r>
                <w:r w:rsidR="00FE44CA">
                  <w:rPr>
                    <w:noProof/>
                    <w:webHidden/>
                  </w:rPr>
                  <w:fldChar w:fldCharType="separate"/>
                </w:r>
                <w:r w:rsidR="00FE44CA">
                  <w:rPr>
                    <w:noProof/>
                    <w:webHidden/>
                  </w:rPr>
                  <w:t>6</w:t>
                </w:r>
                <w:r w:rsidR="00FE44CA">
                  <w:rPr>
                    <w:noProof/>
                    <w:webHidden/>
                  </w:rPr>
                  <w:fldChar w:fldCharType="end"/>
                </w:r>
              </w:hyperlink>
            </w:p>
            <w:p w14:paraId="3AB3C6DC" w14:textId="6C6494BF" w:rsidR="00FE44CA" w:rsidRDefault="00000000">
              <w:pPr>
                <w:pStyle w:val="TOC2"/>
                <w:tabs>
                  <w:tab w:val="right" w:leader="dot" w:pos="9062"/>
                </w:tabs>
                <w:rPr>
                  <w:rFonts w:eastAsiaTheme="minorEastAsia"/>
                  <w:noProof/>
                  <w:kern w:val="2"/>
                  <w:lang w:val="bg-BG" w:eastAsia="bg-BG"/>
                  <w14:ligatures w14:val="standardContextual"/>
                </w:rPr>
              </w:pPr>
              <w:hyperlink w:anchor="_Toc140770711" w:history="1">
                <w:r w:rsidR="00FE44CA" w:rsidRPr="00101BE1">
                  <w:rPr>
                    <w:rStyle w:val="Hyperlink"/>
                    <w:rFonts w:ascii="Arial" w:hAnsi="Arial" w:cs="Arial"/>
                    <w:noProof/>
                  </w:rPr>
                  <w:t>Opportunities</w:t>
                </w:r>
                <w:r w:rsidR="00FE44CA">
                  <w:rPr>
                    <w:noProof/>
                    <w:webHidden/>
                  </w:rPr>
                  <w:tab/>
                </w:r>
                <w:r w:rsidR="00FE44CA">
                  <w:rPr>
                    <w:noProof/>
                    <w:webHidden/>
                  </w:rPr>
                  <w:fldChar w:fldCharType="begin"/>
                </w:r>
                <w:r w:rsidR="00FE44CA">
                  <w:rPr>
                    <w:noProof/>
                    <w:webHidden/>
                  </w:rPr>
                  <w:instrText xml:space="preserve"> PAGEREF _Toc140770711 \h </w:instrText>
                </w:r>
                <w:r w:rsidR="00FE44CA">
                  <w:rPr>
                    <w:noProof/>
                    <w:webHidden/>
                  </w:rPr>
                </w:r>
                <w:r w:rsidR="00FE44CA">
                  <w:rPr>
                    <w:noProof/>
                    <w:webHidden/>
                  </w:rPr>
                  <w:fldChar w:fldCharType="separate"/>
                </w:r>
                <w:r w:rsidR="00FE44CA">
                  <w:rPr>
                    <w:noProof/>
                    <w:webHidden/>
                  </w:rPr>
                  <w:t>6</w:t>
                </w:r>
                <w:r w:rsidR="00FE44CA">
                  <w:rPr>
                    <w:noProof/>
                    <w:webHidden/>
                  </w:rPr>
                  <w:fldChar w:fldCharType="end"/>
                </w:r>
              </w:hyperlink>
            </w:p>
            <w:p w14:paraId="1DE0C289" w14:textId="6D15E0AD" w:rsidR="00FE44CA" w:rsidRDefault="00000000">
              <w:pPr>
                <w:pStyle w:val="TOC2"/>
                <w:tabs>
                  <w:tab w:val="right" w:leader="dot" w:pos="9062"/>
                </w:tabs>
                <w:rPr>
                  <w:rFonts w:eastAsiaTheme="minorEastAsia"/>
                  <w:noProof/>
                  <w:kern w:val="2"/>
                  <w:lang w:val="bg-BG" w:eastAsia="bg-BG"/>
                  <w14:ligatures w14:val="standardContextual"/>
                </w:rPr>
              </w:pPr>
              <w:hyperlink w:anchor="_Toc140770712" w:history="1">
                <w:r w:rsidR="00FE44CA" w:rsidRPr="00101BE1">
                  <w:rPr>
                    <w:rStyle w:val="Hyperlink"/>
                    <w:rFonts w:ascii="Arial" w:hAnsi="Arial" w:cs="Arial"/>
                    <w:noProof/>
                  </w:rPr>
                  <w:t>Threats</w:t>
                </w:r>
                <w:r w:rsidR="00FE44CA">
                  <w:rPr>
                    <w:noProof/>
                    <w:webHidden/>
                  </w:rPr>
                  <w:tab/>
                </w:r>
                <w:r w:rsidR="00FE44CA">
                  <w:rPr>
                    <w:noProof/>
                    <w:webHidden/>
                  </w:rPr>
                  <w:fldChar w:fldCharType="begin"/>
                </w:r>
                <w:r w:rsidR="00FE44CA">
                  <w:rPr>
                    <w:noProof/>
                    <w:webHidden/>
                  </w:rPr>
                  <w:instrText xml:space="preserve"> PAGEREF _Toc140770712 \h </w:instrText>
                </w:r>
                <w:r w:rsidR="00FE44CA">
                  <w:rPr>
                    <w:noProof/>
                    <w:webHidden/>
                  </w:rPr>
                </w:r>
                <w:r w:rsidR="00FE44CA">
                  <w:rPr>
                    <w:noProof/>
                    <w:webHidden/>
                  </w:rPr>
                  <w:fldChar w:fldCharType="separate"/>
                </w:r>
                <w:r w:rsidR="00FE44CA">
                  <w:rPr>
                    <w:noProof/>
                    <w:webHidden/>
                  </w:rPr>
                  <w:t>6</w:t>
                </w:r>
                <w:r w:rsidR="00FE44CA">
                  <w:rPr>
                    <w:noProof/>
                    <w:webHidden/>
                  </w:rPr>
                  <w:fldChar w:fldCharType="end"/>
                </w:r>
              </w:hyperlink>
            </w:p>
            <w:p w14:paraId="5293C8BA" w14:textId="276D1168" w:rsidR="00FE44CA" w:rsidRDefault="00000000">
              <w:pPr>
                <w:pStyle w:val="TOC1"/>
                <w:tabs>
                  <w:tab w:val="right" w:leader="dot" w:pos="9062"/>
                </w:tabs>
                <w:rPr>
                  <w:rFonts w:eastAsiaTheme="minorEastAsia"/>
                  <w:noProof/>
                  <w:kern w:val="2"/>
                  <w:lang w:val="bg-BG" w:eastAsia="bg-BG"/>
                  <w14:ligatures w14:val="standardContextual"/>
                </w:rPr>
              </w:pPr>
              <w:hyperlink w:anchor="_Toc140770713" w:history="1">
                <w:r w:rsidR="00FE44CA" w:rsidRPr="00101BE1">
                  <w:rPr>
                    <w:rStyle w:val="Hyperlink"/>
                    <w:rFonts w:ascii="Arial" w:hAnsi="Arial" w:cs="Arial"/>
                    <w:noProof/>
                  </w:rPr>
                  <w:t>Recommendations</w:t>
                </w:r>
                <w:r w:rsidR="00FE44CA">
                  <w:rPr>
                    <w:noProof/>
                    <w:webHidden/>
                  </w:rPr>
                  <w:tab/>
                </w:r>
                <w:r w:rsidR="00FE44CA">
                  <w:rPr>
                    <w:noProof/>
                    <w:webHidden/>
                  </w:rPr>
                  <w:fldChar w:fldCharType="begin"/>
                </w:r>
                <w:r w:rsidR="00FE44CA">
                  <w:rPr>
                    <w:noProof/>
                    <w:webHidden/>
                  </w:rPr>
                  <w:instrText xml:space="preserve"> PAGEREF _Toc140770713 \h </w:instrText>
                </w:r>
                <w:r w:rsidR="00FE44CA">
                  <w:rPr>
                    <w:noProof/>
                    <w:webHidden/>
                  </w:rPr>
                </w:r>
                <w:r w:rsidR="00FE44CA">
                  <w:rPr>
                    <w:noProof/>
                    <w:webHidden/>
                  </w:rPr>
                  <w:fldChar w:fldCharType="separate"/>
                </w:r>
                <w:r w:rsidR="00FE44CA">
                  <w:rPr>
                    <w:noProof/>
                    <w:webHidden/>
                  </w:rPr>
                  <w:t>7</w:t>
                </w:r>
                <w:r w:rsidR="00FE44CA">
                  <w:rPr>
                    <w:noProof/>
                    <w:webHidden/>
                  </w:rPr>
                  <w:fldChar w:fldCharType="end"/>
                </w:r>
              </w:hyperlink>
            </w:p>
            <w:p w14:paraId="0A8861F0" w14:textId="52DAF732" w:rsidR="00FE44CA" w:rsidRDefault="00000000">
              <w:pPr>
                <w:pStyle w:val="TOC1"/>
                <w:tabs>
                  <w:tab w:val="right" w:leader="dot" w:pos="9062"/>
                </w:tabs>
                <w:rPr>
                  <w:rFonts w:eastAsiaTheme="minorEastAsia"/>
                  <w:noProof/>
                  <w:kern w:val="2"/>
                  <w:lang w:val="bg-BG" w:eastAsia="bg-BG"/>
                  <w14:ligatures w14:val="standardContextual"/>
                </w:rPr>
              </w:pPr>
              <w:hyperlink w:anchor="_Toc140770714" w:history="1">
                <w:r w:rsidR="00FE44CA" w:rsidRPr="00101BE1">
                  <w:rPr>
                    <w:rStyle w:val="Hyperlink"/>
                    <w:rFonts w:ascii="Arial" w:hAnsi="Arial" w:cs="Arial"/>
                    <w:noProof/>
                  </w:rPr>
                  <w:t>Conclusion</w:t>
                </w:r>
                <w:r w:rsidR="00FE44CA">
                  <w:rPr>
                    <w:noProof/>
                    <w:webHidden/>
                  </w:rPr>
                  <w:tab/>
                </w:r>
                <w:r w:rsidR="00FE44CA">
                  <w:rPr>
                    <w:noProof/>
                    <w:webHidden/>
                  </w:rPr>
                  <w:fldChar w:fldCharType="begin"/>
                </w:r>
                <w:r w:rsidR="00FE44CA">
                  <w:rPr>
                    <w:noProof/>
                    <w:webHidden/>
                  </w:rPr>
                  <w:instrText xml:space="preserve"> PAGEREF _Toc140770714 \h </w:instrText>
                </w:r>
                <w:r w:rsidR="00FE44CA">
                  <w:rPr>
                    <w:noProof/>
                    <w:webHidden/>
                  </w:rPr>
                </w:r>
                <w:r w:rsidR="00FE44CA">
                  <w:rPr>
                    <w:noProof/>
                    <w:webHidden/>
                  </w:rPr>
                  <w:fldChar w:fldCharType="separate"/>
                </w:r>
                <w:r w:rsidR="00FE44CA">
                  <w:rPr>
                    <w:noProof/>
                    <w:webHidden/>
                  </w:rPr>
                  <w:t>8</w:t>
                </w:r>
                <w:r w:rsidR="00FE44CA">
                  <w:rPr>
                    <w:noProof/>
                    <w:webHidden/>
                  </w:rPr>
                  <w:fldChar w:fldCharType="end"/>
                </w:r>
              </w:hyperlink>
            </w:p>
            <w:p w14:paraId="545384EB" w14:textId="2D21E9EA" w:rsidR="009F44B0" w:rsidRDefault="009F44B0">
              <w:r>
                <w:rPr>
                  <w:b/>
                  <w:bCs/>
                </w:rPr>
                <w:fldChar w:fldCharType="end"/>
              </w:r>
            </w:p>
          </w:sdtContent>
        </w:sdt>
        <w:p w14:paraId="694011F6" w14:textId="77777777" w:rsidR="009F44B0" w:rsidRDefault="009F44B0">
          <w:pPr>
            <w:rPr>
              <w:rFonts w:ascii="Arial" w:hAnsi="Arial" w:cs="Arial"/>
              <w:sz w:val="28"/>
              <w:szCs w:val="28"/>
            </w:rPr>
          </w:pPr>
        </w:p>
        <w:p w14:paraId="00BA824B" w14:textId="77777777" w:rsidR="009F44B0" w:rsidRDefault="009F44B0">
          <w:pPr>
            <w:rPr>
              <w:rFonts w:ascii="Arial" w:hAnsi="Arial" w:cs="Arial"/>
              <w:sz w:val="28"/>
              <w:szCs w:val="28"/>
            </w:rPr>
          </w:pPr>
        </w:p>
        <w:p w14:paraId="446E9B2A" w14:textId="77777777" w:rsidR="009F44B0" w:rsidRDefault="009F44B0">
          <w:pPr>
            <w:rPr>
              <w:rFonts w:ascii="Arial" w:hAnsi="Arial" w:cs="Arial"/>
              <w:sz w:val="28"/>
              <w:szCs w:val="28"/>
            </w:rPr>
          </w:pPr>
        </w:p>
        <w:p w14:paraId="4E52C11A" w14:textId="77777777" w:rsidR="009F44B0" w:rsidRDefault="009F44B0">
          <w:pPr>
            <w:rPr>
              <w:rFonts w:ascii="Arial" w:hAnsi="Arial" w:cs="Arial"/>
              <w:sz w:val="28"/>
              <w:szCs w:val="28"/>
            </w:rPr>
          </w:pPr>
        </w:p>
        <w:p w14:paraId="05BB0EA4" w14:textId="77777777" w:rsidR="009F44B0" w:rsidRDefault="009F44B0">
          <w:pPr>
            <w:rPr>
              <w:rFonts w:ascii="Arial" w:hAnsi="Arial" w:cs="Arial"/>
              <w:sz w:val="28"/>
              <w:szCs w:val="28"/>
            </w:rPr>
          </w:pPr>
        </w:p>
        <w:p w14:paraId="0A100281" w14:textId="77777777" w:rsidR="009F44B0" w:rsidRDefault="009F44B0">
          <w:pPr>
            <w:rPr>
              <w:rFonts w:ascii="Arial" w:hAnsi="Arial" w:cs="Arial"/>
              <w:sz w:val="28"/>
              <w:szCs w:val="28"/>
            </w:rPr>
          </w:pPr>
        </w:p>
        <w:p w14:paraId="6E5145C1" w14:textId="77777777" w:rsidR="009F44B0" w:rsidRDefault="009F44B0">
          <w:pPr>
            <w:rPr>
              <w:rFonts w:ascii="Arial" w:hAnsi="Arial" w:cs="Arial"/>
              <w:sz w:val="28"/>
              <w:szCs w:val="28"/>
            </w:rPr>
          </w:pPr>
        </w:p>
        <w:p w14:paraId="4BAB97B5" w14:textId="77777777" w:rsidR="009F44B0" w:rsidRDefault="009F44B0">
          <w:pPr>
            <w:rPr>
              <w:rFonts w:ascii="Arial" w:hAnsi="Arial" w:cs="Arial"/>
              <w:sz w:val="28"/>
              <w:szCs w:val="28"/>
            </w:rPr>
          </w:pPr>
        </w:p>
        <w:p w14:paraId="27AB8A37" w14:textId="77777777" w:rsidR="009F44B0" w:rsidRDefault="009F44B0">
          <w:pPr>
            <w:rPr>
              <w:rFonts w:ascii="Arial" w:hAnsi="Arial" w:cs="Arial"/>
              <w:sz w:val="28"/>
              <w:szCs w:val="28"/>
            </w:rPr>
          </w:pPr>
        </w:p>
        <w:p w14:paraId="4E5EDDAF" w14:textId="77777777" w:rsidR="009F44B0" w:rsidRDefault="009F44B0">
          <w:pPr>
            <w:rPr>
              <w:rFonts w:ascii="Arial" w:hAnsi="Arial" w:cs="Arial"/>
              <w:sz w:val="28"/>
              <w:szCs w:val="28"/>
            </w:rPr>
          </w:pPr>
        </w:p>
        <w:p w14:paraId="3A495A3B" w14:textId="77777777" w:rsidR="009F44B0" w:rsidRDefault="009F44B0">
          <w:pPr>
            <w:rPr>
              <w:rFonts w:ascii="Arial" w:hAnsi="Arial" w:cs="Arial"/>
              <w:sz w:val="28"/>
              <w:szCs w:val="28"/>
            </w:rPr>
          </w:pPr>
        </w:p>
        <w:p w14:paraId="3B8D4300" w14:textId="77777777" w:rsidR="009F44B0" w:rsidRDefault="009F44B0">
          <w:pPr>
            <w:rPr>
              <w:rFonts w:ascii="Arial" w:hAnsi="Arial" w:cs="Arial"/>
              <w:sz w:val="28"/>
              <w:szCs w:val="28"/>
            </w:rPr>
          </w:pPr>
        </w:p>
        <w:p w14:paraId="5D0A60D5" w14:textId="77777777" w:rsidR="009F44B0" w:rsidRDefault="009F44B0">
          <w:pPr>
            <w:rPr>
              <w:rFonts w:ascii="Arial" w:hAnsi="Arial" w:cs="Arial"/>
              <w:sz w:val="28"/>
              <w:szCs w:val="28"/>
            </w:rPr>
          </w:pPr>
        </w:p>
        <w:p w14:paraId="78148A90" w14:textId="77777777" w:rsidR="009F44B0" w:rsidRDefault="009F44B0">
          <w:pPr>
            <w:rPr>
              <w:rFonts w:ascii="Arial" w:hAnsi="Arial" w:cs="Arial"/>
              <w:sz w:val="28"/>
              <w:szCs w:val="28"/>
            </w:rPr>
          </w:pPr>
        </w:p>
        <w:p w14:paraId="7CFBE21E" w14:textId="77777777" w:rsidR="009F44B0" w:rsidRDefault="009F44B0">
          <w:pPr>
            <w:rPr>
              <w:rFonts w:ascii="Arial" w:hAnsi="Arial" w:cs="Arial"/>
              <w:sz w:val="28"/>
              <w:szCs w:val="28"/>
            </w:rPr>
          </w:pPr>
        </w:p>
        <w:p w14:paraId="3B7793B6" w14:textId="77777777" w:rsidR="009F44B0" w:rsidRDefault="009F44B0">
          <w:pPr>
            <w:rPr>
              <w:rFonts w:ascii="Arial" w:hAnsi="Arial" w:cs="Arial"/>
              <w:sz w:val="28"/>
              <w:szCs w:val="28"/>
            </w:rPr>
          </w:pPr>
        </w:p>
        <w:p w14:paraId="1371CF0C" w14:textId="77777777" w:rsidR="009F44B0" w:rsidRDefault="009F44B0">
          <w:pPr>
            <w:rPr>
              <w:rFonts w:ascii="Arial" w:hAnsi="Arial" w:cs="Arial"/>
              <w:sz w:val="28"/>
              <w:szCs w:val="28"/>
            </w:rPr>
          </w:pPr>
        </w:p>
        <w:p w14:paraId="5539A238" w14:textId="77777777" w:rsidR="009F44B0" w:rsidRDefault="009F44B0">
          <w:pPr>
            <w:rPr>
              <w:rFonts w:ascii="Arial" w:hAnsi="Arial" w:cs="Arial"/>
              <w:sz w:val="28"/>
              <w:szCs w:val="28"/>
            </w:rPr>
          </w:pPr>
        </w:p>
        <w:p w14:paraId="6E7A8D80" w14:textId="77777777" w:rsidR="009F44B0" w:rsidRDefault="009F44B0">
          <w:pPr>
            <w:rPr>
              <w:rFonts w:ascii="Arial" w:hAnsi="Arial" w:cs="Arial"/>
              <w:sz w:val="28"/>
              <w:szCs w:val="28"/>
            </w:rPr>
          </w:pPr>
        </w:p>
        <w:p w14:paraId="3720123B" w14:textId="3803114D" w:rsidR="00AA12E5" w:rsidRPr="00236CDA" w:rsidRDefault="00AA12E5" w:rsidP="009F44B0">
          <w:pPr>
            <w:pStyle w:val="Heading1"/>
            <w:rPr>
              <w:rFonts w:ascii="Arial" w:hAnsi="Arial" w:cs="Arial"/>
              <w:color w:val="000000" w:themeColor="text1"/>
            </w:rPr>
          </w:pPr>
          <w:bookmarkStart w:id="0" w:name="_Toc140770706"/>
          <w:r w:rsidRPr="00236CDA">
            <w:rPr>
              <w:rFonts w:ascii="Arial" w:hAnsi="Arial" w:cs="Arial"/>
              <w:color w:val="000000" w:themeColor="text1"/>
            </w:rPr>
            <w:t>Introduction</w:t>
          </w:r>
          <w:bookmarkEnd w:id="0"/>
        </w:p>
        <w:p w14:paraId="0862F659" w14:textId="7103C0AF" w:rsidR="00596E9E" w:rsidRPr="003C3C8E" w:rsidRDefault="003A6B99" w:rsidP="00596E9E">
          <w:pPr>
            <w:rPr>
              <w:rFonts w:ascii="Arial" w:hAnsi="Arial" w:cs="Arial"/>
            </w:rPr>
          </w:pPr>
          <w:r w:rsidRPr="003C3C8E">
            <w:rPr>
              <w:rFonts w:ascii="Arial" w:hAnsi="Arial" w:cs="Arial"/>
            </w:rPr>
            <w:t xml:space="preserve">1893–1900: The Shell Trading and Transport Company is established. The Samuels brothers revolutionised the shipping of oil with the launch of the Murex. By greatly increasing the amount that could be transported, bulk transport drastically reduced the price of oil. Standard Oil was the brothers' major rival at the time, and their iconic blue kerosene cans—which could be used for anything from roofing to bed pans—were a symbol of their success. They came up with the Shell brand and painted their containers bright red to make them stand out. By 1896, their paraffin company was more lucrative than their other ventures put together, so the strategy clearly paid off. Marcus and Samuel began refining oil at Balik Papan, Dutch Borneo, in 1897 after rebranding their business as the Shell Transport and Trading Company. When the United States went to war with Japan during World War II, it was necessary to demolish the </w:t>
          </w:r>
          <w:r w:rsidR="00FA6603" w:rsidRPr="003C3C8E">
            <w:rPr>
              <w:rFonts w:ascii="Arial" w:hAnsi="Arial" w:cs="Arial"/>
            </w:rPr>
            <w:t>refinery (</w:t>
          </w:r>
          <w:r w:rsidR="00695DE8" w:rsidRPr="003C3C8E">
            <w:rPr>
              <w:rFonts w:ascii="Arial" w:hAnsi="Arial" w:cs="Arial"/>
            </w:rPr>
            <w:t>Shell Global 2017).</w:t>
          </w:r>
          <w:r w:rsidR="00FA6603" w:rsidRPr="003C3C8E">
            <w:rPr>
              <w:rFonts w:ascii="Arial" w:hAnsi="Arial" w:cs="Arial"/>
            </w:rPr>
            <w:t xml:space="preserve"> A global oil business with roots in the Netherlands and the United Kingdom, Royal Dutch Shell plc is more often known as Shell. One of the six "supermajors" (vertically integrated private sector oil exploration, natural gas, and petroleum product marketing businesses), it ranks as the world's second-largest private energy firm. In addition to its registered office in London (Shell Centre), the company's headquarters are in The Hague, Netherlands. Production, processing, transportation, and marketing of hydrocarbons (oil and gas) are the company's primary activities. Shell Chemicals, the company's petrochemicals division, is large, and the renewable energy division is just getting started, exploring options in wind, hydrogen, and solar. Shell is a publicly traded company that is incorporated in the United Kingdom, has its main offices in the Netherlands, and is primarily listed on the London Stock Exchange and Euronext Amsterdam (</w:t>
          </w:r>
          <w:r w:rsidR="004F455F" w:rsidRPr="003C3C8E">
            <w:rPr>
              <w:rFonts w:ascii="Arial" w:hAnsi="Arial" w:cs="Arial"/>
            </w:rPr>
            <w:t>New World Encyclopaedia 2007).</w:t>
          </w:r>
          <w:r w:rsidR="009E11CC" w:rsidRPr="003C3C8E">
            <w:rPr>
              <w:rFonts w:ascii="Arial" w:hAnsi="Arial" w:cs="Arial"/>
            </w:rPr>
            <w:t xml:space="preserve"> In 2022, Shell had 87,000 workers, a 6.1% rise over the year before (Macrotrends 2023).</w:t>
          </w:r>
          <w:r w:rsidR="00B70BD1" w:rsidRPr="003C3C8E">
            <w:rPr>
              <w:rFonts w:ascii="Arial" w:hAnsi="Arial" w:cs="Arial"/>
            </w:rPr>
            <w:t xml:space="preserve"> Shell Retail serves 30 million consumers a day at more than 44,000 Shell outlets in 75 countries, completing 11 billion transactions yearly (</w:t>
          </w:r>
          <w:r w:rsidR="00F45204" w:rsidRPr="003C3C8E">
            <w:rPr>
              <w:rFonts w:ascii="Arial" w:hAnsi="Arial" w:cs="Arial"/>
            </w:rPr>
            <w:t xml:space="preserve">Google </w:t>
          </w:r>
          <w:r w:rsidR="00F45204">
            <w:rPr>
              <w:rFonts w:ascii="Arial" w:hAnsi="Arial" w:cs="Arial"/>
            </w:rPr>
            <w:t>2023</w:t>
          </w:r>
          <w:r w:rsidR="00596E9E" w:rsidRPr="003C3C8E">
            <w:rPr>
              <w:rFonts w:ascii="Arial" w:hAnsi="Arial" w:cs="Arial"/>
            </w:rPr>
            <w:t>). Seven executive branches serve four business divisions in RDS's global matrix organisational structure. These divisions are Shell's subsidiaries' top reporting structure. Shell's numerous business operations are met via subsidiary firms. The executive structure of each subsidiary resembles the corporate structure. Each subsidiary must report up various channels, yet the model streamlines information flow to the right business divisions. More on this later. RDS's business environment matches its organisational complexity and setup (</w:t>
          </w:r>
          <w:r w:rsidR="00207028" w:rsidRPr="003C3C8E">
            <w:rPr>
              <w:rFonts w:ascii="Arial" w:hAnsi="Arial" w:cs="Arial"/>
            </w:rPr>
            <w:t>Organizational Theory 2019).</w:t>
          </w:r>
        </w:p>
        <w:p w14:paraId="5791731F" w14:textId="77777777" w:rsidR="00596E9E" w:rsidRPr="003C3C8E" w:rsidRDefault="00596E9E" w:rsidP="00596E9E">
          <w:pPr>
            <w:rPr>
              <w:rFonts w:ascii="Arial" w:hAnsi="Arial" w:cs="Arial"/>
            </w:rPr>
          </w:pPr>
        </w:p>
        <w:p w14:paraId="5DBCE1D4" w14:textId="01FA4E59" w:rsidR="00B70BD1" w:rsidRPr="00B70BD1" w:rsidRDefault="00B70BD1" w:rsidP="00B70BD1">
          <w:pPr>
            <w:rPr>
              <w:rFonts w:ascii="Arial" w:hAnsi="Arial" w:cs="Arial"/>
            </w:rPr>
          </w:pPr>
        </w:p>
        <w:p w14:paraId="32305BC8" w14:textId="77777777" w:rsidR="00B70BD1" w:rsidRPr="00B70BD1" w:rsidRDefault="00B70BD1" w:rsidP="00B70BD1">
          <w:pPr>
            <w:rPr>
              <w:rFonts w:ascii="Arial" w:hAnsi="Arial" w:cs="Arial"/>
            </w:rPr>
          </w:pPr>
        </w:p>
        <w:p w14:paraId="0CE31848" w14:textId="41F9D85F" w:rsidR="00695DE8" w:rsidRPr="00236CDA" w:rsidRDefault="00FA6603" w:rsidP="009F44B0">
          <w:pPr>
            <w:pStyle w:val="Heading1"/>
            <w:rPr>
              <w:rFonts w:ascii="Arial" w:hAnsi="Arial" w:cs="Arial"/>
              <w:color w:val="000000" w:themeColor="text1"/>
            </w:rPr>
          </w:pPr>
          <w:bookmarkStart w:id="1" w:name="_Toc140770707"/>
          <w:r w:rsidRPr="00236CDA">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5ADF5C9B" wp14:editId="48061541">
                    <wp:simplePos x="0" y="0"/>
                    <wp:positionH relativeFrom="page">
                      <wp:posOffset>219075</wp:posOffset>
                    </wp:positionH>
                    <wp:positionV relativeFrom="page">
                      <wp:posOffset>6915150</wp:posOffset>
                    </wp:positionV>
                    <wp:extent cx="7315200" cy="169545"/>
                    <wp:effectExtent l="0" t="0" r="0" b="1905"/>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69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C64FB" w14:textId="1452193B" w:rsidR="00710FBF" w:rsidRPr="00710FBF" w:rsidRDefault="00000000">
                                <w:pPr>
                                  <w:jc w:val="right"/>
                                  <w:rPr>
                                    <w:rFonts w:ascii="Agency FB" w:hAnsi="Agency FB"/>
                                    <w:color w:val="4472C4" w:themeColor="accent1"/>
                                    <w:sz w:val="64"/>
                                    <w:szCs w:val="64"/>
                                  </w:rPr>
                                </w:pPr>
                                <w:sdt>
                                  <w:sdtPr>
                                    <w:rPr>
                                      <w:rFonts w:ascii="Agency FB" w:hAnsi="Agency FB"/>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0FBF" w:rsidRPr="00710FBF">
                                      <w:rPr>
                                        <w:rFonts w:ascii="Agency FB" w:hAnsi="Agency FB"/>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5BAE672" w14:textId="324EB4D8" w:rsidR="00710FBF" w:rsidRDefault="00710FB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DF5C9B" id="Text Box 54" o:spid="_x0000_s1028" type="#_x0000_t202" style="position:absolute;margin-left:17.25pt;margin-top:544.5pt;width:8in;height:13.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" filled="f" stroked="f" strokeweight=".5pt">
                    <v:textbox inset="126pt,0,54pt,0">
                      <w:txbxContent>
                        <w:p w14:paraId="58FC64FB" w14:textId="1452193B" w:rsidR="00710FBF" w:rsidRPr="00710FBF" w:rsidRDefault="00000000">
                          <w:pPr>
                            <w:jc w:val="right"/>
                            <w:rPr>
                              <w:rFonts w:ascii="Agency FB" w:hAnsi="Agency FB"/>
                              <w:color w:val="4472C4" w:themeColor="accent1"/>
                              <w:sz w:val="64"/>
                              <w:szCs w:val="64"/>
                            </w:rPr>
                          </w:pPr>
                          <w:sdt>
                            <w:sdtPr>
                              <w:rPr>
                                <w:rFonts w:ascii="Agency FB" w:hAnsi="Agency FB"/>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0FBF" w:rsidRPr="00710FBF">
                                <w:rPr>
                                  <w:rFonts w:ascii="Agency FB" w:hAnsi="Agency FB"/>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5BAE672" w14:textId="324EB4D8" w:rsidR="00710FBF" w:rsidRDefault="00710FB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3C3C8E" w:rsidRPr="00236CDA">
            <w:rPr>
              <w:rFonts w:ascii="Arial" w:hAnsi="Arial" w:cs="Arial"/>
              <w:color w:val="000000" w:themeColor="text1"/>
            </w:rPr>
            <w:t>Globalisation</w:t>
          </w:r>
          <w:bookmarkEnd w:id="1"/>
        </w:p>
        <w:p w14:paraId="6544C86E" w14:textId="77777777" w:rsidR="003C3C8E" w:rsidRDefault="003C3C8E"/>
        <w:p w14:paraId="4894FEA0" w14:textId="77777777" w:rsidR="00236CDA" w:rsidRDefault="003C3C8E" w:rsidP="007B5263">
          <w:pPr>
            <w:rPr>
              <w:rFonts w:ascii="Arial" w:hAnsi="Arial" w:cs="Arial"/>
            </w:rPr>
          </w:pPr>
          <w:r w:rsidRPr="003C3C8E">
            <w:rPr>
              <w:rFonts w:ascii="Arial" w:hAnsi="Arial" w:cs="Arial"/>
            </w:rPr>
            <w:t xml:space="preserve">Shell's "intensity" pledges for 2030 and 2035 are not the same as commitments to accomplish near-term absolute reductions in fossil fuel business in line with climate science, even though Shell wants to reach net-zero by 2050. The gaps in Shell's pledges allow fossil fuel sales for 14 years. Campaigners call the company's choice of a 20% 2030 emissions intensity reduction target over a near-term absolute emissions reduction target "essentially kicking the difficult decisions into the long grass". The company anticipates its absolute emissions from energy goods to stay below 2018 levels, but the globe needs to reduce fossil </w:t>
          </w:r>
          <w:r w:rsidRPr="003C3C8E">
            <w:rPr>
              <w:rFonts w:ascii="Arial" w:hAnsi="Arial" w:cs="Arial"/>
            </w:rPr>
            <w:lastRenderedPageBreak/>
            <w:t>fuel emissions far below 2018.</w:t>
          </w:r>
          <w:r>
            <w:rPr>
              <w:rFonts w:ascii="Arial" w:hAnsi="Arial" w:cs="Arial"/>
            </w:rPr>
            <w:t xml:space="preserve"> </w:t>
          </w:r>
          <w:r w:rsidRPr="003C3C8E">
            <w:rPr>
              <w:rFonts w:ascii="Arial" w:hAnsi="Arial" w:cs="Arial"/>
            </w:rPr>
            <w:t>Shell's goals are confined to its "Net Carbon Footprint." Shell's Scope 3 net-zero aim excludes its petrochemicals division, which supplies 17 million tonnes of chemicals per year, despite the significant climate implications of plastics made from petrochemicals. The corporation also excludes some of its major fossil fuel trading operations.</w:t>
          </w:r>
          <w:r>
            <w:rPr>
              <w:rFonts w:ascii="Arial" w:hAnsi="Arial" w:cs="Arial"/>
            </w:rPr>
            <w:t xml:space="preserve"> </w:t>
          </w:r>
          <w:r w:rsidRPr="003C3C8E">
            <w:rPr>
              <w:rFonts w:ascii="Arial" w:hAnsi="Arial" w:cs="Arial"/>
            </w:rPr>
            <w:t>Shell's aims are "in step with society" with a "get-out clause." Shell claims:</w:t>
          </w:r>
          <w:r>
            <w:rPr>
              <w:rFonts w:ascii="Arial" w:hAnsi="Arial" w:cs="Arial"/>
            </w:rPr>
            <w:t xml:space="preserve"> </w:t>
          </w:r>
          <w:r w:rsidRPr="003C3C8E">
            <w:rPr>
              <w:rFonts w:ascii="Arial" w:hAnsi="Arial" w:cs="Arial"/>
            </w:rPr>
            <w:t>We want to accelerate society's energy demands. We can't go as fast if it changes slowly.</w:t>
          </w:r>
          <w:r>
            <w:rPr>
              <w:rFonts w:ascii="Arial" w:hAnsi="Arial" w:cs="Arial"/>
            </w:rPr>
            <w:t xml:space="preserve"> </w:t>
          </w:r>
          <w:r w:rsidRPr="003C3C8E">
            <w:rPr>
              <w:rFonts w:ascii="Arial" w:hAnsi="Arial" w:cs="Arial"/>
            </w:rPr>
            <w:t>The corporation won't adjust its basic business operations plans and budgets unless they're "in step with the movement towards a Net Zero Emissions economy within society and among Shell's customers". Shell may allow the corporation to opt out of its obligations, but it is unclear how it will decide. This method also ignores that society (via governments) decided over five years ago to progress towards a net-zero economy in the 2015 Paris Agreement.</w:t>
          </w:r>
        </w:p>
        <w:p w14:paraId="1E4CD902" w14:textId="7E6A2186" w:rsidR="00695DE8" w:rsidRDefault="003C3C8E" w:rsidP="007B5263">
          <w:pPr>
            <w:rPr>
              <w:rFonts w:ascii="Arial" w:hAnsi="Arial" w:cs="Arial"/>
            </w:rPr>
          </w:pPr>
          <w:r w:rsidRPr="003C3C8E">
            <w:rPr>
              <w:rFonts w:ascii="Arial" w:hAnsi="Arial" w:cs="Arial"/>
            </w:rPr>
            <w:t>Shell solely regulates its own emissions, not “our customers’ carbon emissions associated with their use of the energy products we sell,” the firm claims, avoiding accountability for its oil and gas products' massive emissions</w:t>
          </w:r>
          <w:r>
            <w:rPr>
              <w:rFonts w:ascii="Arial" w:hAnsi="Arial" w:cs="Arial"/>
            </w:rPr>
            <w:t xml:space="preserve"> (ClientEarth 2023)</w:t>
          </w:r>
          <w:r w:rsidR="007B5263">
            <w:rPr>
              <w:rFonts w:ascii="Arial" w:hAnsi="Arial" w:cs="Arial"/>
            </w:rPr>
            <w:t>.</w:t>
          </w:r>
          <w:r w:rsidR="007B5263" w:rsidRPr="007B5263">
            <w:t xml:space="preserve"> </w:t>
          </w:r>
          <w:r w:rsidR="007B5263" w:rsidRPr="007B5263">
            <w:rPr>
              <w:rFonts w:ascii="Arial" w:hAnsi="Arial" w:cs="Arial"/>
            </w:rPr>
            <w:t>Many foreign enterprises have gone silent due to the pandemic's "globalisation obituaries." However, recent forecasts envision a world with both globalisation and anti-globalization in the new corporate environment.</w:t>
          </w:r>
          <w:r w:rsidR="007B5263">
            <w:rPr>
              <w:rFonts w:ascii="Arial" w:hAnsi="Arial" w:cs="Arial"/>
            </w:rPr>
            <w:t xml:space="preserve"> </w:t>
          </w:r>
          <w:r w:rsidR="007B5263" w:rsidRPr="007B5263">
            <w:rPr>
              <w:rFonts w:ascii="Arial" w:hAnsi="Arial" w:cs="Arial"/>
            </w:rPr>
            <w:t>Some firms are vertically integrating local supply chains and making "Made in the USA" items using domestic parts out of fear of overseas travel and supply chain disruption. This may benefit the national economy in the short term, but business must ensure its sustainability and profitability.</w:t>
          </w:r>
          <w:r w:rsidR="007B5263">
            <w:rPr>
              <w:rFonts w:ascii="Arial" w:hAnsi="Arial" w:cs="Arial"/>
            </w:rPr>
            <w:t xml:space="preserve"> </w:t>
          </w:r>
          <w:r w:rsidR="007B5263" w:rsidRPr="007B5263">
            <w:rPr>
              <w:rFonts w:ascii="Arial" w:hAnsi="Arial" w:cs="Arial"/>
            </w:rPr>
            <w:t xml:space="preserve">If corporations are not hindered by protectionist measures, a pandemic-induced change could boost globalisation. Especially for smaller enterprises, cross-border e-commerce can boost exports. New work-from-home policies may also necessitate outsourcing more goods and services. The COVID-19 pandemic has already changed urban life. Business travellers and commuters are at record </w:t>
          </w:r>
          <w:r w:rsidR="007B5263">
            <w:rPr>
              <w:rFonts w:ascii="Arial" w:hAnsi="Arial" w:cs="Arial"/>
            </w:rPr>
            <w:t xml:space="preserve">lows.  </w:t>
          </w:r>
          <w:r w:rsidR="007B5263" w:rsidRPr="007B5263">
            <w:rPr>
              <w:rFonts w:ascii="Arial" w:hAnsi="Arial" w:cs="Arial"/>
            </w:rPr>
            <w:t>No</w:t>
          </w:r>
          <w:r w:rsidR="007B5263">
            <w:rPr>
              <w:rFonts w:ascii="Arial" w:hAnsi="Arial" w:cs="Arial"/>
            </w:rPr>
            <w:t>n-</w:t>
          </w:r>
          <w:r w:rsidR="007B5263" w:rsidRPr="007B5263">
            <w:rPr>
              <w:rFonts w:ascii="Arial" w:hAnsi="Arial" w:cs="Arial"/>
            </w:rPr>
            <w:t>essential enterprises and companies that can maintain it now work from home. These changes have spawned a debate over how cities should be built or rebuilt and how they may better adapt to current and future crises. New building and retrofitting will be needed to support vital demands after COVID-19.</w:t>
          </w:r>
          <w:r w:rsidR="007B5263">
            <w:rPr>
              <w:rFonts w:ascii="Arial" w:hAnsi="Arial" w:cs="Arial"/>
            </w:rPr>
            <w:t xml:space="preserve"> </w:t>
          </w:r>
          <w:r w:rsidR="007B5263" w:rsidRPr="007B5263">
            <w:rPr>
              <w:rFonts w:ascii="Arial" w:hAnsi="Arial" w:cs="Arial"/>
            </w:rPr>
            <w:t>Access to Core Services - Many cities lack access to fundamental services like water, housing, and health care to keep inhabitants healthy and productive. Cities must invest in reducing this urban divide by giving equal access to these critical services.</w:t>
          </w:r>
          <w:r w:rsidR="007B5263">
            <w:rPr>
              <w:rFonts w:ascii="Arial" w:hAnsi="Arial" w:cs="Arial"/>
            </w:rPr>
            <w:t xml:space="preserve"> </w:t>
          </w:r>
          <w:r w:rsidR="007B5263" w:rsidRPr="007B5263">
            <w:rPr>
              <w:rFonts w:ascii="Arial" w:hAnsi="Arial" w:cs="Arial"/>
            </w:rPr>
            <w:t>More City/Regional Collaboration - The economic impact of this crisis affected supply and manufacturing chains in cities and regions, which radiated out into worldwide networks. A push for more integrated city/regional planning around economies, energy reserves, transportation, and food production will bring a broader and different set of stakeholders to the table and assist build a stronger coalition for change.</w:t>
          </w:r>
          <w:r w:rsidR="007B5263">
            <w:rPr>
              <w:rFonts w:ascii="Arial" w:hAnsi="Arial" w:cs="Arial"/>
            </w:rPr>
            <w:t xml:space="preserve"> </w:t>
          </w:r>
          <w:r w:rsidR="007B5263" w:rsidRPr="007B5263">
            <w:rPr>
              <w:rFonts w:ascii="Arial" w:hAnsi="Arial" w:cs="Arial"/>
            </w:rPr>
            <w:t>Integrated Infrastructure - Cities should integrate grey, green, and blue zones to promote a healthier lifestyle, improved water management, climate adaptation, and mitigation.</w:t>
          </w:r>
          <w:r w:rsidR="007B5263">
            <w:rPr>
              <w:rFonts w:ascii="Arial" w:hAnsi="Arial" w:cs="Arial"/>
            </w:rPr>
            <w:t xml:space="preserve"> </w:t>
          </w:r>
          <w:r w:rsidR="007B5263" w:rsidRPr="007B5263">
            <w:rPr>
              <w:rFonts w:ascii="Arial" w:hAnsi="Arial" w:cs="Arial"/>
            </w:rPr>
            <w:t>To create smarter cities with healthier, more sustainable urban areas, government authorities and construction, energy, and transportation business partners must work together. Traditional supply</w:t>
          </w:r>
          <w:r w:rsidR="007B5263">
            <w:rPr>
              <w:rFonts w:ascii="Arial" w:hAnsi="Arial" w:cs="Arial"/>
            </w:rPr>
            <w:t xml:space="preserve"> </w:t>
          </w:r>
          <w:r w:rsidR="007B5263" w:rsidRPr="007B5263">
            <w:rPr>
              <w:rFonts w:ascii="Arial" w:hAnsi="Arial" w:cs="Arial"/>
            </w:rPr>
            <w:t>channels were already outdated before COVID-19. Manufacturers are moving swiftly towards an integrated digital solution that is more nimble and adaptable due to the epidemic.</w:t>
          </w:r>
          <w:r w:rsidR="007B5263">
            <w:rPr>
              <w:rFonts w:ascii="Arial" w:hAnsi="Arial" w:cs="Arial"/>
            </w:rPr>
            <w:t xml:space="preserve"> </w:t>
          </w:r>
          <w:r w:rsidR="007B5263" w:rsidRPr="007B5263">
            <w:rPr>
              <w:rFonts w:ascii="Arial" w:hAnsi="Arial" w:cs="Arial"/>
            </w:rPr>
            <w:t>This rapid change will require multiple strategies. According to Forbes.com, digital transformation has five keys: Creating and sustaining a digital thread from the start of invention to the end of the product's life cycle.</w:t>
          </w:r>
          <w:r w:rsidR="007B5263">
            <w:rPr>
              <w:rFonts w:ascii="Arial" w:hAnsi="Arial" w:cs="Arial"/>
            </w:rPr>
            <w:t xml:space="preserve"> </w:t>
          </w:r>
          <w:r w:rsidR="007B5263" w:rsidRPr="007B5263">
            <w:rPr>
              <w:rFonts w:ascii="Arial" w:hAnsi="Arial" w:cs="Arial"/>
            </w:rPr>
            <w:t>Finding digitally native supply chain partners with the flexibility, agility, and resilience manufacturers need.</w:t>
          </w:r>
          <w:r w:rsidR="007B5263">
            <w:rPr>
              <w:rFonts w:ascii="Arial" w:hAnsi="Arial" w:cs="Arial"/>
            </w:rPr>
            <w:t xml:space="preserve"> </w:t>
          </w:r>
          <w:r w:rsidR="007B5263" w:rsidRPr="007B5263">
            <w:rPr>
              <w:rFonts w:ascii="Arial" w:hAnsi="Arial" w:cs="Arial"/>
            </w:rPr>
            <w:t>Ensuring businesses have the proper digital tools to manage their unique supply chain.</w:t>
          </w:r>
          <w:r w:rsidR="007B5263">
            <w:rPr>
              <w:rFonts w:ascii="Arial" w:hAnsi="Arial" w:cs="Arial"/>
            </w:rPr>
            <w:t xml:space="preserve"> </w:t>
          </w:r>
          <w:r w:rsidR="007B5263" w:rsidRPr="007B5263">
            <w:rPr>
              <w:rFonts w:ascii="Arial" w:hAnsi="Arial" w:cs="Arial"/>
            </w:rPr>
            <w:t>Mandating a digital transformation strategy for the manufacturer and its suppliers.</w:t>
          </w:r>
          <w:r w:rsidR="007B5263">
            <w:rPr>
              <w:rFonts w:ascii="Arial" w:hAnsi="Arial" w:cs="Arial"/>
            </w:rPr>
            <w:t xml:space="preserve"> </w:t>
          </w:r>
          <w:r w:rsidR="007B5263" w:rsidRPr="007B5263">
            <w:rPr>
              <w:rFonts w:ascii="Arial" w:hAnsi="Arial" w:cs="Arial"/>
            </w:rPr>
            <w:t>Accepting the digital twin, automation, robotics, additive manufacturing, and artificial intelligence as technical building blocks.</w:t>
          </w:r>
          <w:r w:rsidR="007B5263">
            <w:rPr>
              <w:rFonts w:ascii="Arial" w:hAnsi="Arial" w:cs="Arial"/>
            </w:rPr>
            <w:t xml:space="preserve"> </w:t>
          </w:r>
          <w:r w:rsidR="007B5263" w:rsidRPr="007B5263">
            <w:rPr>
              <w:rFonts w:ascii="Arial" w:hAnsi="Arial" w:cs="Arial"/>
            </w:rPr>
            <w:t xml:space="preserve">It must be digital regardless of the reason for choosing a supply chain or manufacturing solution. As the global economy recovers, companies who implement digital practises will be ahead of the pack. </w:t>
          </w:r>
          <w:r w:rsidR="007B5263" w:rsidRPr="007B5263">
            <w:rPr>
              <w:rFonts w:ascii="Arial" w:hAnsi="Arial" w:cs="Arial"/>
            </w:rPr>
            <w:lastRenderedPageBreak/>
            <w:t>The pandemic's huge reduction in worldwide NO2 and CO2 emissions shows how even a short-term climate change reversal is possible.</w:t>
          </w:r>
          <w:r w:rsidR="007B5263">
            <w:rPr>
              <w:rFonts w:ascii="Arial" w:hAnsi="Arial" w:cs="Arial"/>
            </w:rPr>
            <w:t xml:space="preserve"> </w:t>
          </w:r>
          <w:r w:rsidR="007B5263" w:rsidRPr="007B5263">
            <w:rPr>
              <w:rFonts w:ascii="Arial" w:hAnsi="Arial" w:cs="Arial"/>
            </w:rPr>
            <w:t>Climate agenda and policies are expected to advance after the epidemic. Oil and gas, mining, automobile, agriculture, and infrastructure will be affected by digitalization, the Internet of Things, and the low-carbon economy.</w:t>
          </w:r>
          <w:r w:rsidR="007B5263">
            <w:rPr>
              <w:rFonts w:ascii="Arial" w:hAnsi="Arial" w:cs="Arial"/>
            </w:rPr>
            <w:t xml:space="preserve"> </w:t>
          </w:r>
          <w:r w:rsidR="007B5263" w:rsidRPr="007B5263">
            <w:rPr>
              <w:rFonts w:ascii="Arial" w:hAnsi="Arial" w:cs="Arial"/>
            </w:rPr>
            <w:t>Global sustainability activities will keep the earth healthier</w:t>
          </w:r>
          <w:r w:rsidR="007B5263">
            <w:rPr>
              <w:rFonts w:ascii="Arial" w:hAnsi="Arial" w:cs="Arial"/>
            </w:rPr>
            <w:t xml:space="preserve"> (</w:t>
          </w:r>
          <w:r w:rsidR="00E146BD">
            <w:rPr>
              <w:rFonts w:ascii="Arial" w:hAnsi="Arial" w:cs="Arial"/>
            </w:rPr>
            <w:t>Godfrey 2020).</w:t>
          </w:r>
        </w:p>
        <w:p w14:paraId="2F251F92" w14:textId="7B478B20" w:rsidR="009415AB" w:rsidRPr="009415AB" w:rsidRDefault="009415AB" w:rsidP="009415AB">
          <w:pPr>
            <w:rPr>
              <w:rFonts w:ascii="Arial" w:hAnsi="Arial" w:cs="Arial"/>
            </w:rPr>
          </w:pPr>
          <w:r w:rsidRPr="009415AB">
            <w:rPr>
              <w:rFonts w:ascii="Arial" w:hAnsi="Arial" w:cs="Arial"/>
            </w:rPr>
            <w:t>Oil and gas portfolios can improve emissions performance and profitability by retiring the least productive and most carbon-intensive wells and assets. One North Sea operator found that retiring 20% of its well stock, specifically the wells with the highest water-cut, lowest hydrocarbon throughput, and highest energy intensity, would improve its portfolio's cost efficiency and emissions intensity. An upstream company in Nigeria found that restoring every closed-in string did not maximise value or improve emissions performance from well campaigns. In fact, its creaming curve of well opportunities, tested against value and emissions, showed that a third of the well opportunities could capture two-thirds of the gains at no net increase in emissions. Therefore, most oil and gas companies should upgrade their physical asset footprints to improve the financial and regulatory resilience of their hydrocarbon portfolios. Many oil and gas companies are rethinking their energy transition strategies. For one, they may need to go far beyond decarbonizing their operations to reduce emissions. Scope 3 emissions, which are associated with product use, make up more than three-quarters of the sector's emissions footprint. Importantly, low-carbon investment classes are growing rapidly. How can oil and gas companies profitably grow while improving climate resilience? The resource specialist, integrated energy player, and low-carbon pure play are oil and gas players' strategic responses.</w:t>
          </w:r>
          <w:r>
            <w:rPr>
              <w:rFonts w:ascii="Arial" w:hAnsi="Arial" w:cs="Arial"/>
            </w:rPr>
            <w:t xml:space="preserve"> </w:t>
          </w:r>
          <w:r w:rsidRPr="009415AB">
            <w:rPr>
              <w:rFonts w:ascii="Arial" w:hAnsi="Arial" w:cs="Arial"/>
            </w:rPr>
            <w:t>In essence, resource specialists are sticking to their knitting. Even on a declining trend, they are betting on a future that requires hydrocarbons for 30 to 50 years. This class of companies recognises that the mature phase of any industry's development is often its most profitable for the strongest performers, often enhanced by consolidation opportunities. They offer high yield potential, if not top-line growth, and an investment proposition that is not complicated by new businesses to which their competencies may not naturally stretch. Most independent oil and gas companies specialise in resources. Lundin Energy is a notable medium-sized firm. To meet competitive breakeven, Lundin Energy carefully high-graded its hydrocarbon portfolio. By 2022, electrification of the Edvard Grieg and Johan Sverdrup Phase 2 operations is expected to reduce emissions intensity to below one kilogramme per barrel and improve production reliability. Lundin Energy is also investing in regional hydrogen and wind projects to reduce its Scope 2 emissions.</w:t>
          </w:r>
          <w:r>
            <w:rPr>
              <w:rFonts w:ascii="Arial" w:hAnsi="Arial" w:cs="Arial"/>
            </w:rPr>
            <w:t xml:space="preserve"> </w:t>
          </w:r>
          <w:r w:rsidRPr="009415AB">
            <w:rPr>
              <w:rFonts w:ascii="Arial" w:hAnsi="Arial" w:cs="Arial"/>
            </w:rPr>
            <w:t>Integrated energy players want to keep their profitable core while taking advantage of global opportunities in low-carbon markets like renewable power, bioenergy, next-generation mobility, energy services, and hydrogen. Based on their capabilities, technologies, relationships, and other incumbent advantages, players are betting that they will become the natural owners of some or all of these investment classes. BP recently announced its transition from an international oil company to an integrated energy company.</w:t>
          </w:r>
        </w:p>
        <w:p w14:paraId="3E38FE54" w14:textId="77777777" w:rsidR="009415AB" w:rsidRPr="009415AB" w:rsidRDefault="009415AB" w:rsidP="009415AB">
          <w:pPr>
            <w:rPr>
              <w:rFonts w:ascii="Arial" w:hAnsi="Arial" w:cs="Arial"/>
            </w:rPr>
          </w:pPr>
        </w:p>
        <w:p w14:paraId="42BDD193" w14:textId="5F79EBC0" w:rsidR="007453CD" w:rsidRDefault="009415AB" w:rsidP="007453CD">
          <w:pPr>
            <w:rPr>
              <w:rFonts w:ascii="Arial" w:hAnsi="Arial" w:cs="Arial"/>
            </w:rPr>
          </w:pPr>
          <w:r w:rsidRPr="009415AB">
            <w:rPr>
              <w:rFonts w:ascii="Arial" w:hAnsi="Arial" w:cs="Arial"/>
            </w:rPr>
            <w:t>This thinking is expanded by low-carbon pure plays. They are investing heavily on establishing future-proof, low-carbon firms while divesting themselves of legacy, high-carbon portfolios, which could distract management and provide investment proposals that are too diverse for equity and debt investors.</w:t>
          </w:r>
          <w:r>
            <w:rPr>
              <w:rFonts w:ascii="Arial" w:hAnsi="Arial" w:cs="Arial"/>
            </w:rPr>
            <w:t xml:space="preserve"> </w:t>
          </w:r>
          <w:r w:rsidRPr="009415AB">
            <w:rPr>
              <w:rFonts w:ascii="Arial" w:hAnsi="Arial" w:cs="Arial"/>
            </w:rPr>
            <w:t>Ørsted and Neste are among the medium-sized enterprises that have done this. Ørsted, a Danish energy provider, wants to be the "first offshore wind major." Neste, a Finnish energy corporation, now processes biofuels instead of refining and marketing oil.</w:t>
          </w:r>
          <w:r>
            <w:rPr>
              <w:rFonts w:ascii="Arial" w:hAnsi="Arial" w:cs="Arial"/>
            </w:rPr>
            <w:t xml:space="preserve"> </w:t>
          </w:r>
          <w:r w:rsidRPr="009415AB">
            <w:rPr>
              <w:rFonts w:ascii="Arial" w:hAnsi="Arial" w:cs="Arial"/>
            </w:rPr>
            <w:t>These three strategic archetypes can be selected using two general questions. What's the real momentum behind low-carbon technologies? Second, what are the risk-reward trade-offs between hydrocarbon and low-carbon businesses?</w:t>
          </w:r>
          <w:r w:rsidR="007453CD" w:rsidRPr="007453CD">
            <w:t xml:space="preserve"> </w:t>
          </w:r>
          <w:r w:rsidR="007453CD" w:rsidRPr="007453CD">
            <w:rPr>
              <w:rFonts w:ascii="Arial" w:hAnsi="Arial" w:cs="Arial"/>
            </w:rPr>
            <w:lastRenderedPageBreak/>
            <w:t>Automotive, telecommunications, finance, insurance, and media have all undergone such large discontinuities in technology, legislation, or customer preferences. In many of these cases, attackers defeated incumbents. Attackers usually have weak competencies, customer relationships, technology, brands, and balance sheets. Their ability to overtake large incumbents in growth sectors seems illogical. Incumbents fail to adapt to changing conditions, so such attackers succeed. Oil and gas businesses are updating their strategies and shifting investments to adapt to the energy transformation. Are they changing their operational models enough?</w:t>
          </w:r>
          <w:r w:rsidR="007453CD">
            <w:rPr>
              <w:rFonts w:ascii="Arial" w:hAnsi="Arial" w:cs="Arial"/>
            </w:rPr>
            <w:t xml:space="preserve"> </w:t>
          </w:r>
          <w:r w:rsidR="007453CD" w:rsidRPr="007453CD">
            <w:rPr>
              <w:rFonts w:ascii="Arial" w:hAnsi="Arial" w:cs="Arial"/>
            </w:rPr>
            <w:t>The resource specialist archetype requires improvement in what they already do. We expect sector consolidation as many present entities become huge net sellers of assets and others go bankrupt, recycling their assets to the surviving natural owners. In 2020, industry players filed nearly 85 Chapter 11 bankruptcies in North America. At $40 WTI and $2.5 MMcf Henry Hub Natural Gas prices, Rystad Energy predicts 190 enterprises will go bankrupt by 2022. Resource specialists must continuously increase capital returns, operating performance, operational carbon emissions, and residual well-to-wheel emissions footprints.</w:t>
          </w:r>
          <w:r w:rsidR="007453CD">
            <w:rPr>
              <w:rFonts w:ascii="Arial" w:hAnsi="Arial" w:cs="Arial"/>
            </w:rPr>
            <w:t xml:space="preserve"> </w:t>
          </w:r>
          <w:r w:rsidR="007453CD" w:rsidRPr="007453CD">
            <w:rPr>
              <w:rFonts w:ascii="Arial" w:hAnsi="Arial" w:cs="Arial"/>
            </w:rPr>
            <w:t>Medium-sized companies following the low-carbon pure play archetype have chosen faster transitions to new business focuses and organisations. For instance, Ørsted sold its petroleum assets to become the world's largest offshore wind developer. The market has welcomed Ørsted's all-in strategy, despite its risks. Neste is now a leading producer of renewable diesel and jet fuel. This category of companies must build significant new-business-development muscle to shape demand for their new low-carbon products and work with external stakeholders—within and across traditional boundaries—to create markets, scale supply chains, or attract funding through farm-downs, end-user equity partnerships, or demand-stabilizing purchase agreements. Think about how huge US oil companies influenced the car-based economy a century ago.</w:t>
          </w:r>
          <w:r w:rsidR="007453CD">
            <w:rPr>
              <w:rFonts w:ascii="Arial" w:hAnsi="Arial" w:cs="Arial"/>
            </w:rPr>
            <w:t xml:space="preserve"> </w:t>
          </w:r>
          <w:r w:rsidR="007453CD" w:rsidRPr="007453CD">
            <w:rPr>
              <w:rFonts w:ascii="Arial" w:hAnsi="Arial" w:cs="Arial"/>
            </w:rPr>
            <w:t>Large oil and gas companies want to become integrated energy players. This category of companies is trying to change its business mix, capital allocation, and organisational capabilities while defending their dividend streams and market valuations based on hydrocarbons.</w:t>
          </w:r>
          <w:r w:rsidR="007453CD">
            <w:rPr>
              <w:rFonts w:ascii="Arial" w:hAnsi="Arial" w:cs="Arial"/>
            </w:rPr>
            <w:t xml:space="preserve"> </w:t>
          </w:r>
          <w:r w:rsidR="007453CD" w:rsidRPr="007453CD">
            <w:rPr>
              <w:rFonts w:ascii="Arial" w:hAnsi="Arial" w:cs="Arial"/>
            </w:rPr>
            <w:t>Oil and gas firms must first determine where they can compete in low-carbon energy markets to take flight in the low-carbon winds of change. They must then rethink their operating methods and create new capabilities, leadership, and cultures to grow these new enterprises under their ownership.</w:t>
          </w:r>
          <w:r w:rsidR="007453CD">
            <w:rPr>
              <w:rFonts w:ascii="Arial" w:hAnsi="Arial" w:cs="Arial"/>
            </w:rPr>
            <w:t xml:space="preserve"> </w:t>
          </w:r>
          <w:r w:rsidR="007453CD" w:rsidRPr="007453CD">
            <w:rPr>
              <w:rFonts w:ascii="Arial" w:hAnsi="Arial" w:cs="Arial"/>
            </w:rPr>
            <w:t xml:space="preserve">Oil and gas titans have several skills that could be useful in a low-carbon energy economy. Leaders can weigh the relative, innate attractiveness of different low-carbon sectors (as defined by the expected capital return spread) against the relative competitive position of oil and gas players in low-carbon technologies to determine where to compete amid economic </w:t>
          </w:r>
          <w:r w:rsidR="009E069F" w:rsidRPr="007453CD">
            <w:rPr>
              <w:rFonts w:ascii="Arial" w:hAnsi="Arial" w:cs="Arial"/>
            </w:rPr>
            <w:t>uncertainty</w:t>
          </w:r>
          <w:r w:rsidR="009E069F">
            <w:rPr>
              <w:rFonts w:ascii="Arial" w:hAnsi="Arial" w:cs="Arial"/>
            </w:rPr>
            <w:t xml:space="preserve"> (</w:t>
          </w:r>
          <w:r w:rsidR="007453CD">
            <w:rPr>
              <w:rFonts w:ascii="Arial" w:hAnsi="Arial" w:cs="Arial"/>
            </w:rPr>
            <w:t>McKinsey and Company 2021).</w:t>
          </w:r>
          <w:r w:rsidR="007453CD" w:rsidRPr="007453CD">
            <w:rPr>
              <w:rFonts w:ascii="Arial" w:hAnsi="Arial" w:cs="Arial"/>
            </w:rPr>
            <w:t xml:space="preserve"> </w:t>
          </w:r>
        </w:p>
        <w:p w14:paraId="68903DCD" w14:textId="6BBE11A7" w:rsidR="004D00CD" w:rsidRPr="004D00CD" w:rsidRDefault="004D00CD" w:rsidP="004D00CD">
          <w:pPr>
            <w:pStyle w:val="Heading1"/>
            <w:rPr>
              <w:rFonts w:ascii="Arial" w:hAnsi="Arial" w:cs="Arial"/>
              <w:color w:val="000000" w:themeColor="text1"/>
              <w:sz w:val="28"/>
              <w:szCs w:val="28"/>
            </w:rPr>
          </w:pPr>
          <w:bookmarkStart w:id="2" w:name="_Toc140770708"/>
          <w:r w:rsidRPr="004D00CD">
            <w:rPr>
              <w:rFonts w:ascii="Arial" w:hAnsi="Arial" w:cs="Arial"/>
              <w:color w:val="000000" w:themeColor="text1"/>
              <w:sz w:val="28"/>
              <w:szCs w:val="28"/>
            </w:rPr>
            <w:t>SWOT ANALYSIS</w:t>
          </w:r>
          <w:bookmarkEnd w:id="2"/>
        </w:p>
        <w:p w14:paraId="7A1F5E75" w14:textId="365484C2" w:rsidR="009E069F" w:rsidRPr="00236CDA" w:rsidRDefault="009E069F" w:rsidP="009F44B0">
          <w:pPr>
            <w:pStyle w:val="Heading2"/>
            <w:rPr>
              <w:rFonts w:ascii="Arial" w:hAnsi="Arial" w:cs="Arial"/>
              <w:color w:val="000000" w:themeColor="text1"/>
            </w:rPr>
          </w:pPr>
          <w:bookmarkStart w:id="3" w:name="_Toc140770709"/>
          <w:r w:rsidRPr="00236CDA">
            <w:rPr>
              <w:rFonts w:ascii="Arial" w:hAnsi="Arial" w:cs="Arial"/>
              <w:color w:val="000000" w:themeColor="text1"/>
            </w:rPr>
            <w:t>Strengths</w:t>
          </w:r>
          <w:bookmarkEnd w:id="3"/>
        </w:p>
        <w:p w14:paraId="5EDB7943" w14:textId="77777777" w:rsidR="009E069F" w:rsidRPr="009E069F" w:rsidRDefault="009E069F" w:rsidP="009E069F">
          <w:pPr>
            <w:rPr>
              <w:rFonts w:ascii="Arial" w:hAnsi="Arial" w:cs="Arial"/>
            </w:rPr>
          </w:pPr>
          <w:r w:rsidRPr="009E069F">
            <w:rPr>
              <w:rFonts w:ascii="Arial" w:hAnsi="Arial" w:cs="Arial"/>
            </w:rPr>
            <w:t>Shell operates upstream and downstream in over 70 countries, giving it market dominance. Shell V-Power, Shell LPG, Shell Rotella, and others are among its fuel brands. Shell has significant industry bargaining power due to its seat of power.</w:t>
          </w:r>
        </w:p>
        <w:p w14:paraId="77620D94" w14:textId="6F841EF3" w:rsidR="009E069F" w:rsidRDefault="009E069F" w:rsidP="009E069F">
          <w:pPr>
            <w:rPr>
              <w:rFonts w:ascii="Arial" w:hAnsi="Arial" w:cs="Arial"/>
            </w:rPr>
          </w:pPr>
          <w:r w:rsidRPr="009E069F">
            <w:rPr>
              <w:rFonts w:ascii="Arial" w:hAnsi="Arial" w:cs="Arial"/>
            </w:rPr>
            <w:t>Vertical Integration – Shell has successfully integrated its business operations vertically by exploring and producing natural gas, crude oil, etc. Exploration, production, and upstream. Refined goods are sold downstream. Vertical integration gives them cost advantages and quality control. Research and Development – Shell is constantly improving its technology to reduce its carbon footprint and greenhouse gas emissions while extracting more fuel with less effort. Shell invests in R&amp;D and owns many patents. R&amp;D reduces costs and gives competitive advantages. Exploration-ready – Shell has invested in exploration technology. In recent years, Shell has developed its oil and gas exploration methods using geophysical data. The US's fuel dependence on Gulf nations decreased.</w:t>
          </w:r>
        </w:p>
        <w:p w14:paraId="075004E8" w14:textId="41DF987E" w:rsidR="009E069F" w:rsidRPr="00236CDA" w:rsidRDefault="00A34D6B" w:rsidP="009F44B0">
          <w:pPr>
            <w:pStyle w:val="Heading2"/>
            <w:rPr>
              <w:rFonts w:ascii="Arial" w:hAnsi="Arial" w:cs="Arial"/>
              <w:color w:val="000000" w:themeColor="text1"/>
            </w:rPr>
          </w:pPr>
          <w:bookmarkStart w:id="4" w:name="_Toc140770710"/>
          <w:r w:rsidRPr="00236CDA">
            <w:rPr>
              <w:rFonts w:ascii="Arial" w:hAnsi="Arial" w:cs="Arial"/>
              <w:color w:val="000000" w:themeColor="text1"/>
            </w:rPr>
            <w:lastRenderedPageBreak/>
            <w:t>Weaknesses</w:t>
          </w:r>
          <w:bookmarkEnd w:id="4"/>
        </w:p>
        <w:p w14:paraId="5DAF912A" w14:textId="45D5A651" w:rsidR="00A34D6B" w:rsidRDefault="00A34D6B" w:rsidP="00A34D6B">
          <w:pPr>
            <w:rPr>
              <w:rFonts w:ascii="Arial" w:hAnsi="Arial" w:cs="Arial"/>
            </w:rPr>
          </w:pPr>
          <w:r w:rsidRPr="00A34D6B">
            <w:rPr>
              <w:rFonts w:ascii="Arial" w:hAnsi="Arial" w:cs="Arial"/>
            </w:rPr>
            <w:t>Shell has broken several laws in recent years. Shell Oil used Panalpina to violate the Foreign Corrupt Practises Act in July 2007. Corruption fines were $30 million. This also hurt the company's reputation.</w:t>
          </w:r>
          <w:r>
            <w:rPr>
              <w:rFonts w:ascii="Arial" w:hAnsi="Arial" w:cs="Arial"/>
            </w:rPr>
            <w:t xml:space="preserve"> </w:t>
          </w:r>
          <w:r w:rsidRPr="00A34D6B">
            <w:rPr>
              <w:rFonts w:ascii="Arial" w:hAnsi="Arial" w:cs="Arial"/>
            </w:rPr>
            <w:t>Debts have been rising at Shell for years. The company owed $37774 million in 2012. Company debt reached $58379 million in FY 2015. Debt increases business risk and consumes cash flow for interest. Future financial obligations may increase.</w:t>
          </w:r>
        </w:p>
        <w:p w14:paraId="151449B6" w14:textId="19087997" w:rsidR="00A34D6B" w:rsidRPr="00236CDA" w:rsidRDefault="00A34D6B" w:rsidP="009F44B0">
          <w:pPr>
            <w:pStyle w:val="Heading2"/>
            <w:rPr>
              <w:rFonts w:ascii="Arial" w:hAnsi="Arial" w:cs="Arial"/>
              <w:color w:val="000000" w:themeColor="text1"/>
            </w:rPr>
          </w:pPr>
          <w:bookmarkStart w:id="5" w:name="_Toc140770711"/>
          <w:r w:rsidRPr="00236CDA">
            <w:rPr>
              <w:rFonts w:ascii="Arial" w:hAnsi="Arial" w:cs="Arial"/>
              <w:color w:val="000000" w:themeColor="text1"/>
            </w:rPr>
            <w:t>Opportunities</w:t>
          </w:r>
          <w:bookmarkEnd w:id="5"/>
        </w:p>
        <w:p w14:paraId="445DF127" w14:textId="77777777" w:rsidR="00A34D6B" w:rsidRPr="00A34D6B" w:rsidRDefault="00A34D6B" w:rsidP="00A34D6B">
          <w:pPr>
            <w:rPr>
              <w:rFonts w:ascii="Arial" w:hAnsi="Arial" w:cs="Arial"/>
            </w:rPr>
          </w:pPr>
          <w:r w:rsidRPr="00A34D6B">
            <w:rPr>
              <w:rFonts w:ascii="Arial" w:hAnsi="Arial" w:cs="Arial"/>
            </w:rPr>
            <w:t>Partnership with Prelude for Floating Liquefied Natural Gas (FLNG) will allow access to offshore gas fields that are difficult to develop. 5.3 million tonnes of liquids will be produced by the Prelude FLNG programme. These efforts will meet future needs.</w:t>
          </w:r>
        </w:p>
        <w:p w14:paraId="62F94C31" w14:textId="77777777" w:rsidR="00A34D6B" w:rsidRPr="00A34D6B" w:rsidRDefault="00A34D6B" w:rsidP="00A34D6B">
          <w:pPr>
            <w:rPr>
              <w:rFonts w:ascii="Arial" w:hAnsi="Arial" w:cs="Arial"/>
            </w:rPr>
          </w:pPr>
          <w:r w:rsidRPr="00A34D6B">
            <w:rPr>
              <w:rFonts w:ascii="Arial" w:hAnsi="Arial" w:cs="Arial"/>
            </w:rPr>
            <w:t>Energy demand worldwide will rise 40% by 2040, according to the US Energy Information Administration. Cleaner energy sources are growing. Shell is well-positioned to meet future demands.</w:t>
          </w:r>
        </w:p>
        <w:p w14:paraId="10ECEAA4" w14:textId="77777777" w:rsidR="00A34D6B" w:rsidRDefault="00A34D6B" w:rsidP="00A34D6B">
          <w:pPr>
            <w:rPr>
              <w:rFonts w:ascii="Arial" w:hAnsi="Arial" w:cs="Arial"/>
            </w:rPr>
          </w:pPr>
          <w:r w:rsidRPr="00A34D6B">
            <w:rPr>
              <w:rFonts w:ascii="Arial" w:hAnsi="Arial" w:cs="Arial"/>
            </w:rPr>
            <w:t>In 2016, Shell merged with BG Group, giving it a presence in Brazil and Australia's offshore. Shell has an advantage over its competitors since Brazil and Australia have abundant oil and gas resources. Expansion Planning – To meet future demands from developed and emerging nations, Shell has been strategically expanding its operations worldwide. In countries like China, Shell has been merging or forming JVs with local companies to establish its presence.</w:t>
          </w:r>
        </w:p>
        <w:p w14:paraId="49622A53" w14:textId="368D8E6E" w:rsidR="00A34D6B" w:rsidRPr="00236CDA" w:rsidRDefault="00A34D6B" w:rsidP="009F44B0">
          <w:pPr>
            <w:pStyle w:val="Heading2"/>
            <w:rPr>
              <w:rFonts w:ascii="Arial" w:hAnsi="Arial" w:cs="Arial"/>
              <w:color w:val="000000" w:themeColor="text1"/>
            </w:rPr>
          </w:pPr>
          <w:bookmarkStart w:id="6" w:name="_Toc140770712"/>
          <w:r w:rsidRPr="00236CDA">
            <w:rPr>
              <w:rFonts w:ascii="Arial" w:hAnsi="Arial" w:cs="Arial"/>
              <w:color w:val="000000" w:themeColor="text1"/>
            </w:rPr>
            <w:t>Threats</w:t>
          </w:r>
          <w:bookmarkEnd w:id="6"/>
        </w:p>
        <w:p w14:paraId="55B5FE4C" w14:textId="77777777" w:rsidR="00A34D6B" w:rsidRPr="00A34D6B" w:rsidRDefault="00A34D6B" w:rsidP="00A34D6B">
          <w:pPr>
            <w:rPr>
              <w:rFonts w:ascii="Arial" w:hAnsi="Arial" w:cs="Arial"/>
            </w:rPr>
          </w:pPr>
          <w:r w:rsidRPr="00A34D6B">
            <w:rPr>
              <w:rFonts w:ascii="Arial" w:hAnsi="Arial" w:cs="Arial"/>
            </w:rPr>
            <w:t xml:space="preserve">Climate Changes - Shell must reduce carbon dioxide emissions in production and upstream as energy demand rises. Shell must reduce carbon dioxide emissions to avoid higher expenses and more regulation. </w:t>
          </w:r>
        </w:p>
        <w:p w14:paraId="1311AE22" w14:textId="12BC8C9A" w:rsidR="004A7697" w:rsidRPr="004A7697" w:rsidRDefault="00A34D6B" w:rsidP="004A7697">
          <w:pPr>
            <w:rPr>
              <w:rFonts w:ascii="Arial" w:hAnsi="Arial" w:cs="Arial"/>
            </w:rPr>
          </w:pPr>
          <w:r w:rsidRPr="00A34D6B">
            <w:rPr>
              <w:rFonts w:ascii="Arial" w:hAnsi="Arial" w:cs="Arial"/>
            </w:rPr>
            <w:t>Political Volatility — For the past century, numerous nations have debated oil and gas. Energy production and consumption are always political. Shell risks political change in the future</w:t>
          </w:r>
          <w:r>
            <w:rPr>
              <w:rFonts w:ascii="Arial" w:hAnsi="Arial" w:cs="Arial"/>
            </w:rPr>
            <w:t xml:space="preserve"> (</w:t>
          </w:r>
          <w:r w:rsidR="00637C40">
            <w:rPr>
              <w:rFonts w:ascii="Arial" w:hAnsi="Arial" w:cs="Arial"/>
            </w:rPr>
            <w:t>Shastri</w:t>
          </w:r>
          <w:r>
            <w:rPr>
              <w:rFonts w:ascii="Arial" w:hAnsi="Arial" w:cs="Arial"/>
            </w:rPr>
            <w:t xml:space="preserve"> 2021).</w:t>
          </w:r>
        </w:p>
        <w:p w14:paraId="4FAB2CEC" w14:textId="77777777" w:rsidR="007A67E5" w:rsidRDefault="007A67E5" w:rsidP="007A67E5">
          <w:pPr>
            <w:rPr>
              <w:rFonts w:ascii="Arial" w:hAnsi="Arial" w:cs="Arial"/>
            </w:rPr>
          </w:pPr>
        </w:p>
        <w:p w14:paraId="7F30043D" w14:textId="77777777" w:rsidR="007A67E5" w:rsidRDefault="007A67E5" w:rsidP="007A67E5">
          <w:pPr>
            <w:rPr>
              <w:rFonts w:ascii="Arial" w:hAnsi="Arial" w:cs="Arial"/>
            </w:rPr>
          </w:pPr>
          <w:r w:rsidRPr="007A67E5">
            <w:rPr>
              <w:rFonts w:ascii="Arial" w:hAnsi="Arial" w:cs="Arial"/>
            </w:rPr>
            <w:t>The Board has always prioritised stakeholder cooperation and understanding. Our stakeholder involvement is based on the belief that knowledge-sharing, experience-sharing, and a learner mindset will help us meet our commercial, environmental, and social goals.</w:t>
          </w:r>
          <w:r>
            <w:rPr>
              <w:rFonts w:ascii="Arial" w:hAnsi="Arial" w:cs="Arial"/>
            </w:rPr>
            <w:t xml:space="preserve"> </w:t>
          </w:r>
          <w:r w:rsidRPr="007A67E5">
            <w:rPr>
              <w:rFonts w:ascii="Arial" w:hAnsi="Arial" w:cs="Arial"/>
            </w:rPr>
            <w:t>The Board and Shell value public collaboration and stakeholder involvement. Stakeholder issues and priorities have been directly addressed at virtual and real gatherings in the past. Due to COVID-19, this has gotten difficult to navigate. Our dedication on supporting and caring for our colleagues, customers, and communities has not changed throughout these extraordinary circumstances.</w:t>
          </w:r>
        </w:p>
        <w:p w14:paraId="28520247" w14:textId="0357FCA2" w:rsidR="004A7697" w:rsidRDefault="007A67E5" w:rsidP="003B4F05">
          <w:pPr>
            <w:rPr>
              <w:rFonts w:ascii="Arial" w:hAnsi="Arial" w:cs="Arial"/>
            </w:rPr>
          </w:pPr>
          <w:r w:rsidRPr="007A67E5">
            <w:rPr>
              <w:rFonts w:ascii="Arial" w:hAnsi="Arial" w:cs="Arial"/>
            </w:rPr>
            <w:t>Our 2020 engagements were constrained by COVID-19 and travel and public gathering limitations. Our events were cancelled, postponed, or held differently from previous years. We have to think creatively about engagement, keeping public health and safety and local government advice/law in mind</w:t>
          </w:r>
          <w:r w:rsidR="005D1F92">
            <w:rPr>
              <w:rFonts w:ascii="Arial" w:hAnsi="Arial" w:cs="Arial"/>
            </w:rPr>
            <w:t xml:space="preserve"> (Shell Annual Report 2020).</w:t>
          </w:r>
          <w:r w:rsidR="003B4F05" w:rsidRPr="003B4F05">
            <w:t xml:space="preserve"> </w:t>
          </w:r>
          <w:r w:rsidR="003B4F05" w:rsidRPr="003B4F05">
            <w:rPr>
              <w:rFonts w:ascii="Arial" w:hAnsi="Arial" w:cs="Arial"/>
            </w:rPr>
            <w:t xml:space="preserve">Employees are another stakeholder group. Shell has 100,000 employees worldwide. Senior international managers in finance, marketing, sales, oil and gas exploration, and other fields are among them. Geologists, market researchers, site engineers, oil platform workers, administrators, business analysts, and others are also employed. As stakeholders, employees impact Shell and its operations. Shell's leadership in energy depends on its employees' work ethic, health and safety, and excellence. Mistakes can damage a company's reputation and employees' jobs. Shell values individuals. It offers competitive wages and safe, healthy working </w:t>
          </w:r>
          <w:r w:rsidR="003B4F05" w:rsidRPr="003B4F05">
            <w:rPr>
              <w:rFonts w:ascii="Arial" w:hAnsi="Arial" w:cs="Arial"/>
            </w:rPr>
            <w:lastRenderedPageBreak/>
            <w:t>conditions. Employees feel comfortable and motivated. Suppliers are Shell's partners in the production chain, carrying petrol from the oil well to the petrol pump. Shell's mission is guided by its ideals. Shell’s corporate practises must reflect these key values. Shell's suppliers and contractors must likewise uphold these standards. If they don't, Shell won't use them. External stakeholders may affect Shell's decisions since they are interested in the business. Shell meets stakeholder needs.</w:t>
          </w:r>
          <w:r w:rsidR="003B4F05">
            <w:rPr>
              <w:rFonts w:ascii="Arial" w:hAnsi="Arial" w:cs="Arial"/>
            </w:rPr>
            <w:t xml:space="preserve"> </w:t>
          </w:r>
          <w:r w:rsidR="003B4F05" w:rsidRPr="003B4F05">
            <w:rPr>
              <w:rFonts w:ascii="Arial" w:hAnsi="Arial" w:cs="Arial"/>
            </w:rPr>
            <w:t>Customers make a business. Therefore, Shell's primary goal is:</w:t>
          </w:r>
          <w:r w:rsidR="003B4F05">
            <w:rPr>
              <w:rFonts w:ascii="Arial" w:hAnsi="Arial" w:cs="Arial"/>
            </w:rPr>
            <w:t xml:space="preserve"> </w:t>
          </w:r>
          <w:r w:rsidR="003B4F05" w:rsidRPr="003B4F05">
            <w:rPr>
              <w:rFonts w:ascii="Arial" w:hAnsi="Arial" w:cs="Arial"/>
            </w:rPr>
            <w:t xml:space="preserve">To win and keep consumers by inventing and offering goods and services that give value in price, quality, safety, and environmental impact, supported by technological, environmental, and commercial competence. </w:t>
          </w:r>
          <w:r w:rsidR="003B4F05">
            <w:rPr>
              <w:rFonts w:ascii="Arial" w:hAnsi="Arial" w:cs="Arial"/>
            </w:rPr>
            <w:t xml:space="preserve"> </w:t>
          </w:r>
          <w:r w:rsidR="003B4F05" w:rsidRPr="003B4F05">
            <w:rPr>
              <w:rFonts w:ascii="Arial" w:hAnsi="Arial" w:cs="Arial"/>
            </w:rPr>
            <w:t>This is hard. Customers demand the best fuels at affordable pricing. Research powers it. Research and development must include environmental impact and safety. Customers want biofuel because it's cleaner and more efficient. As people travel more, liquid biofuels for transport are globally appealing. Biofuels could also reduce CO2 emissions. Shell anticipates consumer expectations and responds to customer views. It encourages users to conserve energy and reduce CO2 emissions. Shell makes fuels and lubricants for cars, trains, ships, and planes. Shell's subsidiaries must meet worldwide environmental requirements. Greenhouse gas management, energy efficiency, waste control, and water impact are among these</w:t>
          </w:r>
          <w:r w:rsidR="003B4F05">
            <w:rPr>
              <w:rFonts w:ascii="Arial" w:hAnsi="Arial" w:cs="Arial"/>
            </w:rPr>
            <w:t xml:space="preserve"> (Armstrong).</w:t>
          </w:r>
        </w:p>
        <w:p w14:paraId="0E837B4D" w14:textId="004B7592" w:rsidR="009F44B0" w:rsidRPr="00FE44CA" w:rsidRDefault="00F36BBE" w:rsidP="00FE44CA">
          <w:pPr>
            <w:pStyle w:val="Heading1"/>
            <w:rPr>
              <w:rFonts w:ascii="Arial" w:hAnsi="Arial" w:cs="Arial"/>
              <w:color w:val="000000" w:themeColor="text1"/>
            </w:rPr>
          </w:pPr>
          <w:bookmarkStart w:id="7" w:name="_Toc140770713"/>
          <w:r w:rsidRPr="00FE44CA">
            <w:rPr>
              <w:rFonts w:ascii="Arial" w:hAnsi="Arial" w:cs="Arial"/>
              <w:color w:val="000000" w:themeColor="text1"/>
            </w:rPr>
            <w:t>Recommendations</w:t>
          </w:r>
          <w:bookmarkEnd w:id="7"/>
        </w:p>
        <w:p w14:paraId="4CF523B6" w14:textId="77777777" w:rsidR="00F36BBE" w:rsidRDefault="00F36BBE" w:rsidP="00F36BBE">
          <w:pPr>
            <w:rPr>
              <w:rFonts w:ascii="Arial" w:hAnsi="Arial" w:cs="Arial"/>
            </w:rPr>
          </w:pPr>
          <w:r w:rsidRPr="00F36BBE">
            <w:rPr>
              <w:rFonts w:ascii="Arial" w:hAnsi="Arial" w:cs="Arial"/>
            </w:rPr>
            <w:t xml:space="preserve">Here are some suggestions for Shell's marketing strategy </w:t>
          </w:r>
          <w:proofErr w:type="gramStart"/>
          <w:r w:rsidRPr="00F36BBE">
            <w:rPr>
              <w:rFonts w:ascii="Arial" w:hAnsi="Arial" w:cs="Arial"/>
            </w:rPr>
            <w:t>in light of</w:t>
          </w:r>
          <w:proofErr w:type="gramEnd"/>
          <w:r w:rsidRPr="00F36BBE">
            <w:rPr>
              <w:rFonts w:ascii="Arial" w:hAnsi="Arial" w:cs="Arial"/>
            </w:rPr>
            <w:t xml:space="preserve"> the difficulties found within the framework of globalisation:</w:t>
          </w:r>
        </w:p>
        <w:p w14:paraId="7B44A211" w14:textId="71185155" w:rsidR="00F36BBE" w:rsidRPr="00F36BBE" w:rsidRDefault="00F36BBE" w:rsidP="00F36BBE">
          <w:pPr>
            <w:rPr>
              <w:rFonts w:ascii="Arial" w:hAnsi="Arial" w:cs="Arial"/>
            </w:rPr>
          </w:pPr>
          <w:r w:rsidRPr="00F36BBE">
            <w:rPr>
              <w:rFonts w:ascii="Arial" w:hAnsi="Arial" w:cs="Arial"/>
            </w:rPr>
            <w:t>Impact on the Environment and Long-Term Sustainability: Green Marketing Needed</w:t>
          </w:r>
        </w:p>
        <w:p w14:paraId="0F7CA62C" w14:textId="77777777" w:rsidR="00F36BBE" w:rsidRPr="00F36BBE" w:rsidRDefault="00F36BBE" w:rsidP="00F36BBE">
          <w:pPr>
            <w:rPr>
              <w:rFonts w:ascii="Arial" w:hAnsi="Arial" w:cs="Arial"/>
            </w:rPr>
          </w:pPr>
          <w:r w:rsidRPr="00F36BBE">
            <w:rPr>
              <w:rFonts w:ascii="Arial" w:hAnsi="Arial" w:cs="Arial"/>
            </w:rPr>
            <w:t>Shell needs to emphasise its investments and efforts in environmentally friendly and sustainable methods. The company's dedication to lowering its environmental effect and making the switch to renewable energy sources can be better communicated by adopting a strong green marketing strategy. It may improve its image as a green employer by raising awareness about its investments in renewable energy, efforts to reduce its carbon footprint, and use of clean technologies.</w:t>
          </w:r>
        </w:p>
        <w:p w14:paraId="55D4CAE0" w14:textId="77777777" w:rsidR="00F36BBE" w:rsidRPr="00F36BBE" w:rsidRDefault="00F36BBE" w:rsidP="00F36BBE">
          <w:pPr>
            <w:rPr>
              <w:rFonts w:ascii="Arial" w:hAnsi="Arial" w:cs="Arial"/>
            </w:rPr>
          </w:pPr>
          <w:r w:rsidRPr="00F36BBE">
            <w:rPr>
              <w:rFonts w:ascii="Arial" w:hAnsi="Arial" w:cs="Arial"/>
            </w:rPr>
            <w:t>Political and Regulatory Threats: Suggestion Take Part in Stakeholder and Public Relations</w:t>
          </w:r>
        </w:p>
        <w:p w14:paraId="5F77E890" w14:textId="77777777" w:rsidR="00F36BBE" w:rsidRPr="00F36BBE" w:rsidRDefault="00F36BBE" w:rsidP="00F36BBE">
          <w:pPr>
            <w:rPr>
              <w:rFonts w:ascii="Arial" w:hAnsi="Arial" w:cs="Arial"/>
            </w:rPr>
          </w:pPr>
          <w:r w:rsidRPr="00F36BBE">
            <w:rPr>
              <w:rFonts w:ascii="Arial" w:hAnsi="Arial" w:cs="Arial"/>
            </w:rPr>
            <w:t>Shell should make fostering positive connections with governments, local communities, and non-governmental organisations (NGOs) a top priority everywhere it operates to reduce its exposure to political and regulatory risks. The company will be better prepared for future regulatory changes and problems if it actively engages in public affairs and maintains positive relationships with key stakeholders. As an added bonus, Shell will be able to allay fears, gain credibility, and show it respects local legislation by doing so.</w:t>
          </w:r>
        </w:p>
        <w:p w14:paraId="26D44227" w14:textId="77777777" w:rsidR="00F36BBE" w:rsidRPr="00F36BBE" w:rsidRDefault="00F36BBE" w:rsidP="00F36BBE">
          <w:pPr>
            <w:rPr>
              <w:rFonts w:ascii="Arial" w:hAnsi="Arial" w:cs="Arial"/>
            </w:rPr>
          </w:pPr>
          <w:r w:rsidRPr="00F36BBE">
            <w:rPr>
              <w:rFonts w:ascii="Arial" w:hAnsi="Arial" w:cs="Arial"/>
            </w:rPr>
            <w:t>Disparities between Culture and the Market, Advice: Adapt Ad Campaigns to Geographical Needs</w:t>
          </w:r>
        </w:p>
        <w:p w14:paraId="37FA8FAF" w14:textId="77777777" w:rsidR="00F36BBE" w:rsidRPr="00F36BBE" w:rsidRDefault="00F36BBE" w:rsidP="00F36BBE">
          <w:pPr>
            <w:rPr>
              <w:rFonts w:ascii="Arial" w:hAnsi="Arial" w:cs="Arial"/>
            </w:rPr>
          </w:pPr>
          <w:r w:rsidRPr="00F36BBE">
            <w:rPr>
              <w:rFonts w:ascii="Arial" w:hAnsi="Arial" w:cs="Arial"/>
            </w:rPr>
            <w:t>Shell needs to take into account regional market and cultural peculiarities. The organisation can better connect with its target demographic if its marketing strategies are tailored to local tastes and values. Among the many ways in which Shell does this is by using regionally relevant language, symbols, and themes in its marketing materials.</w:t>
          </w:r>
        </w:p>
        <w:p w14:paraId="6628B9C5" w14:textId="33A1D6CB" w:rsidR="00F36BBE" w:rsidRPr="00F36BBE" w:rsidRDefault="00F36BBE" w:rsidP="00F36BBE">
          <w:pPr>
            <w:rPr>
              <w:rFonts w:ascii="Arial" w:hAnsi="Arial" w:cs="Arial"/>
            </w:rPr>
          </w:pPr>
          <w:r w:rsidRPr="00F36BBE">
            <w:rPr>
              <w:rFonts w:ascii="Arial" w:hAnsi="Arial" w:cs="Arial"/>
            </w:rPr>
            <w:t xml:space="preserve">Suggestions for Effective Reputation Management Develop and carry out a comprehensive CSR </w:t>
          </w:r>
          <w:r w:rsidR="003476AA" w:rsidRPr="00F36BBE">
            <w:rPr>
              <w:rFonts w:ascii="Arial" w:hAnsi="Arial" w:cs="Arial"/>
            </w:rPr>
            <w:t>plan.</w:t>
          </w:r>
        </w:p>
        <w:p w14:paraId="436BBAFE" w14:textId="77777777" w:rsidR="00F36BBE" w:rsidRPr="00F36BBE" w:rsidRDefault="00F36BBE" w:rsidP="00F36BBE">
          <w:pPr>
            <w:rPr>
              <w:rFonts w:ascii="Arial" w:hAnsi="Arial" w:cs="Arial"/>
            </w:rPr>
          </w:pPr>
          <w:r w:rsidRPr="00F36BBE">
            <w:rPr>
              <w:rFonts w:ascii="Arial" w:hAnsi="Arial" w:cs="Arial"/>
            </w:rPr>
            <w:t xml:space="preserve">CSR efforts that directly address social and environmental concerns in communities where Shell operates should be prioritised if the company is to effectively manage its reputation. The company's reputation and the relationships it has with its stakeholders can both benefit </w:t>
          </w:r>
          <w:r w:rsidRPr="00F36BBE">
            <w:rPr>
              <w:rFonts w:ascii="Arial" w:hAnsi="Arial" w:cs="Arial"/>
            </w:rPr>
            <w:lastRenderedPageBreak/>
            <w:t>from its participation in community improvement projects, investments in education, and contributions to local economic growth. Trust and goodwill can also be cultivated by openly sharing information about these efforts through numerous mediums.</w:t>
          </w:r>
        </w:p>
        <w:p w14:paraId="4B1BE039" w14:textId="77777777" w:rsidR="00F36BBE" w:rsidRPr="00F36BBE" w:rsidRDefault="00F36BBE" w:rsidP="00F36BBE">
          <w:pPr>
            <w:rPr>
              <w:rFonts w:ascii="Arial" w:hAnsi="Arial" w:cs="Arial"/>
            </w:rPr>
          </w:pPr>
          <w:r w:rsidRPr="00F36BBE">
            <w:rPr>
              <w:rFonts w:ascii="Arial" w:hAnsi="Arial" w:cs="Arial"/>
            </w:rPr>
            <w:t>Recommendation for Technology and Online Marketing: Welcome the Digital Age</w:t>
          </w:r>
        </w:p>
        <w:p w14:paraId="0775BA0F" w14:textId="77777777" w:rsidR="00F36BBE" w:rsidRPr="00F36BBE" w:rsidRDefault="00F36BBE" w:rsidP="00F36BBE">
          <w:pPr>
            <w:rPr>
              <w:rFonts w:ascii="Arial" w:hAnsi="Arial" w:cs="Arial"/>
            </w:rPr>
          </w:pPr>
          <w:r w:rsidRPr="00F36BBE">
            <w:rPr>
              <w:rFonts w:ascii="Arial" w:hAnsi="Arial" w:cs="Arial"/>
            </w:rPr>
            <w:t>Shell needs to undergo a digital transformation if it wants to effectively reach and engage its target audience in the present era, when technology plays such a crucial part in marketing. Brand awareness and customer participation can be increased through the use of data-driven marketing techniques, social media, and user-friendly, interactive websites. Customers might be left with a lasting impression thanks to innovative marketing efforts that incorporate technology like augmented and virtual reality.</w:t>
          </w:r>
        </w:p>
        <w:p w14:paraId="519EF947" w14:textId="3559521B" w:rsidR="00F36BBE" w:rsidRPr="00F36BBE" w:rsidRDefault="00F36BBE" w:rsidP="00F36BBE">
          <w:pPr>
            <w:rPr>
              <w:rFonts w:ascii="Arial" w:hAnsi="Arial" w:cs="Arial"/>
            </w:rPr>
          </w:pPr>
          <w:r w:rsidRPr="00F36BBE">
            <w:rPr>
              <w:rFonts w:ascii="Arial" w:hAnsi="Arial" w:cs="Arial"/>
            </w:rPr>
            <w:t>Finally, these suggestions for Shell's marketing strategy will allow the company to meet the problems provided by globalisation head-on. The company's global presence can be strengthened by demonstrating a commitment to sustainability, engaging with stakeholders, embracing local cultural nuances, concentrating on CSR initiatives, and leveraging digital marketing.</w:t>
          </w:r>
        </w:p>
        <w:p w14:paraId="4B9A2EA4" w14:textId="77F4B38D" w:rsidR="009F44B0" w:rsidRPr="00236CDA" w:rsidRDefault="009F44B0" w:rsidP="009F44B0">
          <w:pPr>
            <w:pStyle w:val="Heading1"/>
            <w:rPr>
              <w:rFonts w:ascii="Arial" w:hAnsi="Arial" w:cs="Arial"/>
              <w:color w:val="000000" w:themeColor="text1"/>
            </w:rPr>
          </w:pPr>
          <w:bookmarkStart w:id="8" w:name="_Toc140770714"/>
          <w:r w:rsidRPr="00236CDA">
            <w:rPr>
              <w:rFonts w:ascii="Arial" w:hAnsi="Arial" w:cs="Arial"/>
              <w:color w:val="000000" w:themeColor="text1"/>
            </w:rPr>
            <w:t>Conclusion</w:t>
          </w:r>
          <w:bookmarkEnd w:id="8"/>
        </w:p>
        <w:p w14:paraId="46D9D0E2" w14:textId="0EB98AAC" w:rsidR="009F44B0" w:rsidRPr="009F44B0" w:rsidRDefault="009F44B0" w:rsidP="009F44B0">
          <w:pPr>
            <w:rPr>
              <w:rFonts w:ascii="Arial" w:hAnsi="Arial" w:cs="Arial"/>
            </w:rPr>
          </w:pPr>
          <w:r w:rsidRPr="009F44B0">
            <w:rPr>
              <w:rFonts w:ascii="Arial" w:hAnsi="Arial" w:cs="Arial"/>
            </w:rPr>
            <w:t>Shell is a cutting-edge oil and gasoline producer. They have thrived in this fiercely competitive business despite the 2020 epidemic.</w:t>
          </w:r>
          <w:r>
            <w:rPr>
              <w:rFonts w:ascii="Arial" w:hAnsi="Arial" w:cs="Arial"/>
            </w:rPr>
            <w:t xml:space="preserve"> </w:t>
          </w:r>
          <w:r w:rsidRPr="009F44B0">
            <w:rPr>
              <w:rFonts w:ascii="Arial" w:hAnsi="Arial" w:cs="Arial"/>
            </w:rPr>
            <w:t xml:space="preserve">Shell must address its debt and legal infractions to maintain its reputation. However, their excellent R&amp;D and willingness to explore have helped them lead the market. To survive the lockout, Shell switched to digital marketing, which helped them make money. Its robust research and development and eagerness to explore have helped it lead the market. </w:t>
          </w:r>
          <w:r>
            <w:rPr>
              <w:rFonts w:ascii="Arial" w:hAnsi="Arial" w:cs="Arial"/>
            </w:rPr>
            <w:t xml:space="preserve"> </w:t>
          </w:r>
          <w:r w:rsidRPr="009F44B0">
            <w:rPr>
              <w:rFonts w:ascii="Arial" w:hAnsi="Arial" w:cs="Arial"/>
            </w:rPr>
            <w:t>Shell advertises and educates consumers about current and forthcoming offers through a variety of digital marketing channels like Emailing, SEO, and Content Marketing. Taking Certified Courses in Digital Marketing may lead to jobs with Shell and other big companies</w:t>
          </w:r>
          <w:r>
            <w:rPr>
              <w:rFonts w:ascii="Arial" w:hAnsi="Arial" w:cs="Arial"/>
            </w:rPr>
            <w:t xml:space="preserve"> (Shastri 2021).</w:t>
          </w:r>
          <w:r w:rsidR="00CB3BA5" w:rsidRPr="00CB3BA5">
            <w:t xml:space="preserve"> </w:t>
          </w:r>
          <w:r w:rsidR="00CB3BA5" w:rsidRPr="00CB3BA5">
            <w:rPr>
              <w:rFonts w:ascii="Arial" w:hAnsi="Arial" w:cs="Arial"/>
            </w:rPr>
            <w:t>In the end, it's unlikely that Shell's top levels will be able to combine information anymore. But in the very long term, say 20 years, it is possible that Shell will restructure its companies even more and move into new alternative energy markets. This probably won't change the big picture of how they run their business. So, RDS will make jobs more efficient by making small changes to how they are done, especially in the layers of middle management where redundancies happen most often</w:t>
          </w:r>
          <w:r w:rsidR="00CB3BA5">
            <w:rPr>
              <w:rFonts w:ascii="Arial" w:hAnsi="Arial" w:cs="Arial"/>
            </w:rPr>
            <w:t xml:space="preserve"> (Organizational Theory 2019).</w:t>
          </w:r>
          <w:r w:rsidR="00FF0476" w:rsidRPr="00FF0476">
            <w:t xml:space="preserve"> </w:t>
          </w:r>
          <w:r w:rsidR="00FF0476" w:rsidRPr="00FF0476">
            <w:rPr>
              <w:rFonts w:ascii="Arial" w:hAnsi="Arial" w:cs="Arial"/>
            </w:rPr>
            <w:t>In sum, Shell's journey towards global dominance has been anything but simple. It has helped progress and development, but it has also required responsible behaviour and adjustments to local conditions. To ensure a sustainable and socially responsible future, the corporation must strike a balance between commercial objectives and environmental and societal concerns as it expands its global footprint.</w:t>
          </w:r>
        </w:p>
        <w:p w14:paraId="66EA01F6" w14:textId="77777777" w:rsidR="00A34D6B" w:rsidRPr="00A34D6B" w:rsidRDefault="00A34D6B" w:rsidP="00A34D6B">
          <w:pPr>
            <w:rPr>
              <w:rFonts w:ascii="Arial" w:hAnsi="Arial" w:cs="Arial"/>
            </w:rPr>
          </w:pPr>
        </w:p>
        <w:p w14:paraId="4883008A" w14:textId="77777777" w:rsidR="009E069F" w:rsidRPr="009E069F" w:rsidRDefault="009E069F" w:rsidP="009E069F">
          <w:pPr>
            <w:rPr>
              <w:rFonts w:ascii="Arial" w:hAnsi="Arial" w:cs="Arial"/>
            </w:rPr>
          </w:pPr>
        </w:p>
        <w:p w14:paraId="071DD643" w14:textId="77777777" w:rsidR="007453CD" w:rsidRDefault="007453CD" w:rsidP="007453CD">
          <w:pPr>
            <w:rPr>
              <w:rFonts w:ascii="Arial" w:hAnsi="Arial" w:cs="Arial"/>
            </w:rPr>
          </w:pPr>
        </w:p>
        <w:p w14:paraId="2BF9099D" w14:textId="77777777" w:rsidR="009E069F" w:rsidRPr="007453CD" w:rsidRDefault="009E069F" w:rsidP="007453CD">
          <w:pPr>
            <w:rPr>
              <w:rFonts w:ascii="Arial" w:hAnsi="Arial" w:cs="Arial"/>
            </w:rPr>
          </w:pPr>
        </w:p>
        <w:p w14:paraId="1B2F83DB" w14:textId="77777777" w:rsidR="007453CD" w:rsidRPr="007453CD" w:rsidRDefault="007453CD" w:rsidP="007453CD">
          <w:pPr>
            <w:rPr>
              <w:rFonts w:ascii="Arial" w:hAnsi="Arial" w:cs="Arial"/>
            </w:rPr>
          </w:pPr>
        </w:p>
        <w:p w14:paraId="34E3CBD2" w14:textId="08E23883" w:rsidR="009415AB" w:rsidRPr="009415AB" w:rsidRDefault="009415AB" w:rsidP="009415AB">
          <w:pPr>
            <w:rPr>
              <w:rFonts w:ascii="Arial" w:hAnsi="Arial" w:cs="Arial"/>
            </w:rPr>
          </w:pPr>
        </w:p>
        <w:p w14:paraId="220F0405" w14:textId="77777777" w:rsidR="009415AB" w:rsidRPr="009415AB" w:rsidRDefault="009415AB" w:rsidP="009415AB">
          <w:pPr>
            <w:rPr>
              <w:rFonts w:ascii="Arial" w:hAnsi="Arial" w:cs="Arial"/>
            </w:rPr>
          </w:pPr>
        </w:p>
        <w:p w14:paraId="222E9F3D" w14:textId="77777777" w:rsidR="009415AB" w:rsidRPr="003C3C8E" w:rsidRDefault="009415AB" w:rsidP="007B5263">
          <w:pPr>
            <w:rPr>
              <w:rFonts w:ascii="Arial" w:hAnsi="Arial" w:cs="Arial"/>
            </w:rPr>
          </w:pPr>
        </w:p>
        <w:p w14:paraId="568D3704" w14:textId="77777777" w:rsidR="00086998" w:rsidRDefault="00000000"/>
      </w:sdtContent>
    </w:sdt>
    <w:p w14:paraId="526880C5" w14:textId="00FF2077" w:rsidR="00184FCC" w:rsidRPr="00236CDA" w:rsidRDefault="00695DE8">
      <w:r>
        <w:rPr>
          <w:rFonts w:ascii="Arial" w:hAnsi="Arial" w:cs="Arial"/>
          <w:sz w:val="32"/>
          <w:szCs w:val="32"/>
        </w:rPr>
        <w:t>References:</w:t>
      </w:r>
    </w:p>
    <w:p w14:paraId="5EF2FBAF" w14:textId="67493370" w:rsidR="00CB3BA5" w:rsidRDefault="00CB3BA5">
      <w:pPr>
        <w:rPr>
          <w:rFonts w:ascii="Arial" w:hAnsi="Arial" w:cs="Arial"/>
        </w:rPr>
      </w:pPr>
      <w:r w:rsidRPr="00CB3BA5">
        <w:rPr>
          <w:rFonts w:ascii="Arial" w:hAnsi="Arial" w:cs="Arial"/>
        </w:rPr>
        <w:t>Armstrong, A (no date) Shell: Stakeholders Case Study. Available at: https://www.scribd.com/document/215462413/Shell-Stakeholders-Case-Study# (Accessed:13 July 2023).</w:t>
      </w:r>
    </w:p>
    <w:p w14:paraId="62947A21" w14:textId="5371D31E" w:rsidR="00695DE8" w:rsidRDefault="00695DE8">
      <w:pPr>
        <w:rPr>
          <w:rFonts w:ascii="Arial" w:hAnsi="Arial" w:cs="Arial"/>
        </w:rPr>
      </w:pPr>
      <w:r w:rsidRPr="00695DE8">
        <w:rPr>
          <w:rFonts w:ascii="Arial" w:hAnsi="Arial" w:cs="Arial"/>
        </w:rPr>
        <w:t>Company History (2017) Available at: https://www.shell.com/about-us/our-heritage/our-company-history.html (Accessed: 03 July 2023).</w:t>
      </w:r>
    </w:p>
    <w:p w14:paraId="4BBBEA8D" w14:textId="111B1606" w:rsidR="00CB3BA5" w:rsidRDefault="00CB3BA5">
      <w:pPr>
        <w:rPr>
          <w:rFonts w:ascii="Arial" w:hAnsi="Arial" w:cs="Arial"/>
        </w:rPr>
      </w:pPr>
      <w:r w:rsidRPr="00CB3BA5">
        <w:rPr>
          <w:rFonts w:ascii="Arial" w:hAnsi="Arial" w:cs="Arial"/>
        </w:rPr>
        <w:t>Five megatrends impacted by covid-19 (2020) Available at: https://www.godfrey.com/insights/5-megatrends-impacted-by-covid19 (Accessed:10 July 2023).</w:t>
      </w:r>
    </w:p>
    <w:p w14:paraId="4C1B27C8" w14:textId="049147E8" w:rsidR="00CB3BA5" w:rsidRDefault="00CB3BA5">
      <w:pPr>
        <w:rPr>
          <w:rFonts w:ascii="Arial" w:hAnsi="Arial" w:cs="Arial"/>
        </w:rPr>
      </w:pPr>
      <w:r w:rsidRPr="00CB3BA5">
        <w:rPr>
          <w:rFonts w:ascii="Arial" w:hAnsi="Arial" w:cs="Arial"/>
        </w:rPr>
        <w:t>Greenwashing Files Shell (2023) Available at: https://www.clientearth.org/projects/the-greenwashing-files/shell/ (Accessed: 10 July 2023).</w:t>
      </w:r>
    </w:p>
    <w:p w14:paraId="4F931214" w14:textId="2B3A300B" w:rsidR="00086998" w:rsidRDefault="004D00CD">
      <w:pPr>
        <w:rPr>
          <w:rFonts w:ascii="Arial" w:hAnsi="Arial" w:cs="Arial"/>
        </w:rPr>
      </w:pPr>
      <w:r w:rsidRPr="004D00CD">
        <w:rPr>
          <w:rFonts w:ascii="Arial" w:hAnsi="Arial" w:cs="Arial"/>
        </w:rPr>
        <w:t>https://www.google.com/search?q=how+many+rretail+serveces+have+a+shell&amp;rlz=1C1GCEA_enBG1021BG1021&amp;oq=how+many+rretail+serveces+have+a+shell&amp;aqs=chrome.69i57j33i10i160l3.14409j1j7&amp;sourceid=chrome&amp;ie=UTF-8(2023) (Accessed: 10 July 2023).</w:t>
      </w:r>
    </w:p>
    <w:p w14:paraId="4829476E" w14:textId="77777777" w:rsidR="004D00CD" w:rsidRDefault="004D00CD">
      <w:pPr>
        <w:rPr>
          <w:rFonts w:ascii="Arial" w:hAnsi="Arial" w:cs="Arial"/>
        </w:rPr>
      </w:pPr>
    </w:p>
    <w:p w14:paraId="1C851E08" w14:textId="77777777" w:rsidR="004D00CD" w:rsidRDefault="004D00CD">
      <w:pPr>
        <w:rPr>
          <w:rFonts w:ascii="Arial" w:hAnsi="Arial" w:cs="Arial"/>
        </w:rPr>
      </w:pPr>
    </w:p>
    <w:p w14:paraId="0DEDE928" w14:textId="77777777" w:rsidR="004D00CD" w:rsidRDefault="004D00CD">
      <w:pPr>
        <w:rPr>
          <w:rFonts w:ascii="Arial" w:hAnsi="Arial" w:cs="Arial"/>
        </w:rPr>
      </w:pPr>
    </w:p>
    <w:p w14:paraId="2608B763" w14:textId="77777777" w:rsidR="004D00CD" w:rsidRDefault="004D00CD">
      <w:pPr>
        <w:rPr>
          <w:rFonts w:ascii="Arial" w:hAnsi="Arial" w:cs="Arial"/>
        </w:rPr>
      </w:pPr>
    </w:p>
    <w:p w14:paraId="3DAB9AA5" w14:textId="7B166AB6" w:rsidR="00CB3BA5" w:rsidRDefault="00CB3BA5">
      <w:pPr>
        <w:rPr>
          <w:rFonts w:ascii="Arial" w:hAnsi="Arial" w:cs="Arial"/>
        </w:rPr>
      </w:pPr>
      <w:r w:rsidRPr="00CB3BA5">
        <w:rPr>
          <w:rFonts w:ascii="Arial" w:hAnsi="Arial" w:cs="Arial"/>
        </w:rPr>
        <w:t>Macrotrends (2023) Available at: https://www.macrotrends.net/stocks/charts/SHEL/shell/number-of-employees (Accessed: 03 July 2023).</w:t>
      </w:r>
    </w:p>
    <w:p w14:paraId="052E0804" w14:textId="7B588088" w:rsidR="004F455F" w:rsidRDefault="009E11CC">
      <w:pPr>
        <w:rPr>
          <w:rFonts w:ascii="Arial" w:hAnsi="Arial" w:cs="Arial"/>
        </w:rPr>
      </w:pPr>
      <w:r w:rsidRPr="009E11CC">
        <w:rPr>
          <w:rFonts w:ascii="Arial" w:hAnsi="Arial" w:cs="Arial"/>
        </w:rPr>
        <w:t>New World Encyclopaedia (2007) Available at: https://www.newworldencyclopedia.org/entry/Royal_Dutch_Shell (Accessed: 03. July 2023).</w:t>
      </w:r>
    </w:p>
    <w:p w14:paraId="62F843F2" w14:textId="3071CEAC" w:rsidR="00207028" w:rsidRDefault="00207028">
      <w:pPr>
        <w:rPr>
          <w:rFonts w:ascii="Arial" w:hAnsi="Arial" w:cs="Arial"/>
        </w:rPr>
      </w:pPr>
      <w:r w:rsidRPr="00207028">
        <w:rPr>
          <w:rFonts w:ascii="Arial" w:hAnsi="Arial" w:cs="Arial"/>
        </w:rPr>
        <w:t>Organizational Theory (03 October 2019) Available at: https://orgtheory.home.blog/2019/10/03/royal-dutch-shell-organizational-complexity/ (Accessed: 03 July 2023).</w:t>
      </w:r>
    </w:p>
    <w:p w14:paraId="432E349F" w14:textId="77777777" w:rsidR="00CB3BA5" w:rsidRPr="00CB3BA5" w:rsidRDefault="00CB3BA5" w:rsidP="00CB3BA5">
      <w:pPr>
        <w:rPr>
          <w:rFonts w:ascii="Arial" w:hAnsi="Arial" w:cs="Arial"/>
        </w:rPr>
      </w:pPr>
      <w:r w:rsidRPr="00CB3BA5">
        <w:rPr>
          <w:rFonts w:ascii="Arial" w:hAnsi="Arial" w:cs="Arial"/>
        </w:rPr>
        <w:t>Shastri, A. (27 October 2021) Extensive SWOT Analysis of Shell Detailed Explanation and Highlights. Available at: https://iide.co/case-studies/swot-analysis-of-shell/ (Accessed: 11 July 2023).</w:t>
      </w:r>
    </w:p>
    <w:p w14:paraId="5EA591C0" w14:textId="77777777" w:rsidR="00CB3BA5" w:rsidRPr="00CB3BA5" w:rsidRDefault="00CB3BA5" w:rsidP="00CB3BA5">
      <w:pPr>
        <w:rPr>
          <w:rFonts w:ascii="Arial" w:hAnsi="Arial" w:cs="Arial"/>
        </w:rPr>
      </w:pPr>
      <w:r w:rsidRPr="00CB3BA5">
        <w:rPr>
          <w:rFonts w:ascii="Arial" w:hAnsi="Arial" w:cs="Arial"/>
        </w:rPr>
        <w:t>Shell Annual Report (2020) Available at: https://reports.shell.com/annual-report/2020/governance/board-activities/stakeholders.php (Accessed: 12 July 2023).</w:t>
      </w:r>
    </w:p>
    <w:p w14:paraId="57A619BF" w14:textId="08751671" w:rsidR="004D00CD" w:rsidRDefault="004D00CD">
      <w:pPr>
        <w:rPr>
          <w:rFonts w:ascii="Arial" w:hAnsi="Arial" w:cs="Arial"/>
        </w:rPr>
      </w:pPr>
      <w:r>
        <w:rPr>
          <w:rFonts w:ascii="Arial" w:hAnsi="Arial" w:cs="Arial"/>
        </w:rPr>
        <w:t>SWOT ANALYSIS</w:t>
      </w:r>
    </w:p>
    <w:p w14:paraId="74A6E8C0" w14:textId="5EDA1CFB" w:rsidR="007453CD" w:rsidRDefault="007C6214">
      <w:pPr>
        <w:rPr>
          <w:rFonts w:ascii="Arial" w:hAnsi="Arial" w:cs="Arial"/>
        </w:rPr>
      </w:pPr>
      <w:r w:rsidRPr="007C6214">
        <w:rPr>
          <w:rFonts w:ascii="Arial" w:hAnsi="Arial" w:cs="Arial"/>
        </w:rPr>
        <w:t xml:space="preserve">The big choices for oil and gas in navigating the energy transition (10 March 2021) Available </w:t>
      </w:r>
      <w:r w:rsidR="009E069F" w:rsidRPr="007C6214">
        <w:rPr>
          <w:rFonts w:ascii="Arial" w:hAnsi="Arial" w:cs="Arial"/>
        </w:rPr>
        <w:t>at: https://www.mckinsey.com/industries/oil-and-gas/our-insights/the-big-choices-for-oil-and-gas-in-navigating-the-energy-transition</w:t>
      </w:r>
      <w:r w:rsidRPr="007C6214">
        <w:rPr>
          <w:rFonts w:ascii="Arial" w:hAnsi="Arial" w:cs="Arial"/>
        </w:rPr>
        <w:t xml:space="preserve"> (Accessed: 10 July 2023).</w:t>
      </w:r>
    </w:p>
    <w:sectPr w:rsidR="007453CD" w:rsidSect="00710FBF">
      <w:headerReference w:type="default" r:id="rId9"/>
      <w:footerReference w:type="default" r:id="rId1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C05E5" w14:textId="77777777" w:rsidR="001C2A2D" w:rsidRDefault="001C2A2D" w:rsidP="009F44B0">
      <w:pPr>
        <w:spacing w:after="0" w:line="240" w:lineRule="auto"/>
      </w:pPr>
      <w:r>
        <w:separator/>
      </w:r>
    </w:p>
  </w:endnote>
  <w:endnote w:type="continuationSeparator" w:id="0">
    <w:p w14:paraId="6FADAFCD" w14:textId="77777777" w:rsidR="001C2A2D" w:rsidRDefault="001C2A2D" w:rsidP="009F4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4108981"/>
      <w:docPartObj>
        <w:docPartGallery w:val="Page Numbers (Bottom of Page)"/>
        <w:docPartUnique/>
      </w:docPartObj>
    </w:sdtPr>
    <w:sdtContent>
      <w:p w14:paraId="5F3CD7EB" w14:textId="3A5FB078" w:rsidR="009F44B0" w:rsidRDefault="009F44B0">
        <w:pPr>
          <w:pStyle w:val="Footer"/>
          <w:jc w:val="center"/>
        </w:pPr>
        <w:r>
          <w:fldChar w:fldCharType="begin"/>
        </w:r>
        <w:r>
          <w:instrText>PAGE   \* MERGEFORMAT</w:instrText>
        </w:r>
        <w:r>
          <w:fldChar w:fldCharType="separate"/>
        </w:r>
        <w:r>
          <w:t>2</w:t>
        </w:r>
        <w:r>
          <w:fldChar w:fldCharType="end"/>
        </w:r>
      </w:p>
    </w:sdtContent>
  </w:sdt>
  <w:p w14:paraId="340D3BE3" w14:textId="77777777" w:rsidR="009F44B0" w:rsidRDefault="009F4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53AB0" w14:textId="77777777" w:rsidR="001C2A2D" w:rsidRDefault="001C2A2D" w:rsidP="009F44B0">
      <w:pPr>
        <w:spacing w:after="0" w:line="240" w:lineRule="auto"/>
      </w:pPr>
      <w:r>
        <w:separator/>
      </w:r>
    </w:p>
  </w:footnote>
  <w:footnote w:type="continuationSeparator" w:id="0">
    <w:p w14:paraId="1F77D144" w14:textId="77777777" w:rsidR="001C2A2D" w:rsidRDefault="001C2A2D" w:rsidP="009F44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1C2D45E768AA4583AFF83042F426D4EB"/>
      </w:placeholder>
      <w:temporary/>
      <w:showingPlcHdr/>
      <w15:appearance w15:val="hidden"/>
    </w:sdtPr>
    <w:sdtContent>
      <w:p w14:paraId="7529F116" w14:textId="77777777" w:rsidR="009F44B0" w:rsidRDefault="009F44B0">
        <w:pPr>
          <w:pStyle w:val="Header"/>
        </w:pPr>
        <w:r>
          <w:t>[Type here]</w:t>
        </w:r>
      </w:p>
    </w:sdtContent>
  </w:sdt>
  <w:p w14:paraId="2E9E511B" w14:textId="77777777" w:rsidR="009F44B0" w:rsidRDefault="009F44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FBF"/>
    <w:rsid w:val="00086998"/>
    <w:rsid w:val="000E6653"/>
    <w:rsid w:val="00123FB3"/>
    <w:rsid w:val="00184FCC"/>
    <w:rsid w:val="001C2A2D"/>
    <w:rsid w:val="00207028"/>
    <w:rsid w:val="00236CDA"/>
    <w:rsid w:val="00285D8A"/>
    <w:rsid w:val="00302AF3"/>
    <w:rsid w:val="003476AA"/>
    <w:rsid w:val="003A6B99"/>
    <w:rsid w:val="003B4F05"/>
    <w:rsid w:val="003C3C8E"/>
    <w:rsid w:val="004A7697"/>
    <w:rsid w:val="004D00CD"/>
    <w:rsid w:val="004F455F"/>
    <w:rsid w:val="00596E9E"/>
    <w:rsid w:val="005D1F92"/>
    <w:rsid w:val="00637C40"/>
    <w:rsid w:val="00651829"/>
    <w:rsid w:val="00695DE8"/>
    <w:rsid w:val="006E2B8E"/>
    <w:rsid w:val="00710FBF"/>
    <w:rsid w:val="007453CD"/>
    <w:rsid w:val="007A67E5"/>
    <w:rsid w:val="007B5263"/>
    <w:rsid w:val="007C6214"/>
    <w:rsid w:val="009415AB"/>
    <w:rsid w:val="009E069F"/>
    <w:rsid w:val="009E11CC"/>
    <w:rsid w:val="009F44B0"/>
    <w:rsid w:val="00A34D6B"/>
    <w:rsid w:val="00AA12E5"/>
    <w:rsid w:val="00B70BD1"/>
    <w:rsid w:val="00B82A4B"/>
    <w:rsid w:val="00BC78C6"/>
    <w:rsid w:val="00CB3BA5"/>
    <w:rsid w:val="00E146BD"/>
    <w:rsid w:val="00F36BBE"/>
    <w:rsid w:val="00F45204"/>
    <w:rsid w:val="00FA6603"/>
    <w:rsid w:val="00FE44CA"/>
    <w:rsid w:val="00FF047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9A181"/>
  <w15:chartTrackingRefBased/>
  <w15:docId w15:val="{5C57D4D7-0E8C-462B-AA8B-D60761B1F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F44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44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0FBF"/>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710FBF"/>
    <w:rPr>
      <w:rFonts w:eastAsiaTheme="minorEastAsia"/>
      <w:lang w:eastAsia="bg-BG"/>
    </w:rPr>
  </w:style>
  <w:style w:type="character" w:customStyle="1" w:styleId="Heading1Char">
    <w:name w:val="Heading 1 Char"/>
    <w:basedOn w:val="DefaultParagraphFont"/>
    <w:link w:val="Heading1"/>
    <w:uiPriority w:val="9"/>
    <w:rsid w:val="009F44B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9F44B0"/>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9F44B0"/>
    <w:pPr>
      <w:tabs>
        <w:tab w:val="center" w:pos="4536"/>
        <w:tab w:val="right" w:pos="9072"/>
      </w:tabs>
      <w:spacing w:after="0" w:line="240" w:lineRule="auto"/>
    </w:pPr>
  </w:style>
  <w:style w:type="character" w:customStyle="1" w:styleId="HeaderChar">
    <w:name w:val="Header Char"/>
    <w:basedOn w:val="DefaultParagraphFont"/>
    <w:link w:val="Header"/>
    <w:uiPriority w:val="99"/>
    <w:rsid w:val="009F44B0"/>
    <w:rPr>
      <w:lang w:val="en-GB"/>
    </w:rPr>
  </w:style>
  <w:style w:type="paragraph" w:styleId="Footer">
    <w:name w:val="footer"/>
    <w:basedOn w:val="Normal"/>
    <w:link w:val="FooterChar"/>
    <w:uiPriority w:val="99"/>
    <w:unhideWhenUsed/>
    <w:rsid w:val="009F44B0"/>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44B0"/>
    <w:rPr>
      <w:lang w:val="en-GB"/>
    </w:rPr>
  </w:style>
  <w:style w:type="paragraph" w:styleId="TOCHeading">
    <w:name w:val="TOC Heading"/>
    <w:basedOn w:val="Heading1"/>
    <w:next w:val="Normal"/>
    <w:uiPriority w:val="39"/>
    <w:unhideWhenUsed/>
    <w:qFormat/>
    <w:rsid w:val="009F44B0"/>
    <w:pPr>
      <w:outlineLvl w:val="9"/>
    </w:pPr>
    <w:rPr>
      <w:lang w:val="bg-BG" w:eastAsia="bg-BG"/>
    </w:rPr>
  </w:style>
  <w:style w:type="paragraph" w:styleId="TOC1">
    <w:name w:val="toc 1"/>
    <w:basedOn w:val="Normal"/>
    <w:next w:val="Normal"/>
    <w:autoRedefine/>
    <w:uiPriority w:val="39"/>
    <w:unhideWhenUsed/>
    <w:rsid w:val="009F44B0"/>
    <w:pPr>
      <w:spacing w:after="100"/>
    </w:pPr>
  </w:style>
  <w:style w:type="paragraph" w:styleId="TOC2">
    <w:name w:val="toc 2"/>
    <w:basedOn w:val="Normal"/>
    <w:next w:val="Normal"/>
    <w:autoRedefine/>
    <w:uiPriority w:val="39"/>
    <w:unhideWhenUsed/>
    <w:rsid w:val="009F44B0"/>
    <w:pPr>
      <w:spacing w:after="100"/>
      <w:ind w:left="220"/>
    </w:pPr>
  </w:style>
  <w:style w:type="character" w:styleId="Hyperlink">
    <w:name w:val="Hyperlink"/>
    <w:basedOn w:val="DefaultParagraphFont"/>
    <w:uiPriority w:val="99"/>
    <w:unhideWhenUsed/>
    <w:rsid w:val="009F44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2D45E768AA4583AFF83042F426D4EB"/>
        <w:category>
          <w:name w:val="General"/>
          <w:gallery w:val="placeholder"/>
        </w:category>
        <w:types>
          <w:type w:val="bbPlcHdr"/>
        </w:types>
        <w:behaviors>
          <w:behavior w:val="content"/>
        </w:behaviors>
        <w:guid w:val="{FB61E9C9-D51C-4092-972E-2DD07A0DF50F}"/>
      </w:docPartPr>
      <w:docPartBody>
        <w:p w:rsidR="00710FCD" w:rsidRDefault="00B66503" w:rsidP="00B66503">
          <w:pPr>
            <w:pStyle w:val="1C2D45E768AA4583AFF83042F426D4EB"/>
          </w:pPr>
          <w:r>
            <w:rPr>
              <w:lang w:val="en-GB"/>
            </w:rP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503"/>
    <w:rsid w:val="00351151"/>
    <w:rsid w:val="003F4E74"/>
    <w:rsid w:val="00710FCD"/>
    <w:rsid w:val="00761AB3"/>
    <w:rsid w:val="00B66503"/>
    <w:rsid w:val="00D417A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bg-BG" w:eastAsia="bg-BG"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2D45E768AA4583AFF83042F426D4EB">
    <w:name w:val="1C2D45E768AA4583AFF83042F426D4EB"/>
    <w:rsid w:val="00B665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DB520-14F4-4C74-92EA-EF03A4C3E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5861</TotalTime>
  <Pages>10</Pages>
  <Words>4336</Words>
  <Characters>24721</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Veneta Stoyanova-Georgieva (2225023)</dc:creator>
  <cp:keywords/>
  <dc:description/>
  <cp:lastModifiedBy>Veneta Stoyanova-Georgieva</cp:lastModifiedBy>
  <cp:revision>11</cp:revision>
  <dcterms:created xsi:type="dcterms:W3CDTF">2023-07-02T20:41:00Z</dcterms:created>
  <dcterms:modified xsi:type="dcterms:W3CDTF">2023-07-23T16:23:00Z</dcterms:modified>
</cp:coreProperties>
</file>