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b/>
          <w:sz w:val="32"/>
          <w:szCs w:val="32"/>
          <w:u w:val="single"/>
          <w:lang w:val="en-GB"/>
        </w:rPr>
      </w:pPr>
    </w:p>
    <w:p>
      <w:pPr>
        <w:jc w:val="center"/>
        <w:rPr>
          <w:b/>
          <w:sz w:val="32"/>
          <w:szCs w:val="32"/>
          <w:u w:val="single"/>
          <w:lang w:val="en-GB"/>
        </w:rPr>
      </w:pPr>
    </w:p>
    <w:p>
      <w:pPr>
        <w:jc w:val="center"/>
        <w:rPr>
          <w:b/>
          <w:sz w:val="32"/>
          <w:szCs w:val="32"/>
          <w:u w:val="single"/>
          <w:lang w:val="en-GB"/>
        </w:rPr>
      </w:pPr>
    </w:p>
    <w:p>
      <w:pPr>
        <w:jc w:val="center"/>
        <w:rPr>
          <w:b/>
          <w:sz w:val="32"/>
          <w:szCs w:val="32"/>
          <w:u w:val="single"/>
          <w:lang w:val="en-GB"/>
        </w:rPr>
      </w:pPr>
    </w:p>
    <w:p>
      <w:pPr>
        <w:jc w:val="center"/>
        <w:rPr>
          <w:b/>
          <w:sz w:val="32"/>
          <w:szCs w:val="32"/>
          <w:u w:val="single"/>
          <w:lang w:val="en-GB"/>
        </w:rPr>
      </w:pPr>
    </w:p>
    <w:p>
      <w:pPr>
        <w:jc w:val="center"/>
        <w:rPr>
          <w:b/>
          <w:sz w:val="32"/>
          <w:szCs w:val="32"/>
          <w:u w:val="single"/>
          <w:lang w:val="en-GB"/>
        </w:rPr>
      </w:pPr>
    </w:p>
    <w:p>
      <w:pPr>
        <w:jc w:val="center"/>
        <w:rPr>
          <w:b/>
          <w:i w:val="0"/>
          <w:iCs/>
          <w:sz w:val="32"/>
          <w:szCs w:val="32"/>
          <w:u w:val="single"/>
          <w:lang w:val="en-GB"/>
        </w:rPr>
      </w:pPr>
      <w:r>
        <w:rPr>
          <w:b/>
          <w:sz w:val="32"/>
          <w:szCs w:val="32"/>
          <w:u w:val="single"/>
          <w:lang w:val="en-GB"/>
        </w:rPr>
        <w:t>BA International Hotel Management</w:t>
      </w:r>
      <w:r>
        <w:rPr>
          <w:rFonts w:hint="default"/>
          <w:b/>
          <w:sz w:val="32"/>
          <w:szCs w:val="32"/>
          <w:u w:val="single"/>
          <w:lang w:val="en-GB"/>
        </w:rPr>
        <w:t xml:space="preserve"> </w:t>
      </w:r>
      <w:r>
        <w:rPr>
          <w:b/>
          <w:i w:val="0"/>
          <w:iCs/>
          <w:sz w:val="32"/>
          <w:szCs w:val="32"/>
          <w:u w:val="single"/>
          <w:lang w:val="en-GB"/>
        </w:rPr>
        <w:t>Intercultural Competence Report</w:t>
      </w:r>
    </w:p>
    <w:p>
      <w:pPr>
        <w:jc w:val="center"/>
        <w:rPr>
          <w:rFonts w:hint="default"/>
          <w:b/>
          <w:i/>
          <w:lang w:val="en-GB"/>
        </w:rPr>
      </w:pPr>
      <w:r>
        <w:rPr>
          <w:b/>
          <w:i/>
          <w:lang w:val="en-GB"/>
        </w:rPr>
        <w:t xml:space="preserve">Module Code: </w:t>
      </w:r>
      <w:r>
        <w:rPr>
          <w:rFonts w:hint="default"/>
          <w:b/>
          <w:i/>
          <w:lang w:val="en-GB"/>
        </w:rPr>
        <w:t>BMIH5003</w:t>
      </w:r>
    </w:p>
    <w:p>
      <w:pPr>
        <w:jc w:val="center"/>
        <w:rPr>
          <w:b/>
          <w:i/>
          <w:lang w:val="en-GB"/>
        </w:rPr>
      </w:pPr>
      <w:r>
        <w:rPr>
          <w:rFonts w:hint="default"/>
          <w:b/>
          <w:i/>
          <w:lang w:val="en-GB"/>
        </w:rPr>
        <w:t>Foreign Languages and Cultural Awareness</w:t>
      </w:r>
    </w:p>
    <w:p>
      <w:pPr>
        <w:jc w:val="center"/>
        <w:rPr>
          <w:rFonts w:hint="default"/>
          <w:b/>
          <w:i/>
          <w:lang w:val="en-GB"/>
        </w:rPr>
      </w:pPr>
      <w:r>
        <w:rPr>
          <w:b/>
          <w:i/>
          <w:lang w:val="en-GB"/>
        </w:rPr>
        <w:t>Student Name:</w:t>
      </w:r>
      <w:r>
        <w:rPr>
          <w:rFonts w:hint="default"/>
          <w:b/>
          <w:i/>
          <w:lang w:val="en-GB"/>
        </w:rPr>
        <w:t xml:space="preserve"> Bianca Negreanu </w:t>
      </w:r>
    </w:p>
    <w:p>
      <w:pPr>
        <w:jc w:val="center"/>
        <w:rPr>
          <w:rFonts w:hint="default"/>
          <w:b/>
          <w:i/>
          <w:lang w:val="en-GB"/>
        </w:rPr>
      </w:pPr>
      <w:r>
        <w:rPr>
          <w:b/>
          <w:i/>
          <w:lang w:val="en-GB"/>
        </w:rPr>
        <w:t>Student ID:</w:t>
      </w:r>
      <w:r>
        <w:rPr>
          <w:rFonts w:hint="default"/>
          <w:b/>
          <w:i/>
          <w:lang w:val="en-GB"/>
        </w:rPr>
        <w:t xml:space="preserve">  2244613</w:t>
      </w:r>
    </w:p>
    <w:p>
      <w:pPr>
        <w:jc w:val="center"/>
        <w:rPr>
          <w:rFonts w:hint="default"/>
          <w:b/>
          <w:i/>
          <w:lang w:val="en-GB"/>
        </w:rPr>
      </w:pPr>
      <w:r>
        <w:rPr>
          <w:rFonts w:hint="default"/>
          <w:b/>
          <w:i/>
          <w:lang w:val="en-GB"/>
        </w:rPr>
        <w:t>Module leader : Giulia Chifari</w:t>
      </w:r>
    </w:p>
    <w:p>
      <w:pPr>
        <w:jc w:val="center"/>
        <w:rPr>
          <w:b/>
          <w:i w:val="0"/>
          <w:iCs/>
          <w:sz w:val="32"/>
          <w:szCs w:val="32"/>
          <w:u w:val="single"/>
          <w:lang w:val="en-GB"/>
        </w:rPr>
      </w:pPr>
      <w:bookmarkStart w:id="17" w:name="_GoBack"/>
      <w:bookmarkEnd w:id="17"/>
    </w:p>
    <w:p>
      <w:pPr>
        <w:jc w:val="center"/>
        <w:rPr>
          <w:b/>
          <w:sz w:val="32"/>
          <w:szCs w:val="32"/>
          <w:u w:val="single"/>
          <w:lang w:val="en-GB"/>
        </w:rPr>
      </w:pPr>
    </w:p>
    <w:p>
      <w:pPr>
        <w:rPr>
          <w:lang w:val="en-GB"/>
        </w:rPr>
      </w:pPr>
      <w:r>
        <w:rPr>
          <w:lang w:val="en-GB"/>
        </w:rPr>
        <w:br w:type="page"/>
      </w:r>
    </w:p>
    <w:p>
      <w:pPr>
        <w:jc w:val="center"/>
        <w:rPr>
          <w:b/>
          <w:lang w:val="en-GB"/>
        </w:rPr>
      </w:pPr>
      <w:r>
        <w:rPr>
          <w:b/>
          <w:lang w:val="en-GB"/>
        </w:rPr>
        <w:t>Executive Summary</w:t>
      </w:r>
    </w:p>
    <w:p>
      <w:pPr>
        <w:rPr>
          <w:b/>
          <w:lang w:val="en-GB"/>
        </w:rPr>
      </w:pPr>
      <w:r>
        <w:rPr>
          <w:lang w:val="en-GB"/>
        </w:rPr>
        <w:t xml:space="preserve">This report evaluates the cultural and leadership practices of England and Japan to assess the intensity of cultural differences in hospitality industry practices associated with Meredith International. The report uses the data available in the Global Project Report and further studies through different literature and practices to justify its findings. The report identifies that cultural differences are ought to present in an international hospitality management scenario like Meredith, where people from England and Japan has to workoutthere differences for organisational excellence. </w:t>
      </w:r>
      <w:r>
        <w:rPr>
          <w:lang w:val="en-GB"/>
        </w:rPr>
        <w:br w:type="page"/>
      </w:r>
    </w:p>
    <w:sdt>
      <w:sdtPr>
        <w:rPr>
          <w:rFonts w:ascii="Times New Roman" w:hAnsi="Times New Roman" w:eastAsia="Times New Roman" w:cs="Times New Roman"/>
          <w:color w:val="auto"/>
          <w:sz w:val="24"/>
          <w:szCs w:val="24"/>
          <w:lang w:val="en-GB" w:eastAsia="en-IN"/>
        </w:rPr>
        <w:id w:val="75482633"/>
        <w:docPartObj>
          <w:docPartGallery w:val="Table of Contents"/>
          <w:docPartUnique/>
        </w:docPartObj>
      </w:sdtPr>
      <w:sdtEndPr>
        <w:rPr>
          <w:rFonts w:ascii="Times New Roman" w:hAnsi="Times New Roman" w:eastAsia="Times New Roman" w:cs="Times New Roman"/>
          <w:b/>
          <w:bCs/>
          <w:color w:val="auto"/>
          <w:sz w:val="24"/>
          <w:szCs w:val="24"/>
          <w:lang w:val="en-GB" w:eastAsia="en-IN"/>
        </w:rPr>
      </w:sdtEndPr>
      <w:sdtContent>
        <w:p>
          <w:pPr>
            <w:pStyle w:val="23"/>
            <w:jc w:val="center"/>
            <w:rPr>
              <w:rFonts w:ascii="Times New Roman" w:hAnsi="Times New Roman" w:cs="Times New Roman"/>
              <w:b/>
              <w:color w:val="auto"/>
              <w:sz w:val="24"/>
              <w:lang w:val="en-GB"/>
            </w:rPr>
          </w:pPr>
          <w:r>
            <w:rPr>
              <w:rFonts w:ascii="Times New Roman" w:hAnsi="Times New Roman" w:cs="Times New Roman"/>
              <w:b/>
              <w:color w:val="auto"/>
              <w:sz w:val="24"/>
              <w:lang w:val="en-GB"/>
            </w:rPr>
            <w:t>Table of Contents</w:t>
          </w:r>
        </w:p>
        <w:p>
          <w:pPr>
            <w:pStyle w:val="16"/>
            <w:tabs>
              <w:tab w:val="right" w:leader="dot" w:pos="9019"/>
            </w:tabs>
            <w:rPr>
              <w:lang w:val="en-GB"/>
            </w:rPr>
          </w:pPr>
          <w:r>
            <w:rPr>
              <w:lang w:val="en-GB"/>
            </w:rPr>
            <w:fldChar w:fldCharType="begin"/>
          </w:r>
          <w:r>
            <w:rPr>
              <w:lang w:val="en-GB"/>
            </w:rPr>
            <w:instrText xml:space="preserve"> TOC \o "1-3" \h \z \u </w:instrText>
          </w:r>
          <w:r>
            <w:rPr>
              <w:lang w:val="en-GB"/>
            </w:rPr>
            <w:fldChar w:fldCharType="separate"/>
          </w:r>
          <w:r>
            <w:fldChar w:fldCharType="begin"/>
          </w:r>
          <w:r>
            <w:instrText xml:space="preserve"> HYPERLINK \l "_Toc165477604" </w:instrText>
          </w:r>
          <w:r>
            <w:fldChar w:fldCharType="separate"/>
          </w:r>
          <w:r>
            <w:rPr>
              <w:rStyle w:val="13"/>
              <w:lang w:val="en-GB"/>
            </w:rPr>
            <w:t>Introduction</w:t>
          </w:r>
          <w:r>
            <w:rPr>
              <w:lang w:val="en-GB"/>
            </w:rPr>
            <w:tab/>
          </w:r>
          <w:r>
            <w:rPr>
              <w:lang w:val="en-GB"/>
            </w:rPr>
            <w:fldChar w:fldCharType="begin"/>
          </w:r>
          <w:r>
            <w:rPr>
              <w:lang w:val="en-GB"/>
            </w:rPr>
            <w:instrText xml:space="preserve"> PAGEREF _Toc165477604 \h </w:instrText>
          </w:r>
          <w:r>
            <w:rPr>
              <w:lang w:val="en-GB"/>
            </w:rPr>
            <w:fldChar w:fldCharType="separate"/>
          </w:r>
          <w:r>
            <w:rPr>
              <w:lang w:val="en-GB"/>
            </w:rPr>
            <w:t>4</w:t>
          </w:r>
          <w:r>
            <w:rPr>
              <w:lang w:val="en-GB"/>
            </w:rPr>
            <w:fldChar w:fldCharType="end"/>
          </w:r>
          <w:r>
            <w:rPr>
              <w:lang w:val="en-GB"/>
            </w:rPr>
            <w:fldChar w:fldCharType="end"/>
          </w:r>
        </w:p>
        <w:p>
          <w:pPr>
            <w:pStyle w:val="16"/>
            <w:tabs>
              <w:tab w:val="right" w:leader="dot" w:pos="9019"/>
            </w:tabs>
            <w:rPr>
              <w:lang w:val="en-GB"/>
            </w:rPr>
          </w:pPr>
          <w:r>
            <w:fldChar w:fldCharType="begin"/>
          </w:r>
          <w:r>
            <w:instrText xml:space="preserve"> HYPERLINK \l "_Toc165477605" </w:instrText>
          </w:r>
          <w:r>
            <w:fldChar w:fldCharType="separate"/>
          </w:r>
          <w:r>
            <w:rPr>
              <w:rStyle w:val="13"/>
              <w:lang w:val="en-GB"/>
            </w:rPr>
            <w:t>Main Body</w:t>
          </w:r>
          <w:r>
            <w:rPr>
              <w:lang w:val="en-GB"/>
            </w:rPr>
            <w:tab/>
          </w:r>
          <w:r>
            <w:rPr>
              <w:lang w:val="en-GB"/>
            </w:rPr>
            <w:fldChar w:fldCharType="begin"/>
          </w:r>
          <w:r>
            <w:rPr>
              <w:lang w:val="en-GB"/>
            </w:rPr>
            <w:instrText xml:space="preserve"> PAGEREF _Toc165477605 \h </w:instrText>
          </w:r>
          <w:r>
            <w:rPr>
              <w:lang w:val="en-GB"/>
            </w:rPr>
            <w:fldChar w:fldCharType="separate"/>
          </w:r>
          <w:r>
            <w:rPr>
              <w:lang w:val="en-GB"/>
            </w:rPr>
            <w:t>4</w:t>
          </w:r>
          <w:r>
            <w:rPr>
              <w:lang w:val="en-GB"/>
            </w:rPr>
            <w:fldChar w:fldCharType="end"/>
          </w:r>
          <w:r>
            <w:rPr>
              <w:lang w:val="en-GB"/>
            </w:rPr>
            <w:fldChar w:fldCharType="end"/>
          </w:r>
        </w:p>
        <w:p>
          <w:pPr>
            <w:pStyle w:val="17"/>
            <w:tabs>
              <w:tab w:val="right" w:leader="dot" w:pos="9019"/>
            </w:tabs>
            <w:rPr>
              <w:lang w:val="en-GB"/>
            </w:rPr>
          </w:pPr>
          <w:r>
            <w:fldChar w:fldCharType="begin"/>
          </w:r>
          <w:r>
            <w:instrText xml:space="preserve"> HYPERLINK \l "_Toc165477606" </w:instrText>
          </w:r>
          <w:r>
            <w:fldChar w:fldCharType="separate"/>
          </w:r>
          <w:r>
            <w:rPr>
              <w:rStyle w:val="13"/>
              <w:lang w:val="en-GB"/>
            </w:rPr>
            <w:t>Key differences between England and Japan</w:t>
          </w:r>
          <w:r>
            <w:rPr>
              <w:lang w:val="en-GB"/>
            </w:rPr>
            <w:tab/>
          </w:r>
          <w:r>
            <w:rPr>
              <w:lang w:val="en-GB"/>
            </w:rPr>
            <w:fldChar w:fldCharType="begin"/>
          </w:r>
          <w:r>
            <w:rPr>
              <w:lang w:val="en-GB"/>
            </w:rPr>
            <w:instrText xml:space="preserve"> PAGEREF _Toc165477606 \h </w:instrText>
          </w:r>
          <w:r>
            <w:rPr>
              <w:lang w:val="en-GB"/>
            </w:rPr>
            <w:fldChar w:fldCharType="separate"/>
          </w:r>
          <w:r>
            <w:rPr>
              <w:lang w:val="en-GB"/>
            </w:rPr>
            <w:t>4</w:t>
          </w:r>
          <w:r>
            <w:rPr>
              <w:lang w:val="en-GB"/>
            </w:rPr>
            <w:fldChar w:fldCharType="end"/>
          </w:r>
          <w:r>
            <w:rPr>
              <w:lang w:val="en-GB"/>
            </w:rPr>
            <w:fldChar w:fldCharType="end"/>
          </w:r>
        </w:p>
        <w:p>
          <w:pPr>
            <w:pStyle w:val="17"/>
            <w:tabs>
              <w:tab w:val="right" w:leader="dot" w:pos="9019"/>
            </w:tabs>
            <w:rPr>
              <w:lang w:val="en-GB"/>
            </w:rPr>
          </w:pPr>
          <w:r>
            <w:fldChar w:fldCharType="begin"/>
          </w:r>
          <w:r>
            <w:instrText xml:space="preserve"> HYPERLINK \l "_Toc165477607" </w:instrText>
          </w:r>
          <w:r>
            <w:fldChar w:fldCharType="separate"/>
          </w:r>
          <w:r>
            <w:rPr>
              <w:rStyle w:val="13"/>
              <w:lang w:val="en-GB"/>
            </w:rPr>
            <w:t>Analysis and comparison between two countries by utilising Globe Project and leadership study</w:t>
          </w:r>
          <w:r>
            <w:rPr>
              <w:lang w:val="en-GB"/>
            </w:rPr>
            <w:tab/>
          </w:r>
          <w:r>
            <w:rPr>
              <w:lang w:val="en-GB"/>
            </w:rPr>
            <w:fldChar w:fldCharType="begin"/>
          </w:r>
          <w:r>
            <w:rPr>
              <w:lang w:val="en-GB"/>
            </w:rPr>
            <w:instrText xml:space="preserve"> PAGEREF _Toc165477607 \h </w:instrText>
          </w:r>
          <w:r>
            <w:rPr>
              <w:lang w:val="en-GB"/>
            </w:rPr>
            <w:fldChar w:fldCharType="separate"/>
          </w:r>
          <w:r>
            <w:rPr>
              <w:lang w:val="en-GB"/>
            </w:rPr>
            <w:t>5</w:t>
          </w:r>
          <w:r>
            <w:rPr>
              <w:lang w:val="en-GB"/>
            </w:rPr>
            <w:fldChar w:fldCharType="end"/>
          </w:r>
          <w:r>
            <w:rPr>
              <w:lang w:val="en-GB"/>
            </w:rPr>
            <w:fldChar w:fldCharType="end"/>
          </w:r>
        </w:p>
        <w:p>
          <w:pPr>
            <w:pStyle w:val="17"/>
            <w:tabs>
              <w:tab w:val="right" w:leader="dot" w:pos="9019"/>
            </w:tabs>
            <w:rPr>
              <w:lang w:val="en-GB"/>
            </w:rPr>
          </w:pPr>
          <w:r>
            <w:fldChar w:fldCharType="begin"/>
          </w:r>
          <w:r>
            <w:instrText xml:space="preserve"> HYPERLINK \l "_Toc165477608" </w:instrText>
          </w:r>
          <w:r>
            <w:fldChar w:fldCharType="separate"/>
          </w:r>
          <w:r>
            <w:rPr>
              <w:rStyle w:val="13"/>
              <w:lang w:val="en-GB"/>
            </w:rPr>
            <w:t>Critical discussion about the challenges of intercultural leadership in the hospitality industry</w:t>
          </w:r>
          <w:r>
            <w:rPr>
              <w:lang w:val="en-GB"/>
            </w:rPr>
            <w:tab/>
          </w:r>
          <w:r>
            <w:rPr>
              <w:lang w:val="en-GB"/>
            </w:rPr>
            <w:fldChar w:fldCharType="begin"/>
          </w:r>
          <w:r>
            <w:rPr>
              <w:lang w:val="en-GB"/>
            </w:rPr>
            <w:instrText xml:space="preserve"> PAGEREF _Toc165477608 \h </w:instrText>
          </w:r>
          <w:r>
            <w:rPr>
              <w:lang w:val="en-GB"/>
            </w:rPr>
            <w:fldChar w:fldCharType="separate"/>
          </w:r>
          <w:r>
            <w:rPr>
              <w:lang w:val="en-GB"/>
            </w:rPr>
            <w:t>7</w:t>
          </w:r>
          <w:r>
            <w:rPr>
              <w:lang w:val="en-GB"/>
            </w:rPr>
            <w:fldChar w:fldCharType="end"/>
          </w:r>
          <w:r>
            <w:rPr>
              <w:lang w:val="en-GB"/>
            </w:rPr>
            <w:fldChar w:fldCharType="end"/>
          </w:r>
        </w:p>
        <w:p>
          <w:pPr>
            <w:pStyle w:val="17"/>
            <w:tabs>
              <w:tab w:val="right" w:leader="dot" w:pos="9019"/>
            </w:tabs>
            <w:rPr>
              <w:lang w:val="en-GB"/>
            </w:rPr>
          </w:pPr>
          <w:r>
            <w:fldChar w:fldCharType="begin"/>
          </w:r>
          <w:r>
            <w:instrText xml:space="preserve"> HYPERLINK \l "_Toc165477609" </w:instrText>
          </w:r>
          <w:r>
            <w:fldChar w:fldCharType="separate"/>
          </w:r>
          <w:r>
            <w:rPr>
              <w:rStyle w:val="13"/>
              <w:lang w:val="en-GB"/>
            </w:rPr>
            <w:t>Conclusion</w:t>
          </w:r>
          <w:r>
            <w:rPr>
              <w:lang w:val="en-GB"/>
            </w:rPr>
            <w:tab/>
          </w:r>
          <w:r>
            <w:rPr>
              <w:lang w:val="en-GB"/>
            </w:rPr>
            <w:fldChar w:fldCharType="begin"/>
          </w:r>
          <w:r>
            <w:rPr>
              <w:lang w:val="en-GB"/>
            </w:rPr>
            <w:instrText xml:space="preserve"> PAGEREF _Toc165477609 \h </w:instrText>
          </w:r>
          <w:r>
            <w:rPr>
              <w:lang w:val="en-GB"/>
            </w:rPr>
            <w:fldChar w:fldCharType="separate"/>
          </w:r>
          <w:r>
            <w:rPr>
              <w:lang w:val="en-GB"/>
            </w:rPr>
            <w:t>7</w:t>
          </w:r>
          <w:r>
            <w:rPr>
              <w:lang w:val="en-GB"/>
            </w:rPr>
            <w:fldChar w:fldCharType="end"/>
          </w:r>
          <w:r>
            <w:rPr>
              <w:lang w:val="en-GB"/>
            </w:rPr>
            <w:fldChar w:fldCharType="end"/>
          </w:r>
        </w:p>
        <w:p>
          <w:pPr>
            <w:pStyle w:val="17"/>
            <w:tabs>
              <w:tab w:val="right" w:leader="dot" w:pos="9019"/>
            </w:tabs>
            <w:rPr>
              <w:lang w:val="en-GB"/>
            </w:rPr>
          </w:pPr>
          <w:r>
            <w:fldChar w:fldCharType="begin"/>
          </w:r>
          <w:r>
            <w:instrText xml:space="preserve"> HYPERLINK \l "_Toc165477610" </w:instrText>
          </w:r>
          <w:r>
            <w:fldChar w:fldCharType="separate"/>
          </w:r>
          <w:r>
            <w:rPr>
              <w:rStyle w:val="13"/>
              <w:lang w:val="en-GB"/>
            </w:rPr>
            <w:t>Recommendation</w:t>
          </w:r>
          <w:r>
            <w:rPr>
              <w:lang w:val="en-GB"/>
            </w:rPr>
            <w:tab/>
          </w:r>
          <w:r>
            <w:rPr>
              <w:lang w:val="en-GB"/>
            </w:rPr>
            <w:fldChar w:fldCharType="begin"/>
          </w:r>
          <w:r>
            <w:rPr>
              <w:lang w:val="en-GB"/>
            </w:rPr>
            <w:instrText xml:space="preserve"> PAGEREF _Toc165477610 \h </w:instrText>
          </w:r>
          <w:r>
            <w:rPr>
              <w:lang w:val="en-GB"/>
            </w:rPr>
            <w:fldChar w:fldCharType="separate"/>
          </w:r>
          <w:r>
            <w:rPr>
              <w:lang w:val="en-GB"/>
            </w:rPr>
            <w:t>7</w:t>
          </w:r>
          <w:r>
            <w:rPr>
              <w:lang w:val="en-GB"/>
            </w:rPr>
            <w:fldChar w:fldCharType="end"/>
          </w:r>
          <w:r>
            <w:rPr>
              <w:lang w:val="en-GB"/>
            </w:rPr>
            <w:fldChar w:fldCharType="end"/>
          </w:r>
        </w:p>
        <w:p>
          <w:pPr>
            <w:pStyle w:val="16"/>
            <w:tabs>
              <w:tab w:val="right" w:leader="dot" w:pos="9019"/>
            </w:tabs>
            <w:rPr>
              <w:lang w:val="en-GB"/>
            </w:rPr>
          </w:pPr>
          <w:r>
            <w:fldChar w:fldCharType="begin"/>
          </w:r>
          <w:r>
            <w:instrText xml:space="preserve"> HYPERLINK \l "_Toc165477611" </w:instrText>
          </w:r>
          <w:r>
            <w:fldChar w:fldCharType="separate"/>
          </w:r>
          <w:r>
            <w:rPr>
              <w:rStyle w:val="13"/>
              <w:lang w:val="en-GB"/>
            </w:rPr>
            <w:t>References</w:t>
          </w:r>
          <w:r>
            <w:rPr>
              <w:lang w:val="en-GB"/>
            </w:rPr>
            <w:tab/>
          </w:r>
          <w:r>
            <w:rPr>
              <w:lang w:val="en-GB"/>
            </w:rPr>
            <w:fldChar w:fldCharType="begin"/>
          </w:r>
          <w:r>
            <w:rPr>
              <w:lang w:val="en-GB"/>
            </w:rPr>
            <w:instrText xml:space="preserve"> PAGEREF _Toc165477611 \h </w:instrText>
          </w:r>
          <w:r>
            <w:rPr>
              <w:lang w:val="en-GB"/>
            </w:rPr>
            <w:fldChar w:fldCharType="separate"/>
          </w:r>
          <w:r>
            <w:rPr>
              <w:lang w:val="en-GB"/>
            </w:rPr>
            <w:t>8</w:t>
          </w:r>
          <w:r>
            <w:rPr>
              <w:lang w:val="en-GB"/>
            </w:rPr>
            <w:fldChar w:fldCharType="end"/>
          </w:r>
          <w:r>
            <w:rPr>
              <w:lang w:val="en-GB"/>
            </w:rPr>
            <w:fldChar w:fldCharType="end"/>
          </w:r>
        </w:p>
        <w:p>
          <w:pPr>
            <w:rPr>
              <w:lang w:val="en-GB"/>
            </w:rPr>
          </w:pPr>
          <w:r>
            <w:rPr>
              <w:b/>
              <w:bCs/>
              <w:lang w:val="en-GB"/>
            </w:rPr>
            <w:fldChar w:fldCharType="end"/>
          </w:r>
        </w:p>
      </w:sdtContent>
    </w:sdt>
    <w:p>
      <w:pPr>
        <w:rPr>
          <w:b/>
          <w:lang w:val="en-GB"/>
        </w:rPr>
      </w:pPr>
      <w:r>
        <w:rPr>
          <w:b/>
          <w:lang w:val="en-GB"/>
        </w:rPr>
        <w:br w:type="page"/>
      </w:r>
    </w:p>
    <w:p>
      <w:pPr>
        <w:rPr>
          <w:b/>
          <w:lang w:val="en-GB"/>
        </w:rPr>
      </w:pPr>
      <w:r>
        <w:rPr>
          <w:b/>
          <w:lang w:val="en-GB"/>
        </w:rPr>
        <w:t>Meredith International Hotel</w:t>
      </w:r>
    </w:p>
    <w:p>
      <w:pPr>
        <w:rPr>
          <w:b/>
          <w:lang w:val="en-GB"/>
        </w:rPr>
      </w:pPr>
      <w:r>
        <w:rPr>
          <w:b/>
          <w:lang w:val="en-GB"/>
        </w:rPr>
        <w:t xml:space="preserve">Component 5: Report </w:t>
      </w:r>
    </w:p>
    <w:p>
      <w:pPr>
        <w:pStyle w:val="2"/>
        <w:rPr>
          <w:lang w:val="en-GB"/>
        </w:rPr>
      </w:pPr>
      <w:bookmarkStart w:id="0" w:name="_dtxlq66koap0" w:colFirst="0" w:colLast="0"/>
      <w:bookmarkEnd w:id="0"/>
      <w:bookmarkStart w:id="1" w:name="_Toc165477604"/>
      <w:r>
        <w:rPr>
          <w:lang w:val="en-GB"/>
        </w:rPr>
        <w:t>Introduction</w:t>
      </w:r>
      <w:bookmarkEnd w:id="1"/>
    </w:p>
    <w:p>
      <w:pPr>
        <w:rPr>
          <w:lang w:val="en-GB"/>
        </w:rPr>
      </w:pPr>
      <w:r>
        <w:rPr>
          <w:lang w:val="en-GB"/>
        </w:rPr>
        <w:t xml:space="preserve">The hospitality industry has its multilevel system within which key aspects define individual roles and responsibilities that archive the overall progression of an operation. The current report focuses on a thorough analysis of the multicultural ecosystem that Meredith International Hotel conserves in order to accept and serve people from different countries. The current report aims to, comparatively analyse the cultural and leadership aspects of England and Japan in the persuasion of challenges in intercultural leadership in the hospitality industry. The report utilises the country comparison tool of the Globe Project in order to identify the key differences in cultural and leadership aspects based in England and Japan as two separate countries. </w:t>
      </w:r>
    </w:p>
    <w:p>
      <w:pPr>
        <w:pStyle w:val="2"/>
        <w:rPr>
          <w:lang w:val="en-GB"/>
        </w:rPr>
      </w:pPr>
      <w:bookmarkStart w:id="2" w:name="_3wgo16vy560" w:colFirst="0" w:colLast="0"/>
      <w:bookmarkEnd w:id="2"/>
      <w:bookmarkStart w:id="3" w:name="_Toc165477605"/>
      <w:r>
        <w:rPr>
          <w:lang w:val="en-GB"/>
        </w:rPr>
        <w:t>Main Body</w:t>
      </w:r>
      <w:bookmarkEnd w:id="3"/>
    </w:p>
    <w:p>
      <w:pPr>
        <w:pStyle w:val="3"/>
        <w:rPr>
          <w:lang w:val="en-GB"/>
        </w:rPr>
      </w:pPr>
      <w:bookmarkStart w:id="4" w:name="_ye5joefv7pvb" w:colFirst="0" w:colLast="0"/>
      <w:bookmarkEnd w:id="4"/>
      <w:bookmarkStart w:id="5" w:name="_Toc165477606"/>
      <w:r>
        <w:rPr>
          <w:lang w:val="en-GB"/>
        </w:rPr>
        <w:t>Key differences between England and Japan</w:t>
      </w:r>
      <w:bookmarkEnd w:id="5"/>
    </w:p>
    <w:p>
      <w:pPr>
        <w:rPr>
          <w:b/>
          <w:lang w:val="en-GB"/>
        </w:rPr>
      </w:pPr>
    </w:p>
    <w:tbl>
      <w:tblPr>
        <w:tblStyle w:val="18"/>
        <w:tblW w:w="900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1950"/>
        <w:gridCol w:w="3915"/>
        <w:gridCol w:w="3135"/>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195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jc w:val="left"/>
              <w:rPr>
                <w:b/>
                <w:lang w:val="en-GB"/>
              </w:rPr>
            </w:pPr>
            <w:r>
              <w:rPr>
                <w:b/>
                <w:lang w:val="en-GB"/>
              </w:rPr>
              <w:t>Factors</w:t>
            </w:r>
          </w:p>
        </w:tc>
        <w:tc>
          <w:tcPr>
            <w:tcW w:w="3915"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jc w:val="left"/>
              <w:rPr>
                <w:b/>
                <w:lang w:val="en-GB"/>
              </w:rPr>
            </w:pPr>
            <w:r>
              <w:rPr>
                <w:b/>
                <w:lang w:val="en-GB"/>
              </w:rPr>
              <w:t>England</w:t>
            </w:r>
          </w:p>
        </w:tc>
        <w:tc>
          <w:tcPr>
            <w:tcW w:w="3135"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jc w:val="left"/>
              <w:rPr>
                <w:b/>
                <w:lang w:val="en-GB"/>
              </w:rPr>
            </w:pPr>
            <w:r>
              <w:rPr>
                <w:b/>
                <w:lang w:val="en-GB"/>
              </w:rPr>
              <w:t>Japan</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1950" w:type="dxa"/>
            <w:shd w:val="clear" w:color="auto" w:fill="auto"/>
            <w:tcMar>
              <w:top w:w="100" w:type="dxa"/>
              <w:left w:w="100" w:type="dxa"/>
              <w:bottom w:w="100" w:type="dxa"/>
              <w:right w:w="100" w:type="dxa"/>
            </w:tcMar>
          </w:tcPr>
          <w:p>
            <w:pPr>
              <w:rPr>
                <w:b/>
                <w:lang w:val="en-GB"/>
              </w:rPr>
            </w:pPr>
            <w:r>
              <w:rPr>
                <w:b/>
                <w:i/>
                <w:lang w:val="en-GB"/>
              </w:rPr>
              <w:t>Culture</w:t>
            </w:r>
          </w:p>
        </w:tc>
        <w:tc>
          <w:tcPr>
            <w:tcW w:w="3915"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rPr>
                <w:lang w:val="en-GB"/>
              </w:rPr>
            </w:pPr>
            <w:r>
              <w:rPr>
                <w:lang w:val="en-GB"/>
              </w:rPr>
              <w:t xml:space="preserve">The cultural aspects of England have a more inclination towards adaptability and pragmatisms (Mason, 2021). </w:t>
            </w:r>
          </w:p>
        </w:tc>
        <w:tc>
          <w:tcPr>
            <w:tcW w:w="3135"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rPr>
                <w:lang w:val="en-GB"/>
              </w:rPr>
            </w:pPr>
            <w:r>
              <w:rPr>
                <w:lang w:val="en-GB"/>
              </w:rPr>
              <w:t xml:space="preserve">Japanese culture impersonates a great extent of sociological aspects like harmony, respect, and collaborative consensus.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1950" w:type="dxa"/>
            <w:shd w:val="clear" w:color="auto" w:fill="auto"/>
            <w:tcMar>
              <w:top w:w="100" w:type="dxa"/>
              <w:left w:w="100" w:type="dxa"/>
              <w:bottom w:w="100" w:type="dxa"/>
              <w:right w:w="100" w:type="dxa"/>
            </w:tcMar>
          </w:tcPr>
          <w:p>
            <w:pPr>
              <w:rPr>
                <w:b/>
                <w:lang w:val="en-GB"/>
              </w:rPr>
            </w:pPr>
            <w:r>
              <w:rPr>
                <w:b/>
                <w:i/>
                <w:lang w:val="en-GB"/>
              </w:rPr>
              <w:t>Customs</w:t>
            </w:r>
          </w:p>
        </w:tc>
        <w:tc>
          <w:tcPr>
            <w:tcW w:w="3915"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rPr>
                <w:lang w:val="en-GB"/>
              </w:rPr>
            </w:pPr>
            <w:r>
              <w:rPr>
                <w:lang w:val="en-GB"/>
              </w:rPr>
              <w:t>The customs of England have a mixture of heritage and modernisation where people are more individualistic in nature. Individual achievements are more recognisable in the country.</w:t>
            </w:r>
          </w:p>
        </w:tc>
        <w:tc>
          <w:tcPr>
            <w:tcW w:w="3135"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rPr>
                <w:lang w:val="en-GB"/>
              </w:rPr>
            </w:pPr>
            <w:r>
              <w:rPr>
                <w:lang w:val="en-GB"/>
              </w:rPr>
              <w:t xml:space="preserve">Japan has customs that are more traditional where the intervention comes from the seniority level (Kornicki, 2021). They focus on upbringing the community rather than rejoicing in individual achievement.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1950" w:type="dxa"/>
            <w:shd w:val="clear" w:color="auto" w:fill="auto"/>
            <w:tcMar>
              <w:top w:w="100" w:type="dxa"/>
              <w:left w:w="100" w:type="dxa"/>
              <w:bottom w:w="100" w:type="dxa"/>
              <w:right w:w="100" w:type="dxa"/>
            </w:tcMar>
          </w:tcPr>
          <w:p>
            <w:pPr>
              <w:rPr>
                <w:b/>
                <w:lang w:val="en-GB"/>
              </w:rPr>
            </w:pPr>
            <w:r>
              <w:rPr>
                <w:b/>
                <w:i/>
                <w:lang w:val="en-GB"/>
              </w:rPr>
              <w:t>Communication</w:t>
            </w:r>
          </w:p>
        </w:tc>
        <w:tc>
          <w:tcPr>
            <w:tcW w:w="3915"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rPr>
                <w:lang w:val="en-GB"/>
              </w:rPr>
            </w:pPr>
            <w:r>
              <w:rPr>
                <w:lang w:val="en-GB"/>
              </w:rPr>
              <w:t>The communication style in England is more direct and explicit where people do not hesitate to express their opinion (</w:t>
            </w:r>
            <w:r>
              <w:rPr>
                <w:color w:val="222222"/>
                <w:highlight w:val="white"/>
                <w:lang w:val="en-GB"/>
              </w:rPr>
              <w:t>Orlin, 2020</w:t>
            </w:r>
            <w:r>
              <w:rPr>
                <w:lang w:val="en-GB"/>
              </w:rPr>
              <w:t xml:space="preserve">). </w:t>
            </w:r>
          </w:p>
        </w:tc>
        <w:tc>
          <w:tcPr>
            <w:tcW w:w="3135"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rPr>
                <w:lang w:val="en-GB"/>
              </w:rPr>
            </w:pPr>
            <w:r>
              <w:rPr>
                <w:lang w:val="en-GB"/>
              </w:rPr>
              <w:t>The communication process in Japan is more indirect and dependent on the context. People are more reliant on the situation and sensitivity before expressing their opinions.</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1950" w:type="dxa"/>
            <w:shd w:val="clear" w:color="auto" w:fill="auto"/>
            <w:tcMar>
              <w:top w:w="100" w:type="dxa"/>
              <w:left w:w="100" w:type="dxa"/>
              <w:bottom w:w="100" w:type="dxa"/>
              <w:right w:w="100" w:type="dxa"/>
            </w:tcMar>
          </w:tcPr>
          <w:p>
            <w:pPr>
              <w:rPr>
                <w:b/>
                <w:i/>
                <w:lang w:val="en-GB"/>
              </w:rPr>
            </w:pPr>
            <w:r>
              <w:rPr>
                <w:b/>
                <w:i/>
                <w:lang w:val="en-GB"/>
              </w:rPr>
              <w:t>Relationship Establishment</w:t>
            </w:r>
          </w:p>
        </w:tc>
        <w:tc>
          <w:tcPr>
            <w:tcW w:w="3915"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rPr>
                <w:lang w:val="en-GB"/>
              </w:rPr>
            </w:pPr>
            <w:r>
              <w:rPr>
                <w:lang w:val="en-GB"/>
              </w:rPr>
              <w:t>The relationship development process in the UK has a more independent and rapid sense. People in England are more open to conversations with strangers about different topics.</w:t>
            </w:r>
          </w:p>
        </w:tc>
        <w:tc>
          <w:tcPr>
            <w:tcW w:w="3135"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rPr>
                <w:lang w:val="en-GB"/>
              </w:rPr>
            </w:pPr>
            <w:r>
              <w:rPr>
                <w:lang w:val="en-GB"/>
              </w:rPr>
              <w:t>Japan has a more conservative measurement in terms of building trust and relationships (</w:t>
            </w:r>
            <w:r>
              <w:rPr>
                <w:color w:val="222222"/>
                <w:highlight w:val="white"/>
                <w:lang w:val="en-GB"/>
              </w:rPr>
              <w:t>Whitehill, 2022</w:t>
            </w:r>
            <w:r>
              <w:rPr>
                <w:lang w:val="en-GB"/>
              </w:rPr>
              <w:t xml:space="preserve">). They are more careful and respectful in terms of developing and engaging in open conversations or relationships. </w:t>
            </w:r>
          </w:p>
        </w:tc>
      </w:tr>
    </w:tbl>
    <w:p>
      <w:pPr>
        <w:rPr>
          <w:b/>
          <w:lang w:val="en-GB"/>
        </w:rPr>
      </w:pPr>
    </w:p>
    <w:p>
      <w:pPr>
        <w:pStyle w:val="3"/>
        <w:rPr>
          <w:lang w:val="en-GB"/>
        </w:rPr>
      </w:pPr>
      <w:bookmarkStart w:id="6" w:name="_nqt6wbh0xcce" w:colFirst="0" w:colLast="0"/>
      <w:bookmarkEnd w:id="6"/>
      <w:bookmarkStart w:id="7" w:name="_Toc165477607"/>
      <w:r>
        <w:rPr>
          <w:lang w:val="en-GB"/>
        </w:rPr>
        <w:t>Analysis and comparison between two countries by utilising Globe Project and leadership study</w:t>
      </w:r>
      <w:bookmarkEnd w:id="7"/>
    </w:p>
    <w:p>
      <w:pPr>
        <w:rPr>
          <w:b/>
          <w:i/>
          <w:lang w:val="en-GB"/>
        </w:rPr>
      </w:pPr>
      <w:r>
        <w:rPr>
          <w:b/>
          <w:i/>
          <w:lang w:val="en-GB"/>
        </w:rPr>
        <w:t>Cultural Visualisation comparison</w:t>
      </w:r>
    </w:p>
    <w:p>
      <w:pPr>
        <w:rPr>
          <w:b/>
          <w:i/>
          <w:u w:val="single"/>
          <w:lang w:val="en-GB"/>
        </w:rPr>
      </w:pPr>
    </w:p>
    <w:tbl>
      <w:tblPr>
        <w:tblStyle w:val="19"/>
        <w:tblW w:w="9029"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4514"/>
        <w:gridCol w:w="4515"/>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4514"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jc w:val="center"/>
              <w:rPr>
                <w:b/>
                <w:u w:val="single"/>
                <w:lang w:val="en-GB"/>
              </w:rPr>
            </w:pPr>
            <w:r>
              <w:rPr>
                <w:b/>
                <w:u w:val="single"/>
                <w:lang w:val="en-GB"/>
              </w:rPr>
              <w:t>England</w:t>
            </w:r>
          </w:p>
        </w:tc>
        <w:tc>
          <w:tcPr>
            <w:tcW w:w="4514"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jc w:val="center"/>
              <w:rPr>
                <w:b/>
                <w:u w:val="single"/>
                <w:lang w:val="en-GB"/>
              </w:rPr>
            </w:pPr>
            <w:r>
              <w:rPr>
                <w:b/>
                <w:u w:val="single"/>
                <w:lang w:val="en-GB"/>
              </w:rPr>
              <w:t>Japan</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4514" w:type="dxa"/>
            <w:shd w:val="clear" w:color="auto" w:fill="auto"/>
            <w:tcMar>
              <w:top w:w="100" w:type="dxa"/>
              <w:left w:w="100" w:type="dxa"/>
              <w:bottom w:w="100" w:type="dxa"/>
              <w:right w:w="100" w:type="dxa"/>
            </w:tcMar>
          </w:tcPr>
          <w:p>
            <w:pPr>
              <w:jc w:val="center"/>
              <w:rPr>
                <w:b/>
                <w:lang w:val="en-GB"/>
              </w:rPr>
            </w:pPr>
            <w:r>
              <w:rPr>
                <w:b/>
                <w:lang w:val="en-US" w:eastAsia="en-US"/>
              </w:rPr>
              <w:drawing>
                <wp:inline distT="114300" distB="114300" distL="114300" distR="114300">
                  <wp:extent cx="2724150" cy="1536700"/>
                  <wp:effectExtent l="12700" t="12700" r="12700" b="1270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referRelativeResize="0"/>
                        </pic:nvPicPr>
                        <pic:blipFill>
                          <a:blip r:embed="rId7" cstate="print"/>
                          <a:srcRect/>
                          <a:stretch>
                            <a:fillRect/>
                          </a:stretch>
                        </pic:blipFill>
                        <pic:spPr>
                          <a:xfrm>
                            <a:off x="0" y="0"/>
                            <a:ext cx="2724150" cy="1536700"/>
                          </a:xfrm>
                          <a:prstGeom prst="rect">
                            <a:avLst/>
                          </a:prstGeom>
                          <a:ln w="12700">
                            <a:solidFill>
                              <a:srgbClr val="000000"/>
                            </a:solidFill>
                            <a:prstDash val="solid"/>
                          </a:ln>
                        </pic:spPr>
                      </pic:pic>
                    </a:graphicData>
                  </a:graphic>
                </wp:inline>
              </w:drawing>
            </w:r>
          </w:p>
          <w:p>
            <w:pPr>
              <w:jc w:val="center"/>
              <w:rPr>
                <w:b/>
                <w:lang w:val="en-GB"/>
              </w:rPr>
            </w:pPr>
            <w:r>
              <w:rPr>
                <w:b/>
                <w:lang w:val="en-GB"/>
              </w:rPr>
              <w:t>Figure 1: Cultural visualisation in England,  Globe Project</w:t>
            </w:r>
          </w:p>
          <w:p>
            <w:pPr>
              <w:jc w:val="center"/>
              <w:rPr>
                <w:b/>
                <w:i/>
                <w:u w:val="single"/>
                <w:lang w:val="en-GB"/>
              </w:rPr>
            </w:pPr>
            <w:r>
              <w:rPr>
                <w:lang w:val="en-GB"/>
              </w:rPr>
              <w:t>(Source: globeproject.com, 2020)</w:t>
            </w:r>
          </w:p>
        </w:tc>
        <w:tc>
          <w:tcPr>
            <w:tcW w:w="4514" w:type="dxa"/>
            <w:shd w:val="clear" w:color="auto" w:fill="auto"/>
            <w:tcMar>
              <w:top w:w="100" w:type="dxa"/>
              <w:left w:w="100" w:type="dxa"/>
              <w:bottom w:w="100" w:type="dxa"/>
              <w:right w:w="100" w:type="dxa"/>
            </w:tcMar>
          </w:tcPr>
          <w:p>
            <w:pPr>
              <w:jc w:val="center"/>
              <w:rPr>
                <w:b/>
                <w:u w:val="single"/>
                <w:lang w:val="en-GB"/>
              </w:rPr>
            </w:pPr>
            <w:r>
              <w:rPr>
                <w:b/>
                <w:u w:val="single"/>
                <w:lang w:val="en-US" w:eastAsia="en-US"/>
              </w:rPr>
              <w:drawing>
                <wp:inline distT="114300" distB="114300" distL="114300" distR="114300">
                  <wp:extent cx="2724150" cy="1612900"/>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referRelativeResize="0"/>
                        </pic:nvPicPr>
                        <pic:blipFill>
                          <a:blip r:embed="rId8"/>
                          <a:srcRect/>
                          <a:stretch>
                            <a:fillRect/>
                          </a:stretch>
                        </pic:blipFill>
                        <pic:spPr>
                          <a:xfrm>
                            <a:off x="0" y="0"/>
                            <a:ext cx="2724150" cy="1612900"/>
                          </a:xfrm>
                          <a:prstGeom prst="rect">
                            <a:avLst/>
                          </a:prstGeom>
                          <a:ln w="12700">
                            <a:solidFill>
                              <a:srgbClr val="000000"/>
                            </a:solidFill>
                            <a:prstDash val="solid"/>
                          </a:ln>
                        </pic:spPr>
                      </pic:pic>
                    </a:graphicData>
                  </a:graphic>
                </wp:inline>
              </w:drawing>
            </w:r>
          </w:p>
          <w:p>
            <w:pPr>
              <w:jc w:val="center"/>
              <w:rPr>
                <w:b/>
                <w:lang w:val="en-GB"/>
              </w:rPr>
            </w:pPr>
            <w:r>
              <w:rPr>
                <w:b/>
                <w:lang w:val="en-GB"/>
              </w:rPr>
              <w:t>Figure 2: Cultural visualisation of Japan, Globe Project Data</w:t>
            </w:r>
          </w:p>
          <w:p>
            <w:pPr>
              <w:jc w:val="center"/>
              <w:rPr>
                <w:b/>
                <w:i/>
                <w:u w:val="single"/>
                <w:lang w:val="en-GB"/>
              </w:rPr>
            </w:pPr>
            <w:r>
              <w:rPr>
                <w:lang w:val="en-GB"/>
              </w:rPr>
              <w:t>(Source: globeproject.com, 2020)</w:t>
            </w:r>
          </w:p>
        </w:tc>
      </w:tr>
    </w:tbl>
    <w:p>
      <w:pPr>
        <w:rPr>
          <w:b/>
          <w:i/>
          <w:u w:val="single"/>
          <w:lang w:val="en-GB"/>
        </w:rPr>
      </w:pPr>
    </w:p>
    <w:p>
      <w:pPr>
        <w:rPr>
          <w:b/>
          <w:i/>
          <w:u w:val="single"/>
          <w:lang w:val="en-GB"/>
        </w:rPr>
      </w:pPr>
      <w:r>
        <w:rPr>
          <w:b/>
          <w:i/>
          <w:u w:val="single"/>
          <w:lang w:val="en-GB"/>
        </w:rPr>
        <w:t>Analysis</w:t>
      </w:r>
    </w:p>
    <w:p>
      <w:pPr>
        <w:rPr>
          <w:lang w:val="en-GB"/>
        </w:rPr>
      </w:pPr>
    </w:p>
    <w:p>
      <w:pPr>
        <w:rPr>
          <w:lang w:val="en-GB"/>
        </w:rPr>
      </w:pPr>
      <w:r>
        <w:rPr>
          <w:lang w:val="en-GB"/>
        </w:rPr>
        <w:t xml:space="preserve">The creative visualisation of the cultural aspects displayed in above and below graph depicts nine specific parameters of both England and Japan’s cultural dimensions. As per the views of Hofstede </w:t>
      </w:r>
      <w:r>
        <w:rPr>
          <w:i/>
          <w:lang w:val="en-GB"/>
        </w:rPr>
        <w:t>et al.</w:t>
      </w:r>
      <w:r>
        <w:rPr>
          <w:lang w:val="en-GB"/>
        </w:rPr>
        <w:t xml:space="preserve">, (2010), performance orientation is the parameter that suggests collective encouragement and rewards to the group members in terms of performance improvement and excellence. England's value score is high whereas the practice score is medium. Subsequently, Japan shows a relatively high value of country score with a medium level of practice. These differences suggest that despite the scope for rewarding collective initiatives in English, the country does not have that kind of practice. In terms of assertiveness, the UK profile suggests that the country has a similar index in terms of practice and scope. Japan has more scope of practice than the current practice presented. This means that individualistic values are quite high in England in comparison to Japan. The future orientation of England has more scope than the practices that prevailed in the country’s cultural scenario. Japan also prevails in a similar index in terms of future orientation, which depicts that both countries are attached to its core cultural aspects. In this prospect, Japan has a distance between the scope and country practices, whereas England has more gap than Japan in terms of scope and practices. This delivers the notion that Japan provides more encouragement towards collective achievements. The practices related to institutional collectivism demonstrate a similar index between the scope and practices. Japanese culture has a higher index in terms of practices than the scope, which suggests that the country is more reliant on institutional collectivism than that of England. The gender equality minimisation of England has more scope than the current practices and similar aspects are visible in terms of Japanese culture. The power of higher authority in the community of Japan has higher value than the scope of the country, which is similar to England’s culture. </w:t>
      </w:r>
    </w:p>
    <w:p>
      <w:pPr>
        <w:rPr>
          <w:b/>
          <w:i/>
          <w:u w:val="single"/>
          <w:lang w:val="en-GB"/>
        </w:rPr>
      </w:pPr>
      <w:r>
        <w:rPr>
          <w:b/>
          <w:i/>
          <w:u w:val="single"/>
          <w:lang w:val="en-GB"/>
        </w:rPr>
        <w:t>Leadership Comparison</w:t>
      </w:r>
    </w:p>
    <w:p>
      <w:pPr>
        <w:rPr>
          <w:b/>
          <w:lang w:val="en-GB"/>
        </w:rPr>
      </w:pPr>
    </w:p>
    <w:tbl>
      <w:tblPr>
        <w:tblStyle w:val="20"/>
        <w:tblW w:w="9465"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4635"/>
        <w:gridCol w:w="4830"/>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4635"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jc w:val="center"/>
              <w:rPr>
                <w:b/>
                <w:u w:val="single"/>
                <w:lang w:val="en-GB"/>
              </w:rPr>
            </w:pPr>
            <w:r>
              <w:rPr>
                <w:b/>
                <w:u w:val="single"/>
                <w:lang w:val="en-GB"/>
              </w:rPr>
              <w:t>England</w:t>
            </w:r>
          </w:p>
        </w:tc>
        <w:tc>
          <w:tcPr>
            <w:tcW w:w="483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jc w:val="center"/>
              <w:rPr>
                <w:b/>
                <w:u w:val="single"/>
                <w:lang w:val="en-GB"/>
              </w:rPr>
            </w:pPr>
            <w:r>
              <w:rPr>
                <w:b/>
                <w:u w:val="single"/>
                <w:lang w:val="en-GB"/>
              </w:rPr>
              <w:t>Japan</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trHeight w:val="3150" w:hRule="atLeast"/>
        </w:trPr>
        <w:tc>
          <w:tcPr>
            <w:tcW w:w="4635"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jc w:val="center"/>
              <w:rPr>
                <w:b/>
                <w:lang w:val="en-GB"/>
              </w:rPr>
            </w:pPr>
            <w:r>
              <w:rPr>
                <w:b/>
                <w:lang w:val="en-US" w:eastAsia="en-US"/>
              </w:rPr>
              <w:drawing>
                <wp:inline distT="114300" distB="114300" distL="114300" distR="114300">
                  <wp:extent cx="2760980" cy="1611630"/>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referRelativeResize="0"/>
                        </pic:nvPicPr>
                        <pic:blipFill>
                          <a:blip r:embed="rId9"/>
                          <a:srcRect/>
                          <a:stretch>
                            <a:fillRect/>
                          </a:stretch>
                        </pic:blipFill>
                        <pic:spPr>
                          <a:xfrm>
                            <a:off x="0" y="0"/>
                            <a:ext cx="2760980" cy="1612181"/>
                          </a:xfrm>
                          <a:prstGeom prst="rect">
                            <a:avLst/>
                          </a:prstGeom>
                          <a:ln w="12700">
                            <a:solidFill>
                              <a:srgbClr val="000000"/>
                            </a:solidFill>
                            <a:prstDash val="solid"/>
                          </a:ln>
                        </pic:spPr>
                      </pic:pic>
                    </a:graphicData>
                  </a:graphic>
                </wp:inline>
              </w:drawing>
            </w:r>
          </w:p>
          <w:p>
            <w:pPr>
              <w:widowControl w:val="0"/>
              <w:pBdr>
                <w:top w:val="none" w:color="auto" w:sz="0" w:space="0"/>
                <w:left w:val="none" w:color="auto" w:sz="0" w:space="0"/>
                <w:bottom w:val="none" w:color="auto" w:sz="0" w:space="0"/>
                <w:right w:val="none" w:color="auto" w:sz="0" w:space="0"/>
                <w:between w:val="none" w:color="auto" w:sz="0" w:space="0"/>
              </w:pBdr>
              <w:jc w:val="center"/>
              <w:rPr>
                <w:b/>
                <w:lang w:val="en-GB"/>
              </w:rPr>
            </w:pPr>
            <w:r>
              <w:rPr>
                <w:b/>
                <w:lang w:val="en-GB"/>
              </w:rPr>
              <w:t>Figure 3: Leadership visualisation, England</w:t>
            </w:r>
          </w:p>
          <w:p>
            <w:pPr>
              <w:widowControl w:val="0"/>
              <w:pBdr>
                <w:top w:val="none" w:color="auto" w:sz="0" w:space="0"/>
                <w:left w:val="none" w:color="auto" w:sz="0" w:space="0"/>
                <w:bottom w:val="none" w:color="auto" w:sz="0" w:space="0"/>
                <w:right w:val="none" w:color="auto" w:sz="0" w:space="0"/>
                <w:between w:val="none" w:color="auto" w:sz="0" w:space="0"/>
              </w:pBdr>
              <w:jc w:val="center"/>
              <w:rPr>
                <w:lang w:val="en-GB"/>
              </w:rPr>
            </w:pPr>
            <w:r>
              <w:rPr>
                <w:lang w:val="en-GB"/>
              </w:rPr>
              <w:t>(Source: globeproject.com, 2020)</w:t>
            </w:r>
          </w:p>
        </w:tc>
        <w:tc>
          <w:tcPr>
            <w:tcW w:w="483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jc w:val="center"/>
              <w:rPr>
                <w:b/>
                <w:lang w:val="en-GB"/>
              </w:rPr>
            </w:pPr>
            <w:r>
              <w:rPr>
                <w:b/>
                <w:lang w:val="en-US" w:eastAsia="en-US"/>
              </w:rPr>
              <w:drawing>
                <wp:inline distT="114300" distB="114300" distL="114300" distR="114300">
                  <wp:extent cx="2861310" cy="1640205"/>
                  <wp:effectExtent l="12700" t="12700" r="12700" b="1270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referRelativeResize="0"/>
                        </pic:nvPicPr>
                        <pic:blipFill>
                          <a:blip r:embed="rId10"/>
                          <a:srcRect/>
                          <a:stretch>
                            <a:fillRect/>
                          </a:stretch>
                        </pic:blipFill>
                        <pic:spPr>
                          <a:xfrm>
                            <a:off x="0" y="0"/>
                            <a:ext cx="2861318" cy="1640756"/>
                          </a:xfrm>
                          <a:prstGeom prst="rect">
                            <a:avLst/>
                          </a:prstGeom>
                          <a:ln w="12700">
                            <a:solidFill>
                              <a:srgbClr val="000000"/>
                            </a:solidFill>
                            <a:prstDash val="solid"/>
                          </a:ln>
                        </pic:spPr>
                      </pic:pic>
                    </a:graphicData>
                  </a:graphic>
                </wp:inline>
              </w:drawing>
            </w:r>
          </w:p>
          <w:p>
            <w:pPr>
              <w:widowControl w:val="0"/>
              <w:jc w:val="center"/>
              <w:rPr>
                <w:b/>
                <w:lang w:val="en-GB"/>
              </w:rPr>
            </w:pPr>
            <w:r>
              <w:rPr>
                <w:b/>
                <w:lang w:val="en-GB"/>
              </w:rPr>
              <w:t>Figure 4: Leadership visualisation, Japan</w:t>
            </w:r>
          </w:p>
          <w:p>
            <w:pPr>
              <w:widowControl w:val="0"/>
              <w:jc w:val="center"/>
              <w:rPr>
                <w:b/>
                <w:lang w:val="en-GB"/>
              </w:rPr>
            </w:pPr>
            <w:r>
              <w:rPr>
                <w:lang w:val="en-GB"/>
              </w:rPr>
              <w:t>(Source: globeproject.com, 2020)</w:t>
            </w:r>
          </w:p>
        </w:tc>
      </w:tr>
    </w:tbl>
    <w:p>
      <w:pPr>
        <w:rPr>
          <w:b/>
          <w:lang w:val="en-GB"/>
        </w:rPr>
      </w:pPr>
    </w:p>
    <w:p>
      <w:pPr>
        <w:rPr>
          <w:b/>
          <w:i/>
          <w:u w:val="single"/>
          <w:lang w:val="en-GB"/>
        </w:rPr>
      </w:pPr>
      <w:r>
        <w:rPr>
          <w:b/>
          <w:i/>
          <w:u w:val="single"/>
          <w:lang w:val="en-GB"/>
        </w:rPr>
        <w:t xml:space="preserve">Analysis </w:t>
      </w:r>
    </w:p>
    <w:p>
      <w:pPr>
        <w:rPr>
          <w:lang w:val="en-GB"/>
        </w:rPr>
      </w:pPr>
      <w:r>
        <w:rPr>
          <w:lang w:val="en-GB"/>
        </w:rPr>
        <w:t xml:space="preserve">As opined by Abramson and Moran, (2018), leadership practices and characteristics in a country define the role of individual people towards the development of the society and community. The country comparison index of England and Japan suggests that both countries have similar leadership styles in the case of charismatic application and team-oriented operations. The Japanese leaders are less open to suggestions in terms of decision-making than those of England are. Another similarity visible in terms of the leadership practices of both countries is the supportiveness and consideration made by the leaders. The Japanese leaders are more protective towards their individuals and groups than the English leaders. </w:t>
      </w:r>
    </w:p>
    <w:p>
      <w:pPr>
        <w:pStyle w:val="3"/>
        <w:rPr>
          <w:lang w:val="en-GB"/>
        </w:rPr>
      </w:pPr>
      <w:bookmarkStart w:id="8" w:name="_pmso3t6i3kd5" w:colFirst="0" w:colLast="0"/>
      <w:bookmarkEnd w:id="8"/>
      <w:bookmarkStart w:id="9" w:name="_Toc165477608"/>
      <w:r>
        <w:rPr>
          <w:lang w:val="en-GB"/>
        </w:rPr>
        <w:t>Critical discussion about the challenges of intercultural leadership in the hospitality industry</w:t>
      </w:r>
      <w:bookmarkEnd w:id="9"/>
    </w:p>
    <w:p>
      <w:pPr>
        <w:rPr>
          <w:lang w:val="en-GB"/>
        </w:rPr>
      </w:pPr>
      <w:r>
        <w:rPr>
          <w:lang w:val="en-GB"/>
        </w:rPr>
        <w:t xml:space="preserve">As per the views of Maheshkar and Sharma, (2018), leadership management is a combination of justified approaches considered by individuals that are acceptable to diversified groups. Considering the aspects of the hospitality industry in an international ecosystem, there have to be people involved in the operations from different cultures, associations, education, and spirituality. As a result, personal differences with the leaders ought to occur within the system because there are perspectives. Christiansen </w:t>
      </w:r>
      <w:r>
        <w:rPr>
          <w:i/>
          <w:lang w:val="en-GB"/>
        </w:rPr>
        <w:t xml:space="preserve">et al., </w:t>
      </w:r>
      <w:r>
        <w:rPr>
          <w:lang w:val="en-GB"/>
        </w:rPr>
        <w:t xml:space="preserve">(2020) stated that the goal of intercultural leadership is to associate the organisational approach with them to align the diversified cultural ecosystem towards collective benefit. This proves that an organisational benefit is an overall approach, which might not be suitable for workers in the ground, food and beverages department or even housekeeping. The challenges can be differences related to linguistics, approach, or sincerity based on the practices of the leaders and the workers. </w:t>
      </w:r>
    </w:p>
    <w:p>
      <w:pPr>
        <w:pStyle w:val="3"/>
        <w:rPr>
          <w:lang w:val="en-GB"/>
        </w:rPr>
      </w:pPr>
      <w:bookmarkStart w:id="10" w:name="_o9n3crfn0jn4" w:colFirst="0" w:colLast="0"/>
      <w:bookmarkEnd w:id="10"/>
      <w:bookmarkStart w:id="11" w:name="_Toc165477609"/>
      <w:r>
        <w:rPr>
          <w:lang w:val="en-GB"/>
        </w:rPr>
        <w:t>Conclusion</w:t>
      </w:r>
      <w:bookmarkEnd w:id="11"/>
    </w:p>
    <w:p>
      <w:pPr>
        <w:rPr>
          <w:lang w:val="en-GB"/>
        </w:rPr>
      </w:pPr>
      <w:r>
        <w:rPr>
          <w:lang w:val="en-GB"/>
        </w:rPr>
        <w:t xml:space="preserve">This report demonstrates a plethora of differences that England and Japan have as a community and unit according to their practices. The major differences highlighted in this study are collectivism, communication, individuality, and tradition. The differences can influence individual as well as collective work in a hospitality environment like Meredith International. </w:t>
      </w:r>
    </w:p>
    <w:p>
      <w:pPr>
        <w:pStyle w:val="3"/>
        <w:rPr>
          <w:lang w:val="en-GB"/>
        </w:rPr>
      </w:pPr>
      <w:bookmarkStart w:id="12" w:name="_gkf9orb6l00w" w:colFirst="0" w:colLast="0"/>
      <w:bookmarkEnd w:id="12"/>
      <w:bookmarkStart w:id="13" w:name="_Toc165477610"/>
      <w:r>
        <w:rPr>
          <w:lang w:val="en-GB"/>
        </w:rPr>
        <w:t>Recommendation</w:t>
      </w:r>
      <w:bookmarkEnd w:id="13"/>
    </w:p>
    <w:p>
      <w:pPr>
        <w:rPr>
          <w:lang w:val="en-GB"/>
        </w:rPr>
      </w:pPr>
      <w:r>
        <w:rPr>
          <w:lang w:val="en-GB"/>
        </w:rPr>
        <w:t xml:space="preserve">The findings of this report suggest that there can be cultural differences and challenges that occur in an international hotel like Meredith. There has to be a suitable and pre-planned approach in terms of leadership application and working environment that can let workers from England and Japan work together with coherence and harmony. </w:t>
      </w:r>
    </w:p>
    <w:p>
      <w:pPr>
        <w:pStyle w:val="2"/>
        <w:rPr>
          <w:lang w:val="en-GB"/>
        </w:rPr>
      </w:pPr>
      <w:bookmarkStart w:id="14" w:name="_niagf768z777" w:colFirst="0" w:colLast="0"/>
      <w:bookmarkEnd w:id="14"/>
      <w:r>
        <w:rPr>
          <w:lang w:val="en-GB"/>
        </w:rPr>
        <w:br w:type="page"/>
      </w:r>
    </w:p>
    <w:p>
      <w:pPr>
        <w:pStyle w:val="2"/>
        <w:rPr>
          <w:lang w:val="en-GB"/>
        </w:rPr>
      </w:pPr>
      <w:bookmarkStart w:id="15" w:name="_q8v44p804b86" w:colFirst="0" w:colLast="0"/>
      <w:bookmarkEnd w:id="15"/>
      <w:bookmarkStart w:id="16" w:name="_Toc165477611"/>
      <w:r>
        <w:rPr>
          <w:lang w:val="en-GB"/>
        </w:rPr>
        <w:t>References</w:t>
      </w:r>
      <w:bookmarkEnd w:id="16"/>
    </w:p>
    <w:p>
      <w:pPr>
        <w:spacing w:before="240" w:after="240"/>
        <w:rPr>
          <w:lang w:val="en-GB"/>
        </w:rPr>
      </w:pPr>
      <w:r>
        <w:rPr>
          <w:lang w:val="en-GB"/>
        </w:rPr>
        <w:t xml:space="preserve">Abramson, N.R. and Moran, R.T., 2018. </w:t>
      </w:r>
      <w:r>
        <w:rPr>
          <w:i/>
          <w:lang w:val="en-GB"/>
        </w:rPr>
        <w:t>Managing cultural differences: Global leadership for the 21st century</w:t>
      </w:r>
      <w:r>
        <w:rPr>
          <w:lang w:val="en-GB"/>
        </w:rPr>
        <w:t>. Routledge.</w:t>
      </w:r>
    </w:p>
    <w:p>
      <w:pPr>
        <w:spacing w:before="240" w:after="240"/>
        <w:rPr>
          <w:lang w:val="en-GB"/>
        </w:rPr>
      </w:pPr>
      <w:r>
        <w:rPr>
          <w:lang w:val="en-GB"/>
        </w:rPr>
        <w:t xml:space="preserve">Christiansen, B., Branch, J.D. and Karmowska, J. eds., 2020. </w:t>
      </w:r>
      <w:r>
        <w:rPr>
          <w:i/>
          <w:lang w:val="en-GB"/>
        </w:rPr>
        <w:t>Cultural Factors and Performance in 21st Century Businesses</w:t>
      </w:r>
      <w:r>
        <w:rPr>
          <w:lang w:val="en-GB"/>
        </w:rPr>
        <w:t>. IGI Global.</w:t>
      </w:r>
    </w:p>
    <w:p>
      <w:pPr>
        <w:spacing w:before="240" w:after="240"/>
        <w:rPr>
          <w:lang w:val="en-GB"/>
        </w:rPr>
      </w:pPr>
      <w:r>
        <w:rPr>
          <w:lang w:val="en-GB"/>
        </w:rPr>
        <w:t>Globeproject.com. 2020. Japan Results - GLOBE Project. [online] Available at: https://globeproject.com/results/countries/JPN%3Fmenu=list.html#list [Accessed 1 May 2024].</w:t>
      </w:r>
    </w:p>
    <w:p>
      <w:pPr>
        <w:spacing w:before="240" w:after="240"/>
        <w:rPr>
          <w:lang w:val="en-GB"/>
        </w:rPr>
      </w:pPr>
      <w:r>
        <w:rPr>
          <w:lang w:val="en-GB"/>
        </w:rPr>
        <w:t>Globeproject.com. 2020. United Kingdom Results - GLOBE Project. [online] Available at: https://globeproject.com/results/countries/GBR%3Fmenu=list.html#list [Accessed 1 May 2024].</w:t>
      </w:r>
    </w:p>
    <w:p>
      <w:pPr>
        <w:spacing w:before="240" w:after="240"/>
        <w:rPr>
          <w:lang w:val="en-GB"/>
        </w:rPr>
      </w:pPr>
      <w:r>
        <w:rPr>
          <w:lang w:val="en-GB"/>
        </w:rPr>
        <w:t>Hofstede, G., Hofstede, G.J. and Minkov, M. 2010 Cultures and organizations: software of the mind. 3 rd Ed. New York: McGraw-Hill.</w:t>
      </w:r>
    </w:p>
    <w:p>
      <w:pPr>
        <w:spacing w:before="240" w:after="240"/>
        <w:rPr>
          <w:lang w:val="en-GB"/>
        </w:rPr>
      </w:pPr>
      <w:r>
        <w:rPr>
          <w:lang w:val="en-GB"/>
        </w:rPr>
        <w:t xml:space="preserve">Kornicki, P., 2021. </w:t>
      </w:r>
      <w:r>
        <w:rPr>
          <w:i/>
          <w:lang w:val="en-GB"/>
        </w:rPr>
        <w:t>The book in Japan: A cultural history from the beginnings to the nineteenth century</w:t>
      </w:r>
      <w:r>
        <w:rPr>
          <w:lang w:val="en-GB"/>
        </w:rPr>
        <w:t xml:space="preserve"> (Vol. 7). Brill.</w:t>
      </w:r>
    </w:p>
    <w:p>
      <w:pPr>
        <w:spacing w:before="240" w:after="240"/>
        <w:rPr>
          <w:lang w:val="en-GB"/>
        </w:rPr>
      </w:pPr>
      <w:r>
        <w:rPr>
          <w:lang w:val="en-GB"/>
        </w:rPr>
        <w:t xml:space="preserve">Maheshkar, C. and Sharma, V. eds., 2018. </w:t>
      </w:r>
      <w:r>
        <w:rPr>
          <w:i/>
          <w:lang w:val="en-GB"/>
        </w:rPr>
        <w:t>Handbook of research on cross-cultural business education</w:t>
      </w:r>
      <w:r>
        <w:rPr>
          <w:lang w:val="en-GB"/>
        </w:rPr>
        <w:t>. IGI Global.</w:t>
      </w:r>
    </w:p>
    <w:p>
      <w:pPr>
        <w:spacing w:before="240" w:after="240"/>
        <w:rPr>
          <w:lang w:val="en-GB"/>
        </w:rPr>
      </w:pPr>
      <w:r>
        <w:rPr>
          <w:lang w:val="en-GB"/>
        </w:rPr>
        <w:t xml:space="preserve">Mason, R.A., 2021. </w:t>
      </w:r>
      <w:r>
        <w:rPr>
          <w:i/>
          <w:lang w:val="en-GB"/>
        </w:rPr>
        <w:t>Scotland and England 1286–1815</w:t>
      </w:r>
      <w:r>
        <w:rPr>
          <w:lang w:val="en-GB"/>
        </w:rPr>
        <w:t>. Birlinn Ltd.</w:t>
      </w:r>
    </w:p>
    <w:p>
      <w:pPr>
        <w:spacing w:before="240" w:after="240"/>
        <w:rPr>
          <w:color w:val="222222"/>
          <w:highlight w:val="white"/>
          <w:lang w:val="en-GB"/>
        </w:rPr>
      </w:pPr>
      <w:r>
        <w:rPr>
          <w:color w:val="222222"/>
          <w:highlight w:val="white"/>
          <w:lang w:val="en-GB"/>
        </w:rPr>
        <w:t xml:space="preserve">Orlin, L.C., 2020. </w:t>
      </w:r>
      <w:r>
        <w:rPr>
          <w:i/>
          <w:color w:val="222222"/>
          <w:highlight w:val="white"/>
          <w:lang w:val="en-GB"/>
        </w:rPr>
        <w:t>Private matters and public culture in post-Reformation England</w:t>
      </w:r>
      <w:r>
        <w:rPr>
          <w:color w:val="222222"/>
          <w:highlight w:val="white"/>
          <w:lang w:val="en-GB"/>
        </w:rPr>
        <w:t>. Cornell University Press.</w:t>
      </w:r>
    </w:p>
    <w:p>
      <w:pPr>
        <w:spacing w:before="240" w:after="240"/>
        <w:rPr>
          <w:color w:val="222222"/>
          <w:highlight w:val="white"/>
          <w:lang w:val="en-GB"/>
        </w:rPr>
      </w:pPr>
      <w:r>
        <w:rPr>
          <w:color w:val="222222"/>
          <w:highlight w:val="white"/>
          <w:lang w:val="en-GB"/>
        </w:rPr>
        <w:t xml:space="preserve">Whitehill, A.M., 2022. </w:t>
      </w:r>
      <w:r>
        <w:rPr>
          <w:i/>
          <w:color w:val="222222"/>
          <w:highlight w:val="white"/>
          <w:lang w:val="en-GB"/>
        </w:rPr>
        <w:t>Japanese management: Tradition and transition</w:t>
      </w:r>
      <w:r>
        <w:rPr>
          <w:color w:val="222222"/>
          <w:highlight w:val="white"/>
          <w:lang w:val="en-GB"/>
        </w:rPr>
        <w:t>. Routledge.</w:t>
      </w:r>
    </w:p>
    <w:p>
      <w:pPr>
        <w:spacing w:before="240" w:after="240"/>
        <w:rPr>
          <w:lang w:val="en-GB"/>
        </w:rPr>
      </w:pPr>
    </w:p>
    <w:p>
      <w:pPr>
        <w:rPr>
          <w:lang w:val="en-GB"/>
        </w:rPr>
      </w:pPr>
    </w:p>
    <w:p>
      <w:pPr>
        <w:rPr>
          <w:lang w:val="en-GB"/>
        </w:rPr>
      </w:pPr>
    </w:p>
    <w:p>
      <w:pPr>
        <w:rPr>
          <w:lang w:val="en-GB"/>
        </w:rPr>
      </w:pPr>
    </w:p>
    <w:p>
      <w:pPr>
        <w:rPr>
          <w:lang w:val="en-GB"/>
        </w:rPr>
      </w:pPr>
    </w:p>
    <w:sectPr>
      <w:footerReference r:id="rId5" w:type="default"/>
      <w:pgSz w:w="11909" w:h="16834"/>
      <w:pgMar w:top="1440" w:right="1440" w:bottom="1440" w:left="1440" w:header="720" w:footer="720" w:gutter="0"/>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Tahoma">
    <w:panose1 w:val="020B0604030504040204"/>
    <w:charset w:val="00"/>
    <w:family w:val="swiss"/>
    <w:pitch w:val="default"/>
    <w:sig w:usb0="E1002EFF" w:usb1="C000605B" w:usb2="00000029" w:usb3="00000000" w:csb0="200101FF" w:csb1="2028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656064749"/>
      <w:docPartObj>
        <w:docPartGallery w:val="AutoText"/>
      </w:docPartObj>
    </w:sdtPr>
    <w:sdtContent>
      <w:p>
        <w:pPr>
          <w:pStyle w:val="11"/>
          <w:jc w:val="right"/>
        </w:pPr>
        <w:r>
          <w:fldChar w:fldCharType="begin"/>
        </w:r>
        <w:r>
          <w:instrText xml:space="preserve"> PAGE   \* MERGEFORMAT </w:instrText>
        </w:r>
        <w:r>
          <w:fldChar w:fldCharType="separate"/>
        </w:r>
        <w:r>
          <w:t>1</w:t>
        </w:r>
        <w:r>
          <w:fldChar w:fldCharType="end"/>
        </w:r>
      </w:p>
    </w:sdtContent>
  </w:sdt>
  <w:p>
    <w:pPr>
      <w:pStyle w:val="11"/>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2"/>
  </w:compat>
  <w:rsids>
    <w:rsidRoot w:val="00054CB9"/>
    <w:rsid w:val="00054CB9"/>
    <w:rsid w:val="001243EC"/>
    <w:rsid w:val="00264265"/>
    <w:rsid w:val="00313242"/>
    <w:rsid w:val="00356EBA"/>
    <w:rsid w:val="007910ED"/>
    <w:rsid w:val="007B1781"/>
    <w:rsid w:val="008F234C"/>
    <w:rsid w:val="00BD36CC"/>
    <w:rsid w:val="00C32C46"/>
    <w:rsid w:val="00F77373"/>
    <w:rsid w:val="00FD4C16"/>
    <w:rsid w:val="03103AFA"/>
  </w:rsids>
  <m:mathPr>
    <m:mathFont m:val="Cambria Math"/>
    <m:brkBin m:val="before"/>
    <m:brkBinSub m:val="--"/>
    <m:smallFrac m:val="1"/>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unhideWhenUsed="0" w:uiPriority="0" w:semiHidden="0" w:name="Normal"/>
    <w:lsdException w:unhideWhenUsed="0" w:uiPriority="0" w:semiHidden="0" w:name="heading 1"/>
    <w:lsdException w:unhideWhenUsed="0" w:uiPriority="0" w:semiHidden="0" w:name="heading 2"/>
    <w:lsdException w:unhideWhenUsed="0" w:uiPriority="0" w:semiHidden="0" w:name="heading 3"/>
    <w:lsdException w:unhideWhenUsed="0" w:uiPriority="0" w:semiHidden="0" w:name="heading 4"/>
    <w:lsdException w:unhideWhenUsed="0" w:uiPriority="0" w:semiHidden="0" w:name="heading 5"/>
    <w:lsdException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unhideWhenUsed="0" w:uiPriority="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uiPriority w:val="0"/>
    <w:pPr>
      <w:spacing w:line="360" w:lineRule="auto"/>
      <w:jc w:val="both"/>
    </w:pPr>
    <w:rPr>
      <w:rFonts w:ascii="Times New Roman" w:hAnsi="Times New Roman" w:eastAsia="Times New Roman" w:cs="Times New Roman"/>
      <w:sz w:val="24"/>
      <w:szCs w:val="24"/>
      <w:lang w:val="en-IN" w:eastAsia="en-IN" w:bidi="ar-SA"/>
    </w:rPr>
  </w:style>
  <w:style w:type="paragraph" w:styleId="2">
    <w:name w:val="heading 1"/>
    <w:basedOn w:val="1"/>
    <w:next w:val="1"/>
    <w:uiPriority w:val="0"/>
    <w:pPr>
      <w:keepNext/>
      <w:keepLines/>
      <w:outlineLvl w:val="0"/>
    </w:pPr>
    <w:rPr>
      <w:b/>
    </w:rPr>
  </w:style>
  <w:style w:type="paragraph" w:styleId="3">
    <w:name w:val="heading 2"/>
    <w:basedOn w:val="1"/>
    <w:next w:val="1"/>
    <w:uiPriority w:val="0"/>
    <w:pPr>
      <w:keepNext/>
      <w:keepLines/>
      <w:outlineLvl w:val="1"/>
    </w:pPr>
    <w:rPr>
      <w:b/>
    </w:rPr>
  </w:style>
  <w:style w:type="paragraph" w:styleId="4">
    <w:name w:val="heading 3"/>
    <w:basedOn w:val="1"/>
    <w:next w:val="1"/>
    <w:uiPriority w:val="0"/>
    <w:pPr>
      <w:keepNext/>
      <w:keepLines/>
      <w:spacing w:before="320" w:after="80"/>
      <w:outlineLvl w:val="2"/>
    </w:pPr>
    <w:rPr>
      <w:color w:val="434343"/>
      <w:sz w:val="28"/>
      <w:szCs w:val="28"/>
    </w:rPr>
  </w:style>
  <w:style w:type="paragraph" w:styleId="5">
    <w:name w:val="heading 4"/>
    <w:basedOn w:val="1"/>
    <w:next w:val="1"/>
    <w:uiPriority w:val="0"/>
    <w:pPr>
      <w:keepNext/>
      <w:keepLines/>
      <w:spacing w:before="280" w:after="80"/>
      <w:outlineLvl w:val="3"/>
    </w:pPr>
    <w:rPr>
      <w:color w:val="666666"/>
    </w:rPr>
  </w:style>
  <w:style w:type="paragraph" w:styleId="6">
    <w:name w:val="heading 5"/>
    <w:basedOn w:val="1"/>
    <w:next w:val="1"/>
    <w:uiPriority w:val="0"/>
    <w:pPr>
      <w:keepNext/>
      <w:keepLines/>
      <w:spacing w:before="240" w:after="80"/>
      <w:outlineLvl w:val="4"/>
    </w:pPr>
    <w:rPr>
      <w:color w:val="666666"/>
      <w:sz w:val="22"/>
      <w:szCs w:val="22"/>
    </w:rPr>
  </w:style>
  <w:style w:type="paragraph" w:styleId="7">
    <w:name w:val="heading 6"/>
    <w:basedOn w:val="1"/>
    <w:next w:val="1"/>
    <w:uiPriority w:val="0"/>
    <w:pPr>
      <w:keepNext/>
      <w:keepLines/>
      <w:spacing w:before="240" w:after="80"/>
      <w:outlineLvl w:val="5"/>
    </w:pPr>
    <w:rPr>
      <w:i/>
      <w:color w:val="666666"/>
      <w:sz w:val="22"/>
      <w:szCs w:val="22"/>
    </w:rPr>
  </w:style>
  <w:style w:type="character" w:default="1" w:styleId="8">
    <w:name w:val="Default Paragraph Font"/>
    <w:semiHidden/>
    <w:unhideWhenUsed/>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10">
    <w:name w:val="Balloon Text"/>
    <w:basedOn w:val="1"/>
    <w:link w:val="24"/>
    <w:semiHidden/>
    <w:unhideWhenUsed/>
    <w:uiPriority w:val="99"/>
    <w:pPr>
      <w:spacing w:line="240" w:lineRule="auto"/>
    </w:pPr>
    <w:rPr>
      <w:rFonts w:ascii="Tahoma" w:hAnsi="Tahoma" w:cs="Tahoma"/>
      <w:sz w:val="16"/>
      <w:szCs w:val="16"/>
    </w:rPr>
  </w:style>
  <w:style w:type="paragraph" w:styleId="11">
    <w:name w:val="footer"/>
    <w:basedOn w:val="1"/>
    <w:link w:val="22"/>
    <w:unhideWhenUsed/>
    <w:uiPriority w:val="99"/>
    <w:pPr>
      <w:tabs>
        <w:tab w:val="center" w:pos="4513"/>
        <w:tab w:val="right" w:pos="9026"/>
      </w:tabs>
      <w:spacing w:line="240" w:lineRule="auto"/>
    </w:pPr>
  </w:style>
  <w:style w:type="paragraph" w:styleId="12">
    <w:name w:val="header"/>
    <w:basedOn w:val="1"/>
    <w:link w:val="21"/>
    <w:unhideWhenUsed/>
    <w:uiPriority w:val="99"/>
    <w:pPr>
      <w:tabs>
        <w:tab w:val="center" w:pos="4513"/>
        <w:tab w:val="right" w:pos="9026"/>
      </w:tabs>
      <w:spacing w:line="240" w:lineRule="auto"/>
    </w:pPr>
  </w:style>
  <w:style w:type="character" w:styleId="13">
    <w:name w:val="Hyperlink"/>
    <w:basedOn w:val="8"/>
    <w:unhideWhenUsed/>
    <w:uiPriority w:val="99"/>
    <w:rPr>
      <w:color w:val="0000FF" w:themeColor="hyperlink"/>
      <w:u w:val="single"/>
    </w:rPr>
  </w:style>
  <w:style w:type="paragraph" w:styleId="14">
    <w:name w:val="Subtitle"/>
    <w:basedOn w:val="1"/>
    <w:next w:val="1"/>
    <w:uiPriority w:val="0"/>
    <w:pPr>
      <w:keepNext/>
      <w:keepLines/>
      <w:spacing w:after="320"/>
    </w:pPr>
    <w:rPr>
      <w:rFonts w:ascii="Arial" w:hAnsi="Arial" w:eastAsia="Arial" w:cs="Arial"/>
      <w:color w:val="666666"/>
      <w:sz w:val="30"/>
      <w:szCs w:val="30"/>
    </w:rPr>
  </w:style>
  <w:style w:type="paragraph" w:styleId="15">
    <w:name w:val="Title"/>
    <w:basedOn w:val="1"/>
    <w:next w:val="1"/>
    <w:uiPriority w:val="0"/>
    <w:pPr>
      <w:keepNext/>
      <w:keepLines/>
      <w:spacing w:after="60"/>
    </w:pPr>
    <w:rPr>
      <w:sz w:val="52"/>
      <w:szCs w:val="52"/>
    </w:rPr>
  </w:style>
  <w:style w:type="paragraph" w:styleId="16">
    <w:name w:val="toc 1"/>
    <w:basedOn w:val="1"/>
    <w:next w:val="1"/>
    <w:autoRedefine/>
    <w:unhideWhenUsed/>
    <w:uiPriority w:val="39"/>
    <w:pPr>
      <w:spacing w:after="100"/>
    </w:pPr>
  </w:style>
  <w:style w:type="paragraph" w:styleId="17">
    <w:name w:val="toc 2"/>
    <w:basedOn w:val="1"/>
    <w:next w:val="1"/>
    <w:autoRedefine/>
    <w:unhideWhenUsed/>
    <w:uiPriority w:val="39"/>
    <w:pPr>
      <w:spacing w:after="100"/>
      <w:ind w:left="240"/>
    </w:pPr>
  </w:style>
  <w:style w:type="table" w:customStyle="1" w:styleId="18">
    <w:name w:val="_Style 11"/>
    <w:basedOn w:val="9"/>
    <w:uiPriority w:val="0"/>
    <w:tblPr>
      <w:tblCellMar>
        <w:top w:w="100" w:type="dxa"/>
        <w:left w:w="100" w:type="dxa"/>
        <w:bottom w:w="100" w:type="dxa"/>
        <w:right w:w="100" w:type="dxa"/>
      </w:tblCellMar>
    </w:tblPr>
  </w:style>
  <w:style w:type="table" w:customStyle="1" w:styleId="19">
    <w:name w:val="_Style 12"/>
    <w:basedOn w:val="9"/>
    <w:uiPriority w:val="0"/>
    <w:tblPr>
      <w:tblCellMar>
        <w:top w:w="100" w:type="dxa"/>
        <w:left w:w="100" w:type="dxa"/>
        <w:bottom w:w="100" w:type="dxa"/>
        <w:right w:w="100" w:type="dxa"/>
      </w:tblCellMar>
    </w:tblPr>
  </w:style>
  <w:style w:type="table" w:customStyle="1" w:styleId="20">
    <w:name w:val="_Style 13"/>
    <w:basedOn w:val="9"/>
    <w:uiPriority w:val="0"/>
    <w:tblPr>
      <w:tblCellMar>
        <w:top w:w="100" w:type="dxa"/>
        <w:left w:w="100" w:type="dxa"/>
        <w:bottom w:w="100" w:type="dxa"/>
        <w:right w:w="100" w:type="dxa"/>
      </w:tblCellMar>
    </w:tblPr>
  </w:style>
  <w:style w:type="character" w:customStyle="1" w:styleId="21">
    <w:name w:val="Header Char"/>
    <w:basedOn w:val="8"/>
    <w:link w:val="12"/>
    <w:uiPriority w:val="99"/>
  </w:style>
  <w:style w:type="character" w:customStyle="1" w:styleId="22">
    <w:name w:val="Footer Char"/>
    <w:basedOn w:val="8"/>
    <w:link w:val="11"/>
    <w:uiPriority w:val="99"/>
  </w:style>
  <w:style w:type="paragraph" w:customStyle="1" w:styleId="23">
    <w:name w:val="TOC Heading"/>
    <w:basedOn w:val="2"/>
    <w:next w:val="1"/>
    <w:unhideWhenUsed/>
    <w:qFormat/>
    <w:uiPriority w:val="39"/>
    <w:pPr>
      <w:spacing w:before="240" w:line="259" w:lineRule="auto"/>
      <w:jc w:val="left"/>
      <w:outlineLvl w:val="9"/>
    </w:pPr>
    <w:rPr>
      <w:rFonts w:asciiTheme="majorHAnsi" w:hAnsiTheme="majorHAnsi" w:eastAsiaTheme="majorEastAsia" w:cstheme="majorBidi"/>
      <w:b w:val="0"/>
      <w:color w:val="366091" w:themeColor="accent1" w:themeShade="BF"/>
      <w:sz w:val="32"/>
      <w:szCs w:val="32"/>
      <w:lang w:val="en-US" w:eastAsia="en-US"/>
    </w:rPr>
  </w:style>
  <w:style w:type="character" w:customStyle="1" w:styleId="24">
    <w:name w:val="Balloon Text Char"/>
    <w:basedOn w:val="8"/>
    <w:link w:val="10"/>
    <w:semiHidden/>
    <w:uiPriority w:val="99"/>
    <w:rPr>
      <w:rFonts w:ascii="Tahoma" w:hAnsi="Tahoma" w:cs="Tahoma"/>
      <w:sz w:val="16"/>
      <w:szCs w:val="16"/>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1.xml"/><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E257AD-9078-4212-AE0F-A05ADDE375A7}">
  <ds:schemaRefs/>
</ds:datastoreItem>
</file>

<file path=docProps/app.xml><?xml version="1.0" encoding="utf-8"?>
<Properties xmlns="http://schemas.openxmlformats.org/officeDocument/2006/extended-properties" xmlns:vt="http://schemas.openxmlformats.org/officeDocument/2006/docPropsVTypes">
  <Template>Normal</Template>
  <Pages>9</Pages>
  <Words>1542</Words>
  <Characters>8794</Characters>
  <Lines>73</Lines>
  <Paragraphs>20</Paragraphs>
  <TotalTime>0</TotalTime>
  <ScaleCrop>false</ScaleCrop>
  <LinksUpToDate>false</LinksUpToDate>
  <CharactersWithSpaces>10316</CharactersWithSpaces>
  <Application>WPS Office_12.2.0.16731_F1E327BC-269C-435d-A152-05C5408002CA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2024-05-01T12:17:00Z</dcterms:created>
  <dc:creator>Alina</dc:creator>
  <cp:lastModifiedBy>i study</cp:lastModifiedBy>
  <dcterms:modified xsi:type="dcterms:W3CDTF">2024-05-07T14:59:45Z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2057-12.2.0.16731</vt:lpwstr>
  </property>
  <property fmtid="{D5CDD505-2E9C-101B-9397-08002B2CF9AE}" pid="3" name="ICV">
    <vt:lpwstr>1F5FE116C8C643539D4F92EA0B01F927_12</vt:lpwstr>
  </property>
</Properties>
</file>