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767BCF3F" w14:textId="13C76EEF" w:rsidR="001712ED" w:rsidRPr="001F4B3D" w:rsidRDefault="00DB3518" w:rsidP="001712ED">
      <w:pPr>
        <w:spacing w:line="240" w:lineRule="auto"/>
        <w:rPr>
          <w:rFonts w:ascii="Trebuchet MS" w:hAnsi="Trebuchet MS"/>
        </w:rPr>
      </w:pPr>
      <w:r w:rsidRPr="00DB3518">
        <w:rPr>
          <w:rFonts w:ascii="Trebuchet MS" w:hAnsi="Trebuchet MS"/>
        </w:rPr>
        <w:t xml:space="preserve">I appreciate you sharing your perspective </w:t>
      </w:r>
      <w:r w:rsidR="001712ED" w:rsidRPr="001712ED">
        <w:rPr>
          <w:rFonts w:ascii="Trebuchet MS" w:hAnsi="Trebuchet MS"/>
        </w:rPr>
        <w:t xml:space="preserve">on the proportion of </w:t>
      </w:r>
      <w:r w:rsidR="00AB0293">
        <w:rPr>
          <w:rFonts w:ascii="Trebuchet MS" w:hAnsi="Trebuchet MS"/>
        </w:rPr>
        <w:t xml:space="preserve">your work </w:t>
      </w:r>
      <w:r w:rsidR="001712ED" w:rsidRPr="001712ED">
        <w:rPr>
          <w:rFonts w:ascii="Trebuchet MS" w:hAnsi="Trebuchet MS"/>
        </w:rPr>
        <w:t>time spent addressing employment regulation</w:t>
      </w:r>
      <w:r w:rsidR="00571CA7">
        <w:rPr>
          <w:rFonts w:ascii="Trebuchet MS" w:hAnsi="Trebuchet MS"/>
        </w:rPr>
        <w:t xml:space="preserve"> related </w:t>
      </w:r>
      <w:r w:rsidR="00867A74">
        <w:rPr>
          <w:rFonts w:ascii="Trebuchet MS" w:hAnsi="Trebuchet MS"/>
        </w:rPr>
        <w:t>activities</w:t>
      </w:r>
      <w:r w:rsidR="001712ED" w:rsidRPr="001712ED">
        <w:rPr>
          <w:rFonts w:ascii="Trebuchet MS" w:hAnsi="Trebuchet MS"/>
        </w:rPr>
        <w:t xml:space="preserve">. I completely understand your </w:t>
      </w:r>
      <w:r w:rsidR="00566B5B">
        <w:rPr>
          <w:rFonts w:ascii="Trebuchet MS" w:hAnsi="Trebuchet MS"/>
        </w:rPr>
        <w:t>wanting</w:t>
      </w:r>
      <w:r w:rsidR="001712ED" w:rsidRPr="001712ED">
        <w:rPr>
          <w:rFonts w:ascii="Trebuchet MS" w:hAnsi="Trebuchet MS"/>
        </w:rPr>
        <w:t xml:space="preserve"> to allocate more time toward enhancing the employee experience</w:t>
      </w:r>
      <w:r w:rsidR="00566B5B">
        <w:rPr>
          <w:rFonts w:ascii="Trebuchet MS" w:hAnsi="Trebuchet MS"/>
        </w:rPr>
        <w:t>, but</w:t>
      </w:r>
      <w:r w:rsidR="001712ED" w:rsidRPr="001712ED">
        <w:rPr>
          <w:rFonts w:ascii="Trebuchet MS" w:hAnsi="Trebuchet MS"/>
        </w:rPr>
        <w:t xml:space="preserve"> it’s important t</w:t>
      </w:r>
      <w:r w:rsidR="00B0571E">
        <w:rPr>
          <w:rFonts w:ascii="Trebuchet MS" w:hAnsi="Trebuchet MS"/>
        </w:rPr>
        <w:t>hat we</w:t>
      </w:r>
      <w:r w:rsidR="001712ED" w:rsidRPr="001712ED">
        <w:rPr>
          <w:rFonts w:ascii="Trebuchet MS" w:hAnsi="Trebuchet MS"/>
        </w:rPr>
        <w:t xml:space="preserve"> </w:t>
      </w:r>
      <w:r w:rsidR="0044266F">
        <w:rPr>
          <w:rFonts w:ascii="Trebuchet MS" w:hAnsi="Trebuchet MS"/>
        </w:rPr>
        <w:t>recognise the vital role</w:t>
      </w:r>
      <w:r w:rsidR="001712ED" w:rsidRPr="001712ED">
        <w:rPr>
          <w:rFonts w:ascii="Trebuchet MS" w:hAnsi="Trebuchet MS"/>
        </w:rPr>
        <w:t xml:space="preserve"> that employment regulation plays in underpinning a fair, ethical, and legally compliant working environment – which ultimately contribute</w:t>
      </w:r>
      <w:r w:rsidR="000C5D9A">
        <w:rPr>
          <w:rFonts w:ascii="Trebuchet MS" w:hAnsi="Trebuchet MS"/>
        </w:rPr>
        <w:t>s</w:t>
      </w:r>
      <w:r w:rsidR="001712ED" w:rsidRPr="001712ED">
        <w:rPr>
          <w:rFonts w:ascii="Trebuchet MS" w:hAnsi="Trebuchet MS"/>
        </w:rPr>
        <w:t xml:space="preserve"> to a positive employ</w:t>
      </w:r>
      <w:r w:rsidR="00A11A29">
        <w:rPr>
          <w:rFonts w:ascii="Trebuchet MS" w:hAnsi="Trebuchet MS"/>
        </w:rPr>
        <w:t xml:space="preserve">ee </w:t>
      </w:r>
      <w:r w:rsidR="001712ED" w:rsidRPr="001712ED">
        <w:rPr>
          <w:rFonts w:ascii="Trebuchet MS" w:hAnsi="Trebuchet MS"/>
        </w:rPr>
        <w:t>experience.</w:t>
      </w:r>
    </w:p>
    <w:p w14:paraId="71E7D6D3" w14:textId="77777777" w:rsidR="001712ED" w:rsidRPr="001712ED" w:rsidRDefault="001712ED" w:rsidP="001712ED">
      <w:pPr>
        <w:spacing w:line="240" w:lineRule="auto"/>
        <w:rPr>
          <w:rFonts w:ascii="Trebuchet MS" w:hAnsi="Trebuchet MS"/>
        </w:rPr>
      </w:pPr>
    </w:p>
    <w:p w14:paraId="06CA9BB3" w14:textId="0105E464" w:rsidR="001712ED" w:rsidRPr="001F4B3D" w:rsidRDefault="001712ED" w:rsidP="001712ED">
      <w:pPr>
        <w:spacing w:line="240" w:lineRule="auto"/>
        <w:rPr>
          <w:rFonts w:ascii="Trebuchet MS" w:hAnsi="Trebuchet MS"/>
        </w:rPr>
      </w:pPr>
      <w:r w:rsidRPr="001712ED">
        <w:rPr>
          <w:rFonts w:ascii="Trebuchet MS" w:hAnsi="Trebuchet MS"/>
        </w:rPr>
        <w:t xml:space="preserve">The </w:t>
      </w:r>
      <w:r w:rsidR="00FF4B8D">
        <w:rPr>
          <w:rFonts w:ascii="Trebuchet MS" w:hAnsi="Trebuchet MS"/>
        </w:rPr>
        <w:t>main</w:t>
      </w:r>
      <w:r w:rsidRPr="001712ED">
        <w:rPr>
          <w:rFonts w:ascii="Trebuchet MS" w:hAnsi="Trebuchet MS"/>
        </w:rPr>
        <w:t xml:space="preserve"> aim of employment regulation in the UK is to safeguard the rights of both employers and employees. It provides a legal framework to ensure fair treatment, prevent discrimination, promote health and safety, and enable the resolution of disputes (CIPD, 2023). Without these regulations, organisations risk undermining employee trust and exposing themselves to legal liabilities.</w:t>
      </w:r>
    </w:p>
    <w:p w14:paraId="5B3836C0" w14:textId="77777777" w:rsidR="001712ED" w:rsidRPr="001712ED" w:rsidRDefault="001712ED" w:rsidP="001712ED">
      <w:pPr>
        <w:spacing w:line="240" w:lineRule="auto"/>
        <w:rPr>
          <w:rFonts w:ascii="Trebuchet MS" w:hAnsi="Trebuchet MS"/>
        </w:rPr>
      </w:pPr>
    </w:p>
    <w:p w14:paraId="25C3E697" w14:textId="77777777" w:rsidR="001712ED" w:rsidRPr="001F4B3D" w:rsidRDefault="001712ED" w:rsidP="001712ED">
      <w:pPr>
        <w:spacing w:line="240" w:lineRule="auto"/>
        <w:rPr>
          <w:rFonts w:ascii="Trebuchet MS" w:hAnsi="Trebuchet MS"/>
        </w:rPr>
      </w:pPr>
      <w:r w:rsidRPr="001712ED">
        <w:rPr>
          <w:rFonts w:ascii="Trebuchet MS" w:hAnsi="Trebuchet MS"/>
        </w:rPr>
        <w:t>One of the key objectives is to promote equality and protect against unfair treatment, which is enshrined in legislation such as the Equality Act 2010. This regulation not only prevents discrimination but also encourages inclusivity, which in turn supports better organisational performance and employee engagement (ACAS, 2024).</w:t>
      </w:r>
    </w:p>
    <w:p w14:paraId="12971C1B" w14:textId="77777777" w:rsidR="001712ED" w:rsidRPr="001712ED" w:rsidRDefault="001712ED" w:rsidP="001712ED">
      <w:pPr>
        <w:spacing w:line="240" w:lineRule="auto"/>
        <w:rPr>
          <w:rFonts w:ascii="Trebuchet MS" w:hAnsi="Trebuchet MS"/>
        </w:rPr>
      </w:pPr>
    </w:p>
    <w:p w14:paraId="6771EA0C" w14:textId="77777777" w:rsidR="001712ED" w:rsidRPr="001F4B3D" w:rsidRDefault="001712ED" w:rsidP="001712ED">
      <w:pPr>
        <w:spacing w:line="240" w:lineRule="auto"/>
        <w:rPr>
          <w:rFonts w:ascii="Trebuchet MS" w:hAnsi="Trebuchet MS"/>
        </w:rPr>
      </w:pPr>
      <w:r w:rsidRPr="001712ED">
        <w:rPr>
          <w:rFonts w:ascii="Trebuchet MS" w:hAnsi="Trebuchet MS"/>
        </w:rPr>
        <w:t>A further, often overlooked, objective of employment regulation is its role in supporting labour market participation. By offering strong legal protections—such as against unfair dismissal, age discrimination, and unsafe working conditions—UK employment law can actively encourage individuals to remain in or return to the workforce. This includes older workers who might otherwise choose early retirement or experienced professionals who might be tempted to pursue opportunities overseas. The security and fairness afforded by regulation are powerful incentives to continue working in the UK, thereby helping to address skills shortages and enhance workforce diversity (Department for Business and Trade, 2023).</w:t>
      </w:r>
    </w:p>
    <w:p w14:paraId="782E88D2" w14:textId="77777777" w:rsidR="001712ED" w:rsidRPr="001712ED" w:rsidRDefault="001712ED" w:rsidP="001712ED">
      <w:pPr>
        <w:spacing w:line="240" w:lineRule="auto"/>
        <w:rPr>
          <w:rFonts w:ascii="Trebuchet MS" w:hAnsi="Trebuchet MS"/>
        </w:rPr>
      </w:pPr>
    </w:p>
    <w:p w14:paraId="182CBB3C" w14:textId="77777777" w:rsidR="001712ED" w:rsidRPr="001F4B3D" w:rsidRDefault="001712ED" w:rsidP="001712ED">
      <w:pPr>
        <w:spacing w:line="240" w:lineRule="auto"/>
        <w:rPr>
          <w:rFonts w:ascii="Trebuchet MS" w:hAnsi="Trebuchet MS"/>
        </w:rPr>
      </w:pPr>
      <w:r w:rsidRPr="001712ED">
        <w:rPr>
          <w:rFonts w:ascii="Trebuchet MS" w:hAnsi="Trebuchet MS"/>
        </w:rPr>
        <w:t xml:space="preserve">A crucial example illustrating the importance of regulation is the case of </w:t>
      </w:r>
      <w:r w:rsidRPr="001712ED">
        <w:rPr>
          <w:rFonts w:ascii="Trebuchet MS" w:hAnsi="Trebuchet MS"/>
          <w:i/>
          <w:iCs/>
        </w:rPr>
        <w:t>Bahl v The Law Society</w:t>
      </w:r>
      <w:r w:rsidRPr="001712ED">
        <w:rPr>
          <w:rFonts w:ascii="Trebuchet MS" w:hAnsi="Trebuchet MS"/>
        </w:rPr>
        <w:t xml:space="preserve"> [2004] IRLR 799. In this case, the failure to follow fair procedures during disciplinary action and underlying discrimination resulted in reputational and legal consequences. Such examples emphasise that regulatory compliance is not a bureaucratic exercise, but a strategic safeguard for both the employee experience and the employer’s integrity.</w:t>
      </w:r>
    </w:p>
    <w:p w14:paraId="3F286037" w14:textId="77777777" w:rsidR="001712ED" w:rsidRPr="001712ED" w:rsidRDefault="001712ED" w:rsidP="001712ED">
      <w:pPr>
        <w:spacing w:line="240" w:lineRule="auto"/>
        <w:rPr>
          <w:rFonts w:ascii="Trebuchet MS" w:hAnsi="Trebuchet MS"/>
        </w:rPr>
      </w:pPr>
    </w:p>
    <w:p w14:paraId="07179D5B" w14:textId="77777777" w:rsidR="001712ED" w:rsidRPr="001712ED" w:rsidRDefault="001712ED" w:rsidP="001712ED">
      <w:pPr>
        <w:spacing w:line="240" w:lineRule="auto"/>
        <w:rPr>
          <w:rFonts w:ascii="Trebuchet MS" w:hAnsi="Trebuchet MS"/>
        </w:rPr>
      </w:pPr>
      <w:r w:rsidRPr="001712ED">
        <w:rPr>
          <w:rFonts w:ascii="Trebuchet MS" w:hAnsi="Trebuchet MS"/>
        </w:rPr>
        <w:t>While regulatory tasks can be time-consuming, they form the backbone of sustainable and ethical people practice. Rather than viewing regulation as a barrier to productivity, it can be seen as a foundational element that empowers us to create meaningful, long-lasting improvements in the employment experience.</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28BF08BE" w14:textId="54E0F202" w:rsidR="008E77D1" w:rsidRPr="008B0C0D" w:rsidRDefault="008E77D1" w:rsidP="008E77D1">
      <w:pPr>
        <w:spacing w:line="240" w:lineRule="auto"/>
        <w:rPr>
          <w:rFonts w:ascii="Trebuchet MS" w:hAnsi="Trebuchet MS"/>
        </w:rPr>
      </w:pPr>
      <w:r w:rsidRPr="008E77D1">
        <w:rPr>
          <w:rFonts w:ascii="Trebuchet MS" w:hAnsi="Trebuchet MS"/>
        </w:rPr>
        <w:t xml:space="preserve">Thank you for your </w:t>
      </w:r>
      <w:r w:rsidR="00E408B7">
        <w:rPr>
          <w:rFonts w:ascii="Trebuchet MS" w:hAnsi="Trebuchet MS"/>
        </w:rPr>
        <w:t>email</w:t>
      </w:r>
      <w:r w:rsidRPr="008E77D1">
        <w:rPr>
          <w:rFonts w:ascii="Trebuchet MS" w:hAnsi="Trebuchet MS"/>
        </w:rPr>
        <w:t xml:space="preserve"> regarding the status of European Court of Justice (ECJ) judgments following the U</w:t>
      </w:r>
      <w:r w:rsidR="00320191">
        <w:rPr>
          <w:rFonts w:ascii="Trebuchet MS" w:hAnsi="Trebuchet MS"/>
        </w:rPr>
        <w:t xml:space="preserve">nited </w:t>
      </w:r>
      <w:r w:rsidRPr="008E77D1">
        <w:rPr>
          <w:rFonts w:ascii="Trebuchet MS" w:hAnsi="Trebuchet MS"/>
        </w:rPr>
        <w:t>K</w:t>
      </w:r>
      <w:r w:rsidR="00320191">
        <w:rPr>
          <w:rFonts w:ascii="Trebuchet MS" w:hAnsi="Trebuchet MS"/>
        </w:rPr>
        <w:t>ingdom</w:t>
      </w:r>
      <w:r w:rsidRPr="008E77D1">
        <w:rPr>
          <w:rFonts w:ascii="Trebuchet MS" w:hAnsi="Trebuchet MS"/>
        </w:rPr>
        <w:t>’s departure from the European Union in January 2020.</w:t>
      </w:r>
    </w:p>
    <w:p w14:paraId="4D0C51D2" w14:textId="77777777" w:rsidR="008B0C0D" w:rsidRPr="008E77D1" w:rsidRDefault="008B0C0D" w:rsidP="008E77D1">
      <w:pPr>
        <w:spacing w:line="240" w:lineRule="auto"/>
        <w:rPr>
          <w:rFonts w:ascii="Trebuchet MS" w:hAnsi="Trebuchet MS"/>
        </w:rPr>
      </w:pPr>
    </w:p>
    <w:p w14:paraId="43BF3684" w14:textId="3240D34F" w:rsidR="008E77D1" w:rsidRPr="008B0C0D" w:rsidRDefault="009141A5" w:rsidP="008E77D1">
      <w:pPr>
        <w:spacing w:line="240" w:lineRule="auto"/>
        <w:rPr>
          <w:rFonts w:ascii="Trebuchet MS" w:hAnsi="Trebuchet MS"/>
        </w:rPr>
      </w:pPr>
      <w:r>
        <w:rPr>
          <w:rFonts w:ascii="Trebuchet MS" w:hAnsi="Trebuchet MS"/>
        </w:rPr>
        <w:t>In answer to your question</w:t>
      </w:r>
      <w:r w:rsidR="008E77D1" w:rsidRPr="008E77D1">
        <w:rPr>
          <w:rFonts w:ascii="Trebuchet MS" w:hAnsi="Trebuchet MS"/>
        </w:rPr>
        <w:t xml:space="preserve">, </w:t>
      </w:r>
      <w:r w:rsidR="00341328" w:rsidRPr="00341328">
        <w:rPr>
          <w:rFonts w:ascii="Trebuchet MS" w:hAnsi="Trebuchet MS"/>
        </w:rPr>
        <w:t xml:space="preserve">decisions made by the ECJ </w:t>
      </w:r>
      <w:r w:rsidR="0066069F">
        <w:rPr>
          <w:rFonts w:ascii="Trebuchet MS" w:hAnsi="Trebuchet MS"/>
        </w:rPr>
        <w:t>before</w:t>
      </w:r>
      <w:r w:rsidR="00341328" w:rsidRPr="00341328">
        <w:rPr>
          <w:rFonts w:ascii="Trebuchet MS" w:hAnsi="Trebuchet MS"/>
        </w:rPr>
        <w:t xml:space="preserve"> 31</w:t>
      </w:r>
      <w:r w:rsidR="008F4F06" w:rsidRPr="008F4F06">
        <w:rPr>
          <w:rFonts w:ascii="Trebuchet MS" w:hAnsi="Trebuchet MS"/>
          <w:vertAlign w:val="superscript"/>
        </w:rPr>
        <w:t>st</w:t>
      </w:r>
      <w:r w:rsidR="00341328" w:rsidRPr="00341328">
        <w:rPr>
          <w:rFonts w:ascii="Trebuchet MS" w:hAnsi="Trebuchet MS"/>
        </w:rPr>
        <w:t xml:space="preserve"> December 2020—the end of the Brexit transition period—still form part of UK law and are classified as retained EU case law, as outlined in the European Union (Withdrawal) Act 2018. These rulings remain binding on lower courts and tribunals in the UK unless they are overturned by the UK Supreme Court, the Court of Appeal in Wales</w:t>
      </w:r>
      <w:r w:rsidR="00341328">
        <w:rPr>
          <w:rFonts w:ascii="Trebuchet MS" w:hAnsi="Trebuchet MS"/>
        </w:rPr>
        <w:t xml:space="preserve"> and England</w:t>
      </w:r>
      <w:r w:rsidR="00341328" w:rsidRPr="00341328">
        <w:rPr>
          <w:rFonts w:ascii="Trebuchet MS" w:hAnsi="Trebuchet MS"/>
        </w:rPr>
        <w:t>, or the equivalent courts in Northern Ireland and Scotland (UK Government, 2023)</w:t>
      </w:r>
    </w:p>
    <w:p w14:paraId="11ED3C64" w14:textId="77777777" w:rsidR="008B0C0D" w:rsidRPr="008E77D1" w:rsidRDefault="008B0C0D" w:rsidP="008E77D1">
      <w:pPr>
        <w:spacing w:line="240" w:lineRule="auto"/>
        <w:rPr>
          <w:rFonts w:ascii="Trebuchet MS" w:hAnsi="Trebuchet MS"/>
        </w:rPr>
      </w:pPr>
    </w:p>
    <w:p w14:paraId="199B4976" w14:textId="4B06C9E2" w:rsidR="008E77D1" w:rsidRPr="008B0C0D" w:rsidRDefault="008E77D1" w:rsidP="008E77D1">
      <w:pPr>
        <w:spacing w:line="240" w:lineRule="auto"/>
        <w:rPr>
          <w:rFonts w:ascii="Trebuchet MS" w:hAnsi="Trebuchet MS"/>
        </w:rPr>
      </w:pPr>
      <w:r w:rsidRPr="008E77D1">
        <w:rPr>
          <w:rFonts w:ascii="Trebuchet MS" w:hAnsi="Trebuchet MS"/>
        </w:rPr>
        <w:t xml:space="preserve">This retained case law forms part of the body of UK employment law. For example, the ECJ ruling in </w:t>
      </w:r>
      <w:proofErr w:type="spellStart"/>
      <w:r w:rsidRPr="008E77D1">
        <w:rPr>
          <w:rFonts w:ascii="Trebuchet MS" w:hAnsi="Trebuchet MS"/>
          <w:i/>
          <w:iCs/>
        </w:rPr>
        <w:t>WageIndicator</w:t>
      </w:r>
      <w:proofErr w:type="spellEnd"/>
      <w:r w:rsidRPr="008E77D1">
        <w:rPr>
          <w:rFonts w:ascii="Trebuchet MS" w:hAnsi="Trebuchet MS"/>
          <w:i/>
          <w:iCs/>
        </w:rPr>
        <w:t xml:space="preserve"> Foundation v </w:t>
      </w:r>
      <w:proofErr w:type="spellStart"/>
      <w:r w:rsidRPr="008E77D1">
        <w:rPr>
          <w:rFonts w:ascii="Trebuchet MS" w:hAnsi="Trebuchet MS"/>
          <w:i/>
          <w:iCs/>
        </w:rPr>
        <w:t>Federatie</w:t>
      </w:r>
      <w:proofErr w:type="spellEnd"/>
      <w:r w:rsidRPr="008E77D1">
        <w:rPr>
          <w:rFonts w:ascii="Trebuchet MS" w:hAnsi="Trebuchet MS"/>
          <w:i/>
          <w:iCs/>
        </w:rPr>
        <w:t xml:space="preserve"> </w:t>
      </w:r>
      <w:proofErr w:type="spellStart"/>
      <w:r w:rsidRPr="008E77D1">
        <w:rPr>
          <w:rFonts w:ascii="Trebuchet MS" w:hAnsi="Trebuchet MS"/>
          <w:i/>
          <w:iCs/>
        </w:rPr>
        <w:t>Nederlandse</w:t>
      </w:r>
      <w:proofErr w:type="spellEnd"/>
      <w:r w:rsidRPr="008E77D1">
        <w:rPr>
          <w:rFonts w:ascii="Trebuchet MS" w:hAnsi="Trebuchet MS"/>
          <w:i/>
          <w:iCs/>
        </w:rPr>
        <w:t xml:space="preserve"> </w:t>
      </w:r>
      <w:proofErr w:type="spellStart"/>
      <w:r w:rsidRPr="008E77D1">
        <w:rPr>
          <w:rFonts w:ascii="Trebuchet MS" w:hAnsi="Trebuchet MS"/>
          <w:i/>
          <w:iCs/>
        </w:rPr>
        <w:t>Vakbeweging</w:t>
      </w:r>
      <w:proofErr w:type="spellEnd"/>
      <w:r w:rsidRPr="008E77D1">
        <w:rPr>
          <w:rFonts w:ascii="Trebuchet MS" w:hAnsi="Trebuchet MS"/>
        </w:rPr>
        <w:t xml:space="preserve"> clarified the scope of working time definitions under the Working Time Directive, which continues to i</w:t>
      </w:r>
      <w:r w:rsidR="003E65E1">
        <w:rPr>
          <w:rFonts w:ascii="Trebuchet MS" w:hAnsi="Trebuchet MS"/>
        </w:rPr>
        <w:t>mpact</w:t>
      </w:r>
      <w:r w:rsidRPr="008E77D1">
        <w:rPr>
          <w:rFonts w:ascii="Trebuchet MS" w:hAnsi="Trebuchet MS"/>
        </w:rPr>
        <w:t xml:space="preserve"> how UK tribunals interpret working time and rest breaks under the Working Time Regulations 1998.</w:t>
      </w:r>
    </w:p>
    <w:p w14:paraId="0CFDDCED" w14:textId="77777777" w:rsidR="008B0C0D" w:rsidRPr="008E77D1" w:rsidRDefault="008B0C0D" w:rsidP="008E77D1">
      <w:pPr>
        <w:spacing w:line="240" w:lineRule="auto"/>
        <w:rPr>
          <w:rFonts w:ascii="Trebuchet MS" w:hAnsi="Trebuchet MS"/>
        </w:rPr>
      </w:pPr>
    </w:p>
    <w:p w14:paraId="755DEFBB" w14:textId="5E738030" w:rsidR="008E77D1" w:rsidRPr="008B0C0D" w:rsidRDefault="008E77D1" w:rsidP="008E77D1">
      <w:pPr>
        <w:spacing w:line="240" w:lineRule="auto"/>
        <w:rPr>
          <w:rFonts w:ascii="Trebuchet MS" w:hAnsi="Trebuchet MS"/>
        </w:rPr>
      </w:pPr>
      <w:r w:rsidRPr="008E77D1">
        <w:rPr>
          <w:rFonts w:ascii="Trebuchet MS" w:hAnsi="Trebuchet MS"/>
        </w:rPr>
        <w:t>However, courts now have the discretion to depart from retained EU case law where it is considered appropriate</w:t>
      </w:r>
      <w:r w:rsidR="00B33B27">
        <w:rPr>
          <w:rFonts w:ascii="Trebuchet MS" w:hAnsi="Trebuchet MS"/>
        </w:rPr>
        <w:t xml:space="preserve"> </w:t>
      </w:r>
      <w:r w:rsidRPr="008E77D1">
        <w:rPr>
          <w:rFonts w:ascii="Trebuchet MS" w:hAnsi="Trebuchet MS"/>
        </w:rPr>
        <w:t>(European Union (Withdrawal) Act 2018, s.6). This means such judgments are not permanently fixed, but until they are reconsidered by higher UK courts, they still apply.</w:t>
      </w:r>
    </w:p>
    <w:p w14:paraId="65A2DAAD" w14:textId="77777777" w:rsidR="008B0C0D" w:rsidRPr="008E77D1" w:rsidRDefault="008B0C0D" w:rsidP="008E77D1">
      <w:pPr>
        <w:spacing w:line="240" w:lineRule="auto"/>
        <w:rPr>
          <w:rFonts w:ascii="Trebuchet MS" w:hAnsi="Trebuchet MS"/>
        </w:rPr>
      </w:pPr>
    </w:p>
    <w:p w14:paraId="2FC2DE28" w14:textId="77777777" w:rsidR="008E77D1" w:rsidRPr="008B0C0D" w:rsidRDefault="008E77D1" w:rsidP="008E77D1">
      <w:pPr>
        <w:spacing w:line="240" w:lineRule="auto"/>
        <w:rPr>
          <w:rFonts w:ascii="Trebuchet MS" w:hAnsi="Trebuchet MS"/>
        </w:rPr>
      </w:pPr>
      <w:r w:rsidRPr="008E77D1">
        <w:rPr>
          <w:rFonts w:ascii="Trebuchet MS" w:hAnsi="Trebuchet MS"/>
        </w:rPr>
        <w:t>UK employment tribunals enforce employment regulation by adjudicating disputes between employers and employees across a wide range of statutory rights. These include unfair dismissal, discrimination, equal pay, and wage disputes. The tribunal process allows employees to bring claims independently and serves as a practical mechanism for upholding employment standards (CIPD, 2023).</w:t>
      </w:r>
    </w:p>
    <w:p w14:paraId="6C052BD8" w14:textId="77777777" w:rsidR="008B0C0D" w:rsidRPr="008E77D1" w:rsidRDefault="008B0C0D" w:rsidP="008E77D1">
      <w:pPr>
        <w:spacing w:line="240" w:lineRule="auto"/>
        <w:rPr>
          <w:rFonts w:ascii="Trebuchet MS" w:hAnsi="Trebuchet MS"/>
        </w:rPr>
      </w:pPr>
    </w:p>
    <w:p w14:paraId="61D17CDF" w14:textId="469D11A2" w:rsidR="008E77D1" w:rsidRPr="008B0C0D" w:rsidRDefault="00852AFC" w:rsidP="008E77D1">
      <w:pPr>
        <w:spacing w:line="240" w:lineRule="auto"/>
        <w:rPr>
          <w:rFonts w:ascii="Trebuchet MS" w:hAnsi="Trebuchet MS"/>
        </w:rPr>
      </w:pPr>
      <w:r>
        <w:rPr>
          <w:rFonts w:ascii="Trebuchet MS" w:hAnsi="Trebuchet MS"/>
        </w:rPr>
        <w:t>By way of illustration,</w:t>
      </w:r>
      <w:r w:rsidR="008E77D1" w:rsidRPr="008E77D1">
        <w:rPr>
          <w:rFonts w:ascii="Trebuchet MS" w:hAnsi="Trebuchet MS"/>
        </w:rPr>
        <w:t xml:space="preserve"> the case of </w:t>
      </w:r>
      <w:r w:rsidR="008E77D1" w:rsidRPr="008E77D1">
        <w:rPr>
          <w:rFonts w:ascii="Trebuchet MS" w:hAnsi="Trebuchet MS"/>
          <w:i/>
          <w:iCs/>
        </w:rPr>
        <w:t>British Gas Trading Ltd v Lock [2016]</w:t>
      </w:r>
      <w:r w:rsidR="008E77D1" w:rsidRPr="008E77D1">
        <w:rPr>
          <w:rFonts w:ascii="Trebuchet MS" w:hAnsi="Trebuchet MS"/>
        </w:rPr>
        <w:t>, where the tribunal applied ECJ reasoning to conclude that commission payments should be included in statutory holiday pay. Despite Brexit, this principle remains in force unless specifically overturned by a higher UK court.</w:t>
      </w:r>
    </w:p>
    <w:p w14:paraId="6BF36633" w14:textId="77777777" w:rsidR="008B0C0D" w:rsidRPr="008E77D1" w:rsidRDefault="008B0C0D" w:rsidP="008E77D1">
      <w:pPr>
        <w:spacing w:line="240" w:lineRule="auto"/>
        <w:rPr>
          <w:rFonts w:ascii="Trebuchet MS" w:hAnsi="Trebuchet MS"/>
        </w:rPr>
      </w:pPr>
    </w:p>
    <w:p w14:paraId="3CB056C5" w14:textId="77777777" w:rsidR="008E77D1" w:rsidRPr="008E77D1" w:rsidRDefault="008E77D1" w:rsidP="008E77D1">
      <w:pPr>
        <w:spacing w:line="240" w:lineRule="auto"/>
        <w:rPr>
          <w:rFonts w:ascii="Trebuchet MS" w:hAnsi="Trebuchet MS"/>
        </w:rPr>
      </w:pPr>
      <w:r w:rsidRPr="008E77D1">
        <w:rPr>
          <w:rFonts w:ascii="Trebuchet MS" w:hAnsi="Trebuchet MS"/>
        </w:rPr>
        <w:t>In summary, pre-Brexit ECJ judgments remain binding unless overturned and continue to influence tribunal decisions. Employment tribunals serve a critical role in interpreting and enforcing these principles in line with statutory rights.</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6034E913" w14:textId="5276FDC0" w:rsidR="00012A12" w:rsidRDefault="00297849" w:rsidP="00012A12">
      <w:pPr>
        <w:spacing w:line="240" w:lineRule="auto"/>
        <w:rPr>
          <w:rFonts w:ascii="Trebuchet MS" w:hAnsi="Trebuchet MS"/>
        </w:rPr>
      </w:pPr>
      <w:r w:rsidRPr="00297849">
        <w:rPr>
          <w:rFonts w:ascii="Trebuchet MS" w:hAnsi="Trebuchet MS"/>
        </w:rPr>
        <w:t>Thank you for your email concerning the c</w:t>
      </w:r>
      <w:r w:rsidR="007F19C2">
        <w:rPr>
          <w:rFonts w:ascii="Trebuchet MS" w:hAnsi="Trebuchet MS"/>
        </w:rPr>
        <w:t>ases</w:t>
      </w:r>
      <w:r w:rsidRPr="00297849">
        <w:rPr>
          <w:rFonts w:ascii="Trebuchet MS" w:hAnsi="Trebuchet MS"/>
        </w:rPr>
        <w:t xml:space="preserve"> in which it may be appropriate to specify that a job role must be carried out by a particular sex (either a man or a woman)</w:t>
      </w:r>
      <w:r>
        <w:rPr>
          <w:rFonts w:ascii="Trebuchet MS" w:hAnsi="Trebuchet MS"/>
        </w:rPr>
        <w:t xml:space="preserve">. </w:t>
      </w:r>
      <w:r w:rsidR="00012A12" w:rsidRPr="00012A12">
        <w:rPr>
          <w:rFonts w:ascii="Trebuchet MS" w:hAnsi="Trebuchet MS"/>
        </w:rPr>
        <w:t>This falls under the legal concept of an “occupational requirement”, which is a narrow exception within the UK’s equality and discrimination laws.</w:t>
      </w:r>
    </w:p>
    <w:p w14:paraId="45F52D98" w14:textId="77777777" w:rsidR="009E1928" w:rsidRPr="00012A12" w:rsidRDefault="009E1928" w:rsidP="00012A12">
      <w:pPr>
        <w:spacing w:line="240" w:lineRule="auto"/>
        <w:rPr>
          <w:rFonts w:ascii="Trebuchet MS" w:hAnsi="Trebuchet MS"/>
        </w:rPr>
      </w:pPr>
    </w:p>
    <w:p w14:paraId="68DE79FB" w14:textId="6529E436" w:rsidR="00012A12" w:rsidRDefault="00AA783A" w:rsidP="00012A12">
      <w:pPr>
        <w:spacing w:line="240" w:lineRule="auto"/>
        <w:rPr>
          <w:rFonts w:ascii="Trebuchet MS" w:hAnsi="Trebuchet MS"/>
        </w:rPr>
      </w:pPr>
      <w:r>
        <w:rPr>
          <w:rFonts w:ascii="Trebuchet MS" w:hAnsi="Trebuchet MS"/>
        </w:rPr>
        <w:t>Since the implementation of</w:t>
      </w:r>
      <w:r w:rsidR="00012A12" w:rsidRPr="00012A12">
        <w:rPr>
          <w:rFonts w:ascii="Trebuchet MS" w:hAnsi="Trebuchet MS"/>
        </w:rPr>
        <w:t xml:space="preserve"> the Equality Act 2010, it is generally unlawful to discriminate against candidates based on protected characteristics, including sex. </w:t>
      </w:r>
      <w:r w:rsidR="0016164D" w:rsidRPr="0016164D">
        <w:rPr>
          <w:rFonts w:ascii="Trebuchet MS" w:hAnsi="Trebuchet MS"/>
        </w:rPr>
        <w:t xml:space="preserve">However, Schedule 9 of the Equality Act 2010 permits exceptions where possessing a specific protected characteristic is an occupational requirement, and applying that requirement is a proportionate way of achieving a legitimate aim </w:t>
      </w:r>
      <w:r w:rsidR="00012A12" w:rsidRPr="00012A12">
        <w:rPr>
          <w:rFonts w:ascii="Trebuchet MS" w:hAnsi="Trebuchet MS"/>
        </w:rPr>
        <w:t>(Equality Act 2010, s.39 and Schedule 9).</w:t>
      </w:r>
    </w:p>
    <w:p w14:paraId="4232D38C" w14:textId="77777777" w:rsidR="009E1928" w:rsidRPr="00012A12" w:rsidRDefault="009E1928" w:rsidP="00012A12">
      <w:pPr>
        <w:spacing w:line="240" w:lineRule="auto"/>
        <w:rPr>
          <w:rFonts w:ascii="Trebuchet MS" w:hAnsi="Trebuchet MS"/>
        </w:rPr>
      </w:pPr>
    </w:p>
    <w:p w14:paraId="39FA8A98" w14:textId="77777777" w:rsidR="00012A12" w:rsidRDefault="00012A12" w:rsidP="00012A12">
      <w:pPr>
        <w:spacing w:line="240" w:lineRule="auto"/>
        <w:rPr>
          <w:rFonts w:ascii="Trebuchet MS" w:hAnsi="Trebuchet MS"/>
        </w:rPr>
      </w:pPr>
      <w:r w:rsidRPr="00012A12">
        <w:rPr>
          <w:rFonts w:ascii="Trebuchet MS" w:hAnsi="Trebuchet MS"/>
        </w:rPr>
        <w:t>For example, it may be lawful to recruit only women for a role providing support to female victims of domestic abuse where the service users have disclosed that they would feel unsafe or traumatised by male staff. This would likely satisfy the test of being proportionate and necessary.</w:t>
      </w:r>
    </w:p>
    <w:p w14:paraId="66790C24" w14:textId="77777777" w:rsidR="009E1928" w:rsidRPr="00012A12" w:rsidRDefault="009E1928" w:rsidP="00012A12">
      <w:pPr>
        <w:spacing w:line="240" w:lineRule="auto"/>
        <w:rPr>
          <w:rFonts w:ascii="Trebuchet MS" w:hAnsi="Trebuchet MS"/>
        </w:rPr>
      </w:pPr>
    </w:p>
    <w:p w14:paraId="5BA3BF16" w14:textId="415E201E" w:rsidR="00012A12" w:rsidRDefault="00012A12" w:rsidP="00012A12">
      <w:pPr>
        <w:spacing w:line="240" w:lineRule="auto"/>
        <w:rPr>
          <w:rFonts w:ascii="Trebuchet MS" w:hAnsi="Trebuchet MS"/>
        </w:rPr>
      </w:pPr>
      <w:r w:rsidRPr="00012A12">
        <w:rPr>
          <w:rFonts w:ascii="Trebuchet MS" w:hAnsi="Trebuchet MS"/>
        </w:rPr>
        <w:t>However, stipulating gender as a requirement must not be based on assumptions, preferences, or convenience. For instance, saying “we prefer a woman for this administrative role because the rest of the team is female” would not constitute a legitimate occupational requirement and could lead to a</w:t>
      </w:r>
      <w:r w:rsidR="00F56F67">
        <w:rPr>
          <w:rFonts w:ascii="Trebuchet MS" w:hAnsi="Trebuchet MS"/>
        </w:rPr>
        <w:t>n</w:t>
      </w:r>
      <w:r w:rsidR="004D1840">
        <w:rPr>
          <w:rFonts w:ascii="Trebuchet MS" w:hAnsi="Trebuchet MS"/>
        </w:rPr>
        <w:t xml:space="preserve"> employee</w:t>
      </w:r>
      <w:r w:rsidRPr="00012A12">
        <w:rPr>
          <w:rFonts w:ascii="Trebuchet MS" w:hAnsi="Trebuchet MS"/>
        </w:rPr>
        <w:t xml:space="preserve"> claim</w:t>
      </w:r>
      <w:r w:rsidR="0038040E">
        <w:rPr>
          <w:rFonts w:ascii="Trebuchet MS" w:hAnsi="Trebuchet MS"/>
        </w:rPr>
        <w:t>ing</w:t>
      </w:r>
      <w:r w:rsidRPr="00012A12">
        <w:rPr>
          <w:rFonts w:ascii="Trebuchet MS" w:hAnsi="Trebuchet MS"/>
        </w:rPr>
        <w:t xml:space="preserve"> direct sex discrimination.</w:t>
      </w:r>
    </w:p>
    <w:p w14:paraId="6E9747C5" w14:textId="77777777" w:rsidR="009E1928" w:rsidRPr="00012A12" w:rsidRDefault="009E1928" w:rsidP="00012A12">
      <w:pPr>
        <w:spacing w:line="240" w:lineRule="auto"/>
        <w:rPr>
          <w:rFonts w:ascii="Trebuchet MS" w:hAnsi="Trebuchet MS"/>
        </w:rPr>
      </w:pPr>
    </w:p>
    <w:p w14:paraId="33E68EFA" w14:textId="77777777" w:rsidR="00012A12" w:rsidRDefault="00012A12" w:rsidP="00012A12">
      <w:pPr>
        <w:spacing w:line="240" w:lineRule="auto"/>
        <w:rPr>
          <w:rFonts w:ascii="Trebuchet MS" w:hAnsi="Trebuchet MS"/>
        </w:rPr>
      </w:pPr>
      <w:r w:rsidRPr="00012A12">
        <w:rPr>
          <w:rFonts w:ascii="Trebuchet MS" w:hAnsi="Trebuchet MS"/>
        </w:rPr>
        <w:t xml:space="preserve">A notable case is </w:t>
      </w:r>
      <w:r w:rsidRPr="00012A12">
        <w:rPr>
          <w:rFonts w:ascii="Trebuchet MS" w:hAnsi="Trebuchet MS"/>
          <w:i/>
          <w:iCs/>
        </w:rPr>
        <w:t>Johnston v Chief Constable of the Royal Ulster Constabulary</w:t>
      </w:r>
      <w:r w:rsidRPr="00012A12">
        <w:rPr>
          <w:rFonts w:ascii="Trebuchet MS" w:hAnsi="Trebuchet MS"/>
        </w:rPr>
        <w:t xml:space="preserve"> [1986] IRLR 263, in which the ECJ held that occupational requirements must be objectively justified and not based solely on stereotyping or public perception. Similarly, in </w:t>
      </w:r>
      <w:r w:rsidRPr="00012A12">
        <w:rPr>
          <w:rFonts w:ascii="Trebuchet MS" w:hAnsi="Trebuchet MS"/>
          <w:i/>
          <w:iCs/>
        </w:rPr>
        <w:t>Etam plc v Rowan</w:t>
      </w:r>
      <w:r w:rsidRPr="00012A12">
        <w:rPr>
          <w:rFonts w:ascii="Trebuchet MS" w:hAnsi="Trebuchet MS"/>
        </w:rPr>
        <w:t xml:space="preserve"> [1989] IRLR 150, it was ruled that excluding a male from a job in a women’s changing room was lawful, due to privacy and decency concerns – highlighting how the context and necessity of the role matter.</w:t>
      </w:r>
    </w:p>
    <w:p w14:paraId="4672888D" w14:textId="77777777" w:rsidR="009E1928" w:rsidRPr="00012A12" w:rsidRDefault="009E1928" w:rsidP="00012A12">
      <w:pPr>
        <w:spacing w:line="240" w:lineRule="auto"/>
        <w:rPr>
          <w:rFonts w:ascii="Trebuchet MS" w:hAnsi="Trebuchet MS"/>
        </w:rPr>
      </w:pPr>
    </w:p>
    <w:p w14:paraId="2F07DA73" w14:textId="77777777" w:rsidR="00012A12" w:rsidRDefault="00012A12" w:rsidP="00012A12">
      <w:pPr>
        <w:spacing w:line="240" w:lineRule="auto"/>
        <w:rPr>
          <w:rFonts w:ascii="Trebuchet MS" w:hAnsi="Trebuchet MS"/>
        </w:rPr>
      </w:pPr>
      <w:r w:rsidRPr="00012A12">
        <w:rPr>
          <w:rFonts w:ascii="Trebuchet MS" w:hAnsi="Trebuchet MS"/>
        </w:rPr>
        <w:t>It’s also essential that any occupational requirement is clearly stated in the job advertisement and justified with evidence of why it is necessary. Employers should be prepared to demonstrate the proportionality and legitimacy of the requirement if challenged.</w:t>
      </w:r>
    </w:p>
    <w:p w14:paraId="59D2B967" w14:textId="77777777" w:rsidR="009E1928" w:rsidRPr="00012A12" w:rsidRDefault="009E1928" w:rsidP="00012A12">
      <w:pPr>
        <w:spacing w:line="240" w:lineRule="auto"/>
        <w:rPr>
          <w:rFonts w:ascii="Trebuchet MS" w:hAnsi="Trebuchet MS"/>
        </w:rPr>
      </w:pPr>
    </w:p>
    <w:p w14:paraId="5B542825" w14:textId="0F0AB05D" w:rsidR="00012A12" w:rsidRDefault="00012A12" w:rsidP="00012A12">
      <w:pPr>
        <w:spacing w:line="240" w:lineRule="auto"/>
        <w:rPr>
          <w:rFonts w:ascii="Trebuchet MS" w:hAnsi="Trebuchet MS"/>
        </w:rPr>
      </w:pPr>
      <w:r w:rsidRPr="00012A12">
        <w:rPr>
          <w:rFonts w:ascii="Trebuchet MS" w:hAnsi="Trebuchet MS"/>
        </w:rPr>
        <w:t xml:space="preserve">I hope this helps clarify your responsibilities in this area. </w:t>
      </w:r>
    </w:p>
    <w:p w14:paraId="6CD9D108" w14:textId="77777777" w:rsidR="00385EA4" w:rsidRPr="00012A12" w:rsidRDefault="00385EA4" w:rsidP="00012A12">
      <w:pPr>
        <w:spacing w:line="240" w:lineRule="auto"/>
        <w:rPr>
          <w:rFonts w:ascii="Trebuchet MS" w:hAnsi="Trebuchet MS"/>
        </w:rPr>
      </w:pPr>
    </w:p>
    <w:p w14:paraId="720EA3C1" w14:textId="77777777" w:rsidR="00922731" w:rsidRDefault="00922731" w:rsidP="00922731">
      <w:pPr>
        <w:spacing w:line="240" w:lineRule="auto"/>
        <w:rPr>
          <w:rFonts w:ascii="Trebuchet MS" w:hAnsi="Trebuchet MS"/>
          <w:b/>
          <w:bCs/>
        </w:rPr>
      </w:pPr>
    </w:p>
    <w:p w14:paraId="374C3603" w14:textId="77777777" w:rsidR="00012A12" w:rsidRPr="00922731" w:rsidRDefault="00012A12"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Email 4 (AC 2.2)</w:t>
      </w: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4B6BB5E8" w14:textId="5965944B" w:rsidR="00D952B4" w:rsidRPr="0096179A" w:rsidRDefault="00D952B4" w:rsidP="00D952B4">
      <w:pPr>
        <w:spacing w:line="240" w:lineRule="auto"/>
        <w:rPr>
          <w:rFonts w:ascii="Trebuchet MS" w:hAnsi="Trebuchet MS" w:cstheme="minorHAnsi"/>
          <w:szCs w:val="22"/>
        </w:rPr>
      </w:pPr>
      <w:r w:rsidRPr="00D952B4">
        <w:rPr>
          <w:rFonts w:ascii="Trebuchet MS" w:hAnsi="Trebuchet MS" w:cstheme="minorHAnsi"/>
          <w:szCs w:val="22"/>
        </w:rPr>
        <w:t xml:space="preserve">Thank you for your </w:t>
      </w:r>
      <w:r w:rsidR="0083044F">
        <w:rPr>
          <w:rFonts w:ascii="Trebuchet MS" w:hAnsi="Trebuchet MS" w:cstheme="minorHAnsi"/>
          <w:szCs w:val="22"/>
        </w:rPr>
        <w:t>email</w:t>
      </w:r>
      <w:r w:rsidRPr="00D952B4">
        <w:rPr>
          <w:rFonts w:ascii="Trebuchet MS" w:hAnsi="Trebuchet MS" w:cstheme="minorHAnsi"/>
          <w:szCs w:val="22"/>
        </w:rPr>
        <w:t xml:space="preserve"> </w:t>
      </w:r>
      <w:r w:rsidR="00F5171E">
        <w:rPr>
          <w:rFonts w:ascii="Trebuchet MS" w:hAnsi="Trebuchet MS" w:cstheme="minorHAnsi"/>
          <w:szCs w:val="22"/>
        </w:rPr>
        <w:t>about the</w:t>
      </w:r>
      <w:r w:rsidRPr="00D952B4">
        <w:rPr>
          <w:rFonts w:ascii="Trebuchet MS" w:hAnsi="Trebuchet MS" w:cstheme="minorHAnsi"/>
          <w:szCs w:val="22"/>
        </w:rPr>
        <w:t xml:space="preserve"> proposed </w:t>
      </w:r>
      <w:r w:rsidR="00F5171E">
        <w:rPr>
          <w:rFonts w:ascii="Trebuchet MS" w:hAnsi="Trebuchet MS" w:cstheme="minorHAnsi"/>
          <w:szCs w:val="22"/>
        </w:rPr>
        <w:t>re</w:t>
      </w:r>
      <w:r w:rsidRPr="00D952B4">
        <w:rPr>
          <w:rFonts w:ascii="Trebuchet MS" w:hAnsi="Trebuchet MS" w:cstheme="minorHAnsi"/>
          <w:szCs w:val="22"/>
        </w:rPr>
        <w:t>grad</w:t>
      </w:r>
      <w:r w:rsidR="00F5171E">
        <w:rPr>
          <w:rFonts w:ascii="Trebuchet MS" w:hAnsi="Trebuchet MS" w:cstheme="minorHAnsi"/>
          <w:szCs w:val="22"/>
        </w:rPr>
        <w:t>ing</w:t>
      </w:r>
      <w:r w:rsidRPr="00D952B4">
        <w:rPr>
          <w:rFonts w:ascii="Trebuchet MS" w:hAnsi="Trebuchet MS" w:cstheme="minorHAnsi"/>
          <w:szCs w:val="22"/>
        </w:rPr>
        <w:t xml:space="preserve"> </w:t>
      </w:r>
      <w:r w:rsidR="007D4B8C">
        <w:rPr>
          <w:rFonts w:ascii="Trebuchet MS" w:hAnsi="Trebuchet MS" w:cstheme="minorHAnsi"/>
          <w:szCs w:val="22"/>
        </w:rPr>
        <w:t>of</w:t>
      </w:r>
      <w:r w:rsidRPr="00D952B4">
        <w:rPr>
          <w:rFonts w:ascii="Trebuchet MS" w:hAnsi="Trebuchet MS" w:cstheme="minorHAnsi"/>
          <w:szCs w:val="22"/>
        </w:rPr>
        <w:t xml:space="preserve"> two health care assistants (HCAs) using </w:t>
      </w:r>
      <w:r w:rsidR="00714DE8">
        <w:rPr>
          <w:rFonts w:ascii="Trebuchet MS" w:hAnsi="Trebuchet MS" w:cstheme="minorHAnsi"/>
          <w:szCs w:val="22"/>
        </w:rPr>
        <w:t>leftover</w:t>
      </w:r>
      <w:r w:rsidRPr="00D952B4">
        <w:rPr>
          <w:rFonts w:ascii="Trebuchet MS" w:hAnsi="Trebuchet MS" w:cstheme="minorHAnsi"/>
          <w:szCs w:val="22"/>
        </w:rPr>
        <w:t xml:space="preserve"> funds from your research project. While I </w:t>
      </w:r>
      <w:r w:rsidR="007D4B8C">
        <w:rPr>
          <w:rFonts w:ascii="Trebuchet MS" w:hAnsi="Trebuchet MS" w:cstheme="minorHAnsi"/>
          <w:szCs w:val="22"/>
        </w:rPr>
        <w:t>appreciate</w:t>
      </w:r>
      <w:r w:rsidRPr="00D952B4">
        <w:rPr>
          <w:rFonts w:ascii="Trebuchet MS" w:hAnsi="Trebuchet MS" w:cstheme="minorHAnsi"/>
          <w:szCs w:val="22"/>
        </w:rPr>
        <w:t xml:space="preserve"> the intention</w:t>
      </w:r>
      <w:r w:rsidR="00E760AF">
        <w:rPr>
          <w:rFonts w:ascii="Trebuchet MS" w:hAnsi="Trebuchet MS" w:cstheme="minorHAnsi"/>
          <w:szCs w:val="22"/>
        </w:rPr>
        <w:t xml:space="preserve"> is</w:t>
      </w:r>
      <w:r w:rsidRPr="00D952B4">
        <w:rPr>
          <w:rFonts w:ascii="Trebuchet MS" w:hAnsi="Trebuchet MS" w:cstheme="minorHAnsi"/>
          <w:szCs w:val="22"/>
        </w:rPr>
        <w:t xml:space="preserve"> to reward good performance, we must </w:t>
      </w:r>
      <w:r w:rsidR="000A1BD8">
        <w:rPr>
          <w:rFonts w:ascii="Trebuchet MS" w:hAnsi="Trebuchet MS" w:cstheme="minorHAnsi"/>
          <w:szCs w:val="22"/>
        </w:rPr>
        <w:t>practice caut</w:t>
      </w:r>
      <w:r w:rsidR="009A3278">
        <w:rPr>
          <w:rFonts w:ascii="Trebuchet MS" w:hAnsi="Trebuchet MS" w:cstheme="minorHAnsi"/>
          <w:szCs w:val="22"/>
        </w:rPr>
        <w:t xml:space="preserve">ion and </w:t>
      </w:r>
      <w:r w:rsidRPr="00D952B4">
        <w:rPr>
          <w:rFonts w:ascii="Trebuchet MS" w:hAnsi="Trebuchet MS" w:cstheme="minorHAnsi"/>
          <w:szCs w:val="22"/>
        </w:rPr>
        <w:t xml:space="preserve">consider the legal implications under equal pay legislation, </w:t>
      </w:r>
      <w:r w:rsidR="009A3278">
        <w:rPr>
          <w:rFonts w:ascii="Trebuchet MS" w:hAnsi="Trebuchet MS" w:cstheme="minorHAnsi"/>
          <w:szCs w:val="22"/>
        </w:rPr>
        <w:t>especially</w:t>
      </w:r>
      <w:r w:rsidRPr="00D952B4">
        <w:rPr>
          <w:rFonts w:ascii="Trebuchet MS" w:hAnsi="Trebuchet MS" w:cstheme="minorHAnsi"/>
          <w:szCs w:val="22"/>
        </w:rPr>
        <w:t xml:space="preserve"> given the gender composition of our HCA workforce.</w:t>
      </w:r>
    </w:p>
    <w:p w14:paraId="199F326D" w14:textId="77777777" w:rsidR="00EF200E" w:rsidRPr="00D952B4" w:rsidRDefault="00EF200E" w:rsidP="00D952B4">
      <w:pPr>
        <w:spacing w:line="240" w:lineRule="auto"/>
        <w:rPr>
          <w:rFonts w:ascii="Trebuchet MS" w:hAnsi="Trebuchet MS" w:cstheme="minorHAnsi"/>
          <w:szCs w:val="22"/>
        </w:rPr>
      </w:pPr>
    </w:p>
    <w:p w14:paraId="7E2E5B98" w14:textId="0401884D" w:rsidR="00D952B4" w:rsidRPr="0096179A" w:rsidRDefault="00D952B4" w:rsidP="00D952B4">
      <w:pPr>
        <w:spacing w:line="240" w:lineRule="auto"/>
        <w:rPr>
          <w:rFonts w:ascii="Trebuchet MS" w:hAnsi="Trebuchet MS" w:cstheme="minorHAnsi"/>
          <w:szCs w:val="22"/>
        </w:rPr>
      </w:pPr>
      <w:r w:rsidRPr="00D952B4">
        <w:rPr>
          <w:rFonts w:ascii="Trebuchet MS" w:hAnsi="Trebuchet MS" w:cstheme="minorHAnsi"/>
          <w:szCs w:val="22"/>
        </w:rPr>
        <w:t xml:space="preserve">Under the Equality Act 2010, </w:t>
      </w:r>
      <w:r w:rsidR="0005710B">
        <w:rPr>
          <w:rFonts w:ascii="Trebuchet MS" w:hAnsi="Trebuchet MS" w:cstheme="minorHAnsi"/>
          <w:szCs w:val="22"/>
        </w:rPr>
        <w:t>b</w:t>
      </w:r>
      <w:r w:rsidR="0005710B" w:rsidRPr="0005710B">
        <w:rPr>
          <w:rFonts w:ascii="Trebuchet MS" w:hAnsi="Trebuchet MS" w:cstheme="minorHAnsi"/>
          <w:szCs w:val="22"/>
        </w:rPr>
        <w:t xml:space="preserve">oth men and women have the right to receive equal pay for work of equal worth. This covers roles that are identical or largely similar, those deemed equivalent through a job evaluation process, or positions that require comparable levels of effort, skill, and responsibility </w:t>
      </w:r>
      <w:r w:rsidRPr="00D952B4">
        <w:rPr>
          <w:rFonts w:ascii="Trebuchet MS" w:hAnsi="Trebuchet MS" w:cstheme="minorHAnsi"/>
          <w:szCs w:val="22"/>
        </w:rPr>
        <w:t>(Equality Act 2010, s.64). Where a pay disparity exists between female</w:t>
      </w:r>
      <w:r w:rsidR="00AA27D0">
        <w:rPr>
          <w:rFonts w:ascii="Trebuchet MS" w:hAnsi="Trebuchet MS" w:cstheme="minorHAnsi"/>
          <w:szCs w:val="22"/>
        </w:rPr>
        <w:t xml:space="preserve"> and male</w:t>
      </w:r>
      <w:r w:rsidRPr="00D952B4">
        <w:rPr>
          <w:rFonts w:ascii="Trebuchet MS" w:hAnsi="Trebuchet MS" w:cstheme="minorHAnsi"/>
          <w:szCs w:val="22"/>
        </w:rPr>
        <w:t xml:space="preserve"> employees doing equal work, it is presumed to be discriminatory unless the employer can show that </w:t>
      </w:r>
      <w:r w:rsidR="007D3F6A">
        <w:rPr>
          <w:rFonts w:ascii="Trebuchet MS" w:hAnsi="Trebuchet MS" w:cstheme="minorHAnsi"/>
          <w:szCs w:val="22"/>
        </w:rPr>
        <w:t>any</w:t>
      </w:r>
      <w:r w:rsidRPr="00D952B4">
        <w:rPr>
          <w:rFonts w:ascii="Trebuchet MS" w:hAnsi="Trebuchet MS" w:cstheme="minorHAnsi"/>
          <w:szCs w:val="22"/>
        </w:rPr>
        <w:t xml:space="preserve"> difference</w:t>
      </w:r>
      <w:r w:rsidR="0038428D">
        <w:rPr>
          <w:rFonts w:ascii="Trebuchet MS" w:hAnsi="Trebuchet MS" w:cstheme="minorHAnsi"/>
          <w:szCs w:val="22"/>
        </w:rPr>
        <w:t>s in pay</w:t>
      </w:r>
      <w:r w:rsidR="003D21A8">
        <w:rPr>
          <w:rFonts w:ascii="Trebuchet MS" w:hAnsi="Trebuchet MS" w:cstheme="minorHAnsi"/>
          <w:szCs w:val="22"/>
        </w:rPr>
        <w:t xml:space="preserve"> are</w:t>
      </w:r>
      <w:r w:rsidRPr="00D952B4">
        <w:rPr>
          <w:rFonts w:ascii="Trebuchet MS" w:hAnsi="Trebuchet MS" w:cstheme="minorHAnsi"/>
          <w:szCs w:val="22"/>
        </w:rPr>
        <w:t xml:space="preserve"> due to a</w:t>
      </w:r>
      <w:r w:rsidR="00372F8E">
        <w:rPr>
          <w:rFonts w:ascii="Trebuchet MS" w:hAnsi="Trebuchet MS" w:cstheme="minorHAnsi"/>
          <w:szCs w:val="22"/>
        </w:rPr>
        <w:t>nother</w:t>
      </w:r>
      <w:r w:rsidRPr="00D952B4">
        <w:rPr>
          <w:rFonts w:ascii="Trebuchet MS" w:hAnsi="Trebuchet MS" w:cstheme="minorHAnsi"/>
          <w:szCs w:val="22"/>
        </w:rPr>
        <w:t xml:space="preserve"> factor</w:t>
      </w:r>
      <w:r w:rsidR="00372F8E">
        <w:rPr>
          <w:rFonts w:ascii="Trebuchet MS" w:hAnsi="Trebuchet MS" w:cstheme="minorHAnsi"/>
          <w:szCs w:val="22"/>
        </w:rPr>
        <w:t>,</w:t>
      </w:r>
      <w:r w:rsidRPr="00D952B4">
        <w:rPr>
          <w:rFonts w:ascii="Trebuchet MS" w:hAnsi="Trebuchet MS" w:cstheme="minorHAnsi"/>
          <w:szCs w:val="22"/>
        </w:rPr>
        <w:t xml:space="preserve"> which is not related to sex.</w:t>
      </w:r>
    </w:p>
    <w:p w14:paraId="38E5858C" w14:textId="77777777" w:rsidR="00EF200E" w:rsidRPr="00D952B4" w:rsidRDefault="00EF200E" w:rsidP="00D952B4">
      <w:pPr>
        <w:spacing w:line="240" w:lineRule="auto"/>
        <w:rPr>
          <w:rFonts w:ascii="Trebuchet MS" w:hAnsi="Trebuchet MS" w:cstheme="minorHAnsi"/>
          <w:szCs w:val="22"/>
        </w:rPr>
      </w:pPr>
    </w:p>
    <w:p w14:paraId="537CE003" w14:textId="2FA20F62" w:rsidR="00D952B4" w:rsidRPr="0096179A" w:rsidRDefault="00D952B4" w:rsidP="00D952B4">
      <w:pPr>
        <w:spacing w:line="240" w:lineRule="auto"/>
        <w:rPr>
          <w:rFonts w:ascii="Trebuchet MS" w:hAnsi="Trebuchet MS" w:cstheme="minorHAnsi"/>
          <w:szCs w:val="22"/>
        </w:rPr>
      </w:pPr>
      <w:r w:rsidRPr="00D952B4">
        <w:rPr>
          <w:rFonts w:ascii="Trebuchet MS" w:hAnsi="Trebuchet MS" w:cstheme="minorHAnsi"/>
          <w:szCs w:val="22"/>
        </w:rPr>
        <w:t xml:space="preserve">In this case, </w:t>
      </w:r>
      <w:r w:rsidR="004E4F7F">
        <w:rPr>
          <w:rFonts w:ascii="Trebuchet MS" w:hAnsi="Trebuchet MS" w:cstheme="minorHAnsi"/>
          <w:szCs w:val="22"/>
        </w:rPr>
        <w:t>promoting</w:t>
      </w:r>
      <w:r w:rsidRPr="00D952B4">
        <w:rPr>
          <w:rFonts w:ascii="Trebuchet MS" w:hAnsi="Trebuchet MS" w:cstheme="minorHAnsi"/>
          <w:szCs w:val="22"/>
        </w:rPr>
        <w:t xml:space="preserve"> two male HCAs to a higher </w:t>
      </w:r>
      <w:r w:rsidR="004E4F7F">
        <w:rPr>
          <w:rFonts w:ascii="Trebuchet MS" w:hAnsi="Trebuchet MS" w:cstheme="minorHAnsi"/>
          <w:szCs w:val="22"/>
        </w:rPr>
        <w:t xml:space="preserve">B </w:t>
      </w:r>
      <w:r w:rsidRPr="00D952B4">
        <w:rPr>
          <w:rFonts w:ascii="Trebuchet MS" w:hAnsi="Trebuchet MS" w:cstheme="minorHAnsi"/>
          <w:szCs w:val="22"/>
        </w:rPr>
        <w:t xml:space="preserve">grade, where 80% of HCAs in the Trust are </w:t>
      </w:r>
      <w:r w:rsidR="004E4F7F">
        <w:rPr>
          <w:rFonts w:ascii="Trebuchet MS" w:hAnsi="Trebuchet MS" w:cstheme="minorHAnsi"/>
          <w:szCs w:val="22"/>
        </w:rPr>
        <w:t>females</w:t>
      </w:r>
      <w:r w:rsidRPr="00D952B4">
        <w:rPr>
          <w:rFonts w:ascii="Trebuchet MS" w:hAnsi="Trebuchet MS" w:cstheme="minorHAnsi"/>
          <w:szCs w:val="22"/>
        </w:rPr>
        <w:t xml:space="preserve"> and remain on Grade A, could create a prima facie equal pay risk. Unless there is a clearly documented, non-discriminatory justification — such as a substantial and measurable difference in duties, responsibilities, or qualifications — this action may lead to grievances or potential claims from female HCAs who are not similarly upgraded.</w:t>
      </w:r>
    </w:p>
    <w:p w14:paraId="564D35D4" w14:textId="77777777" w:rsidR="00EF200E" w:rsidRPr="00D952B4" w:rsidRDefault="00EF200E" w:rsidP="00D952B4">
      <w:pPr>
        <w:spacing w:line="240" w:lineRule="auto"/>
        <w:rPr>
          <w:rFonts w:ascii="Trebuchet MS" w:hAnsi="Trebuchet MS" w:cstheme="minorHAnsi"/>
          <w:szCs w:val="22"/>
        </w:rPr>
      </w:pPr>
    </w:p>
    <w:p w14:paraId="78AAAE6D" w14:textId="77777777" w:rsidR="00D952B4" w:rsidRPr="0096179A" w:rsidRDefault="00D952B4" w:rsidP="00D952B4">
      <w:pPr>
        <w:spacing w:line="240" w:lineRule="auto"/>
        <w:rPr>
          <w:rFonts w:ascii="Trebuchet MS" w:hAnsi="Trebuchet MS" w:cstheme="minorHAnsi"/>
          <w:szCs w:val="22"/>
        </w:rPr>
      </w:pPr>
      <w:r w:rsidRPr="00D952B4">
        <w:rPr>
          <w:rFonts w:ascii="Trebuchet MS" w:hAnsi="Trebuchet MS" w:cstheme="minorHAnsi"/>
          <w:szCs w:val="22"/>
        </w:rPr>
        <w:t xml:space="preserve">A relevant example is the case of </w:t>
      </w:r>
      <w:r w:rsidRPr="00D952B4">
        <w:rPr>
          <w:rFonts w:ascii="Trebuchet MS" w:hAnsi="Trebuchet MS" w:cstheme="minorHAnsi"/>
          <w:i/>
          <w:iCs/>
          <w:szCs w:val="22"/>
        </w:rPr>
        <w:t xml:space="preserve">Hayward v </w:t>
      </w:r>
      <w:proofErr w:type="spellStart"/>
      <w:r w:rsidRPr="00D952B4">
        <w:rPr>
          <w:rFonts w:ascii="Trebuchet MS" w:hAnsi="Trebuchet MS" w:cstheme="minorHAnsi"/>
          <w:i/>
          <w:iCs/>
          <w:szCs w:val="22"/>
        </w:rPr>
        <w:t>Cammell</w:t>
      </w:r>
      <w:proofErr w:type="spellEnd"/>
      <w:r w:rsidRPr="00D952B4">
        <w:rPr>
          <w:rFonts w:ascii="Trebuchet MS" w:hAnsi="Trebuchet MS" w:cstheme="minorHAnsi"/>
          <w:i/>
          <w:iCs/>
          <w:szCs w:val="22"/>
        </w:rPr>
        <w:t xml:space="preserve"> Laird Shipbuilders Ltd</w:t>
      </w:r>
      <w:r w:rsidRPr="00D952B4">
        <w:rPr>
          <w:rFonts w:ascii="Trebuchet MS" w:hAnsi="Trebuchet MS" w:cstheme="minorHAnsi"/>
          <w:szCs w:val="22"/>
        </w:rPr>
        <w:t xml:space="preserve"> [1988] ICR 464, where female employees successfully claimed equal pay after being paid less for work of equal value. The employer failed to justify the pay difference with a material factor unrelated to gender.</w:t>
      </w:r>
    </w:p>
    <w:p w14:paraId="68237FE4" w14:textId="77777777" w:rsidR="00EF200E" w:rsidRPr="00D952B4" w:rsidRDefault="00EF200E" w:rsidP="00D952B4">
      <w:pPr>
        <w:spacing w:line="240" w:lineRule="auto"/>
        <w:rPr>
          <w:rFonts w:ascii="Trebuchet MS" w:hAnsi="Trebuchet MS" w:cstheme="minorHAnsi"/>
          <w:szCs w:val="22"/>
        </w:rPr>
      </w:pPr>
    </w:p>
    <w:p w14:paraId="46F2758C" w14:textId="77777777" w:rsidR="00D952B4" w:rsidRPr="0096179A" w:rsidRDefault="00D952B4" w:rsidP="00D952B4">
      <w:pPr>
        <w:spacing w:line="240" w:lineRule="auto"/>
        <w:rPr>
          <w:rFonts w:ascii="Trebuchet MS" w:hAnsi="Trebuchet MS" w:cstheme="minorHAnsi"/>
          <w:szCs w:val="22"/>
        </w:rPr>
      </w:pPr>
      <w:r w:rsidRPr="00D952B4">
        <w:rPr>
          <w:rFonts w:ascii="Trebuchet MS" w:hAnsi="Trebuchet MS" w:cstheme="minorHAnsi"/>
          <w:szCs w:val="22"/>
        </w:rPr>
        <w:t>Before any upgrade is approved, I recommend:</w:t>
      </w:r>
    </w:p>
    <w:p w14:paraId="33A1ECAF" w14:textId="77777777" w:rsidR="00EF200E" w:rsidRPr="00D952B4" w:rsidRDefault="00EF200E" w:rsidP="00D952B4">
      <w:pPr>
        <w:spacing w:line="240" w:lineRule="auto"/>
        <w:rPr>
          <w:rFonts w:ascii="Trebuchet MS" w:hAnsi="Trebuchet MS" w:cstheme="minorHAnsi"/>
          <w:szCs w:val="22"/>
        </w:rPr>
      </w:pPr>
    </w:p>
    <w:p w14:paraId="5E944FB4" w14:textId="77777777" w:rsidR="00D952B4" w:rsidRPr="00D952B4" w:rsidRDefault="00D952B4" w:rsidP="00D952B4">
      <w:pPr>
        <w:numPr>
          <w:ilvl w:val="0"/>
          <w:numId w:val="15"/>
        </w:numPr>
        <w:spacing w:line="240" w:lineRule="auto"/>
        <w:rPr>
          <w:rFonts w:ascii="Trebuchet MS" w:hAnsi="Trebuchet MS" w:cstheme="minorHAnsi"/>
          <w:szCs w:val="22"/>
        </w:rPr>
      </w:pPr>
      <w:r w:rsidRPr="00D952B4">
        <w:rPr>
          <w:rFonts w:ascii="Trebuchet MS" w:hAnsi="Trebuchet MS" w:cstheme="minorHAnsi"/>
          <w:szCs w:val="22"/>
        </w:rPr>
        <w:t>Reviewing whether the upgraded roles meet the criteria for a different grade based on job content.</w:t>
      </w:r>
    </w:p>
    <w:p w14:paraId="7AC2900B" w14:textId="77777777" w:rsidR="00D952B4" w:rsidRPr="00D952B4" w:rsidRDefault="00D952B4" w:rsidP="00D952B4">
      <w:pPr>
        <w:numPr>
          <w:ilvl w:val="0"/>
          <w:numId w:val="15"/>
        </w:numPr>
        <w:spacing w:line="240" w:lineRule="auto"/>
        <w:rPr>
          <w:rFonts w:ascii="Trebuchet MS" w:hAnsi="Trebuchet MS" w:cstheme="minorHAnsi"/>
          <w:szCs w:val="22"/>
        </w:rPr>
      </w:pPr>
      <w:r w:rsidRPr="00D952B4">
        <w:rPr>
          <w:rFonts w:ascii="Trebuchet MS" w:hAnsi="Trebuchet MS" w:cstheme="minorHAnsi"/>
          <w:szCs w:val="22"/>
        </w:rPr>
        <w:t>Ensuring a transparent, evidence-based rationale that can be applied consistently across the team.</w:t>
      </w:r>
    </w:p>
    <w:p w14:paraId="151CE62B" w14:textId="77777777" w:rsidR="00D952B4" w:rsidRPr="0096179A" w:rsidRDefault="00D952B4" w:rsidP="00D952B4">
      <w:pPr>
        <w:numPr>
          <w:ilvl w:val="0"/>
          <w:numId w:val="15"/>
        </w:numPr>
        <w:spacing w:line="240" w:lineRule="auto"/>
        <w:rPr>
          <w:rFonts w:ascii="Trebuchet MS" w:hAnsi="Trebuchet MS" w:cstheme="minorHAnsi"/>
          <w:szCs w:val="22"/>
        </w:rPr>
      </w:pPr>
      <w:r w:rsidRPr="00D952B4">
        <w:rPr>
          <w:rFonts w:ascii="Trebuchet MS" w:hAnsi="Trebuchet MS" w:cstheme="minorHAnsi"/>
          <w:szCs w:val="22"/>
        </w:rPr>
        <w:t>Considering whether the same opportunity for upgrade has been made available to other HCAs, particularly female staff.</w:t>
      </w:r>
    </w:p>
    <w:p w14:paraId="6EA7255E" w14:textId="77777777" w:rsidR="00EF200E" w:rsidRPr="00D952B4" w:rsidRDefault="00EF200E" w:rsidP="00EF200E">
      <w:pPr>
        <w:spacing w:line="240" w:lineRule="auto"/>
        <w:rPr>
          <w:rFonts w:ascii="Trebuchet MS" w:hAnsi="Trebuchet MS" w:cstheme="minorHAnsi"/>
          <w:szCs w:val="22"/>
        </w:rPr>
      </w:pPr>
    </w:p>
    <w:p w14:paraId="10B6AFF4" w14:textId="77777777" w:rsidR="00D952B4" w:rsidRPr="00D952B4" w:rsidRDefault="00D952B4" w:rsidP="00D952B4">
      <w:pPr>
        <w:spacing w:line="240" w:lineRule="auto"/>
        <w:rPr>
          <w:rFonts w:ascii="Trebuchet MS" w:hAnsi="Trebuchet MS" w:cstheme="minorHAnsi"/>
          <w:szCs w:val="22"/>
        </w:rPr>
      </w:pPr>
      <w:r w:rsidRPr="00D952B4">
        <w:rPr>
          <w:rFonts w:ascii="Trebuchet MS" w:hAnsi="Trebuchet MS" w:cstheme="minorHAnsi"/>
          <w:szCs w:val="22"/>
        </w:rPr>
        <w:t>If you wish to pursue this, I’d be happy to support a job evaluation review or explore alternative reward options that comply with equal pay obligations.</w:t>
      </w:r>
    </w:p>
    <w:p w14:paraId="41152171" w14:textId="77777777" w:rsidR="00D952B4" w:rsidRDefault="00D952B4"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5 (AC 3.1)    </w:t>
      </w:r>
    </w:p>
    <w:p w14:paraId="4A52D7D3" w14:textId="77777777" w:rsidR="00922731" w:rsidRPr="00922731" w:rsidRDefault="00922731" w:rsidP="00922731">
      <w:pPr>
        <w:spacing w:line="240" w:lineRule="auto"/>
        <w:rPr>
          <w:rFonts w:ascii="Trebuchet MS" w:hAnsi="Trebuchet MS"/>
          <w:b/>
          <w:bCs/>
        </w:rPr>
      </w:pPr>
    </w:p>
    <w:p w14:paraId="12CB6FD3" w14:textId="5E3A7FFD" w:rsidR="004D38E5" w:rsidRDefault="007E671D" w:rsidP="004D38E5">
      <w:pPr>
        <w:spacing w:line="240" w:lineRule="auto"/>
        <w:rPr>
          <w:rFonts w:ascii="Trebuchet MS" w:hAnsi="Trebuchet MS"/>
        </w:rPr>
      </w:pPr>
      <w:r w:rsidRPr="007E671D">
        <w:rPr>
          <w:rFonts w:ascii="Trebuchet MS" w:hAnsi="Trebuchet MS"/>
        </w:rPr>
        <w:t xml:space="preserve">Thank you for bringing your concern to our attention regarding the radiographer who recently resigned. </w:t>
      </w:r>
      <w:r w:rsidR="004D38E5" w:rsidRPr="004D38E5">
        <w:rPr>
          <w:rFonts w:ascii="Trebuchet MS" w:hAnsi="Trebuchet MS"/>
        </w:rPr>
        <w:t>I understand your worry that the individual may conside</w:t>
      </w:r>
      <w:r w:rsidR="004E338D">
        <w:rPr>
          <w:rFonts w:ascii="Trebuchet MS" w:hAnsi="Trebuchet MS"/>
        </w:rPr>
        <w:t>r bringing</w:t>
      </w:r>
      <w:r w:rsidR="004D38E5" w:rsidRPr="004D38E5">
        <w:rPr>
          <w:rFonts w:ascii="Trebuchet MS" w:hAnsi="Trebuchet MS"/>
        </w:rPr>
        <w:t xml:space="preserve"> a constructive dismissal claim, particularly in relation to </w:t>
      </w:r>
      <w:r w:rsidR="005550F2">
        <w:rPr>
          <w:rFonts w:ascii="Trebuchet MS" w:hAnsi="Trebuchet MS"/>
        </w:rPr>
        <w:t>the</w:t>
      </w:r>
      <w:r w:rsidR="004D38E5" w:rsidRPr="004D38E5">
        <w:rPr>
          <w:rFonts w:ascii="Trebuchet MS" w:hAnsi="Trebuchet MS"/>
        </w:rPr>
        <w:t xml:space="preserve"> change in </w:t>
      </w:r>
      <w:r w:rsidR="005550F2">
        <w:rPr>
          <w:rFonts w:ascii="Trebuchet MS" w:hAnsi="Trebuchet MS"/>
        </w:rPr>
        <w:t xml:space="preserve">his </w:t>
      </w:r>
      <w:r w:rsidR="004D38E5" w:rsidRPr="004D38E5">
        <w:rPr>
          <w:rFonts w:ascii="Trebuchet MS" w:hAnsi="Trebuchet MS"/>
        </w:rPr>
        <w:t xml:space="preserve">working hours. </w:t>
      </w:r>
      <w:r w:rsidR="00853230">
        <w:rPr>
          <w:rFonts w:ascii="Trebuchet MS" w:hAnsi="Trebuchet MS"/>
        </w:rPr>
        <w:t>Please find</w:t>
      </w:r>
      <w:r w:rsidR="004D38E5" w:rsidRPr="004D38E5">
        <w:rPr>
          <w:rFonts w:ascii="Trebuchet MS" w:hAnsi="Trebuchet MS"/>
        </w:rPr>
        <w:t xml:space="preserve"> some guidance on the circumstances under which such a claim might succeed</w:t>
      </w:r>
      <w:r w:rsidR="00D02C5E">
        <w:rPr>
          <w:rFonts w:ascii="Trebuchet MS" w:hAnsi="Trebuchet MS"/>
        </w:rPr>
        <w:t xml:space="preserve"> below</w:t>
      </w:r>
      <w:r w:rsidR="004D38E5" w:rsidRPr="004D38E5">
        <w:rPr>
          <w:rFonts w:ascii="Trebuchet MS" w:hAnsi="Trebuchet MS"/>
        </w:rPr>
        <w:t>, a</w:t>
      </w:r>
      <w:r w:rsidR="00D02C5E">
        <w:rPr>
          <w:rFonts w:ascii="Trebuchet MS" w:hAnsi="Trebuchet MS"/>
        </w:rPr>
        <w:t xml:space="preserve">s well as some information regarding </w:t>
      </w:r>
      <w:r w:rsidR="004D38E5" w:rsidRPr="004D38E5">
        <w:rPr>
          <w:rFonts w:ascii="Trebuchet MS" w:hAnsi="Trebuchet MS"/>
        </w:rPr>
        <w:t xml:space="preserve">the time </w:t>
      </w:r>
      <w:r w:rsidR="00EB05CD">
        <w:rPr>
          <w:rFonts w:ascii="Trebuchet MS" w:hAnsi="Trebuchet MS"/>
        </w:rPr>
        <w:t>restraints</w:t>
      </w:r>
      <w:r w:rsidR="004D38E5" w:rsidRPr="004D38E5">
        <w:rPr>
          <w:rFonts w:ascii="Trebuchet MS" w:hAnsi="Trebuchet MS"/>
        </w:rPr>
        <w:t xml:space="preserve"> involved.</w:t>
      </w:r>
    </w:p>
    <w:p w14:paraId="561A686C" w14:textId="77777777" w:rsidR="004D38E5" w:rsidRPr="004D38E5" w:rsidRDefault="004D38E5" w:rsidP="004D38E5">
      <w:pPr>
        <w:spacing w:line="240" w:lineRule="auto"/>
        <w:rPr>
          <w:rFonts w:ascii="Trebuchet MS" w:hAnsi="Trebuchet MS"/>
        </w:rPr>
      </w:pPr>
    </w:p>
    <w:p w14:paraId="218DBDB5" w14:textId="29651855" w:rsidR="004D38E5" w:rsidRDefault="002E09E9" w:rsidP="004D38E5">
      <w:pPr>
        <w:spacing w:line="240" w:lineRule="auto"/>
        <w:rPr>
          <w:rFonts w:ascii="Trebuchet MS" w:hAnsi="Trebuchet MS"/>
        </w:rPr>
      </w:pPr>
      <w:r w:rsidRPr="002E09E9">
        <w:rPr>
          <w:rFonts w:ascii="Trebuchet MS" w:hAnsi="Trebuchet MS"/>
        </w:rPr>
        <w:t xml:space="preserve">Constructive dismissal takes place when an employee </w:t>
      </w:r>
      <w:r>
        <w:rPr>
          <w:rFonts w:ascii="Trebuchet MS" w:hAnsi="Trebuchet MS"/>
        </w:rPr>
        <w:t>exits the business</w:t>
      </w:r>
      <w:r w:rsidRPr="002E09E9">
        <w:rPr>
          <w:rFonts w:ascii="Trebuchet MS" w:hAnsi="Trebuchet MS"/>
        </w:rPr>
        <w:t xml:space="preserve"> because their employer has committed a serious breach of contract. </w:t>
      </w:r>
      <w:r w:rsidR="004D38E5" w:rsidRPr="004D38E5">
        <w:rPr>
          <w:rFonts w:ascii="Trebuchet MS" w:hAnsi="Trebuchet MS"/>
        </w:rPr>
        <w:t>Under Section 95(1)(c) of the Employment Rights Act 1996, the employee must demonstrate that the employer’s conduct amounted to a serious breach of an express or implied term, effectively forcing them to resign.</w:t>
      </w:r>
    </w:p>
    <w:p w14:paraId="74AA2D00" w14:textId="77777777" w:rsidR="00415462" w:rsidRPr="004D38E5" w:rsidRDefault="00415462" w:rsidP="004D38E5">
      <w:pPr>
        <w:spacing w:line="240" w:lineRule="auto"/>
        <w:rPr>
          <w:rFonts w:ascii="Trebuchet MS" w:hAnsi="Trebuchet MS"/>
        </w:rPr>
      </w:pPr>
    </w:p>
    <w:p w14:paraId="55B38A3E" w14:textId="77777777" w:rsidR="004D38E5" w:rsidRDefault="004D38E5" w:rsidP="004D38E5">
      <w:pPr>
        <w:spacing w:line="240" w:lineRule="auto"/>
        <w:rPr>
          <w:rFonts w:ascii="Trebuchet MS" w:hAnsi="Trebuchet MS"/>
        </w:rPr>
      </w:pPr>
      <w:r w:rsidRPr="004D38E5">
        <w:rPr>
          <w:rFonts w:ascii="Trebuchet MS" w:hAnsi="Trebuchet MS"/>
        </w:rPr>
        <w:t>Examples of such breaches include:</w:t>
      </w:r>
    </w:p>
    <w:p w14:paraId="2AAA0866" w14:textId="77777777" w:rsidR="00415462" w:rsidRPr="004D38E5" w:rsidRDefault="00415462" w:rsidP="004D38E5">
      <w:pPr>
        <w:spacing w:line="240" w:lineRule="auto"/>
        <w:rPr>
          <w:rFonts w:ascii="Trebuchet MS" w:hAnsi="Trebuchet MS"/>
        </w:rPr>
      </w:pPr>
    </w:p>
    <w:p w14:paraId="63CB3CEB" w14:textId="77777777" w:rsidR="004D38E5" w:rsidRPr="004D38E5" w:rsidRDefault="004D38E5" w:rsidP="004D38E5">
      <w:pPr>
        <w:numPr>
          <w:ilvl w:val="0"/>
          <w:numId w:val="16"/>
        </w:numPr>
        <w:spacing w:line="240" w:lineRule="auto"/>
        <w:rPr>
          <w:rFonts w:ascii="Trebuchet MS" w:hAnsi="Trebuchet MS"/>
        </w:rPr>
      </w:pPr>
      <w:r w:rsidRPr="004D38E5">
        <w:rPr>
          <w:rFonts w:ascii="Trebuchet MS" w:hAnsi="Trebuchet MS"/>
        </w:rPr>
        <w:t>Unilaterally reducing pay or hours without agreement.</w:t>
      </w:r>
    </w:p>
    <w:p w14:paraId="06ECFFC2" w14:textId="77777777" w:rsidR="004D38E5" w:rsidRPr="004D38E5" w:rsidRDefault="004D38E5" w:rsidP="004D38E5">
      <w:pPr>
        <w:numPr>
          <w:ilvl w:val="0"/>
          <w:numId w:val="16"/>
        </w:numPr>
        <w:spacing w:line="240" w:lineRule="auto"/>
        <w:rPr>
          <w:rFonts w:ascii="Trebuchet MS" w:hAnsi="Trebuchet MS"/>
        </w:rPr>
      </w:pPr>
      <w:r w:rsidRPr="004D38E5">
        <w:rPr>
          <w:rFonts w:ascii="Trebuchet MS" w:hAnsi="Trebuchet MS"/>
        </w:rPr>
        <w:t>Demoting an employee without justification.</w:t>
      </w:r>
    </w:p>
    <w:p w14:paraId="4D1C56AB" w14:textId="77777777" w:rsidR="004D38E5" w:rsidRPr="004D38E5" w:rsidRDefault="004D38E5" w:rsidP="004D38E5">
      <w:pPr>
        <w:numPr>
          <w:ilvl w:val="0"/>
          <w:numId w:val="16"/>
        </w:numPr>
        <w:spacing w:line="240" w:lineRule="auto"/>
        <w:rPr>
          <w:rFonts w:ascii="Trebuchet MS" w:hAnsi="Trebuchet MS"/>
        </w:rPr>
      </w:pPr>
      <w:r w:rsidRPr="004D38E5">
        <w:rPr>
          <w:rFonts w:ascii="Trebuchet MS" w:hAnsi="Trebuchet MS"/>
        </w:rPr>
        <w:t>Changing working patterns (e.g., moving from day to night shifts) without consultation.</w:t>
      </w:r>
    </w:p>
    <w:p w14:paraId="5335C9DE" w14:textId="77777777" w:rsidR="004D38E5" w:rsidRPr="004D38E5" w:rsidRDefault="004D38E5" w:rsidP="004D38E5">
      <w:pPr>
        <w:numPr>
          <w:ilvl w:val="0"/>
          <w:numId w:val="16"/>
        </w:numPr>
        <w:spacing w:line="240" w:lineRule="auto"/>
        <w:rPr>
          <w:rFonts w:ascii="Trebuchet MS" w:hAnsi="Trebuchet MS"/>
        </w:rPr>
      </w:pPr>
      <w:r w:rsidRPr="004D38E5">
        <w:rPr>
          <w:rFonts w:ascii="Trebuchet MS" w:hAnsi="Trebuchet MS"/>
        </w:rPr>
        <w:t>Failing to address grievances or creating a hostile work environment.</w:t>
      </w:r>
    </w:p>
    <w:p w14:paraId="518E2B21" w14:textId="16252538" w:rsidR="004D38E5" w:rsidRDefault="004D38E5" w:rsidP="004D38E5">
      <w:pPr>
        <w:spacing w:line="240" w:lineRule="auto"/>
        <w:rPr>
          <w:rFonts w:ascii="Trebuchet MS" w:hAnsi="Trebuchet MS"/>
        </w:rPr>
      </w:pPr>
      <w:r w:rsidRPr="004D38E5">
        <w:rPr>
          <w:rFonts w:ascii="Trebuchet MS" w:hAnsi="Trebuchet MS"/>
        </w:rPr>
        <w:lastRenderedPageBreak/>
        <w:t xml:space="preserve">In this </w:t>
      </w:r>
      <w:proofErr w:type="gramStart"/>
      <w:r w:rsidR="00A2678C">
        <w:rPr>
          <w:rFonts w:ascii="Trebuchet MS" w:hAnsi="Trebuchet MS"/>
        </w:rPr>
        <w:t>particular scenario</w:t>
      </w:r>
      <w:proofErr w:type="gramEnd"/>
      <w:r w:rsidRPr="004D38E5">
        <w:rPr>
          <w:rFonts w:ascii="Trebuchet MS" w:hAnsi="Trebuchet MS"/>
        </w:rPr>
        <w:t xml:space="preserve">, if the change to the </w:t>
      </w:r>
      <w:r w:rsidR="001E4651">
        <w:rPr>
          <w:rFonts w:ascii="Trebuchet MS" w:hAnsi="Trebuchet MS"/>
        </w:rPr>
        <w:t>employee</w:t>
      </w:r>
      <w:r w:rsidRPr="004D38E5">
        <w:rPr>
          <w:rFonts w:ascii="Trebuchet MS" w:hAnsi="Trebuchet MS"/>
        </w:rPr>
        <w:t xml:space="preserve">’s working hours was </w:t>
      </w:r>
      <w:r w:rsidR="001E4651">
        <w:rPr>
          <w:rFonts w:ascii="Trebuchet MS" w:hAnsi="Trebuchet MS"/>
        </w:rPr>
        <w:t>made</w:t>
      </w:r>
      <w:r w:rsidRPr="004D38E5">
        <w:rPr>
          <w:rFonts w:ascii="Trebuchet MS" w:hAnsi="Trebuchet MS"/>
        </w:rPr>
        <w:t xml:space="preserve"> without </w:t>
      </w:r>
      <w:r w:rsidR="0008230C">
        <w:rPr>
          <w:rFonts w:ascii="Trebuchet MS" w:hAnsi="Trebuchet MS"/>
        </w:rPr>
        <w:t xml:space="preserve">any </w:t>
      </w:r>
      <w:r w:rsidRPr="004D38E5">
        <w:rPr>
          <w:rFonts w:ascii="Trebuchet MS" w:hAnsi="Trebuchet MS"/>
        </w:rPr>
        <w:t xml:space="preserve">contractual </w:t>
      </w:r>
      <w:r w:rsidR="009F6070" w:rsidRPr="004D38E5">
        <w:rPr>
          <w:rFonts w:ascii="Trebuchet MS" w:hAnsi="Trebuchet MS"/>
        </w:rPr>
        <w:t>right</w:t>
      </w:r>
      <w:r w:rsidR="005A48F2">
        <w:rPr>
          <w:rFonts w:ascii="Trebuchet MS" w:hAnsi="Trebuchet MS"/>
        </w:rPr>
        <w:t xml:space="preserve"> or consultation</w:t>
      </w:r>
      <w:r w:rsidR="009F6070" w:rsidRPr="004D38E5">
        <w:rPr>
          <w:rFonts w:ascii="Trebuchet MS" w:hAnsi="Trebuchet MS"/>
        </w:rPr>
        <w:t xml:space="preserve"> and</w:t>
      </w:r>
      <w:r w:rsidRPr="004D38E5">
        <w:rPr>
          <w:rFonts w:ascii="Trebuchet MS" w:hAnsi="Trebuchet MS"/>
        </w:rPr>
        <w:t xml:space="preserve"> </w:t>
      </w:r>
      <w:r w:rsidR="0008230C">
        <w:rPr>
          <w:rFonts w:ascii="Trebuchet MS" w:hAnsi="Trebuchet MS"/>
        </w:rPr>
        <w:t>had a</w:t>
      </w:r>
      <w:r w:rsidRPr="004D38E5">
        <w:rPr>
          <w:rFonts w:ascii="Trebuchet MS" w:hAnsi="Trebuchet MS"/>
        </w:rPr>
        <w:t xml:space="preserve"> significant impact</w:t>
      </w:r>
      <w:r w:rsidR="0008230C">
        <w:rPr>
          <w:rFonts w:ascii="Trebuchet MS" w:hAnsi="Trebuchet MS"/>
        </w:rPr>
        <w:t xml:space="preserve"> o</w:t>
      </w:r>
      <w:r w:rsidR="007B6E31">
        <w:rPr>
          <w:rFonts w:ascii="Trebuchet MS" w:hAnsi="Trebuchet MS"/>
        </w:rPr>
        <w:t>n</w:t>
      </w:r>
      <w:r w:rsidRPr="004D38E5">
        <w:rPr>
          <w:rFonts w:ascii="Trebuchet MS" w:hAnsi="Trebuchet MS"/>
        </w:rPr>
        <w:t xml:space="preserve"> his personal life or working conditions, </w:t>
      </w:r>
      <w:r w:rsidR="009F6070" w:rsidRPr="004D38E5">
        <w:rPr>
          <w:rFonts w:ascii="Trebuchet MS" w:hAnsi="Trebuchet MS"/>
        </w:rPr>
        <w:t>a constructive dismissal claim</w:t>
      </w:r>
      <w:r w:rsidRPr="004D38E5">
        <w:rPr>
          <w:rFonts w:ascii="Trebuchet MS" w:hAnsi="Trebuchet MS"/>
        </w:rPr>
        <w:t xml:space="preserve"> could indeed </w:t>
      </w:r>
      <w:r w:rsidR="009F6070">
        <w:rPr>
          <w:rFonts w:ascii="Trebuchet MS" w:hAnsi="Trebuchet MS"/>
        </w:rPr>
        <w:t xml:space="preserve">be </w:t>
      </w:r>
      <w:r w:rsidRPr="004D38E5">
        <w:rPr>
          <w:rFonts w:ascii="Trebuchet MS" w:hAnsi="Trebuchet MS"/>
        </w:rPr>
        <w:t>form</w:t>
      </w:r>
      <w:r w:rsidR="009F6070">
        <w:rPr>
          <w:rFonts w:ascii="Trebuchet MS" w:hAnsi="Trebuchet MS"/>
        </w:rPr>
        <w:t>ed on this</w:t>
      </w:r>
      <w:r w:rsidRPr="004D38E5">
        <w:rPr>
          <w:rFonts w:ascii="Trebuchet MS" w:hAnsi="Trebuchet MS"/>
        </w:rPr>
        <w:t xml:space="preserve"> basis.</w:t>
      </w:r>
    </w:p>
    <w:p w14:paraId="6B756EF1" w14:textId="77777777" w:rsidR="005B1480" w:rsidRPr="004D38E5" w:rsidRDefault="005B1480" w:rsidP="004D38E5">
      <w:pPr>
        <w:spacing w:line="240" w:lineRule="auto"/>
        <w:rPr>
          <w:rFonts w:ascii="Trebuchet MS" w:hAnsi="Trebuchet MS"/>
        </w:rPr>
      </w:pPr>
    </w:p>
    <w:p w14:paraId="561976E4" w14:textId="575856DC" w:rsidR="004D38E5" w:rsidRDefault="004D38E5" w:rsidP="004D38E5">
      <w:pPr>
        <w:spacing w:line="240" w:lineRule="auto"/>
        <w:rPr>
          <w:rFonts w:ascii="Trebuchet MS" w:hAnsi="Trebuchet MS"/>
        </w:rPr>
      </w:pPr>
      <w:r w:rsidRPr="004D38E5">
        <w:rPr>
          <w:rFonts w:ascii="Trebuchet MS" w:hAnsi="Trebuchet MS"/>
        </w:rPr>
        <w:t xml:space="preserve">The employee must also resign </w:t>
      </w:r>
      <w:r w:rsidR="00DF1005">
        <w:rPr>
          <w:rFonts w:ascii="Trebuchet MS" w:hAnsi="Trebuchet MS"/>
        </w:rPr>
        <w:t>swiftly</w:t>
      </w:r>
      <w:r w:rsidRPr="004D38E5">
        <w:rPr>
          <w:rFonts w:ascii="Trebuchet MS" w:hAnsi="Trebuchet MS"/>
        </w:rPr>
        <w:t xml:space="preserve"> in response to the </w:t>
      </w:r>
      <w:r w:rsidR="00111CFD">
        <w:rPr>
          <w:rFonts w:ascii="Trebuchet MS" w:hAnsi="Trebuchet MS"/>
        </w:rPr>
        <w:t>changes</w:t>
      </w:r>
      <w:r w:rsidRPr="004D38E5">
        <w:rPr>
          <w:rFonts w:ascii="Trebuchet MS" w:hAnsi="Trebuchet MS"/>
        </w:rPr>
        <w:t>, o</w:t>
      </w:r>
      <w:r w:rsidR="00761459">
        <w:rPr>
          <w:rFonts w:ascii="Trebuchet MS" w:hAnsi="Trebuchet MS"/>
        </w:rPr>
        <w:t>r</w:t>
      </w:r>
      <w:r w:rsidRPr="004D38E5">
        <w:rPr>
          <w:rFonts w:ascii="Trebuchet MS" w:hAnsi="Trebuchet MS"/>
        </w:rPr>
        <w:t xml:space="preserve"> they </w:t>
      </w:r>
      <w:r w:rsidR="004A6647">
        <w:rPr>
          <w:rFonts w:ascii="Trebuchet MS" w:hAnsi="Trebuchet MS"/>
        </w:rPr>
        <w:t>could</w:t>
      </w:r>
      <w:r w:rsidRPr="004D38E5">
        <w:rPr>
          <w:rFonts w:ascii="Trebuchet MS" w:hAnsi="Trebuchet MS"/>
        </w:rPr>
        <w:t xml:space="preserve"> be seen to have accepted the </w:t>
      </w:r>
      <w:r w:rsidR="00963031">
        <w:rPr>
          <w:rFonts w:ascii="Trebuchet MS" w:hAnsi="Trebuchet MS"/>
        </w:rPr>
        <w:t>new conditions</w:t>
      </w:r>
      <w:r w:rsidRPr="004D38E5">
        <w:rPr>
          <w:rFonts w:ascii="Trebuchet MS" w:hAnsi="Trebuchet MS"/>
        </w:rPr>
        <w:t>, weakening their case (CIPD, 2023).</w:t>
      </w:r>
    </w:p>
    <w:p w14:paraId="66576BDC" w14:textId="77777777" w:rsidR="005B1480" w:rsidRPr="004D38E5" w:rsidRDefault="005B1480" w:rsidP="004D38E5">
      <w:pPr>
        <w:spacing w:line="240" w:lineRule="auto"/>
        <w:rPr>
          <w:rFonts w:ascii="Trebuchet MS" w:hAnsi="Trebuchet MS"/>
        </w:rPr>
      </w:pPr>
    </w:p>
    <w:p w14:paraId="29F2E3DE" w14:textId="552CFF38" w:rsidR="004D38E5" w:rsidRDefault="004D38E5" w:rsidP="004D38E5">
      <w:pPr>
        <w:spacing w:line="240" w:lineRule="auto"/>
        <w:rPr>
          <w:rFonts w:ascii="Trebuchet MS" w:hAnsi="Trebuchet MS"/>
        </w:rPr>
      </w:pPr>
      <w:r w:rsidRPr="004D38E5">
        <w:rPr>
          <w:rFonts w:ascii="Trebuchet MS" w:hAnsi="Trebuchet MS"/>
        </w:rPr>
        <w:t xml:space="preserve">A relevant legal precedent is </w:t>
      </w:r>
      <w:r w:rsidRPr="004D38E5">
        <w:rPr>
          <w:rFonts w:ascii="Trebuchet MS" w:hAnsi="Trebuchet MS"/>
          <w:i/>
          <w:iCs/>
        </w:rPr>
        <w:t>Western Excavating (ECC) Ltd v Sharp</w:t>
      </w:r>
      <w:r w:rsidRPr="004D38E5">
        <w:rPr>
          <w:rFonts w:ascii="Trebuchet MS" w:hAnsi="Trebuchet MS"/>
        </w:rPr>
        <w:t xml:space="preserve"> [1978] QB 761, where the Court established that a constructive dismissal requires a fundamental breach by the employer, and the employee must</w:t>
      </w:r>
      <w:r w:rsidR="00884AA6">
        <w:rPr>
          <w:rFonts w:ascii="Trebuchet MS" w:hAnsi="Trebuchet MS"/>
        </w:rPr>
        <w:t xml:space="preserve"> be seen to</w:t>
      </w:r>
      <w:r w:rsidRPr="004D38E5">
        <w:rPr>
          <w:rFonts w:ascii="Trebuchet MS" w:hAnsi="Trebuchet MS"/>
        </w:rPr>
        <w:t xml:space="preserve"> resign in response to that breach.</w:t>
      </w:r>
    </w:p>
    <w:p w14:paraId="2D74FF85" w14:textId="77777777" w:rsidR="0076228F" w:rsidRPr="004D38E5" w:rsidRDefault="0076228F" w:rsidP="004D38E5">
      <w:pPr>
        <w:spacing w:line="240" w:lineRule="auto"/>
        <w:rPr>
          <w:rFonts w:ascii="Trebuchet MS" w:hAnsi="Trebuchet MS"/>
        </w:rPr>
      </w:pPr>
    </w:p>
    <w:p w14:paraId="661C89B9" w14:textId="5A02FFE7" w:rsidR="004D38E5" w:rsidRDefault="004D38E5" w:rsidP="004D38E5">
      <w:pPr>
        <w:spacing w:line="240" w:lineRule="auto"/>
        <w:rPr>
          <w:rFonts w:ascii="Trebuchet MS" w:hAnsi="Trebuchet MS"/>
        </w:rPr>
      </w:pPr>
      <w:r w:rsidRPr="004D38E5">
        <w:rPr>
          <w:rFonts w:ascii="Trebuchet MS" w:hAnsi="Trebuchet MS"/>
        </w:rPr>
        <w:t xml:space="preserve">Regarding time limits, a former employee has </w:t>
      </w:r>
      <w:r w:rsidR="00C14EFD">
        <w:rPr>
          <w:rFonts w:ascii="Trebuchet MS" w:hAnsi="Trebuchet MS"/>
        </w:rPr>
        <w:t>up to 3</w:t>
      </w:r>
      <w:r w:rsidRPr="004D38E5">
        <w:rPr>
          <w:rFonts w:ascii="Trebuchet MS" w:hAnsi="Trebuchet MS"/>
        </w:rPr>
        <w:t xml:space="preserve"> months minus one day from the effective date of termination to lodge a claim with the Employment Tribunal (Employment Rights Act 1996, s.111). Prior to this, </w:t>
      </w:r>
      <w:r w:rsidR="00B4704B">
        <w:rPr>
          <w:rFonts w:ascii="Trebuchet MS" w:hAnsi="Trebuchet MS"/>
        </w:rPr>
        <w:t>claimants</w:t>
      </w:r>
      <w:r w:rsidRPr="004D38E5">
        <w:rPr>
          <w:rFonts w:ascii="Trebuchet MS" w:hAnsi="Trebuchet MS"/>
        </w:rPr>
        <w:t xml:space="preserve"> must usually contact ACAS for Early Conciliation, which can </w:t>
      </w:r>
      <w:r w:rsidR="00E8150B">
        <w:rPr>
          <w:rFonts w:ascii="Trebuchet MS" w:hAnsi="Trebuchet MS"/>
        </w:rPr>
        <w:t xml:space="preserve">temporarily </w:t>
      </w:r>
      <w:r w:rsidRPr="004D38E5">
        <w:rPr>
          <w:rFonts w:ascii="Trebuchet MS" w:hAnsi="Trebuchet MS"/>
        </w:rPr>
        <w:t>pause the cloc</w:t>
      </w:r>
      <w:r w:rsidR="00E8150B">
        <w:rPr>
          <w:rFonts w:ascii="Trebuchet MS" w:hAnsi="Trebuchet MS"/>
        </w:rPr>
        <w:t>k</w:t>
      </w:r>
      <w:r w:rsidRPr="004D38E5">
        <w:rPr>
          <w:rFonts w:ascii="Trebuchet MS" w:hAnsi="Trebuchet MS"/>
        </w:rPr>
        <w:t>.</w:t>
      </w:r>
    </w:p>
    <w:p w14:paraId="2227591B" w14:textId="77777777" w:rsidR="0076228F" w:rsidRPr="004D38E5" w:rsidRDefault="0076228F" w:rsidP="004D38E5">
      <w:pPr>
        <w:spacing w:line="240" w:lineRule="auto"/>
        <w:rPr>
          <w:rFonts w:ascii="Trebuchet MS" w:hAnsi="Trebuchet MS"/>
        </w:rPr>
      </w:pPr>
    </w:p>
    <w:p w14:paraId="6FDC6262" w14:textId="62D7DF7E" w:rsidR="004D38E5" w:rsidRPr="004D38E5" w:rsidRDefault="004D38E5" w:rsidP="004D38E5">
      <w:pPr>
        <w:spacing w:line="240" w:lineRule="auto"/>
        <w:rPr>
          <w:rFonts w:ascii="Trebuchet MS" w:hAnsi="Trebuchet MS"/>
        </w:rPr>
      </w:pPr>
      <w:r w:rsidRPr="004D38E5">
        <w:rPr>
          <w:rFonts w:ascii="Trebuchet MS" w:hAnsi="Trebuchet MS"/>
        </w:rPr>
        <w:t>I recommend reviewing the terms of the radiographer’s contract and any documentation around the change in hours.</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0B3E2AB9" w14:textId="77777777" w:rsidR="00922731" w:rsidRDefault="00922731" w:rsidP="00922731">
      <w:pPr>
        <w:spacing w:line="240" w:lineRule="auto"/>
        <w:rPr>
          <w:rFonts w:ascii="Trebuchet MS" w:hAnsi="Trebuchet MS"/>
          <w:b/>
          <w:bCs/>
        </w:rPr>
      </w:pPr>
    </w:p>
    <w:p w14:paraId="03596C04" w14:textId="6BB3A425" w:rsidR="00F74A04" w:rsidRDefault="00F74A04" w:rsidP="00F74A04">
      <w:pPr>
        <w:spacing w:line="240" w:lineRule="auto"/>
        <w:rPr>
          <w:rFonts w:ascii="Trebuchet MS" w:hAnsi="Trebuchet MS"/>
        </w:rPr>
      </w:pPr>
      <w:r w:rsidRPr="00F74A04">
        <w:rPr>
          <w:rFonts w:ascii="Trebuchet MS" w:hAnsi="Trebuchet MS"/>
        </w:rPr>
        <w:t xml:space="preserve">Thank you for your update on the proposed reorganisation within your directorate. I understand the </w:t>
      </w:r>
      <w:r w:rsidR="00485F3F">
        <w:rPr>
          <w:rFonts w:ascii="Trebuchet MS" w:hAnsi="Trebuchet MS"/>
        </w:rPr>
        <w:t>importance</w:t>
      </w:r>
      <w:r w:rsidRPr="00F74A04">
        <w:rPr>
          <w:rFonts w:ascii="Trebuchet MS" w:hAnsi="Trebuchet MS"/>
        </w:rPr>
        <w:t xml:space="preserve"> to progress, but given the scale of redundancies being considered, it’s essential that the process complies fully with UK employment law. Acting hastily or failing to follow due procedure could expose the Trust to legal claims for unfair dismissal.</w:t>
      </w:r>
    </w:p>
    <w:p w14:paraId="0EEC1B1C" w14:textId="77777777" w:rsidR="00F41DA0" w:rsidRPr="00F74A04" w:rsidRDefault="00F41DA0" w:rsidP="00F74A04">
      <w:pPr>
        <w:spacing w:line="240" w:lineRule="auto"/>
        <w:rPr>
          <w:rFonts w:ascii="Trebuchet MS" w:hAnsi="Trebuchet MS"/>
        </w:rPr>
      </w:pPr>
    </w:p>
    <w:p w14:paraId="18917659" w14:textId="0C7BCCBE" w:rsidR="00F74A04" w:rsidRDefault="006F35CC" w:rsidP="00F74A04">
      <w:pPr>
        <w:spacing w:line="240" w:lineRule="auto"/>
        <w:rPr>
          <w:rFonts w:ascii="Trebuchet MS" w:hAnsi="Trebuchet MS"/>
        </w:rPr>
      </w:pPr>
      <w:r w:rsidRPr="006F35CC">
        <w:rPr>
          <w:rFonts w:ascii="Trebuchet MS" w:hAnsi="Trebuchet MS"/>
        </w:rPr>
        <w:t>According to Section 139 of the Employment Rights Act 1996, redundancy occurs when an employee is dismissed because the employer needs to downsize the workforce—whether due to the closure of the business, the shutdown of a specific workplace, or a decreased need for employees to perform a certain type of work</w:t>
      </w:r>
      <w:r w:rsidR="00F74A04" w:rsidRPr="00F74A04">
        <w:rPr>
          <w:rFonts w:ascii="Trebuchet MS" w:hAnsi="Trebuchet MS"/>
        </w:rPr>
        <w:t>.</w:t>
      </w:r>
    </w:p>
    <w:p w14:paraId="211AF902" w14:textId="77777777" w:rsidR="00F41DA0" w:rsidRPr="00F74A04" w:rsidRDefault="00F41DA0" w:rsidP="00F74A04">
      <w:pPr>
        <w:spacing w:line="240" w:lineRule="auto"/>
        <w:rPr>
          <w:rFonts w:ascii="Trebuchet MS" w:hAnsi="Trebuchet MS"/>
        </w:rPr>
      </w:pPr>
    </w:p>
    <w:p w14:paraId="1F760435" w14:textId="77777777" w:rsidR="00F74A04" w:rsidRDefault="00F74A04" w:rsidP="00F74A04">
      <w:pPr>
        <w:spacing w:line="240" w:lineRule="auto"/>
        <w:rPr>
          <w:rFonts w:ascii="Trebuchet MS" w:hAnsi="Trebuchet MS"/>
        </w:rPr>
      </w:pPr>
      <w:r w:rsidRPr="00F74A04">
        <w:rPr>
          <w:rFonts w:ascii="Trebuchet MS" w:hAnsi="Trebuchet MS"/>
        </w:rPr>
        <w:t>Given that 50 posts are to be lost, the Trust must follow collective consultation rules, which apply when 20 or more redundancies are proposed within 90 days. This involves:</w:t>
      </w:r>
    </w:p>
    <w:p w14:paraId="1122A044" w14:textId="77777777" w:rsidR="00F41DA0" w:rsidRPr="00F74A04" w:rsidRDefault="00F41DA0" w:rsidP="00F74A04">
      <w:pPr>
        <w:spacing w:line="240" w:lineRule="auto"/>
        <w:rPr>
          <w:rFonts w:ascii="Trebuchet MS" w:hAnsi="Trebuchet MS"/>
        </w:rPr>
      </w:pPr>
    </w:p>
    <w:p w14:paraId="0D8C30DC" w14:textId="2C833E57" w:rsidR="00F74A04" w:rsidRPr="00F74A04" w:rsidRDefault="00F74A04" w:rsidP="00F74A04">
      <w:pPr>
        <w:numPr>
          <w:ilvl w:val="0"/>
          <w:numId w:val="19"/>
        </w:numPr>
        <w:spacing w:line="240" w:lineRule="auto"/>
        <w:rPr>
          <w:rFonts w:ascii="Trebuchet MS" w:hAnsi="Trebuchet MS"/>
        </w:rPr>
      </w:pPr>
      <w:r w:rsidRPr="00F74A04">
        <w:rPr>
          <w:rFonts w:ascii="Trebuchet MS" w:hAnsi="Trebuchet MS"/>
        </w:rPr>
        <w:t xml:space="preserve">Consulting with employee representatives or trade unions </w:t>
      </w:r>
      <w:r w:rsidR="00245476">
        <w:rPr>
          <w:rFonts w:ascii="Trebuchet MS" w:hAnsi="Trebuchet MS"/>
        </w:rPr>
        <w:t xml:space="preserve">with a minimum </w:t>
      </w:r>
      <w:r w:rsidR="009B0FAA">
        <w:rPr>
          <w:rFonts w:ascii="Trebuchet MS" w:hAnsi="Trebuchet MS"/>
        </w:rPr>
        <w:t>of</w:t>
      </w:r>
      <w:r w:rsidRPr="00F74A04">
        <w:rPr>
          <w:rFonts w:ascii="Trebuchet MS" w:hAnsi="Trebuchet MS"/>
        </w:rPr>
        <w:t xml:space="preserve"> 30 days before the first dismissal </w:t>
      </w:r>
      <w:r w:rsidR="009B0FAA">
        <w:rPr>
          <w:rFonts w:ascii="Trebuchet MS" w:hAnsi="Trebuchet MS"/>
        </w:rPr>
        <w:t xml:space="preserve">is to take place </w:t>
      </w:r>
      <w:r w:rsidRPr="00F74A04">
        <w:rPr>
          <w:rFonts w:ascii="Trebuchet MS" w:hAnsi="Trebuchet MS"/>
        </w:rPr>
        <w:t>(or 45 days if over 100 employees are affected).</w:t>
      </w:r>
    </w:p>
    <w:p w14:paraId="563B25F6" w14:textId="1A01E8FD" w:rsidR="00F74A04" w:rsidRPr="00F74A04" w:rsidRDefault="00F74A04" w:rsidP="00F74A04">
      <w:pPr>
        <w:numPr>
          <w:ilvl w:val="0"/>
          <w:numId w:val="19"/>
        </w:numPr>
        <w:spacing w:line="240" w:lineRule="auto"/>
        <w:rPr>
          <w:rFonts w:ascii="Trebuchet MS" w:hAnsi="Trebuchet MS"/>
        </w:rPr>
      </w:pPr>
      <w:r w:rsidRPr="00F74A04">
        <w:rPr>
          <w:rFonts w:ascii="Trebuchet MS" w:hAnsi="Trebuchet MS"/>
        </w:rPr>
        <w:t xml:space="preserve">Providing clear written information, </w:t>
      </w:r>
      <w:r w:rsidR="00E171A1">
        <w:rPr>
          <w:rFonts w:ascii="Trebuchet MS" w:hAnsi="Trebuchet MS"/>
        </w:rPr>
        <w:t>outlining</w:t>
      </w:r>
      <w:r w:rsidRPr="00F74A04">
        <w:rPr>
          <w:rFonts w:ascii="Trebuchet MS" w:hAnsi="Trebuchet MS"/>
        </w:rPr>
        <w:t xml:space="preserve"> the reasons for redundancies, numbers and categories of employees affected, and selection methods.</w:t>
      </w:r>
    </w:p>
    <w:p w14:paraId="362C377E" w14:textId="77777777" w:rsidR="00F74A04" w:rsidRDefault="00F74A04" w:rsidP="00F74A04">
      <w:pPr>
        <w:numPr>
          <w:ilvl w:val="0"/>
          <w:numId w:val="19"/>
        </w:numPr>
        <w:spacing w:line="240" w:lineRule="auto"/>
        <w:rPr>
          <w:rFonts w:ascii="Trebuchet MS" w:hAnsi="Trebuchet MS"/>
        </w:rPr>
      </w:pPr>
      <w:r w:rsidRPr="00F74A04">
        <w:rPr>
          <w:rFonts w:ascii="Trebuchet MS" w:hAnsi="Trebuchet MS"/>
        </w:rPr>
        <w:t>Notifying the Secretary of State via form HR1 (Gov.uk, 2024).</w:t>
      </w:r>
    </w:p>
    <w:p w14:paraId="3CF3A5BA" w14:textId="77777777" w:rsidR="00F41DA0" w:rsidRPr="00F74A04" w:rsidRDefault="00F41DA0" w:rsidP="00F41DA0">
      <w:pPr>
        <w:spacing w:line="240" w:lineRule="auto"/>
        <w:rPr>
          <w:rFonts w:ascii="Trebuchet MS" w:hAnsi="Trebuchet MS"/>
        </w:rPr>
      </w:pPr>
    </w:p>
    <w:p w14:paraId="5959B08B" w14:textId="77777777" w:rsidR="00F74A04" w:rsidRDefault="00F74A04" w:rsidP="00F74A04">
      <w:pPr>
        <w:spacing w:line="240" w:lineRule="auto"/>
        <w:rPr>
          <w:rFonts w:ascii="Trebuchet MS" w:hAnsi="Trebuchet MS"/>
        </w:rPr>
      </w:pPr>
      <w:r w:rsidRPr="00F74A04">
        <w:rPr>
          <w:rFonts w:ascii="Trebuchet MS" w:hAnsi="Trebuchet MS"/>
        </w:rPr>
        <w:t>In terms of fair selection, dismissing “poorest performers” without objective and consistent selection criteria would be risky and likely to be seen as unfair. Selection should be based on agreed, non-discriminatory criteria, such as skills, qualifications, and attendance records, and applied equally.</w:t>
      </w:r>
    </w:p>
    <w:p w14:paraId="5C33478A" w14:textId="77777777" w:rsidR="00F41DA0" w:rsidRPr="00F74A04" w:rsidRDefault="00F41DA0" w:rsidP="00F74A04">
      <w:pPr>
        <w:spacing w:line="240" w:lineRule="auto"/>
        <w:rPr>
          <w:rFonts w:ascii="Trebuchet MS" w:hAnsi="Trebuchet MS"/>
        </w:rPr>
      </w:pPr>
    </w:p>
    <w:p w14:paraId="60D6A12E" w14:textId="29BEA4A1" w:rsidR="00F74A04" w:rsidRDefault="00F74A04" w:rsidP="00F74A04">
      <w:pPr>
        <w:spacing w:line="240" w:lineRule="auto"/>
        <w:rPr>
          <w:rFonts w:ascii="Trebuchet MS" w:hAnsi="Trebuchet MS"/>
        </w:rPr>
      </w:pPr>
      <w:r w:rsidRPr="00F74A04">
        <w:rPr>
          <w:rFonts w:ascii="Trebuchet MS" w:hAnsi="Trebuchet MS"/>
        </w:rPr>
        <w:t>Employees selected for redundancy also have the right to:</w:t>
      </w:r>
    </w:p>
    <w:p w14:paraId="55028E39" w14:textId="77777777" w:rsidR="00F41DA0" w:rsidRPr="00F74A04" w:rsidRDefault="00F41DA0" w:rsidP="00F74A04">
      <w:pPr>
        <w:spacing w:line="240" w:lineRule="auto"/>
        <w:rPr>
          <w:rFonts w:ascii="Trebuchet MS" w:hAnsi="Trebuchet MS"/>
        </w:rPr>
      </w:pPr>
    </w:p>
    <w:p w14:paraId="24F25600" w14:textId="77777777" w:rsidR="00F74A04" w:rsidRPr="00F74A04" w:rsidRDefault="00F74A04" w:rsidP="00F74A04">
      <w:pPr>
        <w:numPr>
          <w:ilvl w:val="0"/>
          <w:numId w:val="20"/>
        </w:numPr>
        <w:spacing w:line="240" w:lineRule="auto"/>
        <w:rPr>
          <w:rFonts w:ascii="Trebuchet MS" w:hAnsi="Trebuchet MS"/>
        </w:rPr>
      </w:pPr>
      <w:r w:rsidRPr="00F74A04">
        <w:rPr>
          <w:rFonts w:ascii="Trebuchet MS" w:hAnsi="Trebuchet MS"/>
        </w:rPr>
        <w:t>A minimum notice period, based on their length of service.</w:t>
      </w:r>
    </w:p>
    <w:p w14:paraId="7FDA143D" w14:textId="77777777" w:rsidR="00F74A04" w:rsidRPr="00F74A04" w:rsidRDefault="00F74A04" w:rsidP="00F74A04">
      <w:pPr>
        <w:numPr>
          <w:ilvl w:val="0"/>
          <w:numId w:val="20"/>
        </w:numPr>
        <w:spacing w:line="240" w:lineRule="auto"/>
        <w:rPr>
          <w:rFonts w:ascii="Trebuchet MS" w:hAnsi="Trebuchet MS"/>
        </w:rPr>
      </w:pPr>
      <w:r w:rsidRPr="00F74A04">
        <w:rPr>
          <w:rFonts w:ascii="Trebuchet MS" w:hAnsi="Trebuchet MS"/>
        </w:rPr>
        <w:t xml:space="preserve">Statutory redundancy </w:t>
      </w:r>
      <w:proofErr w:type="gramStart"/>
      <w:r w:rsidRPr="00F74A04">
        <w:rPr>
          <w:rFonts w:ascii="Trebuchet MS" w:hAnsi="Trebuchet MS"/>
        </w:rPr>
        <w:t>pay</w:t>
      </w:r>
      <w:proofErr w:type="gramEnd"/>
      <w:r w:rsidRPr="00F74A04">
        <w:rPr>
          <w:rFonts w:ascii="Trebuchet MS" w:hAnsi="Trebuchet MS"/>
        </w:rPr>
        <w:t xml:space="preserve"> if they have at least two years of continuous service.</w:t>
      </w:r>
    </w:p>
    <w:p w14:paraId="6C476AFC" w14:textId="77777777" w:rsidR="00F74A04" w:rsidRDefault="00F74A04" w:rsidP="00F74A04">
      <w:pPr>
        <w:numPr>
          <w:ilvl w:val="0"/>
          <w:numId w:val="20"/>
        </w:numPr>
        <w:spacing w:line="240" w:lineRule="auto"/>
        <w:rPr>
          <w:rFonts w:ascii="Trebuchet MS" w:hAnsi="Trebuchet MS"/>
        </w:rPr>
      </w:pPr>
      <w:r w:rsidRPr="00F74A04">
        <w:rPr>
          <w:rFonts w:ascii="Trebuchet MS" w:hAnsi="Trebuchet MS"/>
        </w:rPr>
        <w:t>The opportunity to appeal their selection and be considered for suitable alternative roles (CIPD, 2023).</w:t>
      </w:r>
    </w:p>
    <w:p w14:paraId="345CCA19" w14:textId="77777777" w:rsidR="00F41DA0" w:rsidRPr="00F74A04" w:rsidRDefault="00F41DA0" w:rsidP="00F41DA0">
      <w:pPr>
        <w:spacing w:line="240" w:lineRule="auto"/>
        <w:rPr>
          <w:rFonts w:ascii="Trebuchet MS" w:hAnsi="Trebuchet MS"/>
        </w:rPr>
      </w:pPr>
    </w:p>
    <w:p w14:paraId="0AE02516" w14:textId="77777777" w:rsidR="00F74A04" w:rsidRDefault="00F74A04" w:rsidP="00F74A04">
      <w:pPr>
        <w:spacing w:line="240" w:lineRule="auto"/>
        <w:rPr>
          <w:rFonts w:ascii="Trebuchet MS" w:hAnsi="Trebuchet MS"/>
        </w:rPr>
      </w:pPr>
      <w:r w:rsidRPr="00F74A04">
        <w:rPr>
          <w:rFonts w:ascii="Trebuchet MS" w:hAnsi="Trebuchet MS"/>
        </w:rPr>
        <w:t xml:space="preserve">A key case is </w:t>
      </w:r>
      <w:r w:rsidRPr="00F74A04">
        <w:rPr>
          <w:rFonts w:ascii="Trebuchet MS" w:hAnsi="Trebuchet MS"/>
          <w:i/>
          <w:iCs/>
        </w:rPr>
        <w:t>Williams v Compare Maxam Ltd</w:t>
      </w:r>
      <w:r w:rsidRPr="00F74A04">
        <w:rPr>
          <w:rFonts w:ascii="Trebuchet MS" w:hAnsi="Trebuchet MS"/>
        </w:rPr>
        <w:t xml:space="preserve"> [1982] ICR 156, where the Employment Appeal Tribunal held that employers must consult meaningfully and use fair selection criteria to avoid unfair dismissal claims.</w:t>
      </w:r>
    </w:p>
    <w:p w14:paraId="3ADB005F" w14:textId="77777777" w:rsidR="00F41DA0" w:rsidRPr="00F74A04" w:rsidRDefault="00F41DA0" w:rsidP="00F74A04">
      <w:pPr>
        <w:spacing w:line="240" w:lineRule="auto"/>
        <w:rPr>
          <w:rFonts w:ascii="Trebuchet MS" w:hAnsi="Trebuchet MS"/>
        </w:rPr>
      </w:pPr>
    </w:p>
    <w:p w14:paraId="53FB60E2" w14:textId="77777777" w:rsidR="00F74A04" w:rsidRPr="00F74A04" w:rsidRDefault="00F74A04" w:rsidP="00F74A04">
      <w:pPr>
        <w:spacing w:line="240" w:lineRule="auto"/>
        <w:rPr>
          <w:rFonts w:ascii="Trebuchet MS" w:hAnsi="Trebuchet MS"/>
        </w:rPr>
      </w:pPr>
      <w:r w:rsidRPr="00F74A04">
        <w:rPr>
          <w:rFonts w:ascii="Trebuchet MS" w:hAnsi="Trebuchet MS"/>
        </w:rPr>
        <w:lastRenderedPageBreak/>
        <w:t>I recommend that we work closely with HR and legal to ensure the process is compliant and fair to protect both the Trust and its employees. I’d be happy to assist in reviewing the proposed selection criteria and consultation approach.</w:t>
      </w:r>
    </w:p>
    <w:p w14:paraId="6AF9406F" w14:textId="77777777" w:rsidR="00F74A04" w:rsidRPr="00922731" w:rsidRDefault="00F74A04"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58DB5DFB" w14:textId="77777777" w:rsidR="00922731" w:rsidRPr="00922731" w:rsidRDefault="00922731" w:rsidP="00922731">
      <w:pPr>
        <w:spacing w:line="240" w:lineRule="auto"/>
        <w:rPr>
          <w:rFonts w:ascii="Trebuchet MS" w:hAnsi="Trebuchet MS"/>
          <w:b/>
          <w:bCs/>
        </w:rPr>
      </w:pPr>
    </w:p>
    <w:p w14:paraId="5EAF95D3" w14:textId="30B4B394" w:rsidR="007D5538" w:rsidRDefault="00DC37BE" w:rsidP="00346216">
      <w:pPr>
        <w:spacing w:line="240" w:lineRule="auto"/>
        <w:rPr>
          <w:rFonts w:ascii="Trebuchet MS" w:hAnsi="Trebuchet MS"/>
        </w:rPr>
      </w:pPr>
      <w:r w:rsidRPr="00DC37BE">
        <w:rPr>
          <w:rFonts w:ascii="Trebuchet MS" w:hAnsi="Trebuchet MS"/>
        </w:rPr>
        <w:t>I appreciate being in</w:t>
      </w:r>
      <w:r w:rsidR="00AE7329">
        <w:rPr>
          <w:rFonts w:ascii="Trebuchet MS" w:hAnsi="Trebuchet MS"/>
        </w:rPr>
        <w:t>cluded</w:t>
      </w:r>
      <w:r w:rsidRPr="00DC37BE">
        <w:rPr>
          <w:rFonts w:ascii="Trebuchet MS" w:hAnsi="Trebuchet MS"/>
        </w:rPr>
        <w:t xml:space="preserve"> at an early stage in the </w:t>
      </w:r>
      <w:proofErr w:type="spellStart"/>
      <w:r w:rsidR="00B95D48">
        <w:rPr>
          <w:rFonts w:ascii="Trebuchet MS" w:hAnsi="Trebuchet MS"/>
        </w:rPr>
        <w:t>coversations</w:t>
      </w:r>
      <w:proofErr w:type="spellEnd"/>
      <w:r w:rsidRPr="00DC37BE">
        <w:rPr>
          <w:rFonts w:ascii="Trebuchet MS" w:hAnsi="Trebuchet MS"/>
        </w:rPr>
        <w:t xml:space="preserve"> regarding the potential merger of pharmacy services with the neighbouring Trust. If we decide to move forward, the Transfer of Undertakings (Protection of Employment) Regulations 2006 (TUPE) will likely be relevant, as the situation may qualify as either a business transfer or a service provision change under the Regulations.</w:t>
      </w:r>
    </w:p>
    <w:p w14:paraId="4343B3BF" w14:textId="77777777" w:rsidR="00DC37BE" w:rsidRPr="00346216" w:rsidRDefault="00DC37BE" w:rsidP="00346216">
      <w:pPr>
        <w:spacing w:line="240" w:lineRule="auto"/>
        <w:rPr>
          <w:rFonts w:ascii="Trebuchet MS" w:hAnsi="Trebuchet MS"/>
        </w:rPr>
      </w:pPr>
    </w:p>
    <w:p w14:paraId="02E89225" w14:textId="1EE17EC9" w:rsidR="00652354" w:rsidRDefault="00806967" w:rsidP="00346216">
      <w:pPr>
        <w:spacing w:line="240" w:lineRule="auto"/>
        <w:rPr>
          <w:rFonts w:ascii="Trebuchet MS" w:hAnsi="Trebuchet MS"/>
        </w:rPr>
      </w:pPr>
      <w:r w:rsidRPr="00806967">
        <w:rPr>
          <w:rFonts w:ascii="Trebuchet MS" w:hAnsi="Trebuchet MS"/>
        </w:rPr>
        <w:t>TUPE aims to safeguard employees’ rights when the business they work for is transferred to a different employer. If the merger results in the transfer of pharmacy services and related staff from the neighbouring Trust to our organisation, the main employee protections under TUPE would include the following:</w:t>
      </w:r>
    </w:p>
    <w:p w14:paraId="4DA27160" w14:textId="77777777" w:rsidR="00806967" w:rsidRPr="00346216" w:rsidRDefault="00806967" w:rsidP="00346216">
      <w:pPr>
        <w:spacing w:line="240" w:lineRule="auto"/>
        <w:rPr>
          <w:rFonts w:ascii="Trebuchet MS" w:hAnsi="Trebuchet MS"/>
        </w:rPr>
      </w:pPr>
    </w:p>
    <w:p w14:paraId="4FB1559D" w14:textId="4940893D" w:rsidR="00346216" w:rsidRDefault="00346216" w:rsidP="00346216">
      <w:pPr>
        <w:numPr>
          <w:ilvl w:val="0"/>
          <w:numId w:val="21"/>
        </w:numPr>
        <w:spacing w:line="240" w:lineRule="auto"/>
        <w:rPr>
          <w:rFonts w:ascii="Trebuchet MS" w:hAnsi="Trebuchet MS"/>
        </w:rPr>
      </w:pPr>
      <w:r w:rsidRPr="00346216">
        <w:rPr>
          <w:rFonts w:ascii="Trebuchet MS" w:hAnsi="Trebuchet MS"/>
        </w:rPr>
        <w:t>Automatic Transfer of Employment:</w:t>
      </w:r>
      <w:r w:rsidRPr="00346216">
        <w:rPr>
          <w:rFonts w:ascii="Trebuchet MS" w:hAnsi="Trebuchet MS"/>
        </w:rPr>
        <w:br/>
      </w:r>
      <w:r w:rsidR="001B09C4" w:rsidRPr="001B09C4">
        <w:rPr>
          <w:rFonts w:ascii="Trebuchet MS" w:hAnsi="Trebuchet MS"/>
        </w:rPr>
        <w:t>All staff assigned to the transferring service would automatically transfer to our Trust under their current terms and conditions, with their continuity of employment preserved and no interruption in service (TUPE, Regulation 4). This covers their salary, working hours, holiday entitlement, and overall employment rights</w:t>
      </w:r>
    </w:p>
    <w:p w14:paraId="10609170" w14:textId="77777777" w:rsidR="00652354" w:rsidRPr="00346216" w:rsidRDefault="00652354" w:rsidP="00652354">
      <w:pPr>
        <w:spacing w:line="240" w:lineRule="auto"/>
        <w:ind w:left="720"/>
        <w:rPr>
          <w:rFonts w:ascii="Trebuchet MS" w:hAnsi="Trebuchet MS"/>
        </w:rPr>
      </w:pPr>
    </w:p>
    <w:p w14:paraId="4F7FD9E1" w14:textId="3B0A67A2" w:rsidR="00652354" w:rsidRPr="0058117C" w:rsidRDefault="00346216" w:rsidP="00DB1F97">
      <w:pPr>
        <w:numPr>
          <w:ilvl w:val="0"/>
          <w:numId w:val="21"/>
        </w:numPr>
        <w:spacing w:line="240" w:lineRule="auto"/>
        <w:rPr>
          <w:rFonts w:ascii="Trebuchet MS" w:hAnsi="Trebuchet MS"/>
        </w:rPr>
      </w:pPr>
      <w:r w:rsidRPr="0058117C">
        <w:rPr>
          <w:rFonts w:ascii="Trebuchet MS" w:hAnsi="Trebuchet MS"/>
        </w:rPr>
        <w:t>Protection Against Dismissal:</w:t>
      </w:r>
      <w:r w:rsidRPr="0058117C">
        <w:rPr>
          <w:rFonts w:ascii="Trebuchet MS" w:hAnsi="Trebuchet MS"/>
        </w:rPr>
        <w:br/>
      </w:r>
      <w:r w:rsidR="0058117C" w:rsidRPr="0058117C">
        <w:rPr>
          <w:rFonts w:ascii="Trebuchet MS" w:hAnsi="Trebuchet MS"/>
        </w:rPr>
        <w:t>Under TUPE Regulation 7, dismissals related to a transfer are automatically considered unfair unless the employer can justify them with an economic, technical, or organisational (ETO) reason involving workforce changes. For instance, a legitimate redundancy could meet this criterion, whereas dismissals based on performance that are tied to the transfer would not</w:t>
      </w:r>
      <w:r w:rsidR="0058117C">
        <w:rPr>
          <w:rFonts w:ascii="Trebuchet MS" w:hAnsi="Trebuchet MS"/>
        </w:rPr>
        <w:t>.</w:t>
      </w:r>
    </w:p>
    <w:p w14:paraId="2A8BC7E1" w14:textId="77777777" w:rsidR="00652354" w:rsidRPr="00346216" w:rsidRDefault="00652354" w:rsidP="00652354">
      <w:pPr>
        <w:spacing w:line="240" w:lineRule="auto"/>
        <w:ind w:left="720"/>
        <w:rPr>
          <w:rFonts w:ascii="Trebuchet MS" w:hAnsi="Trebuchet MS"/>
        </w:rPr>
      </w:pPr>
    </w:p>
    <w:p w14:paraId="4911C3FC" w14:textId="60E19F58" w:rsidR="00346216" w:rsidRDefault="00346216" w:rsidP="00346216">
      <w:pPr>
        <w:numPr>
          <w:ilvl w:val="0"/>
          <w:numId w:val="21"/>
        </w:numPr>
        <w:spacing w:line="240" w:lineRule="auto"/>
        <w:rPr>
          <w:rFonts w:ascii="Trebuchet MS" w:hAnsi="Trebuchet MS"/>
        </w:rPr>
      </w:pPr>
      <w:r w:rsidRPr="00346216">
        <w:rPr>
          <w:rFonts w:ascii="Trebuchet MS" w:hAnsi="Trebuchet MS"/>
        </w:rPr>
        <w:t>Consultation Requirements:</w:t>
      </w:r>
      <w:r w:rsidRPr="00346216">
        <w:rPr>
          <w:rFonts w:ascii="Trebuchet MS" w:hAnsi="Trebuchet MS"/>
        </w:rPr>
        <w:br/>
        <w:t xml:space="preserve">Both Trusts would have a legal </w:t>
      </w:r>
      <w:r w:rsidR="00506F0C">
        <w:rPr>
          <w:rFonts w:ascii="Trebuchet MS" w:hAnsi="Trebuchet MS"/>
        </w:rPr>
        <w:t>responsibility</w:t>
      </w:r>
      <w:r w:rsidRPr="00346216">
        <w:rPr>
          <w:rFonts w:ascii="Trebuchet MS" w:hAnsi="Trebuchet MS"/>
        </w:rPr>
        <w:t xml:space="preserve"> to inform and consult with affected employees via recognised trade unions or elected employee representatives. This includes sharing details of the transfer, its expected effects, and any planned changes (TUPE, Reg 13). Consultation must be meaningful and take place long enough before the transfer to allow proper dialogue.</w:t>
      </w:r>
    </w:p>
    <w:p w14:paraId="1B971D04" w14:textId="77777777" w:rsidR="00652354" w:rsidRPr="00346216" w:rsidRDefault="00652354" w:rsidP="00652354">
      <w:pPr>
        <w:spacing w:line="240" w:lineRule="auto"/>
        <w:ind w:left="720"/>
        <w:rPr>
          <w:rFonts w:ascii="Trebuchet MS" w:hAnsi="Trebuchet MS"/>
        </w:rPr>
      </w:pPr>
    </w:p>
    <w:p w14:paraId="49986806" w14:textId="77777777" w:rsidR="00346216" w:rsidRDefault="00346216" w:rsidP="00346216">
      <w:pPr>
        <w:numPr>
          <w:ilvl w:val="0"/>
          <w:numId w:val="21"/>
        </w:numPr>
        <w:spacing w:line="240" w:lineRule="auto"/>
        <w:rPr>
          <w:rFonts w:ascii="Trebuchet MS" w:hAnsi="Trebuchet MS"/>
        </w:rPr>
      </w:pPr>
      <w:r w:rsidRPr="00346216">
        <w:rPr>
          <w:rFonts w:ascii="Trebuchet MS" w:hAnsi="Trebuchet MS"/>
        </w:rPr>
        <w:t>Restrictions on Changing Terms and Conditions:</w:t>
      </w:r>
      <w:r w:rsidRPr="00346216">
        <w:rPr>
          <w:rFonts w:ascii="Trebuchet MS" w:hAnsi="Trebuchet MS"/>
        </w:rPr>
        <w:br/>
      </w:r>
      <w:proofErr w:type="gramStart"/>
      <w:r w:rsidRPr="00346216">
        <w:rPr>
          <w:rFonts w:ascii="Trebuchet MS" w:hAnsi="Trebuchet MS"/>
        </w:rPr>
        <w:t>Post-transfer</w:t>
      </w:r>
      <w:proofErr w:type="gramEnd"/>
      <w:r w:rsidRPr="00346216">
        <w:rPr>
          <w:rFonts w:ascii="Trebuchet MS" w:hAnsi="Trebuchet MS"/>
        </w:rPr>
        <w:t xml:space="preserve">, employers cannot change employees’ terms and conditions if the sole or principal reason is the transfer itself, unless there is an ETO </w:t>
      </w:r>
      <w:proofErr w:type="gramStart"/>
      <w:r w:rsidRPr="00346216">
        <w:rPr>
          <w:rFonts w:ascii="Trebuchet MS" w:hAnsi="Trebuchet MS"/>
        </w:rPr>
        <w:t>reason</w:t>
      </w:r>
      <w:proofErr w:type="gramEnd"/>
      <w:r w:rsidRPr="00346216">
        <w:rPr>
          <w:rFonts w:ascii="Trebuchet MS" w:hAnsi="Trebuchet MS"/>
        </w:rPr>
        <w:t xml:space="preserve"> and the employee agrees. Even well-intended harmonisation efforts (e.g. aligning pay scales) may be deemed unlawful without objective justification.</w:t>
      </w:r>
    </w:p>
    <w:p w14:paraId="1D34DB48" w14:textId="77777777" w:rsidR="00652354" w:rsidRDefault="00652354" w:rsidP="00652354">
      <w:pPr>
        <w:pStyle w:val="ListParagraph"/>
        <w:rPr>
          <w:rFonts w:ascii="Trebuchet MS" w:hAnsi="Trebuchet MS"/>
        </w:rPr>
      </w:pPr>
    </w:p>
    <w:p w14:paraId="475B861D" w14:textId="77777777" w:rsidR="00652354" w:rsidRPr="00346216" w:rsidRDefault="00652354" w:rsidP="00652354">
      <w:pPr>
        <w:spacing w:line="240" w:lineRule="auto"/>
        <w:ind w:left="720"/>
        <w:rPr>
          <w:rFonts w:ascii="Trebuchet MS" w:hAnsi="Trebuchet MS"/>
        </w:rPr>
      </w:pPr>
    </w:p>
    <w:p w14:paraId="76DB80F9" w14:textId="4B320BD1" w:rsidR="00346216" w:rsidRPr="00346216" w:rsidRDefault="00346216" w:rsidP="00346216">
      <w:pPr>
        <w:spacing w:line="240" w:lineRule="auto"/>
        <w:rPr>
          <w:rFonts w:ascii="Trebuchet MS" w:hAnsi="Trebuchet MS"/>
        </w:rPr>
      </w:pPr>
      <w:r w:rsidRPr="00346216">
        <w:rPr>
          <w:rFonts w:ascii="Trebuchet MS" w:hAnsi="Trebuchet MS"/>
        </w:rPr>
        <w:t xml:space="preserve">A key case is </w:t>
      </w:r>
      <w:r w:rsidRPr="00346216">
        <w:rPr>
          <w:rFonts w:ascii="Trebuchet MS" w:hAnsi="Trebuchet MS"/>
          <w:i/>
          <w:iCs/>
        </w:rPr>
        <w:t>Katsikas v Konstantinidis</w:t>
      </w:r>
      <w:r w:rsidRPr="00346216">
        <w:rPr>
          <w:rFonts w:ascii="Trebuchet MS" w:hAnsi="Trebuchet MS"/>
        </w:rPr>
        <w:t xml:space="preserve"> [1993] IRLR 179, which emphasised the importance of employee rights being preserved through business transfers under EU law, which remains influential in UK TUPE </w:t>
      </w:r>
      <w:r w:rsidR="00813188">
        <w:rPr>
          <w:rFonts w:ascii="Trebuchet MS" w:hAnsi="Trebuchet MS"/>
        </w:rPr>
        <w:t>case law</w:t>
      </w:r>
      <w:r w:rsidRPr="00346216">
        <w:rPr>
          <w:rFonts w:ascii="Trebuchet MS" w:hAnsi="Trebuchet MS"/>
        </w:rPr>
        <w:t>.</w:t>
      </w: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266251" w14:textId="77777777" w:rsidR="00D53441" w:rsidRDefault="00D53441" w:rsidP="00D53441">
      <w:pPr>
        <w:spacing w:line="240" w:lineRule="auto"/>
        <w:rPr>
          <w:rFonts w:ascii="Trebuchet MS" w:hAnsi="Trebuchet MS"/>
        </w:rPr>
      </w:pPr>
      <w:r w:rsidRPr="00D53441">
        <w:rPr>
          <w:rFonts w:ascii="Trebuchet MS" w:hAnsi="Trebuchet MS"/>
        </w:rPr>
        <w:t>Thank you for your query regarding the calculation of holiday pay for the nurse bank staff working in your department. It’s great to see your commitment to ensuring fair and lawful treatment of all staff, including those employed on a casual basis.</w:t>
      </w:r>
    </w:p>
    <w:p w14:paraId="34B79680" w14:textId="77777777" w:rsidR="00D53441" w:rsidRPr="00D53441" w:rsidRDefault="00D53441" w:rsidP="00D53441">
      <w:pPr>
        <w:spacing w:line="240" w:lineRule="auto"/>
        <w:rPr>
          <w:rFonts w:ascii="Trebuchet MS" w:hAnsi="Trebuchet MS"/>
        </w:rPr>
      </w:pPr>
    </w:p>
    <w:p w14:paraId="6C968774" w14:textId="77777777" w:rsidR="00D53441" w:rsidRDefault="00D53441" w:rsidP="00D53441">
      <w:pPr>
        <w:spacing w:line="240" w:lineRule="auto"/>
        <w:rPr>
          <w:rFonts w:ascii="Trebuchet MS" w:hAnsi="Trebuchet MS"/>
        </w:rPr>
      </w:pPr>
      <w:r w:rsidRPr="00D53441">
        <w:rPr>
          <w:rFonts w:ascii="Trebuchet MS" w:hAnsi="Trebuchet MS"/>
        </w:rPr>
        <w:lastRenderedPageBreak/>
        <w:t>Under the Working Time Regulations 1998 (WTR), all workers — including casual and zero-hours staff — are legally entitled to 5.6 weeks’ paid holiday per year, which includes public holidays (Reg.13A). The key legal principle is that holiday pay must reflect the pay an individual normally receives, not just their basic rate.</w:t>
      </w:r>
    </w:p>
    <w:p w14:paraId="0F9E7FF8" w14:textId="77777777" w:rsidR="00D53441" w:rsidRPr="00D53441" w:rsidRDefault="00D53441" w:rsidP="00D53441">
      <w:pPr>
        <w:spacing w:line="240" w:lineRule="auto"/>
        <w:rPr>
          <w:rFonts w:ascii="Trebuchet MS" w:hAnsi="Trebuchet MS"/>
        </w:rPr>
      </w:pPr>
    </w:p>
    <w:p w14:paraId="65D758A9" w14:textId="77777777" w:rsidR="00D53441" w:rsidRDefault="00D53441" w:rsidP="00D53441">
      <w:pPr>
        <w:spacing w:line="240" w:lineRule="auto"/>
        <w:rPr>
          <w:rFonts w:ascii="Trebuchet MS" w:hAnsi="Trebuchet MS"/>
        </w:rPr>
      </w:pPr>
      <w:r w:rsidRPr="00D53441">
        <w:rPr>
          <w:rFonts w:ascii="Trebuchet MS" w:hAnsi="Trebuchet MS"/>
        </w:rPr>
        <w:t>For irregular or casual workers, the law requires that holiday pay is calculated based on their average weekly earnings over the previous 52 weeks in which they worked and were paid (Working Time (Amendment) Regulations 2020). Weeks where no work was performed must be excluded, and earlier weeks (up to a maximum of 104 weeks) can be used to reach the 52-week total if needed.</w:t>
      </w:r>
    </w:p>
    <w:p w14:paraId="6CB878E6" w14:textId="77777777" w:rsidR="00D53441" w:rsidRPr="00D53441" w:rsidRDefault="00D53441" w:rsidP="00D53441">
      <w:pPr>
        <w:spacing w:line="240" w:lineRule="auto"/>
        <w:rPr>
          <w:rFonts w:ascii="Trebuchet MS" w:hAnsi="Trebuchet MS"/>
        </w:rPr>
      </w:pPr>
    </w:p>
    <w:p w14:paraId="11713E6A" w14:textId="77777777" w:rsidR="00D53441" w:rsidRDefault="00D53441" w:rsidP="00D53441">
      <w:pPr>
        <w:spacing w:line="240" w:lineRule="auto"/>
        <w:rPr>
          <w:rFonts w:ascii="Trebuchet MS" w:hAnsi="Trebuchet MS"/>
        </w:rPr>
      </w:pPr>
      <w:r w:rsidRPr="00D53441">
        <w:rPr>
          <w:rFonts w:ascii="Trebuchet MS" w:hAnsi="Trebuchet MS"/>
        </w:rPr>
        <w:t>A widely used method for accruing holiday entitlement in casual roles is 12.07% of hours worked, derived from dividing the statutory 5.6 weeks’ holiday by the remaining 46.4 weeks in a full working year. However, this method must only be used for accrual purposes and not for pay calculation unless it fairly reflects actual pay patterns.</w:t>
      </w:r>
    </w:p>
    <w:p w14:paraId="1B470566" w14:textId="77777777" w:rsidR="00D53441" w:rsidRPr="00D53441" w:rsidRDefault="00D53441" w:rsidP="00D53441">
      <w:pPr>
        <w:spacing w:line="240" w:lineRule="auto"/>
        <w:rPr>
          <w:rFonts w:ascii="Trebuchet MS" w:hAnsi="Trebuchet MS"/>
        </w:rPr>
      </w:pPr>
    </w:p>
    <w:p w14:paraId="40741504" w14:textId="77777777" w:rsidR="00D53441" w:rsidRDefault="00D53441" w:rsidP="00D53441">
      <w:pPr>
        <w:spacing w:line="240" w:lineRule="auto"/>
        <w:rPr>
          <w:rFonts w:ascii="Trebuchet MS" w:hAnsi="Trebuchet MS"/>
        </w:rPr>
      </w:pPr>
      <w:r w:rsidRPr="00D53441">
        <w:rPr>
          <w:rFonts w:ascii="Trebuchet MS" w:hAnsi="Trebuchet MS"/>
        </w:rPr>
        <w:t xml:space="preserve">This was clarified in the landmark case of </w:t>
      </w:r>
      <w:r w:rsidRPr="00D53441">
        <w:rPr>
          <w:rFonts w:ascii="Trebuchet MS" w:hAnsi="Trebuchet MS"/>
          <w:i/>
          <w:iCs/>
        </w:rPr>
        <w:t>Harpur Trust v Brazel</w:t>
      </w:r>
      <w:r w:rsidRPr="00D53441">
        <w:rPr>
          <w:rFonts w:ascii="Trebuchet MS" w:hAnsi="Trebuchet MS"/>
        </w:rPr>
        <w:t xml:space="preserve"> [2022] UKSC 21. The Supreme Court held that part-year workers (including those on zero-hours or casual contracts) must receive holiday pay based on their actual earnings during the 52-week reference period, rather than being pro-rated based on hours worked. Applying a flat 12.07% approach to pay may undercut statutory entitlements and is therefore unlawful for pay calculation.</w:t>
      </w:r>
    </w:p>
    <w:p w14:paraId="3083A7F1" w14:textId="77777777" w:rsidR="00D53441" w:rsidRPr="00D53441" w:rsidRDefault="00D53441" w:rsidP="00D53441">
      <w:pPr>
        <w:spacing w:line="240" w:lineRule="auto"/>
        <w:rPr>
          <w:rFonts w:ascii="Trebuchet MS" w:hAnsi="Trebuchet MS"/>
        </w:rPr>
      </w:pPr>
    </w:p>
    <w:p w14:paraId="4057103F" w14:textId="77777777" w:rsidR="00D53441" w:rsidRDefault="00D53441" w:rsidP="00D53441">
      <w:pPr>
        <w:spacing w:line="240" w:lineRule="auto"/>
        <w:rPr>
          <w:rFonts w:ascii="Trebuchet MS" w:hAnsi="Trebuchet MS"/>
        </w:rPr>
      </w:pPr>
      <w:r w:rsidRPr="00D53441">
        <w:rPr>
          <w:rFonts w:ascii="Trebuchet MS" w:hAnsi="Trebuchet MS"/>
        </w:rPr>
        <w:t>Therefore, to remain compliant and fair, I recommend ensuring that each nurse bank worker’s holiday pay is calculated using their actual average pay over the appropriate 52-week reference period. This approach reflects both the legal requirements and best practice.</w:t>
      </w:r>
    </w:p>
    <w:p w14:paraId="20A385BF" w14:textId="77777777" w:rsidR="00D53441" w:rsidRPr="00D53441" w:rsidRDefault="00D53441" w:rsidP="00D53441">
      <w:pPr>
        <w:spacing w:line="240" w:lineRule="auto"/>
        <w:rPr>
          <w:rFonts w:ascii="Trebuchet MS" w:hAnsi="Trebuchet MS"/>
        </w:rPr>
      </w:pPr>
    </w:p>
    <w:p w14:paraId="671719E6" w14:textId="77777777" w:rsidR="00D53441" w:rsidRPr="00D53441" w:rsidRDefault="00D53441" w:rsidP="00D53441">
      <w:pPr>
        <w:spacing w:line="240" w:lineRule="auto"/>
        <w:rPr>
          <w:rFonts w:ascii="Trebuchet MS" w:hAnsi="Trebuchet MS"/>
        </w:rPr>
      </w:pPr>
      <w:r w:rsidRPr="00D53441">
        <w:rPr>
          <w:rFonts w:ascii="Trebuchet MS" w:hAnsi="Trebuchet MS"/>
        </w:rPr>
        <w:t>I’d be happy to help your team set up a compliant system or review current practices if needed.</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2F622BC6" w14:textId="5F71BC78" w:rsidR="00386BAD" w:rsidRDefault="003E15EF" w:rsidP="00386BAD">
      <w:pPr>
        <w:spacing w:line="240" w:lineRule="auto"/>
        <w:rPr>
          <w:rFonts w:ascii="Trebuchet MS" w:hAnsi="Trebuchet MS"/>
        </w:rPr>
      </w:pPr>
      <w:r w:rsidRPr="003E15EF">
        <w:rPr>
          <w:rFonts w:ascii="Trebuchet MS" w:hAnsi="Trebuchet MS"/>
        </w:rPr>
        <w:t xml:space="preserve">Thank you for reaching out, and congratulations on your pregnancy. I'm happy to offer guidance on the main distinctions between maternity leave and shared parental leave (SPL), to support you in making the </w:t>
      </w:r>
      <w:r>
        <w:rPr>
          <w:rFonts w:ascii="Trebuchet MS" w:hAnsi="Trebuchet MS"/>
        </w:rPr>
        <w:t>best</w:t>
      </w:r>
      <w:r w:rsidRPr="003E15EF">
        <w:rPr>
          <w:rFonts w:ascii="Trebuchet MS" w:hAnsi="Trebuchet MS"/>
        </w:rPr>
        <w:t xml:space="preserve"> decision for you and your partner</w:t>
      </w:r>
      <w:r>
        <w:rPr>
          <w:rFonts w:ascii="Trebuchet MS" w:hAnsi="Trebuchet MS"/>
        </w:rPr>
        <w:t>.</w:t>
      </w:r>
    </w:p>
    <w:p w14:paraId="7971FA7A" w14:textId="77777777" w:rsidR="003E15EF" w:rsidRPr="00386BAD" w:rsidRDefault="003E15EF" w:rsidP="00386BAD">
      <w:pPr>
        <w:spacing w:line="240" w:lineRule="auto"/>
        <w:rPr>
          <w:rFonts w:ascii="Trebuchet MS" w:hAnsi="Trebuchet MS"/>
        </w:rPr>
      </w:pPr>
    </w:p>
    <w:p w14:paraId="0B86B2BE" w14:textId="1CC2DE4A" w:rsidR="00386BAD" w:rsidRDefault="00620E4C" w:rsidP="00386BAD">
      <w:pPr>
        <w:spacing w:line="240" w:lineRule="auto"/>
        <w:rPr>
          <w:rFonts w:ascii="Trebuchet MS" w:hAnsi="Trebuchet MS"/>
        </w:rPr>
      </w:pPr>
      <w:r w:rsidRPr="00620E4C">
        <w:rPr>
          <w:rFonts w:ascii="Trebuchet MS" w:hAnsi="Trebuchet MS"/>
        </w:rPr>
        <w:t>Maternity leave is a legal entitlement granted exclusively to the birth mother, allowing for up to 52 weeks of leave. This is divided into Ordinary Maternity Leave (the initial 26 weeks) and Additional Maternity Leave (the remaining 26 weeks). A minimum of two weeks’ leave after childbirth is mandatory—or four weeks in the case of factory workers (Gov.uk, 2024). Statutory Maternity Pay (SMP) is offered for a maximum of 39 weeks: it covers 90% of average weekly earnings (before tax) for the first six weeks, and then £184.03 per week or 90% of those earnings—whichever is lower—for the following 33 weeks (Gov.uk, 2024)</w:t>
      </w:r>
    </w:p>
    <w:p w14:paraId="27C0ACD4" w14:textId="77777777" w:rsidR="00620E4C" w:rsidRPr="00386BAD" w:rsidRDefault="00620E4C" w:rsidP="00386BAD">
      <w:pPr>
        <w:spacing w:line="240" w:lineRule="auto"/>
        <w:rPr>
          <w:rFonts w:ascii="Trebuchet MS" w:hAnsi="Trebuchet MS"/>
        </w:rPr>
      </w:pPr>
    </w:p>
    <w:p w14:paraId="02580571" w14:textId="29BD1856" w:rsidR="00386BAD" w:rsidRDefault="00386BAD" w:rsidP="00386BAD">
      <w:pPr>
        <w:spacing w:line="240" w:lineRule="auto"/>
        <w:rPr>
          <w:rFonts w:ascii="Trebuchet MS" w:hAnsi="Trebuchet MS"/>
        </w:rPr>
      </w:pPr>
      <w:r w:rsidRPr="00386BAD">
        <w:rPr>
          <w:rFonts w:ascii="Trebuchet MS" w:hAnsi="Trebuchet MS"/>
        </w:rPr>
        <w:t xml:space="preserve">In contrast, </w:t>
      </w:r>
      <w:r w:rsidR="00BC5152">
        <w:rPr>
          <w:rFonts w:ascii="Trebuchet MS" w:hAnsi="Trebuchet MS"/>
        </w:rPr>
        <w:t>SPL</w:t>
      </w:r>
      <w:r w:rsidRPr="00386BAD">
        <w:rPr>
          <w:rFonts w:ascii="Trebuchet MS" w:hAnsi="Trebuchet MS"/>
        </w:rPr>
        <w:t xml:space="preserve"> allows you to share up to 50 weeks of leave and 37 weeks of pay with your partner, provided both parents meet the eligibility criteria. To access SPL, the mother must curtail her maternity leave early. SPL can be taken in blocks or simultaneously, offering greater flexibility for families in how childcare responsibilities are shared (CIPD, 2023).</w:t>
      </w:r>
    </w:p>
    <w:p w14:paraId="630AAFAF" w14:textId="77777777" w:rsidR="00386BAD" w:rsidRPr="00386BAD" w:rsidRDefault="00386BAD" w:rsidP="00386BAD">
      <w:pPr>
        <w:spacing w:line="240" w:lineRule="auto"/>
        <w:rPr>
          <w:rFonts w:ascii="Trebuchet MS" w:hAnsi="Trebuchet MS"/>
        </w:rPr>
      </w:pPr>
    </w:p>
    <w:p w14:paraId="05D56A04" w14:textId="6EF91018" w:rsidR="00386BAD" w:rsidRDefault="00386BAD" w:rsidP="00386BAD">
      <w:pPr>
        <w:spacing w:line="240" w:lineRule="auto"/>
        <w:rPr>
          <w:rFonts w:ascii="Trebuchet MS" w:hAnsi="Trebuchet MS"/>
        </w:rPr>
      </w:pPr>
      <w:r w:rsidRPr="00386BAD">
        <w:rPr>
          <w:rFonts w:ascii="Trebuchet MS" w:hAnsi="Trebuchet MS"/>
        </w:rPr>
        <w:t>A key distinction is that maternity leave is designed to protect the mother's health</w:t>
      </w:r>
      <w:r w:rsidR="001D3ACF">
        <w:rPr>
          <w:rFonts w:ascii="Trebuchet MS" w:hAnsi="Trebuchet MS"/>
        </w:rPr>
        <w:t>, wellbeing</w:t>
      </w:r>
      <w:r w:rsidRPr="00386BAD">
        <w:rPr>
          <w:rFonts w:ascii="Trebuchet MS" w:hAnsi="Trebuchet MS"/>
        </w:rPr>
        <w:t xml:space="preserve"> and recovery </w:t>
      </w:r>
      <w:r w:rsidR="00D4394C">
        <w:rPr>
          <w:rFonts w:ascii="Trebuchet MS" w:hAnsi="Trebuchet MS"/>
        </w:rPr>
        <w:t>after</w:t>
      </w:r>
      <w:r w:rsidRPr="00386BAD">
        <w:rPr>
          <w:rFonts w:ascii="Trebuchet MS" w:hAnsi="Trebuchet MS"/>
        </w:rPr>
        <w:t xml:space="preserve"> childbirth, whereas SPL is more focused on flexibility and shared parenting. Importantly, while maternity leave is often well understood and widely used, SPL has lower take-up, partly due to its complexity and financial considerations (Working Families, 2023).</w:t>
      </w:r>
    </w:p>
    <w:p w14:paraId="023782D0" w14:textId="77777777" w:rsidR="00386BAD" w:rsidRPr="00386BAD" w:rsidRDefault="00386BAD" w:rsidP="00386BAD">
      <w:pPr>
        <w:spacing w:line="240" w:lineRule="auto"/>
        <w:rPr>
          <w:rFonts w:ascii="Trebuchet MS" w:hAnsi="Trebuchet MS"/>
        </w:rPr>
      </w:pPr>
    </w:p>
    <w:p w14:paraId="6750C424" w14:textId="77777777" w:rsidR="00386BAD" w:rsidRDefault="00386BAD" w:rsidP="00386BAD">
      <w:pPr>
        <w:spacing w:line="240" w:lineRule="auto"/>
        <w:rPr>
          <w:rFonts w:ascii="Trebuchet MS" w:hAnsi="Trebuchet MS"/>
        </w:rPr>
      </w:pPr>
      <w:r w:rsidRPr="00386BAD">
        <w:rPr>
          <w:rFonts w:ascii="Trebuchet MS" w:hAnsi="Trebuchet MS"/>
        </w:rPr>
        <w:t xml:space="preserve">The case of </w:t>
      </w:r>
      <w:r w:rsidRPr="00386BAD">
        <w:rPr>
          <w:rFonts w:ascii="Trebuchet MS" w:hAnsi="Trebuchet MS"/>
          <w:i/>
          <w:iCs/>
        </w:rPr>
        <w:t>Capita Customer Management Ltd v Ali</w:t>
      </w:r>
      <w:r w:rsidRPr="00386BAD">
        <w:rPr>
          <w:rFonts w:ascii="Trebuchet MS" w:hAnsi="Trebuchet MS"/>
        </w:rPr>
        <w:t xml:space="preserve"> [2018] UKEAT 0161/17/BA clarified that paying enhanced maternity pay but only statutory SPL pay is not discriminatory, because the purpose of maternity leave is distinct from SPL — the former protects biological recovery and bonding, while the latter provides an option for shared childcare.</w:t>
      </w:r>
    </w:p>
    <w:p w14:paraId="35ACCF07" w14:textId="77777777" w:rsidR="00386BAD" w:rsidRPr="00386BAD" w:rsidRDefault="00386BAD" w:rsidP="00386BAD">
      <w:pPr>
        <w:spacing w:line="240" w:lineRule="auto"/>
        <w:rPr>
          <w:rFonts w:ascii="Trebuchet MS" w:hAnsi="Trebuchet MS"/>
        </w:rPr>
      </w:pPr>
    </w:p>
    <w:p w14:paraId="20817BC0" w14:textId="77777777" w:rsidR="00386BAD" w:rsidRPr="00386BAD" w:rsidRDefault="00386BAD" w:rsidP="00386BAD">
      <w:pPr>
        <w:spacing w:line="240" w:lineRule="auto"/>
        <w:rPr>
          <w:rFonts w:ascii="Trebuchet MS" w:hAnsi="Trebuchet MS"/>
        </w:rPr>
      </w:pPr>
      <w:r w:rsidRPr="00386BAD">
        <w:rPr>
          <w:rFonts w:ascii="Trebuchet MS" w:hAnsi="Trebuchet MS"/>
        </w:rPr>
        <w:t>If you are considering SPL, I recommend sitting down with your partner to review your entitlements and preferences. I’d be happy to help you work through the details or model different scenarios.</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36219E9C" w14:textId="0E6ED64E" w:rsidR="002F432F" w:rsidRDefault="001112F4" w:rsidP="002F432F">
      <w:pPr>
        <w:pStyle w:val="Listparag"/>
        <w:spacing w:after="0"/>
        <w:rPr>
          <w:rFonts w:ascii="Trebuchet MS" w:hAnsi="Trebuchet MS"/>
        </w:rPr>
      </w:pPr>
      <w:r w:rsidRPr="001112F4">
        <w:rPr>
          <w:rFonts w:ascii="Trebuchet MS" w:hAnsi="Trebuchet MS"/>
        </w:rPr>
        <w:t>Thank you for bringing forward the recent request made by the newly appointed administrative officer, who wishes to work remotely three days a week. While it’s natural to have reservations about team cohesion and service standards, it’s essential to address the request in accordance with employment law on flexible working rights.</w:t>
      </w:r>
    </w:p>
    <w:p w14:paraId="1EA0F0CD" w14:textId="77777777" w:rsidR="001112F4" w:rsidRPr="002F432F" w:rsidRDefault="001112F4" w:rsidP="002F432F">
      <w:pPr>
        <w:pStyle w:val="Listparag"/>
        <w:spacing w:after="0"/>
        <w:rPr>
          <w:rFonts w:ascii="Trebuchet MS" w:hAnsi="Trebuchet MS"/>
        </w:rPr>
      </w:pPr>
    </w:p>
    <w:p w14:paraId="094A31C9" w14:textId="5B131F11" w:rsidR="002F432F" w:rsidRDefault="00476A77" w:rsidP="002F432F">
      <w:pPr>
        <w:pStyle w:val="Listparag"/>
        <w:spacing w:after="0"/>
        <w:rPr>
          <w:rFonts w:ascii="Trebuchet MS" w:hAnsi="Trebuchet MS"/>
        </w:rPr>
      </w:pPr>
      <w:r w:rsidRPr="00476A77">
        <w:rPr>
          <w:rFonts w:ascii="Trebuchet MS" w:hAnsi="Trebuchet MS"/>
        </w:rPr>
        <w:t>According to the Employment Rights Act 1996, updated by the Flexible Working Regulations of 2014 and the 2023 reforms, every employee now has the legal right to request flexible working from the first day of their employment, as recent changes have eliminated the former 26-week qualifying period (Gov.uk, 2024)</w:t>
      </w:r>
    </w:p>
    <w:p w14:paraId="545B4CE3" w14:textId="77777777" w:rsidR="00476A77" w:rsidRPr="002F432F" w:rsidRDefault="00476A77" w:rsidP="002F432F">
      <w:pPr>
        <w:pStyle w:val="Listparag"/>
        <w:spacing w:after="0"/>
        <w:rPr>
          <w:rFonts w:ascii="Trebuchet MS" w:hAnsi="Trebuchet MS"/>
        </w:rPr>
      </w:pPr>
    </w:p>
    <w:p w14:paraId="298BC561" w14:textId="77777777" w:rsidR="002F432F" w:rsidRDefault="002F432F" w:rsidP="002F432F">
      <w:pPr>
        <w:pStyle w:val="Listparag"/>
        <w:spacing w:after="0"/>
        <w:rPr>
          <w:rFonts w:ascii="Trebuchet MS" w:hAnsi="Trebuchet MS"/>
        </w:rPr>
      </w:pPr>
      <w:r w:rsidRPr="002F432F">
        <w:rPr>
          <w:rFonts w:ascii="Trebuchet MS" w:hAnsi="Trebuchet MS"/>
        </w:rPr>
        <w:t>The request must be considered in a reasonable manner and decided upon within two months of receipt. Employers are legally required to engage meaningfully with the request, including discussing it with the employee and considering its potential impact on business operations.</w:t>
      </w:r>
    </w:p>
    <w:p w14:paraId="773BC64E" w14:textId="77777777" w:rsidR="002F432F" w:rsidRPr="002F432F" w:rsidRDefault="002F432F" w:rsidP="002F432F">
      <w:pPr>
        <w:pStyle w:val="Listparag"/>
        <w:spacing w:after="0"/>
        <w:rPr>
          <w:rFonts w:ascii="Trebuchet MS" w:hAnsi="Trebuchet MS"/>
        </w:rPr>
      </w:pPr>
    </w:p>
    <w:p w14:paraId="721FDD85" w14:textId="77777777" w:rsidR="002F432F" w:rsidRDefault="002F432F" w:rsidP="002F432F">
      <w:pPr>
        <w:pStyle w:val="Listparag"/>
        <w:spacing w:after="0"/>
        <w:rPr>
          <w:rFonts w:ascii="Trebuchet MS" w:hAnsi="Trebuchet MS"/>
        </w:rPr>
      </w:pPr>
      <w:r w:rsidRPr="002F432F">
        <w:rPr>
          <w:rFonts w:ascii="Trebuchet MS" w:hAnsi="Trebuchet MS"/>
        </w:rPr>
        <w:t>You are not obliged to approve every request, but refusal must be based on one or more of the eight statutory grounds, including:</w:t>
      </w:r>
    </w:p>
    <w:p w14:paraId="124B1471" w14:textId="77777777" w:rsidR="002F432F" w:rsidRPr="002F432F" w:rsidRDefault="002F432F" w:rsidP="002F432F">
      <w:pPr>
        <w:pStyle w:val="Listparag"/>
        <w:spacing w:after="0"/>
        <w:rPr>
          <w:rFonts w:ascii="Trebuchet MS" w:hAnsi="Trebuchet MS"/>
        </w:rPr>
      </w:pPr>
    </w:p>
    <w:p w14:paraId="4B823BDD" w14:textId="77777777" w:rsidR="002F432F" w:rsidRPr="002F432F" w:rsidRDefault="002F432F" w:rsidP="002F432F">
      <w:pPr>
        <w:pStyle w:val="Listparag"/>
        <w:numPr>
          <w:ilvl w:val="0"/>
          <w:numId w:val="22"/>
        </w:numPr>
        <w:spacing w:after="0"/>
        <w:rPr>
          <w:rFonts w:ascii="Trebuchet MS" w:hAnsi="Trebuchet MS"/>
        </w:rPr>
      </w:pPr>
      <w:r w:rsidRPr="002F432F">
        <w:rPr>
          <w:rFonts w:ascii="Trebuchet MS" w:hAnsi="Trebuchet MS"/>
        </w:rPr>
        <w:t>Detrimental impact on quality or performance</w:t>
      </w:r>
    </w:p>
    <w:p w14:paraId="5E3F7390" w14:textId="77777777" w:rsidR="002F432F" w:rsidRPr="002F432F" w:rsidRDefault="002F432F" w:rsidP="002F432F">
      <w:pPr>
        <w:pStyle w:val="Listparag"/>
        <w:numPr>
          <w:ilvl w:val="0"/>
          <w:numId w:val="22"/>
        </w:numPr>
        <w:spacing w:after="0"/>
        <w:rPr>
          <w:rFonts w:ascii="Trebuchet MS" w:hAnsi="Trebuchet MS"/>
        </w:rPr>
      </w:pPr>
      <w:r w:rsidRPr="002F432F">
        <w:rPr>
          <w:rFonts w:ascii="Trebuchet MS" w:hAnsi="Trebuchet MS"/>
        </w:rPr>
        <w:t>Burden of additional costs</w:t>
      </w:r>
    </w:p>
    <w:p w14:paraId="434132D4" w14:textId="0E27C8C1" w:rsidR="002F432F" w:rsidRPr="002F432F" w:rsidRDefault="002F432F" w:rsidP="002F432F">
      <w:pPr>
        <w:pStyle w:val="Listparag"/>
        <w:numPr>
          <w:ilvl w:val="0"/>
          <w:numId w:val="22"/>
        </w:numPr>
        <w:spacing w:after="0"/>
        <w:rPr>
          <w:rFonts w:ascii="Trebuchet MS" w:hAnsi="Trebuchet MS"/>
        </w:rPr>
      </w:pPr>
      <w:r w:rsidRPr="002F432F">
        <w:rPr>
          <w:rFonts w:ascii="Trebuchet MS" w:hAnsi="Trebuchet MS"/>
        </w:rPr>
        <w:t xml:space="preserve">Inability to reorganise </w:t>
      </w:r>
      <w:r w:rsidR="00B1243B">
        <w:rPr>
          <w:rFonts w:ascii="Trebuchet MS" w:hAnsi="Trebuchet MS"/>
        </w:rPr>
        <w:t xml:space="preserve">or reallocate </w:t>
      </w:r>
      <w:r w:rsidRPr="002F432F">
        <w:rPr>
          <w:rFonts w:ascii="Trebuchet MS" w:hAnsi="Trebuchet MS"/>
        </w:rPr>
        <w:t>work among existing staff</w:t>
      </w:r>
    </w:p>
    <w:p w14:paraId="3747CEDA" w14:textId="49F70863" w:rsidR="002F432F" w:rsidRDefault="002F432F" w:rsidP="002F432F">
      <w:pPr>
        <w:pStyle w:val="Listparag"/>
        <w:numPr>
          <w:ilvl w:val="0"/>
          <w:numId w:val="22"/>
        </w:numPr>
        <w:spacing w:after="0"/>
        <w:rPr>
          <w:rFonts w:ascii="Trebuchet MS" w:hAnsi="Trebuchet MS"/>
        </w:rPr>
      </w:pPr>
      <w:r w:rsidRPr="002F432F">
        <w:rPr>
          <w:rFonts w:ascii="Trebuchet MS" w:hAnsi="Trebuchet MS"/>
        </w:rPr>
        <w:t>Negativ</w:t>
      </w:r>
      <w:r w:rsidR="00EA1678">
        <w:rPr>
          <w:rFonts w:ascii="Trebuchet MS" w:hAnsi="Trebuchet MS"/>
        </w:rPr>
        <w:t>ely impacts the</w:t>
      </w:r>
      <w:r w:rsidRPr="002F432F">
        <w:rPr>
          <w:rFonts w:ascii="Trebuchet MS" w:hAnsi="Trebuchet MS"/>
        </w:rPr>
        <w:t xml:space="preserve"> ability to meet customer demand (Gov.uk, 2024)</w:t>
      </w:r>
    </w:p>
    <w:p w14:paraId="10BEC532" w14:textId="77777777" w:rsidR="002F432F" w:rsidRPr="002F432F" w:rsidRDefault="002F432F" w:rsidP="002F432F">
      <w:pPr>
        <w:pStyle w:val="Listparag"/>
        <w:spacing w:after="0"/>
        <w:rPr>
          <w:rFonts w:ascii="Trebuchet MS" w:hAnsi="Trebuchet MS"/>
        </w:rPr>
      </w:pPr>
    </w:p>
    <w:p w14:paraId="58D740E2" w14:textId="29D9E8EC" w:rsidR="002F432F" w:rsidRDefault="002F432F" w:rsidP="002F432F">
      <w:pPr>
        <w:pStyle w:val="Listparag"/>
        <w:spacing w:after="0"/>
        <w:rPr>
          <w:rFonts w:ascii="Trebuchet MS" w:hAnsi="Trebuchet MS"/>
        </w:rPr>
      </w:pPr>
      <w:r w:rsidRPr="002F432F">
        <w:rPr>
          <w:rFonts w:ascii="Trebuchet MS" w:hAnsi="Trebuchet MS"/>
        </w:rPr>
        <w:t>Concerns about setting a precedent for other staff should not form the sole reason for rejection.</w:t>
      </w:r>
      <w:r w:rsidR="00480497">
        <w:rPr>
          <w:rFonts w:ascii="Trebuchet MS" w:hAnsi="Trebuchet MS"/>
        </w:rPr>
        <w:t xml:space="preserve"> </w:t>
      </w:r>
      <w:r w:rsidRPr="002F432F">
        <w:rPr>
          <w:rFonts w:ascii="Trebuchet MS" w:hAnsi="Trebuchet MS"/>
        </w:rPr>
        <w:t>Each request should be judged individually and on its own merits. Importantly, blanket policies or assumptions about roles being unsuitable for remote working may risk indirect discrimination, particularly if they disproportionately impact certain groups (CIPD, 2023).</w:t>
      </w:r>
    </w:p>
    <w:p w14:paraId="114311BA" w14:textId="77777777" w:rsidR="002F432F" w:rsidRPr="002F432F" w:rsidRDefault="002F432F" w:rsidP="002F432F">
      <w:pPr>
        <w:pStyle w:val="Listparag"/>
        <w:spacing w:after="0"/>
        <w:rPr>
          <w:rFonts w:ascii="Trebuchet MS" w:hAnsi="Trebuchet MS"/>
        </w:rPr>
      </w:pPr>
    </w:p>
    <w:p w14:paraId="54E10713" w14:textId="77777777" w:rsidR="002F432F" w:rsidRDefault="002F432F" w:rsidP="002F432F">
      <w:pPr>
        <w:pStyle w:val="Listparag"/>
        <w:spacing w:after="0"/>
        <w:rPr>
          <w:rFonts w:ascii="Trebuchet MS" w:hAnsi="Trebuchet MS"/>
        </w:rPr>
      </w:pPr>
      <w:r w:rsidRPr="002F432F">
        <w:rPr>
          <w:rFonts w:ascii="Trebuchet MS" w:hAnsi="Trebuchet MS"/>
        </w:rPr>
        <w:t xml:space="preserve">The case of </w:t>
      </w:r>
      <w:r w:rsidRPr="002F432F">
        <w:rPr>
          <w:rFonts w:ascii="Trebuchet MS" w:hAnsi="Trebuchet MS"/>
          <w:i/>
          <w:iCs/>
        </w:rPr>
        <w:t xml:space="preserve">Thompson v </w:t>
      </w:r>
      <w:proofErr w:type="spellStart"/>
      <w:r w:rsidRPr="002F432F">
        <w:rPr>
          <w:rFonts w:ascii="Trebuchet MS" w:hAnsi="Trebuchet MS"/>
          <w:i/>
          <w:iCs/>
        </w:rPr>
        <w:t>Scancrown</w:t>
      </w:r>
      <w:proofErr w:type="spellEnd"/>
      <w:r w:rsidRPr="002F432F">
        <w:rPr>
          <w:rFonts w:ascii="Trebuchet MS" w:hAnsi="Trebuchet MS"/>
          <w:i/>
          <w:iCs/>
        </w:rPr>
        <w:t xml:space="preserve"> Ltd (t/a Manors)</w:t>
      </w:r>
      <w:r w:rsidRPr="002F432F">
        <w:rPr>
          <w:rFonts w:ascii="Trebuchet MS" w:hAnsi="Trebuchet MS"/>
        </w:rPr>
        <w:t xml:space="preserve"> [2021] ET illustrates this. The Employment Tribunal found in favour of a female employee who was denied a flexible working request to accommodate childcare. The employer’s failure to consider her request properly and fairly amounted to indirect sex discrimination.</w:t>
      </w:r>
    </w:p>
    <w:p w14:paraId="3D18B1F3" w14:textId="77777777" w:rsidR="002F432F" w:rsidRPr="002F432F" w:rsidRDefault="002F432F" w:rsidP="002F432F">
      <w:pPr>
        <w:pStyle w:val="Listparag"/>
        <w:spacing w:after="0"/>
        <w:rPr>
          <w:rFonts w:ascii="Trebuchet MS" w:hAnsi="Trebuchet MS"/>
        </w:rPr>
      </w:pPr>
    </w:p>
    <w:p w14:paraId="57D95019" w14:textId="77777777" w:rsidR="002F432F" w:rsidRPr="002F432F" w:rsidRDefault="002F432F" w:rsidP="002F432F">
      <w:pPr>
        <w:pStyle w:val="Listparag"/>
        <w:spacing w:after="0"/>
        <w:rPr>
          <w:rFonts w:ascii="Trebuchet MS" w:hAnsi="Trebuchet MS"/>
        </w:rPr>
      </w:pPr>
      <w:r w:rsidRPr="002F432F">
        <w:rPr>
          <w:rFonts w:ascii="Trebuchet MS" w:hAnsi="Trebuchet MS"/>
        </w:rPr>
        <w:t>Therefore, while concerns about team efficiency are valid, rejecting the request without a proper process or evidence-based reasoning could expose the Trust to legal challenge. I recommend evaluating the operational impact of the officer’s proposal, discussing it openly with her, and ensuring that any decision is documented and objectively justified.</w:t>
      </w:r>
    </w:p>
    <w:p w14:paraId="1DA21CDB" w14:textId="77777777" w:rsidR="001F628C" w:rsidRDefault="001F628C" w:rsidP="00A85170">
      <w:pPr>
        <w:pStyle w:val="Listparag"/>
        <w:spacing w:after="0" w:line="240" w:lineRule="auto"/>
        <w:rPr>
          <w:rFonts w:ascii="Trebuchet MS" w:hAnsi="Trebuchet MS"/>
        </w:rPr>
      </w:pPr>
    </w:p>
    <w:p w14:paraId="14E76552" w14:textId="77777777" w:rsidR="001F628C" w:rsidRDefault="001F628C" w:rsidP="00A85170">
      <w:pPr>
        <w:pStyle w:val="Listparag"/>
        <w:spacing w:after="0" w:line="240" w:lineRule="auto"/>
        <w:rPr>
          <w:rFonts w:ascii="Trebuchet MS" w:hAnsi="Trebuchet MS"/>
        </w:rPr>
      </w:pPr>
    </w:p>
    <w:p w14:paraId="73227645" w14:textId="77777777" w:rsidR="00480497" w:rsidRDefault="00480497" w:rsidP="00A85170">
      <w:pPr>
        <w:pStyle w:val="Listparag"/>
        <w:spacing w:after="0" w:line="240" w:lineRule="auto"/>
        <w:rPr>
          <w:rFonts w:ascii="Trebuchet MS" w:hAnsi="Trebuchet MS"/>
        </w:rPr>
      </w:pPr>
    </w:p>
    <w:p w14:paraId="46CB964D" w14:textId="77777777" w:rsidR="00480497" w:rsidRDefault="00480497" w:rsidP="00A85170">
      <w:pPr>
        <w:pStyle w:val="Listparag"/>
        <w:spacing w:after="0" w:line="240" w:lineRule="auto"/>
        <w:rPr>
          <w:rFonts w:ascii="Trebuchet MS" w:hAnsi="Trebuchet MS"/>
        </w:rPr>
      </w:pPr>
    </w:p>
    <w:p w14:paraId="6005D216" w14:textId="77777777" w:rsidR="00480497" w:rsidRDefault="00480497" w:rsidP="00A85170">
      <w:pPr>
        <w:pStyle w:val="Listparag"/>
        <w:spacing w:after="0" w:line="240" w:lineRule="auto"/>
        <w:rPr>
          <w:rFonts w:ascii="Trebuchet MS" w:hAnsi="Trebuchet MS"/>
        </w:rPr>
      </w:pPr>
    </w:p>
    <w:p w14:paraId="3568E170" w14:textId="77777777" w:rsidR="00480497" w:rsidRDefault="00480497" w:rsidP="00A85170">
      <w:pPr>
        <w:pStyle w:val="Listparag"/>
        <w:spacing w:after="0" w:line="240" w:lineRule="auto"/>
        <w:rPr>
          <w:rFonts w:ascii="Trebuchet MS" w:hAnsi="Trebuchet MS"/>
        </w:rPr>
      </w:pPr>
    </w:p>
    <w:p w14:paraId="168939AD" w14:textId="77777777" w:rsidR="00480497" w:rsidRDefault="00480497" w:rsidP="00A85170">
      <w:pPr>
        <w:pStyle w:val="Listparag"/>
        <w:spacing w:after="0" w:line="240" w:lineRule="auto"/>
        <w:rPr>
          <w:rFonts w:ascii="Trebuchet MS" w:hAnsi="Trebuchet MS"/>
        </w:rPr>
      </w:pPr>
    </w:p>
    <w:p w14:paraId="3D3271A0" w14:textId="77777777" w:rsidR="00480497" w:rsidRDefault="00480497" w:rsidP="00A85170">
      <w:pPr>
        <w:pStyle w:val="Listparag"/>
        <w:spacing w:after="0" w:line="240" w:lineRule="auto"/>
        <w:rPr>
          <w:rFonts w:ascii="Trebuchet MS" w:hAnsi="Trebuchet MS"/>
        </w:rPr>
      </w:pPr>
    </w:p>
    <w:p w14:paraId="06346931" w14:textId="77777777" w:rsidR="00480497" w:rsidRDefault="00480497" w:rsidP="00A85170">
      <w:pPr>
        <w:pStyle w:val="Listparag"/>
        <w:spacing w:after="0" w:line="240" w:lineRule="auto"/>
        <w:rPr>
          <w:rFonts w:ascii="Trebuchet MS" w:hAnsi="Trebuchet MS"/>
        </w:rPr>
      </w:pPr>
    </w:p>
    <w:p w14:paraId="45FA95B7" w14:textId="77777777" w:rsidR="001F628C" w:rsidRDefault="001F628C" w:rsidP="00A85170">
      <w:pPr>
        <w:pStyle w:val="Listparag"/>
        <w:spacing w:after="0" w:line="240" w:lineRule="auto"/>
        <w:rPr>
          <w:rFonts w:ascii="Trebuchet MS" w:hAnsi="Trebuchet MS"/>
        </w:rPr>
      </w:pPr>
    </w:p>
    <w:p w14:paraId="1103B946" w14:textId="77892F4A" w:rsidR="001F628C" w:rsidRDefault="001F628C" w:rsidP="00A85170">
      <w:pPr>
        <w:pStyle w:val="Listparag"/>
        <w:spacing w:after="0" w:line="240" w:lineRule="auto"/>
        <w:rPr>
          <w:rFonts w:ascii="Trebuchet MS" w:hAnsi="Trebuchet MS"/>
          <w:b/>
          <w:bCs/>
        </w:rPr>
      </w:pPr>
      <w:r w:rsidRPr="001F628C">
        <w:rPr>
          <w:rFonts w:ascii="Trebuchet MS" w:hAnsi="Trebuchet MS"/>
          <w:b/>
          <w:bCs/>
        </w:rPr>
        <w:t xml:space="preserve">References </w:t>
      </w:r>
    </w:p>
    <w:p w14:paraId="3ADF9184" w14:textId="77777777" w:rsidR="001F628C" w:rsidRDefault="001F628C" w:rsidP="00A85170">
      <w:pPr>
        <w:pStyle w:val="Listparag"/>
        <w:spacing w:after="0" w:line="240" w:lineRule="auto"/>
        <w:rPr>
          <w:rFonts w:ascii="Trebuchet MS" w:hAnsi="Trebuchet MS"/>
          <w:b/>
          <w:bCs/>
        </w:rPr>
      </w:pPr>
    </w:p>
    <w:p w14:paraId="4F23A316" w14:textId="77777777" w:rsidR="007704D5" w:rsidRDefault="001F628C" w:rsidP="00EB0AB9">
      <w:pPr>
        <w:pStyle w:val="Listparag"/>
        <w:numPr>
          <w:ilvl w:val="0"/>
          <w:numId w:val="23"/>
        </w:numPr>
        <w:spacing w:after="0" w:line="240" w:lineRule="auto"/>
      </w:pPr>
      <w:r w:rsidRPr="00DE5F6A">
        <w:rPr>
          <w:rFonts w:ascii="Trebuchet MS" w:eastAsiaTheme="minorHAnsi" w:hAnsi="Trebuchet MS" w:cs="Arial"/>
          <w:color w:val="004147" w:themeColor="accent2" w:themeShade="80"/>
          <w:lang w:eastAsia="en-US"/>
        </w:rPr>
        <w:t xml:space="preserve">ACAS (2024) </w:t>
      </w:r>
      <w:r w:rsidRPr="00DE5F6A">
        <w:rPr>
          <w:rFonts w:ascii="Trebuchet MS" w:eastAsiaTheme="minorHAnsi" w:hAnsi="Trebuchet MS" w:cs="Arial"/>
          <w:i/>
          <w:iCs/>
          <w:color w:val="004147" w:themeColor="accent2" w:themeShade="80"/>
          <w:lang w:eastAsia="en-US"/>
        </w:rPr>
        <w:t>Understanding employment rights</w:t>
      </w:r>
      <w:r w:rsidRPr="00DE5F6A">
        <w:rPr>
          <w:rFonts w:ascii="Trebuchet MS" w:eastAsiaTheme="minorHAnsi" w:hAnsi="Trebuchet MS" w:cs="Arial"/>
          <w:color w:val="004147" w:themeColor="accent2" w:themeShade="80"/>
          <w:lang w:eastAsia="en-US"/>
        </w:rPr>
        <w:t xml:space="preserve">. Available at: </w:t>
      </w:r>
      <w:hyperlink r:id="rId11" w:tgtFrame="_new" w:history="1">
        <w:r w:rsidRPr="00DE5F6A">
          <w:rPr>
            <w:rStyle w:val="Hyperlink"/>
            <w:rFonts w:ascii="Trebuchet MS" w:eastAsiaTheme="minorHAnsi" w:hAnsi="Trebuchet MS" w:cs="Arial"/>
            <w:lang w:eastAsia="en-US"/>
          </w:rPr>
          <w:t>https://www.acas.org.uk</w:t>
        </w:r>
      </w:hyperlink>
    </w:p>
    <w:p w14:paraId="460B86B7" w14:textId="77777777" w:rsidR="00224495" w:rsidRDefault="00224495" w:rsidP="00A85170">
      <w:pPr>
        <w:pStyle w:val="Listparag"/>
        <w:spacing w:after="0" w:line="240" w:lineRule="auto"/>
      </w:pPr>
    </w:p>
    <w:p w14:paraId="6B4CFFA9" w14:textId="03F8EC7C" w:rsidR="00224495" w:rsidRDefault="00224495" w:rsidP="00EB0AB9">
      <w:pPr>
        <w:pStyle w:val="Listparag"/>
        <w:numPr>
          <w:ilvl w:val="0"/>
          <w:numId w:val="23"/>
        </w:numPr>
        <w:spacing w:after="0" w:line="240" w:lineRule="auto"/>
      </w:pPr>
      <w:r w:rsidRPr="00DE5F6A">
        <w:rPr>
          <w:rFonts w:ascii="Trebuchet MS" w:eastAsiaTheme="minorHAnsi" w:hAnsi="Trebuchet MS" w:cs="Arial"/>
          <w:color w:val="004147" w:themeColor="accent2" w:themeShade="80"/>
          <w:lang w:eastAsia="en-US"/>
        </w:rPr>
        <w:t xml:space="preserve">CIPD (2023) </w:t>
      </w:r>
      <w:r w:rsidRPr="00DE5F6A">
        <w:rPr>
          <w:rFonts w:ascii="Trebuchet MS" w:eastAsiaTheme="minorHAnsi" w:hAnsi="Trebuchet MS" w:cs="Arial"/>
          <w:i/>
          <w:iCs/>
          <w:color w:val="004147" w:themeColor="accent2" w:themeShade="80"/>
          <w:lang w:eastAsia="en-US"/>
        </w:rPr>
        <w:t>Constructive dismissal</w:t>
      </w:r>
      <w:r w:rsidRPr="00DE5F6A">
        <w:rPr>
          <w:rFonts w:ascii="Trebuchet MS" w:eastAsiaTheme="minorHAnsi" w:hAnsi="Trebuchet MS" w:cs="Arial"/>
          <w:color w:val="004147" w:themeColor="accent2" w:themeShade="80"/>
          <w:lang w:eastAsia="en-US"/>
        </w:rPr>
        <w:t xml:space="preserve">. Available at: </w:t>
      </w:r>
      <w:hyperlink r:id="rId12" w:history="1">
        <w:r w:rsidRPr="00DE5F6A">
          <w:rPr>
            <w:rStyle w:val="Hyperlink"/>
            <w:rFonts w:ascii="Trebuchet MS" w:eastAsiaTheme="minorHAnsi" w:hAnsi="Trebuchet MS" w:cs="Arial"/>
            <w:lang w:eastAsia="en-US"/>
          </w:rPr>
          <w:t>https://www.cipd.org/uk</w:t>
        </w:r>
      </w:hyperlink>
    </w:p>
    <w:p w14:paraId="66F690BC" w14:textId="77777777" w:rsidR="007704D5" w:rsidRDefault="007704D5" w:rsidP="00A85170">
      <w:pPr>
        <w:pStyle w:val="Listparag"/>
        <w:spacing w:after="0" w:line="240" w:lineRule="auto"/>
      </w:pPr>
    </w:p>
    <w:p w14:paraId="4B5A1C80" w14:textId="77777777" w:rsidR="00224495" w:rsidRDefault="007704D5" w:rsidP="00EB0AB9">
      <w:pPr>
        <w:pStyle w:val="Listparag"/>
        <w:numPr>
          <w:ilvl w:val="0"/>
          <w:numId w:val="23"/>
        </w:numPr>
        <w:spacing w:after="0" w:line="240" w:lineRule="auto"/>
      </w:pPr>
      <w:r w:rsidRPr="00DE5F6A">
        <w:rPr>
          <w:rFonts w:ascii="Trebuchet MS" w:eastAsiaTheme="minorHAnsi" w:hAnsi="Trebuchet MS" w:cs="Arial"/>
          <w:color w:val="004147" w:themeColor="accent2" w:themeShade="80"/>
          <w:lang w:eastAsia="en-US"/>
        </w:rPr>
        <w:t xml:space="preserve">CIPD (2023) </w:t>
      </w:r>
      <w:r w:rsidRPr="00224495">
        <w:rPr>
          <w:rFonts w:ascii="Trebuchet MS" w:eastAsiaTheme="minorHAnsi" w:hAnsi="Trebuchet MS" w:cs="Arial"/>
          <w:i/>
          <w:iCs/>
          <w:color w:val="004147" w:themeColor="accent2" w:themeShade="80"/>
          <w:lang w:eastAsia="en-US"/>
        </w:rPr>
        <w:t>Diversity and inclusion in recruitment</w:t>
      </w:r>
      <w:r w:rsidRPr="00DE5F6A">
        <w:rPr>
          <w:rFonts w:ascii="Trebuchet MS" w:eastAsiaTheme="minorHAnsi" w:hAnsi="Trebuchet MS" w:cs="Arial"/>
          <w:color w:val="004147" w:themeColor="accent2" w:themeShade="80"/>
          <w:lang w:eastAsia="en-US"/>
        </w:rPr>
        <w:t xml:space="preserve">. Available at: </w:t>
      </w:r>
      <w:hyperlink r:id="rId13" w:history="1">
        <w:r w:rsidRPr="00DE5F6A">
          <w:rPr>
            <w:rStyle w:val="Hyperlink"/>
            <w:rFonts w:ascii="Trebuchet MS" w:eastAsiaTheme="minorHAnsi" w:hAnsi="Trebuchet MS" w:cs="Arial"/>
            <w:lang w:eastAsia="en-US"/>
          </w:rPr>
          <w:t>https://www.cipd.org/uk</w:t>
        </w:r>
      </w:hyperlink>
    </w:p>
    <w:p w14:paraId="490E59A9" w14:textId="77777777" w:rsidR="00224495" w:rsidRDefault="00224495" w:rsidP="00A85170">
      <w:pPr>
        <w:pStyle w:val="Listparag"/>
        <w:spacing w:after="0" w:line="240" w:lineRule="auto"/>
      </w:pPr>
    </w:p>
    <w:p w14:paraId="57974D1C" w14:textId="46927E7D" w:rsidR="001F628C" w:rsidRPr="00DE5F6A" w:rsidRDefault="00224495"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DE5F6A">
        <w:rPr>
          <w:rFonts w:ascii="Trebuchet MS" w:eastAsiaTheme="minorHAnsi" w:hAnsi="Trebuchet MS" w:cs="Arial"/>
          <w:color w:val="004147" w:themeColor="accent2" w:themeShade="80"/>
          <w:lang w:eastAsia="en-US"/>
        </w:rPr>
        <w:t xml:space="preserve">CIPD (2023) </w:t>
      </w:r>
      <w:r w:rsidRPr="00DE5F6A">
        <w:rPr>
          <w:rFonts w:ascii="Trebuchet MS" w:eastAsiaTheme="minorHAnsi" w:hAnsi="Trebuchet MS" w:cs="Arial"/>
          <w:i/>
          <w:iCs/>
          <w:color w:val="004147" w:themeColor="accent2" w:themeShade="80"/>
          <w:lang w:eastAsia="en-US"/>
        </w:rPr>
        <w:t>Equal pay</w:t>
      </w:r>
      <w:r w:rsidRPr="00DE5F6A">
        <w:rPr>
          <w:rFonts w:ascii="Trebuchet MS" w:eastAsiaTheme="minorHAnsi" w:hAnsi="Trebuchet MS" w:cs="Arial"/>
          <w:color w:val="004147" w:themeColor="accent2" w:themeShade="80"/>
          <w:lang w:eastAsia="en-US"/>
        </w:rPr>
        <w:t xml:space="preserve">. Available at: </w:t>
      </w:r>
      <w:hyperlink r:id="rId14" w:history="1">
        <w:r w:rsidRPr="00DE5F6A">
          <w:rPr>
            <w:rStyle w:val="Hyperlink"/>
            <w:rFonts w:ascii="Trebuchet MS" w:eastAsiaTheme="minorHAnsi" w:hAnsi="Trebuchet MS" w:cs="Arial"/>
            <w:lang w:eastAsia="en-US"/>
          </w:rPr>
          <w:t>https://www.cipd.org/uk</w:t>
        </w:r>
      </w:hyperlink>
      <w:r w:rsidR="001F628C" w:rsidRPr="00DE5F6A">
        <w:rPr>
          <w:rFonts w:ascii="Trebuchet MS" w:eastAsiaTheme="minorHAnsi" w:hAnsi="Trebuchet MS" w:cs="Arial"/>
          <w:color w:val="004147" w:themeColor="accent2" w:themeShade="80"/>
          <w:lang w:eastAsia="en-US"/>
        </w:rPr>
        <w:br/>
      </w:r>
    </w:p>
    <w:p w14:paraId="7C8CBB0C" w14:textId="3706A656" w:rsidR="00224495" w:rsidRDefault="001F628C"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DE5F6A">
        <w:rPr>
          <w:rFonts w:ascii="Trebuchet MS" w:eastAsiaTheme="minorHAnsi" w:hAnsi="Trebuchet MS" w:cs="Arial"/>
          <w:color w:val="004147" w:themeColor="accent2" w:themeShade="80"/>
          <w:lang w:eastAsia="en-US"/>
        </w:rPr>
        <w:t xml:space="preserve">CIPD (2023) </w:t>
      </w:r>
      <w:r w:rsidRPr="00DE5F6A">
        <w:rPr>
          <w:rFonts w:ascii="Trebuchet MS" w:eastAsiaTheme="minorHAnsi" w:hAnsi="Trebuchet MS" w:cs="Arial"/>
          <w:i/>
          <w:iCs/>
          <w:color w:val="004147" w:themeColor="accent2" w:themeShade="80"/>
          <w:lang w:eastAsia="en-US"/>
        </w:rPr>
        <w:t>Employment law: an introduction</w:t>
      </w:r>
      <w:r w:rsidRPr="00DE5F6A">
        <w:rPr>
          <w:rFonts w:ascii="Trebuchet MS" w:eastAsiaTheme="minorHAnsi" w:hAnsi="Trebuchet MS" w:cs="Arial"/>
          <w:color w:val="004147" w:themeColor="accent2" w:themeShade="80"/>
          <w:lang w:eastAsia="en-US"/>
        </w:rPr>
        <w:t xml:space="preserve">. Available at: </w:t>
      </w:r>
      <w:hyperlink r:id="rId15" w:history="1">
        <w:r w:rsidR="00224495" w:rsidRPr="006E55B7">
          <w:rPr>
            <w:rStyle w:val="Hyperlink"/>
            <w:rFonts w:ascii="Trebuchet MS" w:eastAsiaTheme="minorHAnsi" w:hAnsi="Trebuchet MS" w:cs="Arial"/>
            <w:lang w:eastAsia="en-US"/>
          </w:rPr>
          <w:t>https://www.cipd.org/uk/knowledge/employment-law</w:t>
        </w:r>
      </w:hyperlink>
    </w:p>
    <w:p w14:paraId="13312AA5" w14:textId="77777777" w:rsidR="00EB0AB9" w:rsidRDefault="00EB0AB9" w:rsidP="00A85170">
      <w:pPr>
        <w:pStyle w:val="Listparag"/>
        <w:spacing w:after="0" w:line="240" w:lineRule="auto"/>
        <w:rPr>
          <w:rFonts w:ascii="Trebuchet MS" w:eastAsiaTheme="minorHAnsi" w:hAnsi="Trebuchet MS" w:cs="Arial"/>
          <w:color w:val="004147" w:themeColor="accent2" w:themeShade="80"/>
          <w:lang w:eastAsia="en-US"/>
        </w:rPr>
      </w:pPr>
    </w:p>
    <w:p w14:paraId="3B7956C8" w14:textId="390313A5" w:rsidR="00EB0AB9" w:rsidRDefault="00EB0AB9"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9E3892">
        <w:rPr>
          <w:rFonts w:ascii="Trebuchet MS" w:eastAsiaTheme="minorHAnsi" w:hAnsi="Trebuchet MS" w:cs="Arial"/>
          <w:color w:val="004147" w:themeColor="accent2" w:themeShade="80"/>
          <w:lang w:eastAsia="en-US"/>
        </w:rPr>
        <w:t xml:space="preserve">CIPD (2023) </w:t>
      </w:r>
      <w:r w:rsidRPr="009E3892">
        <w:rPr>
          <w:rFonts w:ascii="Trebuchet MS" w:eastAsiaTheme="minorHAnsi" w:hAnsi="Trebuchet MS" w:cs="Arial"/>
          <w:i/>
          <w:iCs/>
          <w:color w:val="004147" w:themeColor="accent2" w:themeShade="80"/>
          <w:lang w:eastAsia="en-US"/>
        </w:rPr>
        <w:t>Flexible working practices</w:t>
      </w:r>
      <w:r w:rsidRPr="009E3892">
        <w:rPr>
          <w:rFonts w:ascii="Trebuchet MS" w:eastAsiaTheme="minorHAnsi" w:hAnsi="Trebuchet MS" w:cs="Arial"/>
          <w:color w:val="004147" w:themeColor="accent2" w:themeShade="80"/>
          <w:lang w:eastAsia="en-US"/>
        </w:rPr>
        <w:t xml:space="preserve">. Available at: </w:t>
      </w:r>
      <w:hyperlink r:id="rId16" w:history="1">
        <w:r w:rsidRPr="007C4B4C">
          <w:rPr>
            <w:rStyle w:val="Hyperlink"/>
            <w:rFonts w:ascii="Trebuchet MS" w:eastAsiaTheme="minorHAnsi" w:hAnsi="Trebuchet MS" w:cs="Arial"/>
            <w:lang w:eastAsia="en-US"/>
          </w:rPr>
          <w:t>https://www.cipd.org/uk</w:t>
        </w:r>
      </w:hyperlink>
    </w:p>
    <w:p w14:paraId="2E86324C" w14:textId="77777777" w:rsidR="00EB0AB9" w:rsidRDefault="00EB0AB9" w:rsidP="00A85170">
      <w:pPr>
        <w:pStyle w:val="Listparag"/>
        <w:spacing w:after="0" w:line="240" w:lineRule="auto"/>
        <w:rPr>
          <w:rFonts w:ascii="Trebuchet MS" w:eastAsiaTheme="minorHAnsi" w:hAnsi="Trebuchet MS" w:cs="Arial"/>
          <w:color w:val="004147" w:themeColor="accent2" w:themeShade="80"/>
          <w:lang w:eastAsia="en-US"/>
        </w:rPr>
      </w:pPr>
    </w:p>
    <w:p w14:paraId="73BD3E65" w14:textId="3E0FA632" w:rsidR="00EB0AB9" w:rsidRDefault="00EB0AB9"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005A40">
        <w:rPr>
          <w:rFonts w:ascii="Trebuchet MS" w:eastAsiaTheme="minorHAnsi" w:hAnsi="Trebuchet MS" w:cs="Arial"/>
          <w:color w:val="004147" w:themeColor="accent2" w:themeShade="80"/>
          <w:lang w:eastAsia="en-US"/>
        </w:rPr>
        <w:t xml:space="preserve">CIPD (2023) </w:t>
      </w:r>
      <w:r w:rsidRPr="00005A40">
        <w:rPr>
          <w:rFonts w:ascii="Trebuchet MS" w:eastAsiaTheme="minorHAnsi" w:hAnsi="Trebuchet MS" w:cs="Arial"/>
          <w:i/>
          <w:iCs/>
          <w:color w:val="004147" w:themeColor="accent2" w:themeShade="80"/>
          <w:lang w:eastAsia="en-US"/>
        </w:rPr>
        <w:t>Holiday pay</w:t>
      </w:r>
      <w:r w:rsidRPr="00005A40">
        <w:rPr>
          <w:rFonts w:ascii="Trebuchet MS" w:eastAsiaTheme="minorHAnsi" w:hAnsi="Trebuchet MS" w:cs="Arial"/>
          <w:color w:val="004147" w:themeColor="accent2" w:themeShade="80"/>
          <w:lang w:eastAsia="en-US"/>
        </w:rPr>
        <w:t xml:space="preserve">. Available at: </w:t>
      </w:r>
      <w:hyperlink r:id="rId17" w:history="1">
        <w:r w:rsidRPr="007C4B4C">
          <w:rPr>
            <w:rStyle w:val="Hyperlink"/>
            <w:rFonts w:ascii="Trebuchet MS" w:eastAsiaTheme="minorHAnsi" w:hAnsi="Trebuchet MS" w:cs="Arial"/>
            <w:lang w:eastAsia="en-US"/>
          </w:rPr>
          <w:t>https://www.cipd.org/uk</w:t>
        </w:r>
      </w:hyperlink>
    </w:p>
    <w:p w14:paraId="6530D47B" w14:textId="77777777" w:rsidR="00224495" w:rsidRDefault="00224495" w:rsidP="00A85170">
      <w:pPr>
        <w:pStyle w:val="Listparag"/>
        <w:spacing w:after="0" w:line="240" w:lineRule="auto"/>
        <w:rPr>
          <w:rFonts w:ascii="Trebuchet MS" w:eastAsiaTheme="minorHAnsi" w:hAnsi="Trebuchet MS" w:cs="Arial"/>
          <w:color w:val="004147" w:themeColor="accent2" w:themeShade="80"/>
          <w:lang w:eastAsia="en-US"/>
        </w:rPr>
      </w:pPr>
    </w:p>
    <w:p w14:paraId="4B38869A" w14:textId="74C1E0DE" w:rsidR="00224495" w:rsidRDefault="00224495" w:rsidP="00EB0AB9">
      <w:pPr>
        <w:pStyle w:val="Listparag"/>
        <w:numPr>
          <w:ilvl w:val="0"/>
          <w:numId w:val="23"/>
        </w:numPr>
        <w:spacing w:after="0" w:line="240" w:lineRule="auto"/>
      </w:pPr>
      <w:r w:rsidRPr="000A4AFD">
        <w:rPr>
          <w:rFonts w:ascii="Trebuchet MS" w:eastAsiaTheme="minorHAnsi" w:hAnsi="Trebuchet MS" w:cs="Arial"/>
          <w:color w:val="004147" w:themeColor="accent2" w:themeShade="80"/>
          <w:lang w:eastAsia="en-US"/>
        </w:rPr>
        <w:t xml:space="preserve">CIPD (2023) </w:t>
      </w:r>
      <w:r w:rsidRPr="000A4AFD">
        <w:rPr>
          <w:rFonts w:ascii="Trebuchet MS" w:eastAsiaTheme="minorHAnsi" w:hAnsi="Trebuchet MS" w:cs="Arial"/>
          <w:i/>
          <w:iCs/>
          <w:color w:val="004147" w:themeColor="accent2" w:themeShade="80"/>
          <w:lang w:eastAsia="en-US"/>
        </w:rPr>
        <w:t>Redundancy: an overview</w:t>
      </w:r>
      <w:r w:rsidRPr="000A4AFD">
        <w:rPr>
          <w:rFonts w:ascii="Trebuchet MS" w:eastAsiaTheme="minorHAnsi" w:hAnsi="Trebuchet MS" w:cs="Arial"/>
          <w:color w:val="004147" w:themeColor="accent2" w:themeShade="80"/>
          <w:lang w:eastAsia="en-US"/>
        </w:rPr>
        <w:t xml:space="preserve">. Available at: </w:t>
      </w:r>
      <w:hyperlink r:id="rId18" w:history="1">
        <w:r w:rsidRPr="007C4B4C">
          <w:rPr>
            <w:rStyle w:val="Hyperlink"/>
            <w:rFonts w:ascii="Trebuchet MS" w:eastAsiaTheme="minorHAnsi" w:hAnsi="Trebuchet MS" w:cs="Arial"/>
            <w:lang w:eastAsia="en-US"/>
          </w:rPr>
          <w:t>https://www.cipd.org/uk</w:t>
        </w:r>
      </w:hyperlink>
    </w:p>
    <w:p w14:paraId="619ED753" w14:textId="77777777" w:rsidR="00EB0AB9" w:rsidRDefault="00EB0AB9" w:rsidP="00A85170">
      <w:pPr>
        <w:pStyle w:val="Listparag"/>
        <w:spacing w:after="0" w:line="240" w:lineRule="auto"/>
      </w:pPr>
    </w:p>
    <w:p w14:paraId="09763843" w14:textId="3AD45B5B" w:rsidR="00EB0AB9" w:rsidRPr="00EB0AB9" w:rsidRDefault="00EB0AB9"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B10C3A">
        <w:rPr>
          <w:rFonts w:ascii="Trebuchet MS" w:eastAsiaTheme="minorHAnsi" w:hAnsi="Trebuchet MS" w:cs="Arial"/>
          <w:color w:val="004147" w:themeColor="accent2" w:themeShade="80"/>
          <w:lang w:eastAsia="en-US"/>
        </w:rPr>
        <w:t xml:space="preserve">CIPD (2023) </w:t>
      </w:r>
      <w:r w:rsidRPr="00B10C3A">
        <w:rPr>
          <w:rFonts w:ascii="Trebuchet MS" w:eastAsiaTheme="minorHAnsi" w:hAnsi="Trebuchet MS" w:cs="Arial"/>
          <w:i/>
          <w:iCs/>
          <w:color w:val="004147" w:themeColor="accent2" w:themeShade="80"/>
          <w:lang w:eastAsia="en-US"/>
        </w:rPr>
        <w:t>Shared parental leave</w:t>
      </w:r>
      <w:r w:rsidRPr="00B10C3A">
        <w:rPr>
          <w:rFonts w:ascii="Trebuchet MS" w:eastAsiaTheme="minorHAnsi" w:hAnsi="Trebuchet MS" w:cs="Arial"/>
          <w:color w:val="004147" w:themeColor="accent2" w:themeShade="80"/>
          <w:lang w:eastAsia="en-US"/>
        </w:rPr>
        <w:t xml:space="preserve">. Available at: </w:t>
      </w:r>
      <w:hyperlink r:id="rId19" w:history="1">
        <w:r w:rsidRPr="007C4B4C">
          <w:rPr>
            <w:rStyle w:val="Hyperlink"/>
            <w:rFonts w:ascii="Trebuchet MS" w:eastAsiaTheme="minorHAnsi" w:hAnsi="Trebuchet MS" w:cs="Arial"/>
            <w:lang w:eastAsia="en-US"/>
          </w:rPr>
          <w:t>https://www.cipd.org/uk</w:t>
        </w:r>
      </w:hyperlink>
    </w:p>
    <w:p w14:paraId="5DFBFF5F" w14:textId="77777777" w:rsidR="00EB0AB9" w:rsidRDefault="00EB0AB9" w:rsidP="00A85170">
      <w:pPr>
        <w:pStyle w:val="Listparag"/>
        <w:spacing w:after="0" w:line="240" w:lineRule="auto"/>
      </w:pPr>
    </w:p>
    <w:p w14:paraId="1230ADE7" w14:textId="708C3063" w:rsidR="00EB0AB9" w:rsidRDefault="00EB0AB9"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473BB1">
        <w:rPr>
          <w:rFonts w:ascii="Trebuchet MS" w:eastAsiaTheme="minorHAnsi" w:hAnsi="Trebuchet MS" w:cs="Arial"/>
          <w:color w:val="004147" w:themeColor="accent2" w:themeShade="80"/>
          <w:lang w:eastAsia="en-US"/>
        </w:rPr>
        <w:t xml:space="preserve">CIPD (2023) </w:t>
      </w:r>
      <w:r w:rsidRPr="00473BB1">
        <w:rPr>
          <w:rFonts w:ascii="Trebuchet MS" w:eastAsiaTheme="minorHAnsi" w:hAnsi="Trebuchet MS" w:cs="Arial"/>
          <w:i/>
          <w:iCs/>
          <w:color w:val="004147" w:themeColor="accent2" w:themeShade="80"/>
          <w:lang w:eastAsia="en-US"/>
        </w:rPr>
        <w:t>TUPE: An overview</w:t>
      </w:r>
      <w:r w:rsidRPr="00473BB1">
        <w:rPr>
          <w:rFonts w:ascii="Trebuchet MS" w:eastAsiaTheme="minorHAnsi" w:hAnsi="Trebuchet MS" w:cs="Arial"/>
          <w:color w:val="004147" w:themeColor="accent2" w:themeShade="80"/>
          <w:lang w:eastAsia="en-US"/>
        </w:rPr>
        <w:t xml:space="preserve">. Available at: </w:t>
      </w:r>
      <w:hyperlink r:id="rId20" w:history="1">
        <w:r w:rsidRPr="007C4B4C">
          <w:rPr>
            <w:rStyle w:val="Hyperlink"/>
            <w:rFonts w:ascii="Trebuchet MS" w:eastAsiaTheme="minorHAnsi" w:hAnsi="Trebuchet MS" w:cs="Arial"/>
            <w:lang w:eastAsia="en-US"/>
          </w:rPr>
          <w:t>https://www.cipd.org/uk</w:t>
        </w:r>
      </w:hyperlink>
    </w:p>
    <w:p w14:paraId="6831AD27" w14:textId="509395C1" w:rsidR="001F628C" w:rsidRPr="00DE5F6A" w:rsidRDefault="001F628C" w:rsidP="00A85170">
      <w:pPr>
        <w:pStyle w:val="Listparag"/>
        <w:spacing w:after="0" w:line="240" w:lineRule="auto"/>
        <w:rPr>
          <w:rFonts w:ascii="Trebuchet MS" w:eastAsiaTheme="minorHAnsi" w:hAnsi="Trebuchet MS" w:cs="Arial"/>
          <w:color w:val="004147" w:themeColor="accent2" w:themeShade="80"/>
          <w:lang w:eastAsia="en-US"/>
        </w:rPr>
      </w:pPr>
    </w:p>
    <w:p w14:paraId="6BAC4287" w14:textId="77777777" w:rsidR="00D65BD1" w:rsidRDefault="001F628C" w:rsidP="00EB0AB9">
      <w:pPr>
        <w:pStyle w:val="Listparag"/>
        <w:numPr>
          <w:ilvl w:val="0"/>
          <w:numId w:val="23"/>
        </w:numPr>
        <w:spacing w:after="0" w:line="240" w:lineRule="auto"/>
      </w:pPr>
      <w:r w:rsidRPr="00DE5F6A">
        <w:rPr>
          <w:rFonts w:ascii="Trebuchet MS" w:eastAsiaTheme="minorHAnsi" w:hAnsi="Trebuchet MS" w:cs="Arial"/>
          <w:color w:val="004147" w:themeColor="accent2" w:themeShade="80"/>
          <w:lang w:eastAsia="en-US"/>
        </w:rPr>
        <w:t xml:space="preserve">Department for Business and Trade (2023) </w:t>
      </w:r>
      <w:r w:rsidRPr="00DE5F6A">
        <w:rPr>
          <w:rFonts w:ascii="Trebuchet MS" w:eastAsiaTheme="minorHAnsi" w:hAnsi="Trebuchet MS" w:cs="Arial"/>
          <w:i/>
          <w:iCs/>
          <w:color w:val="004147" w:themeColor="accent2" w:themeShade="80"/>
          <w:lang w:eastAsia="en-US"/>
        </w:rPr>
        <w:t>Labour Market Overview</w:t>
      </w:r>
      <w:r w:rsidRPr="00DE5F6A">
        <w:rPr>
          <w:rFonts w:ascii="Trebuchet MS" w:eastAsiaTheme="minorHAnsi" w:hAnsi="Trebuchet MS" w:cs="Arial"/>
          <w:color w:val="004147" w:themeColor="accent2" w:themeShade="80"/>
          <w:lang w:eastAsia="en-US"/>
        </w:rPr>
        <w:t xml:space="preserve">. Available at: </w:t>
      </w:r>
      <w:hyperlink r:id="rId21" w:tgtFrame="_new" w:history="1">
        <w:r w:rsidRPr="00DE5F6A">
          <w:rPr>
            <w:rStyle w:val="Hyperlink"/>
            <w:rFonts w:ascii="Trebuchet MS" w:eastAsiaTheme="minorHAnsi" w:hAnsi="Trebuchet MS" w:cs="Arial"/>
            <w:lang w:eastAsia="en-US"/>
          </w:rPr>
          <w:t>https://www.gov.uk</w:t>
        </w:r>
      </w:hyperlink>
    </w:p>
    <w:p w14:paraId="4582E8AC" w14:textId="77777777" w:rsidR="00224495" w:rsidRDefault="00224495" w:rsidP="00A85170">
      <w:pPr>
        <w:pStyle w:val="Listparag"/>
        <w:spacing w:after="0" w:line="240" w:lineRule="auto"/>
      </w:pPr>
    </w:p>
    <w:p w14:paraId="0339BD9D" w14:textId="592BF3C5" w:rsidR="00224495" w:rsidRDefault="00224495" w:rsidP="00EB0AB9">
      <w:pPr>
        <w:pStyle w:val="Listparag"/>
        <w:numPr>
          <w:ilvl w:val="0"/>
          <w:numId w:val="23"/>
        </w:numPr>
        <w:spacing w:after="0" w:line="240" w:lineRule="auto"/>
      </w:pPr>
      <w:r w:rsidRPr="00DE5F6A">
        <w:rPr>
          <w:rFonts w:ascii="Trebuchet MS" w:eastAsiaTheme="minorHAnsi" w:hAnsi="Trebuchet MS" w:cs="Arial"/>
          <w:color w:val="004147" w:themeColor="accent2" w:themeShade="80"/>
          <w:lang w:eastAsia="en-US"/>
        </w:rPr>
        <w:t xml:space="preserve">Employment Rights Act 1996. Available at: </w:t>
      </w:r>
      <w:hyperlink r:id="rId22" w:tgtFrame="_new" w:history="1">
        <w:r w:rsidRPr="00DE5F6A">
          <w:rPr>
            <w:rStyle w:val="Hyperlink"/>
            <w:rFonts w:ascii="Trebuchet MS" w:eastAsiaTheme="minorHAnsi" w:hAnsi="Trebuchet MS" w:cs="Arial"/>
            <w:lang w:eastAsia="en-US"/>
          </w:rPr>
          <w:t>https://www.legislation.gov.uk</w:t>
        </w:r>
      </w:hyperlink>
    </w:p>
    <w:p w14:paraId="1704477C" w14:textId="77777777" w:rsidR="007704D5" w:rsidRDefault="007704D5" w:rsidP="00A85170">
      <w:pPr>
        <w:pStyle w:val="Listparag"/>
        <w:spacing w:after="0" w:line="240" w:lineRule="auto"/>
      </w:pPr>
    </w:p>
    <w:p w14:paraId="51A3A2EF" w14:textId="0DAE7B3A" w:rsidR="007704D5" w:rsidRPr="00DE5F6A" w:rsidRDefault="007704D5"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BB654C">
        <w:rPr>
          <w:rFonts w:ascii="Trebuchet MS" w:eastAsiaTheme="minorHAnsi" w:hAnsi="Trebuchet MS" w:cs="Arial"/>
          <w:color w:val="004147" w:themeColor="accent2" w:themeShade="80"/>
          <w:lang w:eastAsia="en-US"/>
        </w:rPr>
        <w:t xml:space="preserve">Equality Act 2010. Available at: </w:t>
      </w:r>
      <w:hyperlink r:id="rId23" w:history="1">
        <w:r w:rsidRPr="00BB654C">
          <w:rPr>
            <w:rStyle w:val="Hyperlink"/>
            <w:rFonts w:ascii="Trebuchet MS" w:eastAsiaTheme="minorHAnsi" w:hAnsi="Trebuchet MS" w:cs="Arial"/>
            <w:lang w:eastAsia="en-US"/>
          </w:rPr>
          <w:t>https://www.legislation.gov.uk</w:t>
        </w:r>
      </w:hyperlink>
    </w:p>
    <w:p w14:paraId="5EEFE957" w14:textId="77777777" w:rsidR="004B7633" w:rsidRPr="004B7633" w:rsidRDefault="004B7633" w:rsidP="004B7633">
      <w:pPr>
        <w:pStyle w:val="Listparag"/>
        <w:spacing w:after="0" w:line="240" w:lineRule="auto"/>
        <w:ind w:left="720"/>
      </w:pPr>
    </w:p>
    <w:p w14:paraId="06C9462E" w14:textId="6A8DD9F8" w:rsidR="00D65BD1" w:rsidRDefault="00D65BD1" w:rsidP="00EB0AB9">
      <w:pPr>
        <w:pStyle w:val="Listparag"/>
        <w:numPr>
          <w:ilvl w:val="0"/>
          <w:numId w:val="23"/>
        </w:numPr>
        <w:spacing w:after="0" w:line="240" w:lineRule="auto"/>
      </w:pPr>
      <w:r w:rsidRPr="00DE5F6A">
        <w:rPr>
          <w:rFonts w:ascii="Trebuchet MS" w:eastAsiaTheme="minorHAnsi" w:hAnsi="Trebuchet MS" w:cs="Arial"/>
          <w:color w:val="004147" w:themeColor="accent2" w:themeShade="80"/>
          <w:lang w:eastAsia="en-US"/>
        </w:rPr>
        <w:t xml:space="preserve">European Union (Withdrawal) Act 2018. Available at: </w:t>
      </w:r>
      <w:hyperlink r:id="rId24" w:tgtFrame="_new" w:history="1">
        <w:r w:rsidRPr="00DE5F6A">
          <w:rPr>
            <w:rStyle w:val="Hyperlink"/>
            <w:rFonts w:ascii="Trebuchet MS" w:eastAsiaTheme="minorHAnsi" w:hAnsi="Trebuchet MS" w:cs="Arial"/>
            <w:lang w:eastAsia="en-US"/>
          </w:rPr>
          <w:t>https://www.legislation.gov.uk</w:t>
        </w:r>
      </w:hyperlink>
    </w:p>
    <w:p w14:paraId="7A17D365" w14:textId="77777777" w:rsidR="00EB0AB9" w:rsidRDefault="00EB0AB9" w:rsidP="00A85170">
      <w:pPr>
        <w:pStyle w:val="Listparag"/>
        <w:spacing w:after="0" w:line="240" w:lineRule="auto"/>
      </w:pPr>
    </w:p>
    <w:p w14:paraId="00B8B5E9" w14:textId="31044674" w:rsidR="00EB0AB9" w:rsidRPr="00EB0AB9" w:rsidRDefault="00EB0AB9"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9E3892">
        <w:rPr>
          <w:rFonts w:ascii="Trebuchet MS" w:eastAsiaTheme="minorHAnsi" w:hAnsi="Trebuchet MS" w:cs="Arial"/>
          <w:color w:val="004147" w:themeColor="accent2" w:themeShade="80"/>
          <w:lang w:eastAsia="en-US"/>
        </w:rPr>
        <w:t xml:space="preserve">Gov.uk (2024) </w:t>
      </w:r>
      <w:r w:rsidRPr="009E3892">
        <w:rPr>
          <w:rFonts w:ascii="Trebuchet MS" w:eastAsiaTheme="minorHAnsi" w:hAnsi="Trebuchet MS" w:cs="Arial"/>
          <w:i/>
          <w:iCs/>
          <w:color w:val="004147" w:themeColor="accent2" w:themeShade="80"/>
          <w:lang w:eastAsia="en-US"/>
        </w:rPr>
        <w:t>Flexible working</w:t>
      </w:r>
      <w:r w:rsidRPr="009E3892">
        <w:rPr>
          <w:rFonts w:ascii="Trebuchet MS" w:eastAsiaTheme="minorHAnsi" w:hAnsi="Trebuchet MS" w:cs="Arial"/>
          <w:color w:val="004147" w:themeColor="accent2" w:themeShade="80"/>
          <w:lang w:eastAsia="en-US"/>
        </w:rPr>
        <w:t xml:space="preserve">. Available at: </w:t>
      </w:r>
      <w:hyperlink r:id="rId25" w:tgtFrame="_new" w:history="1">
        <w:r w:rsidRPr="009E3892">
          <w:rPr>
            <w:rStyle w:val="Hyperlink"/>
            <w:rFonts w:ascii="Trebuchet MS" w:eastAsiaTheme="minorHAnsi" w:hAnsi="Trebuchet MS" w:cs="Arial"/>
            <w:lang w:eastAsia="en-US"/>
          </w:rPr>
          <w:t>https://www.gov.uk</w:t>
        </w:r>
      </w:hyperlink>
    </w:p>
    <w:p w14:paraId="601B91DC" w14:textId="77777777" w:rsidR="00EB0AB9" w:rsidRDefault="00EB0AB9" w:rsidP="00EB0AB9">
      <w:pPr>
        <w:pStyle w:val="Listparag"/>
        <w:spacing w:after="0" w:line="240" w:lineRule="auto"/>
        <w:rPr>
          <w:rFonts w:ascii="Trebuchet MS" w:eastAsiaTheme="minorHAnsi" w:hAnsi="Trebuchet MS" w:cs="Arial"/>
          <w:color w:val="004147" w:themeColor="accent2" w:themeShade="80"/>
          <w:lang w:eastAsia="en-US"/>
        </w:rPr>
      </w:pPr>
    </w:p>
    <w:p w14:paraId="3640697C" w14:textId="20AF1F1B" w:rsidR="00EB0AB9" w:rsidRPr="00EB0AB9" w:rsidRDefault="00EB0AB9"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B10C3A">
        <w:rPr>
          <w:rFonts w:ascii="Trebuchet MS" w:eastAsiaTheme="minorHAnsi" w:hAnsi="Trebuchet MS" w:cs="Arial"/>
          <w:color w:val="004147" w:themeColor="accent2" w:themeShade="80"/>
          <w:lang w:eastAsia="en-US"/>
        </w:rPr>
        <w:t xml:space="preserve">Gov.uk (2024) </w:t>
      </w:r>
      <w:r w:rsidRPr="00B10C3A">
        <w:rPr>
          <w:rFonts w:ascii="Trebuchet MS" w:eastAsiaTheme="minorHAnsi" w:hAnsi="Trebuchet MS" w:cs="Arial"/>
          <w:i/>
          <w:iCs/>
          <w:color w:val="004147" w:themeColor="accent2" w:themeShade="80"/>
          <w:lang w:eastAsia="en-US"/>
        </w:rPr>
        <w:t xml:space="preserve">Maternity </w:t>
      </w:r>
      <w:proofErr w:type="gramStart"/>
      <w:r w:rsidRPr="00B10C3A">
        <w:rPr>
          <w:rFonts w:ascii="Trebuchet MS" w:eastAsiaTheme="minorHAnsi" w:hAnsi="Trebuchet MS" w:cs="Arial"/>
          <w:i/>
          <w:iCs/>
          <w:color w:val="004147" w:themeColor="accent2" w:themeShade="80"/>
          <w:lang w:eastAsia="en-US"/>
        </w:rPr>
        <w:t>pay</w:t>
      </w:r>
      <w:proofErr w:type="gramEnd"/>
      <w:r w:rsidRPr="00B10C3A">
        <w:rPr>
          <w:rFonts w:ascii="Trebuchet MS" w:eastAsiaTheme="minorHAnsi" w:hAnsi="Trebuchet MS" w:cs="Arial"/>
          <w:i/>
          <w:iCs/>
          <w:color w:val="004147" w:themeColor="accent2" w:themeShade="80"/>
          <w:lang w:eastAsia="en-US"/>
        </w:rPr>
        <w:t xml:space="preserve"> and leave</w:t>
      </w:r>
      <w:r w:rsidRPr="00B10C3A">
        <w:rPr>
          <w:rFonts w:ascii="Trebuchet MS" w:eastAsiaTheme="minorHAnsi" w:hAnsi="Trebuchet MS" w:cs="Arial"/>
          <w:color w:val="004147" w:themeColor="accent2" w:themeShade="80"/>
          <w:lang w:eastAsia="en-US"/>
        </w:rPr>
        <w:t xml:space="preserve">. Available at: </w:t>
      </w:r>
      <w:hyperlink r:id="rId26" w:tgtFrame="_new" w:history="1">
        <w:r w:rsidRPr="00B10C3A">
          <w:rPr>
            <w:rStyle w:val="Hyperlink"/>
            <w:rFonts w:ascii="Trebuchet MS" w:eastAsiaTheme="minorHAnsi" w:hAnsi="Trebuchet MS" w:cs="Arial"/>
            <w:lang w:eastAsia="en-US"/>
          </w:rPr>
          <w:t>https://www.gov.uk</w:t>
        </w:r>
      </w:hyperlink>
    </w:p>
    <w:p w14:paraId="09CFAF5B" w14:textId="77777777" w:rsidR="00224495" w:rsidRDefault="00224495" w:rsidP="00A85170">
      <w:pPr>
        <w:pStyle w:val="Listparag"/>
        <w:spacing w:after="0" w:line="240" w:lineRule="auto"/>
      </w:pPr>
    </w:p>
    <w:p w14:paraId="4B03BE7A" w14:textId="6E590899" w:rsidR="00224495" w:rsidRDefault="00224495"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0A4AFD">
        <w:rPr>
          <w:rFonts w:ascii="Trebuchet MS" w:eastAsiaTheme="minorHAnsi" w:hAnsi="Trebuchet MS" w:cs="Arial"/>
          <w:color w:val="004147" w:themeColor="accent2" w:themeShade="80"/>
          <w:lang w:eastAsia="en-US"/>
        </w:rPr>
        <w:t xml:space="preserve">Gov.uk (2024) </w:t>
      </w:r>
      <w:r w:rsidRPr="000A4AFD">
        <w:rPr>
          <w:rFonts w:ascii="Trebuchet MS" w:eastAsiaTheme="minorHAnsi" w:hAnsi="Trebuchet MS" w:cs="Arial"/>
          <w:i/>
          <w:iCs/>
          <w:color w:val="004147" w:themeColor="accent2" w:themeShade="80"/>
          <w:lang w:eastAsia="en-US"/>
        </w:rPr>
        <w:t>Redundancies: consultation and notice</w:t>
      </w:r>
      <w:r w:rsidRPr="000A4AFD">
        <w:rPr>
          <w:rFonts w:ascii="Trebuchet MS" w:eastAsiaTheme="minorHAnsi" w:hAnsi="Trebuchet MS" w:cs="Arial"/>
          <w:color w:val="004147" w:themeColor="accent2" w:themeShade="80"/>
          <w:lang w:eastAsia="en-US"/>
        </w:rPr>
        <w:t>.</w:t>
      </w:r>
    </w:p>
    <w:p w14:paraId="4AA12E25" w14:textId="77777777" w:rsidR="00EB0AB9" w:rsidRDefault="00EB0AB9" w:rsidP="00A85170">
      <w:pPr>
        <w:pStyle w:val="Listparag"/>
        <w:spacing w:after="0" w:line="240" w:lineRule="auto"/>
        <w:rPr>
          <w:rFonts w:ascii="Trebuchet MS" w:eastAsiaTheme="minorHAnsi" w:hAnsi="Trebuchet MS" w:cs="Arial"/>
          <w:color w:val="004147" w:themeColor="accent2" w:themeShade="80"/>
          <w:lang w:eastAsia="en-US"/>
        </w:rPr>
      </w:pPr>
    </w:p>
    <w:p w14:paraId="15196CE6" w14:textId="0B738228" w:rsidR="00EB0AB9" w:rsidRPr="00DE5F6A" w:rsidRDefault="00EB0AB9"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473BB1">
        <w:rPr>
          <w:rFonts w:ascii="Trebuchet MS" w:eastAsiaTheme="minorHAnsi" w:hAnsi="Trebuchet MS" w:cs="Arial"/>
          <w:color w:val="004147" w:themeColor="accent2" w:themeShade="80"/>
          <w:lang w:eastAsia="en-US"/>
        </w:rPr>
        <w:t xml:space="preserve">TUPE Regulations 2006. Available at: </w:t>
      </w:r>
      <w:hyperlink r:id="rId27" w:tgtFrame="_new" w:history="1">
        <w:r w:rsidRPr="00473BB1">
          <w:rPr>
            <w:rStyle w:val="Hyperlink"/>
            <w:rFonts w:ascii="Trebuchet MS" w:eastAsiaTheme="minorHAnsi" w:hAnsi="Trebuchet MS" w:cs="Arial"/>
            <w:lang w:eastAsia="en-US"/>
          </w:rPr>
          <w:t>https://www.legislation.gov.uk</w:t>
        </w:r>
      </w:hyperlink>
    </w:p>
    <w:p w14:paraId="659CCCAC" w14:textId="77777777" w:rsidR="004B7633" w:rsidRDefault="004B7633" w:rsidP="004B7633">
      <w:pPr>
        <w:pStyle w:val="Listparag"/>
        <w:spacing w:after="0" w:line="240" w:lineRule="auto"/>
        <w:ind w:left="720"/>
        <w:rPr>
          <w:rFonts w:ascii="Trebuchet MS" w:eastAsiaTheme="minorHAnsi" w:hAnsi="Trebuchet MS" w:cs="Arial"/>
          <w:color w:val="004147" w:themeColor="accent2" w:themeShade="80"/>
          <w:lang w:eastAsia="en-US"/>
        </w:rPr>
      </w:pPr>
    </w:p>
    <w:p w14:paraId="72DEAFF6" w14:textId="4EDBE995" w:rsidR="00473BB1" w:rsidRDefault="00D65BD1" w:rsidP="00EB0AB9">
      <w:pPr>
        <w:pStyle w:val="Listparag"/>
        <w:numPr>
          <w:ilvl w:val="0"/>
          <w:numId w:val="23"/>
        </w:numPr>
        <w:spacing w:after="0" w:line="240" w:lineRule="auto"/>
        <w:rPr>
          <w:rFonts w:ascii="Trebuchet MS" w:eastAsiaTheme="minorHAnsi" w:hAnsi="Trebuchet MS" w:cs="Arial"/>
          <w:color w:val="004147" w:themeColor="accent2" w:themeShade="80"/>
          <w:lang w:eastAsia="en-US"/>
        </w:rPr>
      </w:pPr>
      <w:r w:rsidRPr="00DE5F6A">
        <w:rPr>
          <w:rFonts w:ascii="Trebuchet MS" w:eastAsiaTheme="minorHAnsi" w:hAnsi="Trebuchet MS" w:cs="Arial"/>
          <w:color w:val="004147" w:themeColor="accent2" w:themeShade="80"/>
          <w:lang w:eastAsia="en-US"/>
        </w:rPr>
        <w:t xml:space="preserve">UK Government (2023) </w:t>
      </w:r>
      <w:r w:rsidRPr="00DE5F6A">
        <w:rPr>
          <w:rFonts w:ascii="Trebuchet MS" w:eastAsiaTheme="minorHAnsi" w:hAnsi="Trebuchet MS" w:cs="Arial"/>
          <w:i/>
          <w:iCs/>
          <w:color w:val="004147" w:themeColor="accent2" w:themeShade="80"/>
          <w:lang w:eastAsia="en-US"/>
        </w:rPr>
        <w:t>Retained EU law guidance</w:t>
      </w:r>
      <w:r w:rsidRPr="00DE5F6A">
        <w:rPr>
          <w:rFonts w:ascii="Trebuchet MS" w:eastAsiaTheme="minorHAnsi" w:hAnsi="Trebuchet MS" w:cs="Arial"/>
          <w:color w:val="004147" w:themeColor="accent2" w:themeShade="80"/>
          <w:lang w:eastAsia="en-US"/>
        </w:rPr>
        <w:t xml:space="preserve">. Available at: </w:t>
      </w:r>
      <w:hyperlink r:id="rId28" w:tgtFrame="_new" w:history="1">
        <w:r w:rsidRPr="00DE5F6A">
          <w:rPr>
            <w:rStyle w:val="Hyperlink"/>
            <w:rFonts w:ascii="Trebuchet MS" w:eastAsiaTheme="minorHAnsi" w:hAnsi="Trebuchet MS" w:cs="Arial"/>
            <w:lang w:eastAsia="en-US"/>
          </w:rPr>
          <w:t>https://www.gov.uk</w:t>
        </w:r>
      </w:hyperlink>
    </w:p>
    <w:p w14:paraId="5B53AFAF" w14:textId="77777777" w:rsidR="00005A40" w:rsidRDefault="00005A40" w:rsidP="00BB654C">
      <w:pPr>
        <w:pStyle w:val="Listparag"/>
        <w:spacing w:after="0" w:line="240" w:lineRule="auto"/>
        <w:rPr>
          <w:rFonts w:ascii="Trebuchet MS" w:eastAsiaTheme="minorHAnsi" w:hAnsi="Trebuchet MS" w:cs="Arial"/>
          <w:color w:val="004147" w:themeColor="accent2" w:themeShade="80"/>
          <w:lang w:eastAsia="en-US"/>
        </w:rPr>
      </w:pPr>
    </w:p>
    <w:p w14:paraId="14BA23E2" w14:textId="77777777" w:rsidR="00005A40" w:rsidRDefault="00005A40" w:rsidP="00EB0AB9">
      <w:pPr>
        <w:pStyle w:val="Listparag"/>
        <w:numPr>
          <w:ilvl w:val="0"/>
          <w:numId w:val="23"/>
        </w:numPr>
        <w:spacing w:after="0" w:line="240" w:lineRule="auto"/>
      </w:pPr>
      <w:r w:rsidRPr="00005A40">
        <w:rPr>
          <w:rFonts w:ascii="Trebuchet MS" w:eastAsiaTheme="minorHAnsi" w:hAnsi="Trebuchet MS" w:cs="Arial"/>
          <w:color w:val="004147" w:themeColor="accent2" w:themeShade="80"/>
          <w:lang w:eastAsia="en-US"/>
        </w:rPr>
        <w:t xml:space="preserve">Working Time Regulations 1998. Available at: </w:t>
      </w:r>
      <w:hyperlink r:id="rId29" w:tgtFrame="_new" w:history="1">
        <w:r w:rsidRPr="00005A40">
          <w:rPr>
            <w:rStyle w:val="Hyperlink"/>
            <w:rFonts w:ascii="Trebuchet MS" w:eastAsiaTheme="minorHAnsi" w:hAnsi="Trebuchet MS" w:cs="Arial"/>
            <w:lang w:eastAsia="en-US"/>
          </w:rPr>
          <w:t>https://www.legislation.gov.uk</w:t>
        </w:r>
      </w:hyperlink>
    </w:p>
    <w:p w14:paraId="366814AC" w14:textId="209A6B38" w:rsidR="009E3892" w:rsidRDefault="009E3892" w:rsidP="00BB654C">
      <w:pPr>
        <w:pStyle w:val="Listparag"/>
        <w:spacing w:after="0" w:line="240" w:lineRule="auto"/>
        <w:rPr>
          <w:rFonts w:ascii="Trebuchet MS" w:eastAsiaTheme="minorHAnsi" w:hAnsi="Trebuchet MS" w:cs="Arial"/>
          <w:color w:val="004147" w:themeColor="accent2" w:themeShade="80"/>
          <w:lang w:eastAsia="en-US"/>
        </w:rPr>
      </w:pPr>
    </w:p>
    <w:p w14:paraId="41F07185" w14:textId="4CD72984" w:rsidR="009E3892" w:rsidRDefault="009E3892" w:rsidP="00BB654C">
      <w:pPr>
        <w:pStyle w:val="Listparag"/>
        <w:spacing w:after="0" w:line="240" w:lineRule="auto"/>
        <w:rPr>
          <w:rFonts w:ascii="Trebuchet MS" w:eastAsiaTheme="minorHAnsi" w:hAnsi="Trebuchet MS" w:cs="Arial"/>
          <w:color w:val="004147" w:themeColor="accent2" w:themeShade="80"/>
          <w:lang w:eastAsia="en-US"/>
        </w:rPr>
      </w:pPr>
      <w:r w:rsidRPr="009E3892">
        <w:rPr>
          <w:rFonts w:ascii="Trebuchet MS" w:eastAsiaTheme="minorHAnsi" w:hAnsi="Trebuchet MS" w:cs="Arial"/>
          <w:color w:val="004147" w:themeColor="accent2" w:themeShade="80"/>
          <w:lang w:eastAsia="en-US"/>
        </w:rPr>
        <w:br/>
      </w:r>
    </w:p>
    <w:p w14:paraId="2C3AEE66" w14:textId="77777777" w:rsidR="009E3892" w:rsidRDefault="009E3892" w:rsidP="00BB654C">
      <w:pPr>
        <w:pStyle w:val="Listparag"/>
        <w:spacing w:after="0" w:line="240" w:lineRule="auto"/>
        <w:rPr>
          <w:rFonts w:ascii="Trebuchet MS" w:eastAsiaTheme="minorHAnsi" w:hAnsi="Trebuchet MS" w:cs="Arial"/>
          <w:color w:val="004147" w:themeColor="accent2" w:themeShade="80"/>
          <w:lang w:eastAsia="en-US"/>
        </w:rPr>
      </w:pPr>
    </w:p>
    <w:p w14:paraId="36CEE210" w14:textId="77777777" w:rsidR="00005A40" w:rsidRPr="00DE5F6A" w:rsidRDefault="00005A40" w:rsidP="00BB654C">
      <w:pPr>
        <w:pStyle w:val="Listparag"/>
        <w:spacing w:after="0" w:line="240" w:lineRule="auto"/>
        <w:rPr>
          <w:rFonts w:ascii="Trebuchet MS" w:eastAsiaTheme="minorHAnsi" w:hAnsi="Trebuchet MS" w:cs="Arial"/>
          <w:color w:val="004147" w:themeColor="accent2" w:themeShade="80"/>
          <w:lang w:eastAsia="en-US"/>
        </w:rPr>
      </w:pPr>
    </w:p>
    <w:p w14:paraId="47790C54" w14:textId="0CE140D2" w:rsidR="001F628C" w:rsidRPr="00DE5F6A" w:rsidRDefault="001F628C" w:rsidP="00A85170">
      <w:pPr>
        <w:pStyle w:val="Listparag"/>
        <w:spacing w:after="0" w:line="240" w:lineRule="auto"/>
        <w:rPr>
          <w:rFonts w:ascii="Trebuchet MS" w:eastAsiaTheme="minorHAnsi" w:hAnsi="Trebuchet MS" w:cs="Arial"/>
          <w:color w:val="004147" w:themeColor="accent2" w:themeShade="80"/>
          <w:lang w:eastAsia="en-US"/>
        </w:rPr>
      </w:pPr>
    </w:p>
    <w:p w14:paraId="352B47EA" w14:textId="42894515" w:rsidR="00DE5F6A" w:rsidRDefault="00DE5F6A" w:rsidP="00A85170">
      <w:pPr>
        <w:pStyle w:val="Listparag"/>
        <w:spacing w:after="0" w:line="240" w:lineRule="auto"/>
        <w:rPr>
          <w:rFonts w:ascii="Trebuchet MS" w:eastAsiaTheme="minorHAnsi" w:hAnsi="Trebuchet MS" w:cs="Arial"/>
          <w:b/>
          <w:bCs/>
          <w:color w:val="004147" w:themeColor="accent2" w:themeShade="80"/>
          <w:lang w:eastAsia="en-US"/>
        </w:rPr>
      </w:pPr>
    </w:p>
    <w:p w14:paraId="710723F7" w14:textId="77777777" w:rsidR="009E3892" w:rsidRDefault="009E3892" w:rsidP="00A85170">
      <w:pPr>
        <w:pStyle w:val="Listparag"/>
        <w:spacing w:after="0" w:line="240" w:lineRule="auto"/>
        <w:rPr>
          <w:rFonts w:ascii="Trebuchet MS" w:eastAsiaTheme="minorHAnsi" w:hAnsi="Trebuchet MS" w:cs="Arial"/>
          <w:b/>
          <w:bCs/>
          <w:color w:val="004147" w:themeColor="accent2" w:themeShade="80"/>
          <w:lang w:eastAsia="en-US"/>
        </w:rPr>
      </w:pPr>
    </w:p>
    <w:p w14:paraId="07AFA67A" w14:textId="77777777" w:rsidR="009E3892" w:rsidRDefault="009E3892" w:rsidP="00A85170">
      <w:pPr>
        <w:pStyle w:val="Listparag"/>
        <w:spacing w:after="0" w:line="240" w:lineRule="auto"/>
        <w:rPr>
          <w:rFonts w:ascii="Trebuchet MS" w:eastAsiaTheme="minorHAnsi" w:hAnsi="Trebuchet MS" w:cs="Arial"/>
          <w:b/>
          <w:bCs/>
          <w:color w:val="004147" w:themeColor="accent2" w:themeShade="80"/>
          <w:lang w:eastAsia="en-US"/>
        </w:rPr>
      </w:pPr>
    </w:p>
    <w:p w14:paraId="6F51EE98" w14:textId="77777777" w:rsidR="00EB0AB9" w:rsidRDefault="00EB0AB9" w:rsidP="00A85170">
      <w:pPr>
        <w:pStyle w:val="Listparag"/>
        <w:spacing w:after="0" w:line="240" w:lineRule="auto"/>
        <w:rPr>
          <w:rFonts w:ascii="Trebuchet MS" w:eastAsiaTheme="minorHAnsi" w:hAnsi="Trebuchet MS" w:cs="Arial"/>
          <w:b/>
          <w:bCs/>
          <w:color w:val="004147" w:themeColor="accent2" w:themeShade="80"/>
          <w:lang w:eastAsia="en-US"/>
        </w:rPr>
      </w:pPr>
    </w:p>
    <w:p w14:paraId="3B6878BA" w14:textId="77777777" w:rsidR="00EB0AB9" w:rsidRDefault="00EB0AB9" w:rsidP="00A85170">
      <w:pPr>
        <w:pStyle w:val="Listparag"/>
        <w:spacing w:after="0" w:line="240" w:lineRule="auto"/>
        <w:rPr>
          <w:rFonts w:ascii="Trebuchet MS" w:eastAsiaTheme="minorHAnsi" w:hAnsi="Trebuchet MS" w:cs="Arial"/>
          <w:b/>
          <w:bCs/>
          <w:color w:val="004147" w:themeColor="accent2" w:themeShade="80"/>
          <w:lang w:eastAsia="en-US"/>
        </w:rPr>
      </w:pPr>
    </w:p>
    <w:p w14:paraId="4EA0817C" w14:textId="77777777" w:rsidR="00EB0AB9" w:rsidRDefault="00EB0AB9" w:rsidP="00A85170">
      <w:pPr>
        <w:pStyle w:val="Listparag"/>
        <w:spacing w:after="0" w:line="240" w:lineRule="auto"/>
        <w:rPr>
          <w:rFonts w:ascii="Trebuchet MS" w:eastAsiaTheme="minorHAnsi" w:hAnsi="Trebuchet MS" w:cs="Arial"/>
          <w:b/>
          <w:bCs/>
          <w:color w:val="004147" w:themeColor="accent2" w:themeShade="80"/>
          <w:lang w:eastAsia="en-US"/>
        </w:rPr>
      </w:pPr>
    </w:p>
    <w:p w14:paraId="1ACE2E07" w14:textId="77777777" w:rsidR="00EB0AB9" w:rsidRDefault="00EB0AB9" w:rsidP="00A85170">
      <w:pPr>
        <w:pStyle w:val="Listparag"/>
        <w:spacing w:after="0" w:line="240" w:lineRule="auto"/>
        <w:rPr>
          <w:rFonts w:ascii="Trebuchet MS" w:eastAsiaTheme="minorHAnsi" w:hAnsi="Trebuchet MS" w:cs="Arial"/>
          <w:b/>
          <w:bCs/>
          <w:color w:val="004147" w:themeColor="accent2" w:themeShade="80"/>
          <w:lang w:eastAsia="en-US"/>
        </w:rPr>
      </w:pPr>
    </w:p>
    <w:p w14:paraId="1EB00E16" w14:textId="77777777" w:rsidR="009E3892" w:rsidRDefault="009E3892" w:rsidP="00A85170">
      <w:pPr>
        <w:pStyle w:val="Listparag"/>
        <w:spacing w:after="0" w:line="240" w:lineRule="auto"/>
        <w:rPr>
          <w:rFonts w:ascii="Trebuchet MS" w:eastAsiaTheme="minorHAnsi" w:hAnsi="Trebuchet MS" w:cs="Arial"/>
          <w:b/>
          <w:bCs/>
          <w:color w:val="004147" w:themeColor="accent2" w:themeShade="80"/>
          <w:lang w:eastAsia="en-US"/>
        </w:rPr>
      </w:pPr>
    </w:p>
    <w:p w14:paraId="620A6B8C" w14:textId="77777777" w:rsidR="00DE5F6A" w:rsidRDefault="00DE5F6A" w:rsidP="00A85170">
      <w:pPr>
        <w:pStyle w:val="Listparag"/>
        <w:spacing w:after="0" w:line="240" w:lineRule="auto"/>
        <w:rPr>
          <w:rFonts w:ascii="Trebuchet MS" w:eastAsiaTheme="minorHAnsi" w:hAnsi="Trebuchet MS" w:cs="Arial"/>
          <w:b/>
          <w:bCs/>
          <w:color w:val="004147" w:themeColor="accent2" w:themeShade="80"/>
          <w:lang w:eastAsia="en-US"/>
        </w:rPr>
      </w:pPr>
    </w:p>
    <w:p w14:paraId="7DA639B8" w14:textId="6417B979" w:rsidR="00DE5F6A" w:rsidRDefault="00DE5F6A" w:rsidP="00A85170">
      <w:pPr>
        <w:pStyle w:val="Listparag"/>
        <w:spacing w:after="0" w:line="240" w:lineRule="auto"/>
        <w:rPr>
          <w:rFonts w:ascii="Trebuchet MS" w:eastAsiaTheme="minorHAnsi" w:hAnsi="Trebuchet MS" w:cs="Arial"/>
          <w:b/>
          <w:bCs/>
          <w:i/>
          <w:iCs/>
          <w:color w:val="004147" w:themeColor="accent2" w:themeShade="80"/>
          <w:lang w:eastAsia="en-US"/>
        </w:rPr>
      </w:pPr>
      <w:r>
        <w:rPr>
          <w:rFonts w:ascii="Trebuchet MS" w:eastAsiaTheme="minorHAnsi" w:hAnsi="Trebuchet MS" w:cs="Arial"/>
          <w:b/>
          <w:bCs/>
          <w:color w:val="004147" w:themeColor="accent2" w:themeShade="80"/>
          <w:lang w:eastAsia="en-US"/>
        </w:rPr>
        <w:t>References to Case Law</w:t>
      </w:r>
    </w:p>
    <w:p w14:paraId="4761C577" w14:textId="77777777" w:rsidR="00DE5F6A" w:rsidRDefault="00DE5F6A" w:rsidP="00A85170">
      <w:pPr>
        <w:pStyle w:val="Listparag"/>
        <w:spacing w:after="0" w:line="240" w:lineRule="auto"/>
        <w:rPr>
          <w:rFonts w:ascii="Trebuchet MS" w:eastAsiaTheme="minorHAnsi" w:hAnsi="Trebuchet MS" w:cs="Arial"/>
          <w:b/>
          <w:bCs/>
          <w:i/>
          <w:iCs/>
          <w:color w:val="004147" w:themeColor="accent2" w:themeShade="80"/>
          <w:lang w:eastAsia="en-US"/>
        </w:rPr>
      </w:pPr>
    </w:p>
    <w:p w14:paraId="40CA1E3A" w14:textId="54CC94E6" w:rsidR="001F628C" w:rsidRPr="00DE5F6A" w:rsidRDefault="001F628C" w:rsidP="00A85170">
      <w:pPr>
        <w:pStyle w:val="Listparag"/>
        <w:spacing w:after="0" w:line="240" w:lineRule="auto"/>
        <w:rPr>
          <w:rFonts w:ascii="Trebuchet MS" w:eastAsiaTheme="minorHAnsi" w:hAnsi="Trebuchet MS" w:cs="Arial"/>
          <w:color w:val="004147" w:themeColor="accent2" w:themeShade="80"/>
          <w:lang w:eastAsia="en-US"/>
        </w:rPr>
      </w:pPr>
      <w:r w:rsidRPr="00DE5F6A">
        <w:rPr>
          <w:rFonts w:ascii="Trebuchet MS" w:eastAsiaTheme="minorHAnsi" w:hAnsi="Trebuchet MS" w:cs="Arial"/>
          <w:i/>
          <w:iCs/>
          <w:color w:val="004147" w:themeColor="accent2" w:themeShade="80"/>
          <w:lang w:eastAsia="en-US"/>
        </w:rPr>
        <w:t>Bahl v The Law Society</w:t>
      </w:r>
      <w:r w:rsidRPr="00DE5F6A">
        <w:rPr>
          <w:rFonts w:ascii="Trebuchet MS" w:eastAsiaTheme="minorHAnsi" w:hAnsi="Trebuchet MS" w:cs="Arial"/>
          <w:color w:val="004147" w:themeColor="accent2" w:themeShade="80"/>
          <w:lang w:eastAsia="en-US"/>
        </w:rPr>
        <w:t xml:space="preserve"> [2004] IRLR 799</w:t>
      </w:r>
    </w:p>
    <w:p w14:paraId="545BC93A" w14:textId="77777777" w:rsidR="00BF23B1" w:rsidRPr="00DE5F6A" w:rsidRDefault="00BF23B1" w:rsidP="00A85170">
      <w:pPr>
        <w:pStyle w:val="Listparag"/>
        <w:spacing w:after="0" w:line="240" w:lineRule="auto"/>
        <w:rPr>
          <w:rFonts w:ascii="Trebuchet MS" w:eastAsiaTheme="minorHAnsi" w:hAnsi="Trebuchet MS" w:cs="Arial"/>
          <w:color w:val="004147" w:themeColor="accent2" w:themeShade="80"/>
          <w:lang w:eastAsia="en-US"/>
        </w:rPr>
      </w:pPr>
    </w:p>
    <w:p w14:paraId="1A39D7BA" w14:textId="76827702" w:rsidR="00BF23B1" w:rsidRDefault="00BF23B1" w:rsidP="00A85170">
      <w:pPr>
        <w:pStyle w:val="Listparag"/>
        <w:spacing w:after="0" w:line="240" w:lineRule="auto"/>
        <w:rPr>
          <w:rFonts w:ascii="Trebuchet MS" w:eastAsiaTheme="minorHAnsi" w:hAnsi="Trebuchet MS" w:cs="Arial"/>
          <w:color w:val="004147" w:themeColor="accent2" w:themeShade="80"/>
          <w:lang w:eastAsia="en-US"/>
        </w:rPr>
      </w:pPr>
      <w:r w:rsidRPr="00DE5F6A">
        <w:rPr>
          <w:rFonts w:ascii="Trebuchet MS" w:eastAsiaTheme="minorHAnsi" w:hAnsi="Trebuchet MS" w:cs="Arial"/>
          <w:i/>
          <w:iCs/>
          <w:color w:val="004147" w:themeColor="accent2" w:themeShade="80"/>
          <w:lang w:eastAsia="en-US"/>
        </w:rPr>
        <w:t>British Gas Trading Ltd v Lock</w:t>
      </w:r>
      <w:r w:rsidRPr="00DE5F6A">
        <w:rPr>
          <w:rFonts w:ascii="Trebuchet MS" w:eastAsiaTheme="minorHAnsi" w:hAnsi="Trebuchet MS" w:cs="Arial"/>
          <w:color w:val="004147" w:themeColor="accent2" w:themeShade="80"/>
          <w:lang w:eastAsia="en-US"/>
        </w:rPr>
        <w:t xml:space="preserve"> [2016] EWCA </w:t>
      </w:r>
      <w:proofErr w:type="spellStart"/>
      <w:r w:rsidRPr="00DE5F6A">
        <w:rPr>
          <w:rFonts w:ascii="Trebuchet MS" w:eastAsiaTheme="minorHAnsi" w:hAnsi="Trebuchet MS" w:cs="Arial"/>
          <w:color w:val="004147" w:themeColor="accent2" w:themeShade="80"/>
          <w:lang w:eastAsia="en-US"/>
        </w:rPr>
        <w:t>Civ</w:t>
      </w:r>
      <w:proofErr w:type="spellEnd"/>
      <w:r w:rsidRPr="00DE5F6A">
        <w:rPr>
          <w:rFonts w:ascii="Trebuchet MS" w:eastAsiaTheme="minorHAnsi" w:hAnsi="Trebuchet MS" w:cs="Arial"/>
          <w:color w:val="004147" w:themeColor="accent2" w:themeShade="80"/>
          <w:lang w:eastAsia="en-US"/>
        </w:rPr>
        <w:t xml:space="preserve"> 983</w:t>
      </w:r>
    </w:p>
    <w:p w14:paraId="70290F61" w14:textId="77777777" w:rsidR="00C40FBD" w:rsidRDefault="00C40FBD" w:rsidP="00A85170">
      <w:pPr>
        <w:pStyle w:val="Listparag"/>
        <w:spacing w:after="0" w:line="240" w:lineRule="auto"/>
        <w:rPr>
          <w:rFonts w:ascii="Trebuchet MS" w:eastAsiaTheme="minorHAnsi" w:hAnsi="Trebuchet MS" w:cs="Arial"/>
          <w:color w:val="004147" w:themeColor="accent2" w:themeShade="80"/>
          <w:lang w:eastAsia="en-US"/>
        </w:rPr>
      </w:pPr>
    </w:p>
    <w:p w14:paraId="1820F6B4" w14:textId="0F3AAB2F" w:rsidR="00C40FBD" w:rsidRPr="00DE5F6A" w:rsidRDefault="00C40FBD" w:rsidP="00A85170">
      <w:pPr>
        <w:pStyle w:val="Listparag"/>
        <w:spacing w:after="0" w:line="240" w:lineRule="auto"/>
        <w:rPr>
          <w:rFonts w:ascii="Trebuchet MS" w:eastAsiaTheme="minorHAnsi" w:hAnsi="Trebuchet MS" w:cs="Arial"/>
          <w:color w:val="004147" w:themeColor="accent2" w:themeShade="80"/>
          <w:lang w:eastAsia="en-US"/>
        </w:rPr>
      </w:pPr>
      <w:r w:rsidRPr="00C40FBD">
        <w:rPr>
          <w:rFonts w:ascii="Trebuchet MS" w:eastAsiaTheme="minorHAnsi" w:hAnsi="Trebuchet MS" w:cs="Arial"/>
          <w:i/>
          <w:iCs/>
          <w:color w:val="004147" w:themeColor="accent2" w:themeShade="80"/>
          <w:lang w:eastAsia="en-US"/>
        </w:rPr>
        <w:t>Capita Customer Management Ltd v Ali</w:t>
      </w:r>
      <w:r w:rsidRPr="00C40FBD">
        <w:rPr>
          <w:rFonts w:ascii="Trebuchet MS" w:eastAsiaTheme="minorHAnsi" w:hAnsi="Trebuchet MS" w:cs="Arial"/>
          <w:color w:val="004147" w:themeColor="accent2" w:themeShade="80"/>
          <w:lang w:eastAsia="en-US"/>
        </w:rPr>
        <w:t xml:space="preserve"> [2018] UKEAT 0161/17/BA</w:t>
      </w:r>
    </w:p>
    <w:p w14:paraId="7E918ABC" w14:textId="77777777" w:rsidR="00026BF8" w:rsidRPr="00DE5F6A" w:rsidRDefault="00026BF8" w:rsidP="00A85170">
      <w:pPr>
        <w:pStyle w:val="Listparag"/>
        <w:spacing w:after="0" w:line="240" w:lineRule="auto"/>
        <w:rPr>
          <w:rFonts w:ascii="Trebuchet MS" w:eastAsiaTheme="minorHAnsi" w:hAnsi="Trebuchet MS" w:cs="Arial"/>
          <w:color w:val="004147" w:themeColor="accent2" w:themeShade="80"/>
          <w:lang w:eastAsia="en-US"/>
        </w:rPr>
      </w:pPr>
    </w:p>
    <w:p w14:paraId="710B9700" w14:textId="77777777" w:rsidR="00026BF8" w:rsidRDefault="00026BF8" w:rsidP="00A85170">
      <w:pPr>
        <w:pStyle w:val="Listparag"/>
        <w:spacing w:after="0" w:line="240" w:lineRule="auto"/>
        <w:rPr>
          <w:rFonts w:ascii="Trebuchet MS" w:eastAsiaTheme="minorHAnsi" w:hAnsi="Trebuchet MS" w:cs="Arial"/>
          <w:color w:val="004147" w:themeColor="accent2" w:themeShade="80"/>
          <w:lang w:eastAsia="en-US"/>
        </w:rPr>
      </w:pPr>
      <w:r w:rsidRPr="00DE5F6A">
        <w:rPr>
          <w:rFonts w:ascii="Trebuchet MS" w:eastAsiaTheme="minorHAnsi" w:hAnsi="Trebuchet MS" w:cs="Arial"/>
          <w:i/>
          <w:iCs/>
          <w:color w:val="004147" w:themeColor="accent2" w:themeShade="80"/>
          <w:lang w:eastAsia="en-US"/>
        </w:rPr>
        <w:t>Etam plc v Rowan</w:t>
      </w:r>
      <w:r w:rsidRPr="00DE5F6A">
        <w:rPr>
          <w:rFonts w:ascii="Trebuchet MS" w:eastAsiaTheme="minorHAnsi" w:hAnsi="Trebuchet MS" w:cs="Arial"/>
          <w:color w:val="004147" w:themeColor="accent2" w:themeShade="80"/>
          <w:lang w:eastAsia="en-US"/>
        </w:rPr>
        <w:t xml:space="preserve"> [1989] IRLR 150</w:t>
      </w:r>
    </w:p>
    <w:p w14:paraId="02F0C016" w14:textId="77777777" w:rsidR="00005A40" w:rsidRDefault="00005A40" w:rsidP="00A85170">
      <w:pPr>
        <w:pStyle w:val="Listparag"/>
        <w:spacing w:after="0" w:line="240" w:lineRule="auto"/>
        <w:rPr>
          <w:rFonts w:ascii="Trebuchet MS" w:eastAsiaTheme="minorHAnsi" w:hAnsi="Trebuchet MS" w:cs="Arial"/>
          <w:color w:val="004147" w:themeColor="accent2" w:themeShade="80"/>
          <w:lang w:eastAsia="en-US"/>
        </w:rPr>
      </w:pPr>
    </w:p>
    <w:p w14:paraId="19F16E67" w14:textId="0A26CD91" w:rsidR="00005A40" w:rsidRPr="00DE5F6A" w:rsidRDefault="00005A40" w:rsidP="00A85170">
      <w:pPr>
        <w:pStyle w:val="Listparag"/>
        <w:spacing w:after="0" w:line="240" w:lineRule="auto"/>
        <w:rPr>
          <w:rFonts w:ascii="Trebuchet MS" w:eastAsiaTheme="minorHAnsi" w:hAnsi="Trebuchet MS" w:cs="Arial"/>
          <w:color w:val="004147" w:themeColor="accent2" w:themeShade="80"/>
          <w:lang w:eastAsia="en-US"/>
        </w:rPr>
      </w:pPr>
      <w:r w:rsidRPr="00005A40">
        <w:rPr>
          <w:rFonts w:ascii="Trebuchet MS" w:eastAsiaTheme="minorHAnsi" w:hAnsi="Trebuchet MS" w:cs="Arial"/>
          <w:i/>
          <w:iCs/>
          <w:color w:val="004147" w:themeColor="accent2" w:themeShade="80"/>
          <w:lang w:eastAsia="en-US"/>
        </w:rPr>
        <w:t>Harpur Trust v Brazel</w:t>
      </w:r>
      <w:r w:rsidRPr="00005A40">
        <w:rPr>
          <w:rFonts w:ascii="Trebuchet MS" w:eastAsiaTheme="minorHAnsi" w:hAnsi="Trebuchet MS" w:cs="Arial"/>
          <w:color w:val="004147" w:themeColor="accent2" w:themeShade="80"/>
          <w:lang w:eastAsia="en-US"/>
        </w:rPr>
        <w:t xml:space="preserve"> [2022] UKSC 21</w:t>
      </w:r>
    </w:p>
    <w:p w14:paraId="21AB83E1" w14:textId="77777777" w:rsidR="00AE5E97" w:rsidRDefault="00AE5E97" w:rsidP="00A85170">
      <w:pPr>
        <w:pStyle w:val="Listparag"/>
        <w:spacing w:after="0" w:line="240" w:lineRule="auto"/>
        <w:rPr>
          <w:rFonts w:ascii="Trebuchet MS" w:eastAsiaTheme="minorHAnsi" w:hAnsi="Trebuchet MS" w:cs="Arial"/>
          <w:color w:val="004147" w:themeColor="accent2" w:themeShade="80"/>
          <w:lang w:eastAsia="en-US"/>
        </w:rPr>
      </w:pPr>
    </w:p>
    <w:p w14:paraId="2D2BD306" w14:textId="65B94AA5" w:rsidR="00AE5E97" w:rsidRDefault="00AE5E97" w:rsidP="00A85170">
      <w:pPr>
        <w:pStyle w:val="Listparag"/>
        <w:spacing w:after="0" w:line="240" w:lineRule="auto"/>
        <w:rPr>
          <w:rFonts w:ascii="Trebuchet MS" w:eastAsiaTheme="minorHAnsi" w:hAnsi="Trebuchet MS" w:cs="Arial"/>
          <w:color w:val="004147" w:themeColor="accent2" w:themeShade="80"/>
          <w:lang w:eastAsia="en-US"/>
        </w:rPr>
      </w:pPr>
      <w:r w:rsidRPr="00DE5F6A">
        <w:rPr>
          <w:rFonts w:ascii="Trebuchet MS" w:eastAsiaTheme="minorHAnsi" w:hAnsi="Trebuchet MS" w:cs="Arial"/>
          <w:i/>
          <w:iCs/>
          <w:color w:val="004147" w:themeColor="accent2" w:themeShade="80"/>
          <w:lang w:eastAsia="en-US"/>
        </w:rPr>
        <w:t xml:space="preserve">Hayward v </w:t>
      </w:r>
      <w:proofErr w:type="spellStart"/>
      <w:r w:rsidRPr="00DE5F6A">
        <w:rPr>
          <w:rFonts w:ascii="Trebuchet MS" w:eastAsiaTheme="minorHAnsi" w:hAnsi="Trebuchet MS" w:cs="Arial"/>
          <w:i/>
          <w:iCs/>
          <w:color w:val="004147" w:themeColor="accent2" w:themeShade="80"/>
          <w:lang w:eastAsia="en-US"/>
        </w:rPr>
        <w:t>Cammell</w:t>
      </w:r>
      <w:proofErr w:type="spellEnd"/>
      <w:r w:rsidRPr="00DE5F6A">
        <w:rPr>
          <w:rFonts w:ascii="Trebuchet MS" w:eastAsiaTheme="minorHAnsi" w:hAnsi="Trebuchet MS" w:cs="Arial"/>
          <w:i/>
          <w:iCs/>
          <w:color w:val="004147" w:themeColor="accent2" w:themeShade="80"/>
          <w:lang w:eastAsia="en-US"/>
        </w:rPr>
        <w:t xml:space="preserve"> Laird Shipbuilders Ltd</w:t>
      </w:r>
      <w:r w:rsidRPr="00DE5F6A">
        <w:rPr>
          <w:rFonts w:ascii="Trebuchet MS" w:eastAsiaTheme="minorHAnsi" w:hAnsi="Trebuchet MS" w:cs="Arial"/>
          <w:color w:val="004147" w:themeColor="accent2" w:themeShade="80"/>
          <w:lang w:eastAsia="en-US"/>
        </w:rPr>
        <w:t xml:space="preserve"> [1988] ICR 464</w:t>
      </w:r>
    </w:p>
    <w:p w14:paraId="5D7F84EF" w14:textId="4BEF0F53" w:rsidR="00026BF8" w:rsidRDefault="00026BF8" w:rsidP="00A85170">
      <w:pPr>
        <w:pStyle w:val="Listparag"/>
        <w:spacing w:after="0" w:line="240" w:lineRule="auto"/>
        <w:rPr>
          <w:rFonts w:ascii="Trebuchet MS" w:eastAsiaTheme="minorHAnsi" w:hAnsi="Trebuchet MS" w:cs="Arial"/>
          <w:color w:val="004147" w:themeColor="accent2" w:themeShade="80"/>
          <w:lang w:eastAsia="en-US"/>
        </w:rPr>
      </w:pPr>
      <w:r w:rsidRPr="00DE5F6A">
        <w:rPr>
          <w:rFonts w:ascii="Trebuchet MS" w:eastAsiaTheme="minorHAnsi" w:hAnsi="Trebuchet MS" w:cs="Arial"/>
          <w:color w:val="004147" w:themeColor="accent2" w:themeShade="80"/>
          <w:lang w:eastAsia="en-US"/>
        </w:rPr>
        <w:br/>
      </w:r>
      <w:r w:rsidRPr="00DE5F6A">
        <w:rPr>
          <w:rFonts w:ascii="Trebuchet MS" w:eastAsiaTheme="minorHAnsi" w:hAnsi="Trebuchet MS" w:cs="Arial"/>
          <w:i/>
          <w:iCs/>
          <w:color w:val="004147" w:themeColor="accent2" w:themeShade="80"/>
          <w:lang w:eastAsia="en-US"/>
        </w:rPr>
        <w:t>Johnston v Chief Constable of the RUC</w:t>
      </w:r>
      <w:r w:rsidRPr="00DE5F6A">
        <w:rPr>
          <w:rFonts w:ascii="Trebuchet MS" w:eastAsiaTheme="minorHAnsi" w:hAnsi="Trebuchet MS" w:cs="Arial"/>
          <w:color w:val="004147" w:themeColor="accent2" w:themeShade="80"/>
          <w:lang w:eastAsia="en-US"/>
        </w:rPr>
        <w:t xml:space="preserve"> [1986] IRLR 263</w:t>
      </w:r>
    </w:p>
    <w:p w14:paraId="526A9F44" w14:textId="77777777" w:rsidR="00AE5E97" w:rsidRDefault="00AE5E97" w:rsidP="00A85170">
      <w:pPr>
        <w:pStyle w:val="Listparag"/>
        <w:spacing w:after="0" w:line="240" w:lineRule="auto"/>
        <w:rPr>
          <w:rFonts w:ascii="Trebuchet MS" w:eastAsiaTheme="minorHAnsi" w:hAnsi="Trebuchet MS" w:cs="Arial"/>
          <w:color w:val="004147" w:themeColor="accent2" w:themeShade="80"/>
          <w:lang w:eastAsia="en-US"/>
        </w:rPr>
      </w:pPr>
    </w:p>
    <w:p w14:paraId="6DD3AB1F" w14:textId="4D0532B7" w:rsidR="00AE5E97" w:rsidRDefault="00AE5E97" w:rsidP="00A85170">
      <w:pPr>
        <w:pStyle w:val="Listparag"/>
        <w:spacing w:after="0" w:line="240" w:lineRule="auto"/>
        <w:rPr>
          <w:rFonts w:ascii="Trebuchet MS" w:eastAsiaTheme="minorHAnsi" w:hAnsi="Trebuchet MS" w:cs="Arial"/>
          <w:color w:val="004147" w:themeColor="accent2" w:themeShade="80"/>
          <w:lang w:eastAsia="en-US"/>
        </w:rPr>
      </w:pPr>
      <w:r w:rsidRPr="00AE5E97">
        <w:rPr>
          <w:rFonts w:ascii="Trebuchet MS" w:eastAsiaTheme="minorHAnsi" w:hAnsi="Trebuchet MS" w:cs="Arial"/>
          <w:i/>
          <w:iCs/>
          <w:color w:val="004147" w:themeColor="accent2" w:themeShade="80"/>
          <w:lang w:eastAsia="en-US"/>
        </w:rPr>
        <w:t>Katsikas v Konstantinidis</w:t>
      </w:r>
      <w:r w:rsidRPr="00AE5E97">
        <w:rPr>
          <w:rFonts w:ascii="Trebuchet MS" w:eastAsiaTheme="minorHAnsi" w:hAnsi="Trebuchet MS" w:cs="Arial"/>
          <w:color w:val="004147" w:themeColor="accent2" w:themeShade="80"/>
          <w:lang w:eastAsia="en-US"/>
        </w:rPr>
        <w:t xml:space="preserve"> [1993] IRLR 179</w:t>
      </w:r>
    </w:p>
    <w:p w14:paraId="74D884E7" w14:textId="77777777" w:rsidR="00DF1A3B" w:rsidRDefault="00DF1A3B" w:rsidP="00A85170">
      <w:pPr>
        <w:pStyle w:val="Listparag"/>
        <w:spacing w:after="0" w:line="240" w:lineRule="auto"/>
        <w:rPr>
          <w:rFonts w:ascii="Trebuchet MS" w:eastAsiaTheme="minorHAnsi" w:hAnsi="Trebuchet MS" w:cs="Arial"/>
          <w:color w:val="004147" w:themeColor="accent2" w:themeShade="80"/>
          <w:lang w:eastAsia="en-US"/>
        </w:rPr>
      </w:pPr>
    </w:p>
    <w:p w14:paraId="1C37E6B3" w14:textId="5F3FAEFD" w:rsidR="00DF1A3B" w:rsidRPr="00DE5F6A" w:rsidRDefault="00DF1A3B" w:rsidP="00A85170">
      <w:pPr>
        <w:pStyle w:val="Listparag"/>
        <w:spacing w:after="0" w:line="240" w:lineRule="auto"/>
        <w:rPr>
          <w:rFonts w:ascii="Trebuchet MS" w:eastAsiaTheme="minorHAnsi" w:hAnsi="Trebuchet MS" w:cs="Arial"/>
          <w:color w:val="004147" w:themeColor="accent2" w:themeShade="80"/>
          <w:lang w:eastAsia="en-US"/>
        </w:rPr>
      </w:pPr>
      <w:r w:rsidRPr="00DF1A3B">
        <w:rPr>
          <w:rFonts w:ascii="Trebuchet MS" w:eastAsiaTheme="minorHAnsi" w:hAnsi="Trebuchet MS" w:cs="Arial"/>
          <w:i/>
          <w:iCs/>
          <w:color w:val="004147" w:themeColor="accent2" w:themeShade="80"/>
          <w:lang w:eastAsia="en-US"/>
        </w:rPr>
        <w:t xml:space="preserve">Thompson v </w:t>
      </w:r>
      <w:proofErr w:type="spellStart"/>
      <w:r w:rsidRPr="00DF1A3B">
        <w:rPr>
          <w:rFonts w:ascii="Trebuchet MS" w:eastAsiaTheme="minorHAnsi" w:hAnsi="Trebuchet MS" w:cs="Arial"/>
          <w:i/>
          <w:iCs/>
          <w:color w:val="004147" w:themeColor="accent2" w:themeShade="80"/>
          <w:lang w:eastAsia="en-US"/>
        </w:rPr>
        <w:t>Scancrown</w:t>
      </w:r>
      <w:proofErr w:type="spellEnd"/>
      <w:r w:rsidRPr="00DF1A3B">
        <w:rPr>
          <w:rFonts w:ascii="Trebuchet MS" w:eastAsiaTheme="minorHAnsi" w:hAnsi="Trebuchet MS" w:cs="Arial"/>
          <w:i/>
          <w:iCs/>
          <w:color w:val="004147" w:themeColor="accent2" w:themeShade="80"/>
          <w:lang w:eastAsia="en-US"/>
        </w:rPr>
        <w:t xml:space="preserve"> Ltd</w:t>
      </w:r>
      <w:r w:rsidRPr="00DF1A3B">
        <w:rPr>
          <w:rFonts w:ascii="Trebuchet MS" w:eastAsiaTheme="minorHAnsi" w:hAnsi="Trebuchet MS" w:cs="Arial"/>
          <w:color w:val="004147" w:themeColor="accent2" w:themeShade="80"/>
          <w:lang w:eastAsia="en-US"/>
        </w:rPr>
        <w:t xml:space="preserve"> [2021] ET/2205199/2019</w:t>
      </w:r>
    </w:p>
    <w:p w14:paraId="2E184C37" w14:textId="77777777" w:rsidR="00DE5F6A" w:rsidRPr="00DE5F6A" w:rsidRDefault="00DE5F6A" w:rsidP="00A85170">
      <w:pPr>
        <w:pStyle w:val="Listparag"/>
        <w:spacing w:after="0" w:line="240" w:lineRule="auto"/>
        <w:rPr>
          <w:rFonts w:ascii="Trebuchet MS" w:eastAsiaTheme="minorHAnsi" w:hAnsi="Trebuchet MS" w:cs="Arial"/>
          <w:color w:val="004147" w:themeColor="accent2" w:themeShade="80"/>
          <w:lang w:eastAsia="en-US"/>
        </w:rPr>
      </w:pPr>
    </w:p>
    <w:p w14:paraId="64B4FBE5" w14:textId="20D0499A" w:rsidR="00DE5F6A" w:rsidRDefault="00DE5F6A" w:rsidP="00A85170">
      <w:pPr>
        <w:pStyle w:val="Listparag"/>
        <w:spacing w:after="0" w:line="240" w:lineRule="auto"/>
        <w:rPr>
          <w:rFonts w:ascii="Trebuchet MS" w:eastAsiaTheme="minorHAnsi" w:hAnsi="Trebuchet MS" w:cs="Arial"/>
          <w:color w:val="004147" w:themeColor="accent2" w:themeShade="80"/>
          <w:lang w:eastAsia="en-US"/>
        </w:rPr>
      </w:pPr>
      <w:r w:rsidRPr="00DE5F6A">
        <w:rPr>
          <w:rFonts w:ascii="Trebuchet MS" w:eastAsiaTheme="minorHAnsi" w:hAnsi="Trebuchet MS" w:cs="Arial"/>
          <w:i/>
          <w:iCs/>
          <w:color w:val="004147" w:themeColor="accent2" w:themeShade="80"/>
          <w:lang w:eastAsia="en-US"/>
        </w:rPr>
        <w:t>Western Excavating (ECC) Ltd v Sharp</w:t>
      </w:r>
      <w:r w:rsidRPr="00DE5F6A">
        <w:rPr>
          <w:rFonts w:ascii="Trebuchet MS" w:eastAsiaTheme="minorHAnsi" w:hAnsi="Trebuchet MS" w:cs="Arial"/>
          <w:color w:val="004147" w:themeColor="accent2" w:themeShade="80"/>
          <w:lang w:eastAsia="en-US"/>
        </w:rPr>
        <w:t xml:space="preserve"> [1978] QB 761</w:t>
      </w:r>
    </w:p>
    <w:p w14:paraId="6E255838" w14:textId="77777777" w:rsidR="001214D2" w:rsidRDefault="001214D2" w:rsidP="00A85170">
      <w:pPr>
        <w:pStyle w:val="Listparag"/>
        <w:spacing w:after="0" w:line="240" w:lineRule="auto"/>
        <w:rPr>
          <w:rFonts w:ascii="Trebuchet MS" w:eastAsiaTheme="minorHAnsi" w:hAnsi="Trebuchet MS" w:cs="Arial"/>
          <w:color w:val="004147" w:themeColor="accent2" w:themeShade="80"/>
          <w:lang w:eastAsia="en-US"/>
        </w:rPr>
      </w:pPr>
    </w:p>
    <w:p w14:paraId="529F08E7" w14:textId="09C97EEA" w:rsidR="001214D2" w:rsidRPr="00DE5F6A" w:rsidRDefault="001214D2" w:rsidP="00A85170">
      <w:pPr>
        <w:pStyle w:val="Listparag"/>
        <w:spacing w:after="0" w:line="240" w:lineRule="auto"/>
        <w:rPr>
          <w:rFonts w:ascii="Trebuchet MS" w:eastAsiaTheme="minorHAnsi" w:hAnsi="Trebuchet MS" w:cs="Arial"/>
          <w:color w:val="004147" w:themeColor="accent2" w:themeShade="80"/>
          <w:lang w:eastAsia="en-US"/>
        </w:rPr>
      </w:pPr>
      <w:r w:rsidRPr="001214D2">
        <w:rPr>
          <w:rFonts w:ascii="Trebuchet MS" w:eastAsiaTheme="minorHAnsi" w:hAnsi="Trebuchet MS" w:cs="Arial"/>
          <w:i/>
          <w:iCs/>
          <w:color w:val="004147" w:themeColor="accent2" w:themeShade="80"/>
          <w:lang w:eastAsia="en-US"/>
        </w:rPr>
        <w:t>Williams v Compare Maxam Ltd</w:t>
      </w:r>
      <w:r w:rsidRPr="001214D2">
        <w:rPr>
          <w:rFonts w:ascii="Trebuchet MS" w:eastAsiaTheme="minorHAnsi" w:hAnsi="Trebuchet MS" w:cs="Arial"/>
          <w:color w:val="004147" w:themeColor="accent2" w:themeShade="80"/>
          <w:lang w:eastAsia="en-US"/>
        </w:rPr>
        <w:t xml:space="preserve"> [1982] ICR 156</w:t>
      </w:r>
    </w:p>
    <w:sectPr w:rsidR="001214D2" w:rsidRPr="00DE5F6A" w:rsidSect="00C17C0F">
      <w:headerReference w:type="default" r:id="rId3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71B44" w14:textId="77777777" w:rsidR="00042900" w:rsidRDefault="00042900" w:rsidP="00CB3ADD">
      <w:pPr>
        <w:spacing w:line="240" w:lineRule="auto"/>
      </w:pPr>
      <w:r>
        <w:separator/>
      </w:r>
    </w:p>
  </w:endnote>
  <w:endnote w:type="continuationSeparator" w:id="0">
    <w:p w14:paraId="6B838FDC" w14:textId="77777777" w:rsidR="00042900" w:rsidRDefault="00042900" w:rsidP="00CB3ADD">
      <w:pPr>
        <w:spacing w:line="240" w:lineRule="auto"/>
      </w:pPr>
      <w:r>
        <w:continuationSeparator/>
      </w:r>
    </w:p>
  </w:endnote>
  <w:endnote w:type="continuationNotice" w:id="1">
    <w:p w14:paraId="04BBB2B1" w14:textId="77777777" w:rsidR="00042900" w:rsidRDefault="0004290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15041" w14:textId="77777777" w:rsidR="00042900" w:rsidRDefault="00042900" w:rsidP="00CB3ADD">
      <w:pPr>
        <w:spacing w:line="240" w:lineRule="auto"/>
      </w:pPr>
      <w:r>
        <w:separator/>
      </w:r>
    </w:p>
  </w:footnote>
  <w:footnote w:type="continuationSeparator" w:id="0">
    <w:p w14:paraId="02200D6E" w14:textId="77777777" w:rsidR="00042900" w:rsidRDefault="00042900" w:rsidP="00CB3ADD">
      <w:pPr>
        <w:spacing w:line="240" w:lineRule="auto"/>
      </w:pPr>
      <w:r>
        <w:continuationSeparator/>
      </w:r>
    </w:p>
  </w:footnote>
  <w:footnote w:type="continuationNotice" w:id="1">
    <w:p w14:paraId="522FB9F4" w14:textId="77777777" w:rsidR="00042900" w:rsidRDefault="0004290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28A804FB" w:rsidR="00CA001E" w:rsidRPr="006C1F73" w:rsidRDefault="00063850" w:rsidP="00F65E38">
    <w:pPr>
      <w:pStyle w:val="Header"/>
      <w:tabs>
        <w:tab w:val="clear" w:pos="4513"/>
        <w:tab w:val="clear" w:pos="9026"/>
        <w:tab w:val="center" w:pos="3544"/>
        <w:tab w:val="right" w:pos="14601"/>
      </w:tabs>
      <w:rPr>
        <w:rFonts w:ascii="Trebuchet MS" w:hAnsi="Trebuchet MS"/>
        <w:color w:val="004146"/>
      </w:rPr>
    </w:pPr>
    <w:r w:rsidRPr="00063850">
      <w:rPr>
        <w:color w:val="00838E" w:themeColor="accent2"/>
      </w:rPr>
      <w:t>Kelsea Peterson</w:t>
    </w:r>
    <w:r w:rsidR="00CA001E" w:rsidRPr="00063850">
      <w:rPr>
        <w:color w:val="00838E" w:themeColor="accent2"/>
      </w:rPr>
      <w:t xml:space="preserve"> </w:t>
    </w:r>
    <w:r w:rsidR="00CA001E">
      <w:rPr>
        <w:color w:val="808080" w:themeColor="background1" w:themeShade="80"/>
      </w:rPr>
      <w:tab/>
    </w:r>
    <w:r w:rsidR="00CA001E">
      <w:rPr>
        <w:color w:val="808080" w:themeColor="background1" w:themeShade="80"/>
      </w:rPr>
      <w:tab/>
    </w:r>
    <w:r w:rsidR="00CA001E"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E27A4"/>
    <w:multiLevelType w:val="multilevel"/>
    <w:tmpl w:val="03485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5100EC"/>
    <w:multiLevelType w:val="hybridMultilevel"/>
    <w:tmpl w:val="9D208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9A5EAC"/>
    <w:multiLevelType w:val="multilevel"/>
    <w:tmpl w:val="8842B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39A61A7"/>
    <w:multiLevelType w:val="multilevel"/>
    <w:tmpl w:val="415A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B026E8F"/>
    <w:multiLevelType w:val="multilevel"/>
    <w:tmpl w:val="49664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AA6265"/>
    <w:multiLevelType w:val="multilevel"/>
    <w:tmpl w:val="F196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E14041"/>
    <w:multiLevelType w:val="multilevel"/>
    <w:tmpl w:val="7556C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5A7E6987"/>
    <w:multiLevelType w:val="multilevel"/>
    <w:tmpl w:val="7DD6E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BA33B7"/>
    <w:multiLevelType w:val="multilevel"/>
    <w:tmpl w:val="7A56D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C914380"/>
    <w:multiLevelType w:val="multilevel"/>
    <w:tmpl w:val="96D03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9"/>
  </w:num>
  <w:num w:numId="2" w16cid:durableId="1610429741">
    <w:abstractNumId w:val="16"/>
  </w:num>
  <w:num w:numId="3" w16cid:durableId="985203680">
    <w:abstractNumId w:val="10"/>
  </w:num>
  <w:num w:numId="4" w16cid:durableId="1306933392">
    <w:abstractNumId w:val="7"/>
  </w:num>
  <w:num w:numId="5" w16cid:durableId="1020356007">
    <w:abstractNumId w:val="5"/>
  </w:num>
  <w:num w:numId="6" w16cid:durableId="2044673759">
    <w:abstractNumId w:val="3"/>
  </w:num>
  <w:num w:numId="7" w16cid:durableId="1157455954">
    <w:abstractNumId w:val="22"/>
  </w:num>
  <w:num w:numId="8" w16cid:durableId="929629316">
    <w:abstractNumId w:val="18"/>
  </w:num>
  <w:num w:numId="9" w16cid:durableId="104926933">
    <w:abstractNumId w:val="21"/>
  </w:num>
  <w:num w:numId="10" w16cid:durableId="918367538">
    <w:abstractNumId w:val="0"/>
  </w:num>
  <w:num w:numId="11" w16cid:durableId="1843159052">
    <w:abstractNumId w:val="20"/>
  </w:num>
  <w:num w:numId="12" w16cid:durableId="2045401613">
    <w:abstractNumId w:val="17"/>
  </w:num>
  <w:num w:numId="13" w16cid:durableId="88645351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67216618">
    <w:abstractNumId w:val="11"/>
  </w:num>
  <w:num w:numId="15" w16cid:durableId="1928615252">
    <w:abstractNumId w:val="4"/>
  </w:num>
  <w:num w:numId="16" w16cid:durableId="261691639">
    <w:abstractNumId w:val="14"/>
  </w:num>
  <w:num w:numId="17" w16cid:durableId="901326764">
    <w:abstractNumId w:val="12"/>
  </w:num>
  <w:num w:numId="18" w16cid:durableId="1924610612">
    <w:abstractNumId w:val="6"/>
  </w:num>
  <w:num w:numId="19" w16cid:durableId="1275550839">
    <w:abstractNumId w:val="15"/>
  </w:num>
  <w:num w:numId="20" w16cid:durableId="325205276">
    <w:abstractNumId w:val="1"/>
  </w:num>
  <w:num w:numId="21" w16cid:durableId="2047946786">
    <w:abstractNumId w:val="19"/>
  </w:num>
  <w:num w:numId="22" w16cid:durableId="1049917934">
    <w:abstractNumId w:val="8"/>
  </w:num>
  <w:num w:numId="23" w16cid:durableId="220753226">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5A40"/>
    <w:rsid w:val="000063A7"/>
    <w:rsid w:val="00006E80"/>
    <w:rsid w:val="00012A12"/>
    <w:rsid w:val="000133BF"/>
    <w:rsid w:val="00013B36"/>
    <w:rsid w:val="00014646"/>
    <w:rsid w:val="00015B1D"/>
    <w:rsid w:val="0001727A"/>
    <w:rsid w:val="00020805"/>
    <w:rsid w:val="00023583"/>
    <w:rsid w:val="0002382F"/>
    <w:rsid w:val="00024318"/>
    <w:rsid w:val="0002439C"/>
    <w:rsid w:val="00026BF8"/>
    <w:rsid w:val="00027287"/>
    <w:rsid w:val="00030347"/>
    <w:rsid w:val="00032A82"/>
    <w:rsid w:val="00032ACD"/>
    <w:rsid w:val="00033368"/>
    <w:rsid w:val="000343F7"/>
    <w:rsid w:val="000356BA"/>
    <w:rsid w:val="000406F1"/>
    <w:rsid w:val="00040B3A"/>
    <w:rsid w:val="00042900"/>
    <w:rsid w:val="000433F1"/>
    <w:rsid w:val="00043C27"/>
    <w:rsid w:val="0004421E"/>
    <w:rsid w:val="00044F03"/>
    <w:rsid w:val="00047D41"/>
    <w:rsid w:val="00051028"/>
    <w:rsid w:val="00051DE3"/>
    <w:rsid w:val="00053915"/>
    <w:rsid w:val="00053E32"/>
    <w:rsid w:val="000554C9"/>
    <w:rsid w:val="00055DAA"/>
    <w:rsid w:val="00055FC4"/>
    <w:rsid w:val="0005710B"/>
    <w:rsid w:val="000603EC"/>
    <w:rsid w:val="00063850"/>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D3E"/>
    <w:rsid w:val="00081F97"/>
    <w:rsid w:val="0008229B"/>
    <w:rsid w:val="0008230C"/>
    <w:rsid w:val="00082745"/>
    <w:rsid w:val="00083169"/>
    <w:rsid w:val="00084292"/>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1BD8"/>
    <w:rsid w:val="000A21D8"/>
    <w:rsid w:val="000A2A28"/>
    <w:rsid w:val="000A2C78"/>
    <w:rsid w:val="000A4725"/>
    <w:rsid w:val="000A4AFD"/>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5D9A"/>
    <w:rsid w:val="000C6447"/>
    <w:rsid w:val="000C64F0"/>
    <w:rsid w:val="000C65F4"/>
    <w:rsid w:val="000D27F5"/>
    <w:rsid w:val="000D281C"/>
    <w:rsid w:val="000D391F"/>
    <w:rsid w:val="000D3FA9"/>
    <w:rsid w:val="000D4AC9"/>
    <w:rsid w:val="000D7ABB"/>
    <w:rsid w:val="000E046E"/>
    <w:rsid w:val="000E1C41"/>
    <w:rsid w:val="000E2165"/>
    <w:rsid w:val="000E2262"/>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2F4"/>
    <w:rsid w:val="00111723"/>
    <w:rsid w:val="00111CFD"/>
    <w:rsid w:val="00111E65"/>
    <w:rsid w:val="0011228F"/>
    <w:rsid w:val="001122BB"/>
    <w:rsid w:val="00112539"/>
    <w:rsid w:val="00112B96"/>
    <w:rsid w:val="001156C4"/>
    <w:rsid w:val="001160A9"/>
    <w:rsid w:val="00117A1D"/>
    <w:rsid w:val="00117E38"/>
    <w:rsid w:val="001200B0"/>
    <w:rsid w:val="001214D2"/>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4755"/>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164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12ED"/>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09C4"/>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3ACF"/>
    <w:rsid w:val="001D400D"/>
    <w:rsid w:val="001D46B6"/>
    <w:rsid w:val="001D541A"/>
    <w:rsid w:val="001D68D2"/>
    <w:rsid w:val="001D6B95"/>
    <w:rsid w:val="001D7DE5"/>
    <w:rsid w:val="001E01B5"/>
    <w:rsid w:val="001E2ECD"/>
    <w:rsid w:val="001E4651"/>
    <w:rsid w:val="001E6507"/>
    <w:rsid w:val="001F0191"/>
    <w:rsid w:val="001F1802"/>
    <w:rsid w:val="001F2A64"/>
    <w:rsid w:val="001F3978"/>
    <w:rsid w:val="001F43D8"/>
    <w:rsid w:val="001F4839"/>
    <w:rsid w:val="001F4B3D"/>
    <w:rsid w:val="001F628C"/>
    <w:rsid w:val="001F67D2"/>
    <w:rsid w:val="001F6F74"/>
    <w:rsid w:val="001F6F7C"/>
    <w:rsid w:val="0020041A"/>
    <w:rsid w:val="00201066"/>
    <w:rsid w:val="00201B07"/>
    <w:rsid w:val="0020281E"/>
    <w:rsid w:val="00202BC4"/>
    <w:rsid w:val="00204A7F"/>
    <w:rsid w:val="002051DC"/>
    <w:rsid w:val="00206443"/>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495"/>
    <w:rsid w:val="00224870"/>
    <w:rsid w:val="00224F63"/>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5476"/>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68DC"/>
    <w:rsid w:val="002870B0"/>
    <w:rsid w:val="00287C76"/>
    <w:rsid w:val="0029013F"/>
    <w:rsid w:val="00290767"/>
    <w:rsid w:val="00290AFD"/>
    <w:rsid w:val="00292803"/>
    <w:rsid w:val="00296446"/>
    <w:rsid w:val="00296E93"/>
    <w:rsid w:val="00297849"/>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09E9"/>
    <w:rsid w:val="002E15A8"/>
    <w:rsid w:val="002E2E7D"/>
    <w:rsid w:val="002E32D9"/>
    <w:rsid w:val="002E41A9"/>
    <w:rsid w:val="002E592E"/>
    <w:rsid w:val="002E6A99"/>
    <w:rsid w:val="002E7EA3"/>
    <w:rsid w:val="002F00B1"/>
    <w:rsid w:val="002F0176"/>
    <w:rsid w:val="002F03B9"/>
    <w:rsid w:val="002F0A0E"/>
    <w:rsid w:val="002F0BE8"/>
    <w:rsid w:val="002F0C07"/>
    <w:rsid w:val="002F1EE8"/>
    <w:rsid w:val="002F242C"/>
    <w:rsid w:val="002F3C64"/>
    <w:rsid w:val="002F3F08"/>
    <w:rsid w:val="002F432F"/>
    <w:rsid w:val="002F4AA1"/>
    <w:rsid w:val="002F4C07"/>
    <w:rsid w:val="002F69BB"/>
    <w:rsid w:val="002F6AB9"/>
    <w:rsid w:val="002F6BBA"/>
    <w:rsid w:val="002F72A9"/>
    <w:rsid w:val="003013AE"/>
    <w:rsid w:val="00302079"/>
    <w:rsid w:val="00302132"/>
    <w:rsid w:val="0030394A"/>
    <w:rsid w:val="003043B1"/>
    <w:rsid w:val="003049AA"/>
    <w:rsid w:val="00310552"/>
    <w:rsid w:val="00314B99"/>
    <w:rsid w:val="00314E20"/>
    <w:rsid w:val="003162FE"/>
    <w:rsid w:val="00316DD7"/>
    <w:rsid w:val="00320191"/>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328"/>
    <w:rsid w:val="00341C26"/>
    <w:rsid w:val="00342397"/>
    <w:rsid w:val="003429E1"/>
    <w:rsid w:val="00342AB2"/>
    <w:rsid w:val="00343612"/>
    <w:rsid w:val="003447E5"/>
    <w:rsid w:val="00345985"/>
    <w:rsid w:val="00346216"/>
    <w:rsid w:val="003504EF"/>
    <w:rsid w:val="00350F2C"/>
    <w:rsid w:val="00353C15"/>
    <w:rsid w:val="00353EE1"/>
    <w:rsid w:val="00354521"/>
    <w:rsid w:val="00354BB5"/>
    <w:rsid w:val="00354CA4"/>
    <w:rsid w:val="00354F67"/>
    <w:rsid w:val="00355E75"/>
    <w:rsid w:val="00356D8A"/>
    <w:rsid w:val="00360AF4"/>
    <w:rsid w:val="00361B68"/>
    <w:rsid w:val="00363742"/>
    <w:rsid w:val="003639D1"/>
    <w:rsid w:val="00363D3C"/>
    <w:rsid w:val="00366E51"/>
    <w:rsid w:val="00366EC1"/>
    <w:rsid w:val="0036767F"/>
    <w:rsid w:val="00367939"/>
    <w:rsid w:val="0037202B"/>
    <w:rsid w:val="00372A52"/>
    <w:rsid w:val="00372F8E"/>
    <w:rsid w:val="003738A1"/>
    <w:rsid w:val="003741F6"/>
    <w:rsid w:val="00374986"/>
    <w:rsid w:val="0037743C"/>
    <w:rsid w:val="00380170"/>
    <w:rsid w:val="0038040E"/>
    <w:rsid w:val="00380A5B"/>
    <w:rsid w:val="0038187B"/>
    <w:rsid w:val="00381ED9"/>
    <w:rsid w:val="00382454"/>
    <w:rsid w:val="00383272"/>
    <w:rsid w:val="003833D1"/>
    <w:rsid w:val="00383668"/>
    <w:rsid w:val="0038428D"/>
    <w:rsid w:val="00385EA4"/>
    <w:rsid w:val="00386814"/>
    <w:rsid w:val="00386BAD"/>
    <w:rsid w:val="0038716F"/>
    <w:rsid w:val="003875D9"/>
    <w:rsid w:val="00387640"/>
    <w:rsid w:val="00391264"/>
    <w:rsid w:val="0039172C"/>
    <w:rsid w:val="0039380F"/>
    <w:rsid w:val="003949C2"/>
    <w:rsid w:val="00394BD3"/>
    <w:rsid w:val="003958F2"/>
    <w:rsid w:val="003968BC"/>
    <w:rsid w:val="003977AE"/>
    <w:rsid w:val="00397C21"/>
    <w:rsid w:val="00397CAA"/>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1A8"/>
    <w:rsid w:val="003D2E41"/>
    <w:rsid w:val="003D4F79"/>
    <w:rsid w:val="003D63F1"/>
    <w:rsid w:val="003D66BD"/>
    <w:rsid w:val="003E0410"/>
    <w:rsid w:val="003E0855"/>
    <w:rsid w:val="003E1053"/>
    <w:rsid w:val="003E15EF"/>
    <w:rsid w:val="003E1929"/>
    <w:rsid w:val="003E1B38"/>
    <w:rsid w:val="003E3BB4"/>
    <w:rsid w:val="003E3D01"/>
    <w:rsid w:val="003E49CC"/>
    <w:rsid w:val="003E4AAF"/>
    <w:rsid w:val="003E5354"/>
    <w:rsid w:val="003E593D"/>
    <w:rsid w:val="003E60C5"/>
    <w:rsid w:val="003E65E1"/>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462"/>
    <w:rsid w:val="00415FA4"/>
    <w:rsid w:val="00420079"/>
    <w:rsid w:val="00421F36"/>
    <w:rsid w:val="00422E8B"/>
    <w:rsid w:val="00425B02"/>
    <w:rsid w:val="0042683F"/>
    <w:rsid w:val="0043258B"/>
    <w:rsid w:val="0043260B"/>
    <w:rsid w:val="004347DB"/>
    <w:rsid w:val="00435498"/>
    <w:rsid w:val="00435FE2"/>
    <w:rsid w:val="004405C8"/>
    <w:rsid w:val="00440F3D"/>
    <w:rsid w:val="0044266F"/>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73F"/>
    <w:rsid w:val="00454DEA"/>
    <w:rsid w:val="00455CBC"/>
    <w:rsid w:val="00461C6D"/>
    <w:rsid w:val="004624B7"/>
    <w:rsid w:val="004638C8"/>
    <w:rsid w:val="00466CA7"/>
    <w:rsid w:val="004723DF"/>
    <w:rsid w:val="00473885"/>
    <w:rsid w:val="00473BB1"/>
    <w:rsid w:val="00474724"/>
    <w:rsid w:val="00476A77"/>
    <w:rsid w:val="00477AF1"/>
    <w:rsid w:val="00480497"/>
    <w:rsid w:val="0048076B"/>
    <w:rsid w:val="004815AF"/>
    <w:rsid w:val="00482CA3"/>
    <w:rsid w:val="00483E7B"/>
    <w:rsid w:val="00485119"/>
    <w:rsid w:val="004852E5"/>
    <w:rsid w:val="0048534F"/>
    <w:rsid w:val="00485D59"/>
    <w:rsid w:val="00485F3F"/>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0E3"/>
    <w:rsid w:val="004A6647"/>
    <w:rsid w:val="004A6A36"/>
    <w:rsid w:val="004A6DE5"/>
    <w:rsid w:val="004B0CFE"/>
    <w:rsid w:val="004B14B3"/>
    <w:rsid w:val="004B286E"/>
    <w:rsid w:val="004B48DB"/>
    <w:rsid w:val="004B4B3E"/>
    <w:rsid w:val="004B51A4"/>
    <w:rsid w:val="004B60DE"/>
    <w:rsid w:val="004B66C7"/>
    <w:rsid w:val="004B6C7C"/>
    <w:rsid w:val="004B7633"/>
    <w:rsid w:val="004B76DB"/>
    <w:rsid w:val="004B7A42"/>
    <w:rsid w:val="004B7B3B"/>
    <w:rsid w:val="004C0965"/>
    <w:rsid w:val="004C1A58"/>
    <w:rsid w:val="004C1B7D"/>
    <w:rsid w:val="004C1E5A"/>
    <w:rsid w:val="004C2342"/>
    <w:rsid w:val="004C64F0"/>
    <w:rsid w:val="004C771C"/>
    <w:rsid w:val="004D16B6"/>
    <w:rsid w:val="004D1840"/>
    <w:rsid w:val="004D1DCA"/>
    <w:rsid w:val="004D2DF9"/>
    <w:rsid w:val="004D38E5"/>
    <w:rsid w:val="004D4D62"/>
    <w:rsid w:val="004D5517"/>
    <w:rsid w:val="004D5970"/>
    <w:rsid w:val="004D6E20"/>
    <w:rsid w:val="004D7B44"/>
    <w:rsid w:val="004E0695"/>
    <w:rsid w:val="004E07BB"/>
    <w:rsid w:val="004E0A23"/>
    <w:rsid w:val="004E178B"/>
    <w:rsid w:val="004E338D"/>
    <w:rsid w:val="004E3E2A"/>
    <w:rsid w:val="004E4F7F"/>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6F0C"/>
    <w:rsid w:val="0050734F"/>
    <w:rsid w:val="005105EE"/>
    <w:rsid w:val="00511CBC"/>
    <w:rsid w:val="00514C39"/>
    <w:rsid w:val="0051563E"/>
    <w:rsid w:val="005163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345"/>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0F2"/>
    <w:rsid w:val="00555F12"/>
    <w:rsid w:val="00556BAC"/>
    <w:rsid w:val="00557F51"/>
    <w:rsid w:val="00561CC0"/>
    <w:rsid w:val="005625CE"/>
    <w:rsid w:val="00562A6C"/>
    <w:rsid w:val="0056311B"/>
    <w:rsid w:val="005639B3"/>
    <w:rsid w:val="00563BF6"/>
    <w:rsid w:val="00563DC4"/>
    <w:rsid w:val="0056604A"/>
    <w:rsid w:val="00566B5B"/>
    <w:rsid w:val="005670A3"/>
    <w:rsid w:val="00570F9A"/>
    <w:rsid w:val="00571CA7"/>
    <w:rsid w:val="00573D64"/>
    <w:rsid w:val="005766D9"/>
    <w:rsid w:val="0058117C"/>
    <w:rsid w:val="00584410"/>
    <w:rsid w:val="00585274"/>
    <w:rsid w:val="00585E9F"/>
    <w:rsid w:val="00590DC5"/>
    <w:rsid w:val="00590DE8"/>
    <w:rsid w:val="005914B1"/>
    <w:rsid w:val="00594BC3"/>
    <w:rsid w:val="00594CAE"/>
    <w:rsid w:val="005958A6"/>
    <w:rsid w:val="00595FE9"/>
    <w:rsid w:val="00596F1A"/>
    <w:rsid w:val="005A0DA4"/>
    <w:rsid w:val="005A12BD"/>
    <w:rsid w:val="005A1D3D"/>
    <w:rsid w:val="005A1F16"/>
    <w:rsid w:val="005A2694"/>
    <w:rsid w:val="005A2A0E"/>
    <w:rsid w:val="005A3DE0"/>
    <w:rsid w:val="005A41B5"/>
    <w:rsid w:val="005A4554"/>
    <w:rsid w:val="005A48F2"/>
    <w:rsid w:val="005A4BC3"/>
    <w:rsid w:val="005A5C6C"/>
    <w:rsid w:val="005A787F"/>
    <w:rsid w:val="005A7EDC"/>
    <w:rsid w:val="005B02F7"/>
    <w:rsid w:val="005B1480"/>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0E4C"/>
    <w:rsid w:val="00622DB1"/>
    <w:rsid w:val="0062439D"/>
    <w:rsid w:val="006243B2"/>
    <w:rsid w:val="006259DA"/>
    <w:rsid w:val="00630481"/>
    <w:rsid w:val="00630D05"/>
    <w:rsid w:val="00631150"/>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354"/>
    <w:rsid w:val="00652C9F"/>
    <w:rsid w:val="006555F2"/>
    <w:rsid w:val="00655B97"/>
    <w:rsid w:val="006562F3"/>
    <w:rsid w:val="0066069F"/>
    <w:rsid w:val="00660BDF"/>
    <w:rsid w:val="0066107B"/>
    <w:rsid w:val="00661B79"/>
    <w:rsid w:val="006625D6"/>
    <w:rsid w:val="00662D0A"/>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6EBD"/>
    <w:rsid w:val="006E78E4"/>
    <w:rsid w:val="006E7A8C"/>
    <w:rsid w:val="006F0FFA"/>
    <w:rsid w:val="006F1156"/>
    <w:rsid w:val="006F35CC"/>
    <w:rsid w:val="006F4312"/>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DE8"/>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1E18"/>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1459"/>
    <w:rsid w:val="0076228F"/>
    <w:rsid w:val="00763200"/>
    <w:rsid w:val="007634AE"/>
    <w:rsid w:val="0076481B"/>
    <w:rsid w:val="00765CC3"/>
    <w:rsid w:val="00766525"/>
    <w:rsid w:val="007703E6"/>
    <w:rsid w:val="007704D5"/>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6E31"/>
    <w:rsid w:val="007B7D47"/>
    <w:rsid w:val="007C0D37"/>
    <w:rsid w:val="007C15B2"/>
    <w:rsid w:val="007C2430"/>
    <w:rsid w:val="007C3701"/>
    <w:rsid w:val="007C404E"/>
    <w:rsid w:val="007C4F85"/>
    <w:rsid w:val="007C65AF"/>
    <w:rsid w:val="007D02D7"/>
    <w:rsid w:val="007D048B"/>
    <w:rsid w:val="007D0545"/>
    <w:rsid w:val="007D1521"/>
    <w:rsid w:val="007D240D"/>
    <w:rsid w:val="007D2C59"/>
    <w:rsid w:val="007D2CE7"/>
    <w:rsid w:val="007D3041"/>
    <w:rsid w:val="007D37B7"/>
    <w:rsid w:val="007D3B4D"/>
    <w:rsid w:val="007D3D51"/>
    <w:rsid w:val="007D3F6A"/>
    <w:rsid w:val="007D4B8C"/>
    <w:rsid w:val="007D538E"/>
    <w:rsid w:val="007D5538"/>
    <w:rsid w:val="007D585D"/>
    <w:rsid w:val="007D5D6C"/>
    <w:rsid w:val="007D7A89"/>
    <w:rsid w:val="007D7EFB"/>
    <w:rsid w:val="007E19A3"/>
    <w:rsid w:val="007E1E8C"/>
    <w:rsid w:val="007E308B"/>
    <w:rsid w:val="007E3D70"/>
    <w:rsid w:val="007E4AEA"/>
    <w:rsid w:val="007E671D"/>
    <w:rsid w:val="007F19C2"/>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967"/>
    <w:rsid w:val="00806EF0"/>
    <w:rsid w:val="00807490"/>
    <w:rsid w:val="00807931"/>
    <w:rsid w:val="00807C91"/>
    <w:rsid w:val="008110B2"/>
    <w:rsid w:val="008111FC"/>
    <w:rsid w:val="0081145A"/>
    <w:rsid w:val="00812BDA"/>
    <w:rsid w:val="008130E7"/>
    <w:rsid w:val="00813188"/>
    <w:rsid w:val="0081326B"/>
    <w:rsid w:val="00814061"/>
    <w:rsid w:val="00815739"/>
    <w:rsid w:val="008157DA"/>
    <w:rsid w:val="00815A89"/>
    <w:rsid w:val="00815CD9"/>
    <w:rsid w:val="00817343"/>
    <w:rsid w:val="00817A30"/>
    <w:rsid w:val="00820E68"/>
    <w:rsid w:val="0082234A"/>
    <w:rsid w:val="008223F9"/>
    <w:rsid w:val="008237C3"/>
    <w:rsid w:val="0082499E"/>
    <w:rsid w:val="00824E8E"/>
    <w:rsid w:val="00826E81"/>
    <w:rsid w:val="008272CB"/>
    <w:rsid w:val="00827788"/>
    <w:rsid w:val="00827C52"/>
    <w:rsid w:val="00830303"/>
    <w:rsid w:val="0083044F"/>
    <w:rsid w:val="008308FE"/>
    <w:rsid w:val="00833155"/>
    <w:rsid w:val="00833B16"/>
    <w:rsid w:val="00834A66"/>
    <w:rsid w:val="00834CB1"/>
    <w:rsid w:val="00837C89"/>
    <w:rsid w:val="008411DB"/>
    <w:rsid w:val="008468C5"/>
    <w:rsid w:val="00846B21"/>
    <w:rsid w:val="00846EF0"/>
    <w:rsid w:val="008470A9"/>
    <w:rsid w:val="00851B51"/>
    <w:rsid w:val="00851F18"/>
    <w:rsid w:val="00852AFC"/>
    <w:rsid w:val="00853117"/>
    <w:rsid w:val="00853230"/>
    <w:rsid w:val="0085407D"/>
    <w:rsid w:val="008562DF"/>
    <w:rsid w:val="00856360"/>
    <w:rsid w:val="008564C6"/>
    <w:rsid w:val="0085765A"/>
    <w:rsid w:val="00860995"/>
    <w:rsid w:val="008616D7"/>
    <w:rsid w:val="00861AE3"/>
    <w:rsid w:val="008627F3"/>
    <w:rsid w:val="00862EE5"/>
    <w:rsid w:val="008635C3"/>
    <w:rsid w:val="0086602B"/>
    <w:rsid w:val="00867A74"/>
    <w:rsid w:val="00870A67"/>
    <w:rsid w:val="00872494"/>
    <w:rsid w:val="00873A20"/>
    <w:rsid w:val="00873B96"/>
    <w:rsid w:val="00874B81"/>
    <w:rsid w:val="00875B1D"/>
    <w:rsid w:val="00880139"/>
    <w:rsid w:val="00880AD1"/>
    <w:rsid w:val="00883855"/>
    <w:rsid w:val="008838F9"/>
    <w:rsid w:val="00884500"/>
    <w:rsid w:val="00884AA6"/>
    <w:rsid w:val="00884C28"/>
    <w:rsid w:val="0088534E"/>
    <w:rsid w:val="00885CAD"/>
    <w:rsid w:val="00886363"/>
    <w:rsid w:val="00887BB4"/>
    <w:rsid w:val="00890CD4"/>
    <w:rsid w:val="00892EED"/>
    <w:rsid w:val="008948AF"/>
    <w:rsid w:val="00896A68"/>
    <w:rsid w:val="008971B0"/>
    <w:rsid w:val="008A146C"/>
    <w:rsid w:val="008A1949"/>
    <w:rsid w:val="008A689F"/>
    <w:rsid w:val="008A6C2C"/>
    <w:rsid w:val="008A788D"/>
    <w:rsid w:val="008A7E3D"/>
    <w:rsid w:val="008B0C0D"/>
    <w:rsid w:val="008B29EE"/>
    <w:rsid w:val="008B2DEB"/>
    <w:rsid w:val="008B2F9E"/>
    <w:rsid w:val="008B5A74"/>
    <w:rsid w:val="008B63AD"/>
    <w:rsid w:val="008B6911"/>
    <w:rsid w:val="008B6AA0"/>
    <w:rsid w:val="008B755D"/>
    <w:rsid w:val="008B7AD1"/>
    <w:rsid w:val="008C12CA"/>
    <w:rsid w:val="008C1CED"/>
    <w:rsid w:val="008C1E73"/>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7D1"/>
    <w:rsid w:val="008E7892"/>
    <w:rsid w:val="008F002C"/>
    <w:rsid w:val="008F0255"/>
    <w:rsid w:val="008F0D9D"/>
    <w:rsid w:val="008F1EDC"/>
    <w:rsid w:val="008F3368"/>
    <w:rsid w:val="008F34F9"/>
    <w:rsid w:val="008F3C69"/>
    <w:rsid w:val="008F3E9F"/>
    <w:rsid w:val="008F4F06"/>
    <w:rsid w:val="008F6184"/>
    <w:rsid w:val="009016D4"/>
    <w:rsid w:val="00903196"/>
    <w:rsid w:val="00903F00"/>
    <w:rsid w:val="009055A8"/>
    <w:rsid w:val="0090662B"/>
    <w:rsid w:val="00910361"/>
    <w:rsid w:val="00910715"/>
    <w:rsid w:val="0091137B"/>
    <w:rsid w:val="00912465"/>
    <w:rsid w:val="00912864"/>
    <w:rsid w:val="009136F3"/>
    <w:rsid w:val="009141A5"/>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179A"/>
    <w:rsid w:val="00963031"/>
    <w:rsid w:val="009636E9"/>
    <w:rsid w:val="00964A2B"/>
    <w:rsid w:val="00965DD2"/>
    <w:rsid w:val="00965E0E"/>
    <w:rsid w:val="00967D45"/>
    <w:rsid w:val="00967EDA"/>
    <w:rsid w:val="009708FA"/>
    <w:rsid w:val="00970C63"/>
    <w:rsid w:val="009718D8"/>
    <w:rsid w:val="00973456"/>
    <w:rsid w:val="00973F97"/>
    <w:rsid w:val="00974A2C"/>
    <w:rsid w:val="00975E3F"/>
    <w:rsid w:val="00976271"/>
    <w:rsid w:val="00980D07"/>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605"/>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3278"/>
    <w:rsid w:val="009A4791"/>
    <w:rsid w:val="009A56CD"/>
    <w:rsid w:val="009A63A0"/>
    <w:rsid w:val="009A6611"/>
    <w:rsid w:val="009A7CC0"/>
    <w:rsid w:val="009A7F42"/>
    <w:rsid w:val="009B00EA"/>
    <w:rsid w:val="009B0FAA"/>
    <w:rsid w:val="009B1837"/>
    <w:rsid w:val="009B2001"/>
    <w:rsid w:val="009B275F"/>
    <w:rsid w:val="009B2764"/>
    <w:rsid w:val="009B2ECB"/>
    <w:rsid w:val="009B4725"/>
    <w:rsid w:val="009B6526"/>
    <w:rsid w:val="009B7198"/>
    <w:rsid w:val="009C0E74"/>
    <w:rsid w:val="009C19EF"/>
    <w:rsid w:val="009C2513"/>
    <w:rsid w:val="009C2A34"/>
    <w:rsid w:val="009C2ADF"/>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1928"/>
    <w:rsid w:val="009E2912"/>
    <w:rsid w:val="009E3892"/>
    <w:rsid w:val="009E3F81"/>
    <w:rsid w:val="009E5153"/>
    <w:rsid w:val="009E5208"/>
    <w:rsid w:val="009E5AB6"/>
    <w:rsid w:val="009E7840"/>
    <w:rsid w:val="009F0376"/>
    <w:rsid w:val="009F0436"/>
    <w:rsid w:val="009F0B2F"/>
    <w:rsid w:val="009F17DB"/>
    <w:rsid w:val="009F4350"/>
    <w:rsid w:val="009F4455"/>
    <w:rsid w:val="009F5EB6"/>
    <w:rsid w:val="009F6070"/>
    <w:rsid w:val="009F60C2"/>
    <w:rsid w:val="009F63CF"/>
    <w:rsid w:val="009F750D"/>
    <w:rsid w:val="009F7D0C"/>
    <w:rsid w:val="00A001FF"/>
    <w:rsid w:val="00A017B4"/>
    <w:rsid w:val="00A03D0F"/>
    <w:rsid w:val="00A05700"/>
    <w:rsid w:val="00A06F8E"/>
    <w:rsid w:val="00A07CDD"/>
    <w:rsid w:val="00A10346"/>
    <w:rsid w:val="00A1133C"/>
    <w:rsid w:val="00A1196C"/>
    <w:rsid w:val="00A11A29"/>
    <w:rsid w:val="00A12E3E"/>
    <w:rsid w:val="00A13F96"/>
    <w:rsid w:val="00A15ADE"/>
    <w:rsid w:val="00A179EA"/>
    <w:rsid w:val="00A204AF"/>
    <w:rsid w:val="00A2064E"/>
    <w:rsid w:val="00A226B3"/>
    <w:rsid w:val="00A247AD"/>
    <w:rsid w:val="00A25344"/>
    <w:rsid w:val="00A259EA"/>
    <w:rsid w:val="00A25B5F"/>
    <w:rsid w:val="00A25ED1"/>
    <w:rsid w:val="00A25F84"/>
    <w:rsid w:val="00A2678C"/>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47D6E"/>
    <w:rsid w:val="00A50CD8"/>
    <w:rsid w:val="00A514ED"/>
    <w:rsid w:val="00A51546"/>
    <w:rsid w:val="00A56D04"/>
    <w:rsid w:val="00A57E1D"/>
    <w:rsid w:val="00A603DE"/>
    <w:rsid w:val="00A6068A"/>
    <w:rsid w:val="00A610B3"/>
    <w:rsid w:val="00A62D59"/>
    <w:rsid w:val="00A656BB"/>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27D0"/>
    <w:rsid w:val="00AA3481"/>
    <w:rsid w:val="00AA51E2"/>
    <w:rsid w:val="00AA6630"/>
    <w:rsid w:val="00AA6CD6"/>
    <w:rsid w:val="00AA783A"/>
    <w:rsid w:val="00AB0293"/>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5E97"/>
    <w:rsid w:val="00AE61DE"/>
    <w:rsid w:val="00AE6F50"/>
    <w:rsid w:val="00AE70A4"/>
    <w:rsid w:val="00AE7329"/>
    <w:rsid w:val="00AE73C6"/>
    <w:rsid w:val="00AF00A2"/>
    <w:rsid w:val="00AF1555"/>
    <w:rsid w:val="00AF1A1E"/>
    <w:rsid w:val="00AF2C14"/>
    <w:rsid w:val="00AF2EDF"/>
    <w:rsid w:val="00AF5077"/>
    <w:rsid w:val="00AF57FA"/>
    <w:rsid w:val="00AF5999"/>
    <w:rsid w:val="00B037EB"/>
    <w:rsid w:val="00B04C09"/>
    <w:rsid w:val="00B05265"/>
    <w:rsid w:val="00B05587"/>
    <w:rsid w:val="00B0571E"/>
    <w:rsid w:val="00B05E1B"/>
    <w:rsid w:val="00B0655D"/>
    <w:rsid w:val="00B065F1"/>
    <w:rsid w:val="00B0737C"/>
    <w:rsid w:val="00B10083"/>
    <w:rsid w:val="00B10C3A"/>
    <w:rsid w:val="00B11397"/>
    <w:rsid w:val="00B11577"/>
    <w:rsid w:val="00B1243B"/>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B27"/>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4704B"/>
    <w:rsid w:val="00B51E29"/>
    <w:rsid w:val="00B53853"/>
    <w:rsid w:val="00B54CE7"/>
    <w:rsid w:val="00B609E3"/>
    <w:rsid w:val="00B60C4D"/>
    <w:rsid w:val="00B63F10"/>
    <w:rsid w:val="00B6446C"/>
    <w:rsid w:val="00B64CD6"/>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85F8F"/>
    <w:rsid w:val="00B90408"/>
    <w:rsid w:val="00B91B0B"/>
    <w:rsid w:val="00B926FA"/>
    <w:rsid w:val="00B92707"/>
    <w:rsid w:val="00B929C5"/>
    <w:rsid w:val="00B930EB"/>
    <w:rsid w:val="00B942FC"/>
    <w:rsid w:val="00B94D5F"/>
    <w:rsid w:val="00B95D48"/>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654C"/>
    <w:rsid w:val="00BB76BA"/>
    <w:rsid w:val="00BC124B"/>
    <w:rsid w:val="00BC19C9"/>
    <w:rsid w:val="00BC4E55"/>
    <w:rsid w:val="00BC5152"/>
    <w:rsid w:val="00BC6CE7"/>
    <w:rsid w:val="00BC6EEB"/>
    <w:rsid w:val="00BC73A4"/>
    <w:rsid w:val="00BC7AFE"/>
    <w:rsid w:val="00BD1ED8"/>
    <w:rsid w:val="00BD503F"/>
    <w:rsid w:val="00BD6CD8"/>
    <w:rsid w:val="00BD7251"/>
    <w:rsid w:val="00BD74F0"/>
    <w:rsid w:val="00BE1CF4"/>
    <w:rsid w:val="00BE2501"/>
    <w:rsid w:val="00BE3ACD"/>
    <w:rsid w:val="00BE4921"/>
    <w:rsid w:val="00BE51B1"/>
    <w:rsid w:val="00BE5DB0"/>
    <w:rsid w:val="00BE7CC6"/>
    <w:rsid w:val="00BF03E1"/>
    <w:rsid w:val="00BF1978"/>
    <w:rsid w:val="00BF23B1"/>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4DF1"/>
    <w:rsid w:val="00C14EFD"/>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0FBD"/>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0B7B"/>
    <w:rsid w:val="00CE3262"/>
    <w:rsid w:val="00CE4300"/>
    <w:rsid w:val="00CE5557"/>
    <w:rsid w:val="00CE5704"/>
    <w:rsid w:val="00CE6799"/>
    <w:rsid w:val="00CF0265"/>
    <w:rsid w:val="00CF06E4"/>
    <w:rsid w:val="00CF1867"/>
    <w:rsid w:val="00CF20E9"/>
    <w:rsid w:val="00CF3AF7"/>
    <w:rsid w:val="00CF48E5"/>
    <w:rsid w:val="00CF5737"/>
    <w:rsid w:val="00CF5C7B"/>
    <w:rsid w:val="00CF6BF8"/>
    <w:rsid w:val="00CF7405"/>
    <w:rsid w:val="00D002D2"/>
    <w:rsid w:val="00D0154F"/>
    <w:rsid w:val="00D01669"/>
    <w:rsid w:val="00D025B6"/>
    <w:rsid w:val="00D02C5E"/>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394C"/>
    <w:rsid w:val="00D442E0"/>
    <w:rsid w:val="00D44369"/>
    <w:rsid w:val="00D512D6"/>
    <w:rsid w:val="00D51E87"/>
    <w:rsid w:val="00D53441"/>
    <w:rsid w:val="00D53D10"/>
    <w:rsid w:val="00D54D65"/>
    <w:rsid w:val="00D56832"/>
    <w:rsid w:val="00D57799"/>
    <w:rsid w:val="00D60D56"/>
    <w:rsid w:val="00D61782"/>
    <w:rsid w:val="00D62CDE"/>
    <w:rsid w:val="00D633A3"/>
    <w:rsid w:val="00D63ADB"/>
    <w:rsid w:val="00D63E92"/>
    <w:rsid w:val="00D64809"/>
    <w:rsid w:val="00D64B36"/>
    <w:rsid w:val="00D64BEB"/>
    <w:rsid w:val="00D65459"/>
    <w:rsid w:val="00D65BD1"/>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07A"/>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52B4"/>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518"/>
    <w:rsid w:val="00DB3A9D"/>
    <w:rsid w:val="00DB42B2"/>
    <w:rsid w:val="00DB51E7"/>
    <w:rsid w:val="00DB5F66"/>
    <w:rsid w:val="00DC3338"/>
    <w:rsid w:val="00DC36B1"/>
    <w:rsid w:val="00DC37BE"/>
    <w:rsid w:val="00DC4A96"/>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5F6A"/>
    <w:rsid w:val="00DE6006"/>
    <w:rsid w:val="00DE688D"/>
    <w:rsid w:val="00DF1005"/>
    <w:rsid w:val="00DF13FE"/>
    <w:rsid w:val="00DF1A3B"/>
    <w:rsid w:val="00DF1AE8"/>
    <w:rsid w:val="00DF3DD9"/>
    <w:rsid w:val="00DF6471"/>
    <w:rsid w:val="00DF69D4"/>
    <w:rsid w:val="00DF7246"/>
    <w:rsid w:val="00DF7C15"/>
    <w:rsid w:val="00DF7C47"/>
    <w:rsid w:val="00DF7EBA"/>
    <w:rsid w:val="00E01218"/>
    <w:rsid w:val="00E01773"/>
    <w:rsid w:val="00E01D85"/>
    <w:rsid w:val="00E026EF"/>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1A1"/>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8B7"/>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60AF"/>
    <w:rsid w:val="00E7752B"/>
    <w:rsid w:val="00E8150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678"/>
    <w:rsid w:val="00EA1EBF"/>
    <w:rsid w:val="00EA1EE8"/>
    <w:rsid w:val="00EA2C73"/>
    <w:rsid w:val="00EA3402"/>
    <w:rsid w:val="00EA56A1"/>
    <w:rsid w:val="00EA5BB3"/>
    <w:rsid w:val="00EA639F"/>
    <w:rsid w:val="00EB055A"/>
    <w:rsid w:val="00EB05CD"/>
    <w:rsid w:val="00EB0AB9"/>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200E"/>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1DA0"/>
    <w:rsid w:val="00F42711"/>
    <w:rsid w:val="00F42980"/>
    <w:rsid w:val="00F438D5"/>
    <w:rsid w:val="00F43C6D"/>
    <w:rsid w:val="00F4428F"/>
    <w:rsid w:val="00F451AD"/>
    <w:rsid w:val="00F45258"/>
    <w:rsid w:val="00F461B0"/>
    <w:rsid w:val="00F475B2"/>
    <w:rsid w:val="00F5171E"/>
    <w:rsid w:val="00F519F2"/>
    <w:rsid w:val="00F52FC4"/>
    <w:rsid w:val="00F53FBB"/>
    <w:rsid w:val="00F55508"/>
    <w:rsid w:val="00F55D62"/>
    <w:rsid w:val="00F56F67"/>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39D"/>
    <w:rsid w:val="00F72D47"/>
    <w:rsid w:val="00F73B4C"/>
    <w:rsid w:val="00F74A04"/>
    <w:rsid w:val="00F76352"/>
    <w:rsid w:val="00F765E4"/>
    <w:rsid w:val="00F768A0"/>
    <w:rsid w:val="00F76B47"/>
    <w:rsid w:val="00F77084"/>
    <w:rsid w:val="00F77340"/>
    <w:rsid w:val="00F80318"/>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735"/>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4B8D"/>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86199545">
      <w:bodyDiv w:val="1"/>
      <w:marLeft w:val="0"/>
      <w:marRight w:val="0"/>
      <w:marTop w:val="0"/>
      <w:marBottom w:val="0"/>
      <w:divBdr>
        <w:top w:val="none" w:sz="0" w:space="0" w:color="auto"/>
        <w:left w:val="none" w:sz="0" w:space="0" w:color="auto"/>
        <w:bottom w:val="none" w:sz="0" w:space="0" w:color="auto"/>
        <w:right w:val="none" w:sz="0" w:space="0" w:color="auto"/>
      </w:divBdr>
    </w:div>
    <w:div w:id="105078844">
      <w:bodyDiv w:val="1"/>
      <w:marLeft w:val="0"/>
      <w:marRight w:val="0"/>
      <w:marTop w:val="0"/>
      <w:marBottom w:val="0"/>
      <w:divBdr>
        <w:top w:val="none" w:sz="0" w:space="0" w:color="auto"/>
        <w:left w:val="none" w:sz="0" w:space="0" w:color="auto"/>
        <w:bottom w:val="none" w:sz="0" w:space="0" w:color="auto"/>
        <w:right w:val="none" w:sz="0" w:space="0" w:color="auto"/>
      </w:divBdr>
    </w:div>
    <w:div w:id="20587845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3955001">
      <w:bodyDiv w:val="1"/>
      <w:marLeft w:val="0"/>
      <w:marRight w:val="0"/>
      <w:marTop w:val="0"/>
      <w:marBottom w:val="0"/>
      <w:divBdr>
        <w:top w:val="none" w:sz="0" w:space="0" w:color="auto"/>
        <w:left w:val="none" w:sz="0" w:space="0" w:color="auto"/>
        <w:bottom w:val="none" w:sz="0" w:space="0" w:color="auto"/>
        <w:right w:val="none" w:sz="0" w:space="0" w:color="auto"/>
      </w:divBdr>
    </w:div>
    <w:div w:id="257104355">
      <w:bodyDiv w:val="1"/>
      <w:marLeft w:val="0"/>
      <w:marRight w:val="0"/>
      <w:marTop w:val="0"/>
      <w:marBottom w:val="0"/>
      <w:divBdr>
        <w:top w:val="none" w:sz="0" w:space="0" w:color="auto"/>
        <w:left w:val="none" w:sz="0" w:space="0" w:color="auto"/>
        <w:bottom w:val="none" w:sz="0" w:space="0" w:color="auto"/>
        <w:right w:val="none" w:sz="0" w:space="0" w:color="auto"/>
      </w:divBdr>
    </w:div>
    <w:div w:id="340012990">
      <w:bodyDiv w:val="1"/>
      <w:marLeft w:val="0"/>
      <w:marRight w:val="0"/>
      <w:marTop w:val="0"/>
      <w:marBottom w:val="0"/>
      <w:divBdr>
        <w:top w:val="none" w:sz="0" w:space="0" w:color="auto"/>
        <w:left w:val="none" w:sz="0" w:space="0" w:color="auto"/>
        <w:bottom w:val="none" w:sz="0" w:space="0" w:color="auto"/>
        <w:right w:val="none" w:sz="0" w:space="0" w:color="auto"/>
      </w:divBdr>
    </w:div>
    <w:div w:id="40438027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3033082">
      <w:bodyDiv w:val="1"/>
      <w:marLeft w:val="0"/>
      <w:marRight w:val="0"/>
      <w:marTop w:val="0"/>
      <w:marBottom w:val="0"/>
      <w:divBdr>
        <w:top w:val="none" w:sz="0" w:space="0" w:color="auto"/>
        <w:left w:val="none" w:sz="0" w:space="0" w:color="auto"/>
        <w:bottom w:val="none" w:sz="0" w:space="0" w:color="auto"/>
        <w:right w:val="none" w:sz="0" w:space="0" w:color="auto"/>
      </w:divBdr>
    </w:div>
    <w:div w:id="581765983">
      <w:bodyDiv w:val="1"/>
      <w:marLeft w:val="0"/>
      <w:marRight w:val="0"/>
      <w:marTop w:val="0"/>
      <w:marBottom w:val="0"/>
      <w:divBdr>
        <w:top w:val="none" w:sz="0" w:space="0" w:color="auto"/>
        <w:left w:val="none" w:sz="0" w:space="0" w:color="auto"/>
        <w:bottom w:val="none" w:sz="0" w:space="0" w:color="auto"/>
        <w:right w:val="none" w:sz="0" w:space="0" w:color="auto"/>
      </w:divBdr>
    </w:div>
    <w:div w:id="583151966">
      <w:bodyDiv w:val="1"/>
      <w:marLeft w:val="0"/>
      <w:marRight w:val="0"/>
      <w:marTop w:val="0"/>
      <w:marBottom w:val="0"/>
      <w:divBdr>
        <w:top w:val="none" w:sz="0" w:space="0" w:color="auto"/>
        <w:left w:val="none" w:sz="0" w:space="0" w:color="auto"/>
        <w:bottom w:val="none" w:sz="0" w:space="0" w:color="auto"/>
        <w:right w:val="none" w:sz="0" w:space="0" w:color="auto"/>
      </w:divBdr>
    </w:div>
    <w:div w:id="630674278">
      <w:bodyDiv w:val="1"/>
      <w:marLeft w:val="0"/>
      <w:marRight w:val="0"/>
      <w:marTop w:val="0"/>
      <w:marBottom w:val="0"/>
      <w:divBdr>
        <w:top w:val="none" w:sz="0" w:space="0" w:color="auto"/>
        <w:left w:val="none" w:sz="0" w:space="0" w:color="auto"/>
        <w:bottom w:val="none" w:sz="0" w:space="0" w:color="auto"/>
        <w:right w:val="none" w:sz="0" w:space="0" w:color="auto"/>
      </w:divBdr>
    </w:div>
    <w:div w:id="739327742">
      <w:bodyDiv w:val="1"/>
      <w:marLeft w:val="0"/>
      <w:marRight w:val="0"/>
      <w:marTop w:val="0"/>
      <w:marBottom w:val="0"/>
      <w:divBdr>
        <w:top w:val="none" w:sz="0" w:space="0" w:color="auto"/>
        <w:left w:val="none" w:sz="0" w:space="0" w:color="auto"/>
        <w:bottom w:val="none" w:sz="0" w:space="0" w:color="auto"/>
        <w:right w:val="none" w:sz="0" w:space="0" w:color="auto"/>
      </w:divBdr>
    </w:div>
    <w:div w:id="762994439">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834565209">
      <w:bodyDiv w:val="1"/>
      <w:marLeft w:val="0"/>
      <w:marRight w:val="0"/>
      <w:marTop w:val="0"/>
      <w:marBottom w:val="0"/>
      <w:divBdr>
        <w:top w:val="none" w:sz="0" w:space="0" w:color="auto"/>
        <w:left w:val="none" w:sz="0" w:space="0" w:color="auto"/>
        <w:bottom w:val="none" w:sz="0" w:space="0" w:color="auto"/>
        <w:right w:val="none" w:sz="0" w:space="0" w:color="auto"/>
      </w:divBdr>
    </w:div>
    <w:div w:id="92792913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2320274">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04762443">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0384545">
      <w:bodyDiv w:val="1"/>
      <w:marLeft w:val="0"/>
      <w:marRight w:val="0"/>
      <w:marTop w:val="0"/>
      <w:marBottom w:val="0"/>
      <w:divBdr>
        <w:top w:val="none" w:sz="0" w:space="0" w:color="auto"/>
        <w:left w:val="none" w:sz="0" w:space="0" w:color="auto"/>
        <w:bottom w:val="none" w:sz="0" w:space="0" w:color="auto"/>
        <w:right w:val="none" w:sz="0" w:space="0" w:color="auto"/>
      </w:divBdr>
    </w:div>
    <w:div w:id="1184782794">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407000383">
      <w:bodyDiv w:val="1"/>
      <w:marLeft w:val="0"/>
      <w:marRight w:val="0"/>
      <w:marTop w:val="0"/>
      <w:marBottom w:val="0"/>
      <w:divBdr>
        <w:top w:val="none" w:sz="0" w:space="0" w:color="auto"/>
        <w:left w:val="none" w:sz="0" w:space="0" w:color="auto"/>
        <w:bottom w:val="none" w:sz="0" w:space="0" w:color="auto"/>
        <w:right w:val="none" w:sz="0" w:space="0" w:color="auto"/>
      </w:divBdr>
    </w:div>
    <w:div w:id="1474131856">
      <w:bodyDiv w:val="1"/>
      <w:marLeft w:val="0"/>
      <w:marRight w:val="0"/>
      <w:marTop w:val="0"/>
      <w:marBottom w:val="0"/>
      <w:divBdr>
        <w:top w:val="none" w:sz="0" w:space="0" w:color="auto"/>
        <w:left w:val="none" w:sz="0" w:space="0" w:color="auto"/>
        <w:bottom w:val="none" w:sz="0" w:space="0" w:color="auto"/>
        <w:right w:val="none" w:sz="0" w:space="0" w:color="auto"/>
      </w:divBdr>
    </w:div>
    <w:div w:id="1476144821">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22227728">
      <w:bodyDiv w:val="1"/>
      <w:marLeft w:val="0"/>
      <w:marRight w:val="0"/>
      <w:marTop w:val="0"/>
      <w:marBottom w:val="0"/>
      <w:divBdr>
        <w:top w:val="none" w:sz="0" w:space="0" w:color="auto"/>
        <w:left w:val="none" w:sz="0" w:space="0" w:color="auto"/>
        <w:bottom w:val="none" w:sz="0" w:space="0" w:color="auto"/>
        <w:right w:val="none" w:sz="0" w:space="0" w:color="auto"/>
      </w:divBdr>
    </w:div>
    <w:div w:id="1665547834">
      <w:bodyDiv w:val="1"/>
      <w:marLeft w:val="0"/>
      <w:marRight w:val="0"/>
      <w:marTop w:val="0"/>
      <w:marBottom w:val="0"/>
      <w:divBdr>
        <w:top w:val="none" w:sz="0" w:space="0" w:color="auto"/>
        <w:left w:val="none" w:sz="0" w:space="0" w:color="auto"/>
        <w:bottom w:val="none" w:sz="0" w:space="0" w:color="auto"/>
        <w:right w:val="none" w:sz="0" w:space="0" w:color="auto"/>
      </w:divBdr>
    </w:div>
    <w:div w:id="1712916971">
      <w:bodyDiv w:val="1"/>
      <w:marLeft w:val="0"/>
      <w:marRight w:val="0"/>
      <w:marTop w:val="0"/>
      <w:marBottom w:val="0"/>
      <w:divBdr>
        <w:top w:val="none" w:sz="0" w:space="0" w:color="auto"/>
        <w:left w:val="none" w:sz="0" w:space="0" w:color="auto"/>
        <w:bottom w:val="none" w:sz="0" w:space="0" w:color="auto"/>
        <w:right w:val="none" w:sz="0" w:space="0" w:color="auto"/>
      </w:divBdr>
    </w:div>
    <w:div w:id="1753157067">
      <w:bodyDiv w:val="1"/>
      <w:marLeft w:val="0"/>
      <w:marRight w:val="0"/>
      <w:marTop w:val="0"/>
      <w:marBottom w:val="0"/>
      <w:divBdr>
        <w:top w:val="none" w:sz="0" w:space="0" w:color="auto"/>
        <w:left w:val="none" w:sz="0" w:space="0" w:color="auto"/>
        <w:bottom w:val="none" w:sz="0" w:space="0" w:color="auto"/>
        <w:right w:val="none" w:sz="0" w:space="0" w:color="auto"/>
      </w:divBdr>
    </w:div>
    <w:div w:id="1841118623">
      <w:bodyDiv w:val="1"/>
      <w:marLeft w:val="0"/>
      <w:marRight w:val="0"/>
      <w:marTop w:val="0"/>
      <w:marBottom w:val="0"/>
      <w:divBdr>
        <w:top w:val="none" w:sz="0" w:space="0" w:color="auto"/>
        <w:left w:val="none" w:sz="0" w:space="0" w:color="auto"/>
        <w:bottom w:val="none" w:sz="0" w:space="0" w:color="auto"/>
        <w:right w:val="none" w:sz="0" w:space="0" w:color="auto"/>
      </w:divBdr>
    </w:div>
    <w:div w:id="1929456396">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1996302261">
      <w:bodyDiv w:val="1"/>
      <w:marLeft w:val="0"/>
      <w:marRight w:val="0"/>
      <w:marTop w:val="0"/>
      <w:marBottom w:val="0"/>
      <w:divBdr>
        <w:top w:val="none" w:sz="0" w:space="0" w:color="auto"/>
        <w:left w:val="none" w:sz="0" w:space="0" w:color="auto"/>
        <w:bottom w:val="none" w:sz="0" w:space="0" w:color="auto"/>
        <w:right w:val="none" w:sz="0" w:space="0" w:color="auto"/>
      </w:divBdr>
    </w:div>
    <w:div w:id="2053920313">
      <w:bodyDiv w:val="1"/>
      <w:marLeft w:val="0"/>
      <w:marRight w:val="0"/>
      <w:marTop w:val="0"/>
      <w:marBottom w:val="0"/>
      <w:divBdr>
        <w:top w:val="none" w:sz="0" w:space="0" w:color="auto"/>
        <w:left w:val="none" w:sz="0" w:space="0" w:color="auto"/>
        <w:bottom w:val="none" w:sz="0" w:space="0" w:color="auto"/>
        <w:right w:val="none" w:sz="0" w:space="0" w:color="auto"/>
      </w:divBdr>
    </w:div>
    <w:div w:id="206903725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 w:id="2083944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 TargetMode="External"/><Relationship Id="rId18" Type="http://schemas.openxmlformats.org/officeDocument/2006/relationships/hyperlink" Target="https://www.cipd.org/uk" TargetMode="External"/><Relationship Id="rId26" Type="http://schemas.openxmlformats.org/officeDocument/2006/relationships/hyperlink" Target="https://www.gov.uk" TargetMode="External"/><Relationship Id="rId3" Type="http://schemas.openxmlformats.org/officeDocument/2006/relationships/customXml" Target="../customXml/item3.xml"/><Relationship Id="rId21" Type="http://schemas.openxmlformats.org/officeDocument/2006/relationships/hyperlink" Target="https://www.gov.uk" TargetMode="External"/><Relationship Id="rId7" Type="http://schemas.openxmlformats.org/officeDocument/2006/relationships/settings" Target="settings.xml"/><Relationship Id="rId12" Type="http://schemas.openxmlformats.org/officeDocument/2006/relationships/hyperlink" Target="https://www.cipd.org/uk" TargetMode="External"/><Relationship Id="rId17" Type="http://schemas.openxmlformats.org/officeDocument/2006/relationships/hyperlink" Target="https://www.cipd.org/uk" TargetMode="External"/><Relationship Id="rId25" Type="http://schemas.openxmlformats.org/officeDocument/2006/relationships/hyperlink" Target="https://www.gov.uk" TargetMode="External"/><Relationship Id="rId33"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org/uk" TargetMode="External"/><Relationship Id="rId20" Type="http://schemas.openxmlformats.org/officeDocument/2006/relationships/hyperlink" Target="https://www.cipd.org/uk" TargetMode="External"/><Relationship Id="rId29" Type="http://schemas.openxmlformats.org/officeDocument/2006/relationships/hyperlink" Target="https://www.legislation.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cas.org.uk" TargetMode="External"/><Relationship Id="rId24" Type="http://schemas.openxmlformats.org/officeDocument/2006/relationships/hyperlink" Target="https://www.legislation.gov.uk"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org/uk/knowledge/employment-law" TargetMode="External"/><Relationship Id="rId23" Type="http://schemas.openxmlformats.org/officeDocument/2006/relationships/hyperlink" Target="https://www.legislation.gov.uk" TargetMode="External"/><Relationship Id="rId28" Type="http://schemas.openxmlformats.org/officeDocument/2006/relationships/hyperlink" Target="https://www.gov.uk" TargetMode="External"/><Relationship Id="rId10" Type="http://schemas.openxmlformats.org/officeDocument/2006/relationships/endnotes" Target="endnotes.xml"/><Relationship Id="rId19" Type="http://schemas.openxmlformats.org/officeDocument/2006/relationships/hyperlink" Target="https://www.cipd.org/uk"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org/uk" TargetMode="External"/><Relationship Id="rId22" Type="http://schemas.openxmlformats.org/officeDocument/2006/relationships/hyperlink" Target="https://www.legislation.gov.uk" TargetMode="External"/><Relationship Id="rId27" Type="http://schemas.openxmlformats.org/officeDocument/2006/relationships/hyperlink" Target="https://www.legislation.gov.uk" TargetMode="External"/><Relationship Id="rId30" Type="http://schemas.openxmlformats.org/officeDocument/2006/relationships/header" Target="header1.xml"/><Relationship Id="rId8" Type="http://schemas.openxmlformats.org/officeDocument/2006/relationships/webSettings" Target="webSettings.xml"/></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Metadata/LabelInfo.xml><?xml version="1.0" encoding="utf-8"?>
<clbl:labelList xmlns:clbl="http://schemas.microsoft.com/office/2020/mipLabelMetadata">
  <clbl:label id="{3cf1f214-12dc-4628-b93b-6ee6575cda47}" enabled="1" method="Privileged" siteId="{ddd66cce-ffe1-4029-967c-5e15ef73127f}" removed="0"/>
</clbl:labelList>
</file>

<file path=docProps/app.xml><?xml version="1.0" encoding="utf-8"?>
<Properties xmlns="http://schemas.openxmlformats.org/officeDocument/2006/extended-properties" xmlns:vt="http://schemas.openxmlformats.org/officeDocument/2006/docPropsVTypes">
  <Template>Normal</Template>
  <TotalTime>866</TotalTime>
  <Pages>9</Pages>
  <Words>3862</Words>
  <Characters>22017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25828</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Kelsea Peterson</cp:lastModifiedBy>
  <cp:revision>356</cp:revision>
  <dcterms:created xsi:type="dcterms:W3CDTF">2023-01-06T01:47:00Z</dcterms:created>
  <dcterms:modified xsi:type="dcterms:W3CDTF">2025-06-02T14:53:00Z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