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1538DF" w14:textId="426DE547" w:rsidR="00684AD6" w:rsidRDefault="00684AD6" w:rsidP="00684AD6">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16C491AC" wp14:editId="25E7A33B">
            <wp:extent cx="2872105" cy="1043305"/>
            <wp:effectExtent l="25400" t="25400" r="23495" b="2349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105" cy="1043305"/>
                    </a:xfrm>
                    <a:prstGeom prst="rect">
                      <a:avLst/>
                    </a:prstGeom>
                    <a:noFill/>
                    <a:ln w="19050" cmpd="sng">
                      <a:solidFill>
                        <a:srgbClr val="000000"/>
                      </a:solidFill>
                      <a:miter lim="800000"/>
                      <a:headEnd/>
                      <a:tailEnd/>
                    </a:ln>
                    <a:effectLst/>
                  </pic:spPr>
                </pic:pic>
              </a:graphicData>
            </a:graphic>
          </wp:inline>
        </w:drawing>
      </w:r>
    </w:p>
    <w:p w14:paraId="5F337E21" w14:textId="77777777" w:rsidR="00684AD6" w:rsidRDefault="00684AD6" w:rsidP="00684AD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57A9DE4" w14:textId="77777777" w:rsidR="00684AD6" w:rsidRPr="001E50BB" w:rsidRDefault="00684AD6" w:rsidP="00684AD6">
      <w:pPr>
        <w:jc w:val="center"/>
        <w:rPr>
          <w:rFonts w:ascii="Arial" w:hAnsi="Arial" w:cs="Arial"/>
          <w:b/>
          <w:lang w:val="cy-GB"/>
        </w:rPr>
      </w:pPr>
      <w:r w:rsidRPr="001E50BB">
        <w:rPr>
          <w:rFonts w:ascii="Arial" w:hAnsi="Arial" w:cs="Arial"/>
          <w:b/>
          <w:lang w:val="cy-GB"/>
        </w:rPr>
        <w:t>(to be completed by marker)</w:t>
      </w:r>
    </w:p>
    <w:p w14:paraId="5C080EDD" w14:textId="77777777" w:rsidR="00684AD6" w:rsidRPr="001E50BB" w:rsidRDefault="00684AD6" w:rsidP="00684AD6">
      <w:pPr>
        <w:jc w:val="center"/>
        <w:rPr>
          <w:rFonts w:ascii="Arial" w:hAnsi="Arial" w:cs="Arial"/>
          <w:b/>
          <w:lang w:val="cy-GB"/>
        </w:rPr>
      </w:pPr>
    </w:p>
    <w:p w14:paraId="3C2F28B9" w14:textId="77777777" w:rsidR="00684AD6" w:rsidRDefault="00684AD6" w:rsidP="00684AD6">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84AD6" w:rsidRPr="0065654E" w14:paraId="7D54BA34" w14:textId="77777777" w:rsidTr="00E8050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83A2562" w14:textId="77777777" w:rsidR="00684AD6" w:rsidRDefault="00684AD6" w:rsidP="00E80506">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69B91B2F" w14:textId="77777777" w:rsidR="00684AD6" w:rsidRPr="0008326D" w:rsidRDefault="00684AD6" w:rsidP="00E80506">
            <w:pPr>
              <w:pStyle w:val="NormalWeb"/>
              <w:spacing w:before="0" w:beforeAutospacing="0" w:after="0" w:afterAutospacing="0"/>
              <w:ind w:right="34"/>
              <w:rPr>
                <w:rFonts w:ascii="Calibri" w:hAnsi="Calibri" w:cs="Tahoma"/>
                <w:sz w:val="24"/>
                <w:szCs w:val="24"/>
              </w:rPr>
            </w:pPr>
            <w:r>
              <w:rPr>
                <w:rFonts w:ascii="Calibri" w:hAnsi="Calibri" w:cs="Tahoma"/>
                <w:sz w:val="24"/>
                <w:szCs w:val="24"/>
              </w:rPr>
              <w:t>Emily Sykes</w:t>
            </w:r>
          </w:p>
        </w:tc>
      </w:tr>
      <w:tr w:rsidR="00684AD6" w:rsidRPr="0065654E" w14:paraId="1BE975D0" w14:textId="77777777" w:rsidTr="00E8050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6785ED1" w14:textId="77777777" w:rsidR="00684AD6" w:rsidRDefault="00684AD6" w:rsidP="00E8050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p>
          <w:p w14:paraId="42DA5091" w14:textId="19149FC3" w:rsidR="00684AD6" w:rsidRPr="0008326D" w:rsidRDefault="00684AD6" w:rsidP="00E80506">
            <w:pPr>
              <w:pStyle w:val="NormalWeb"/>
              <w:spacing w:before="0" w:beforeAutospacing="0" w:after="0" w:afterAutospacing="0"/>
              <w:ind w:right="34"/>
              <w:rPr>
                <w:rFonts w:ascii="Calibri" w:hAnsi="Calibri" w:cs="Tahoma"/>
                <w:sz w:val="24"/>
                <w:szCs w:val="24"/>
              </w:rPr>
            </w:pPr>
            <w:r>
              <w:rPr>
                <w:rFonts w:ascii="Calibri" w:hAnsi="Calibri" w:cs="Tahoma"/>
                <w:sz w:val="24"/>
                <w:szCs w:val="24"/>
              </w:rPr>
              <w:t xml:space="preserve">Ancient Macedon: </w:t>
            </w:r>
            <w:r w:rsidR="00F83AE8">
              <w:rPr>
                <w:rFonts w:ascii="Calibri" w:hAnsi="Calibri" w:cs="Tahoma"/>
                <w:sz w:val="24"/>
                <w:szCs w:val="24"/>
              </w:rPr>
              <w:t>Kings, Conquest and Conspiracy</w:t>
            </w:r>
          </w:p>
        </w:tc>
        <w:tc>
          <w:tcPr>
            <w:tcW w:w="3967" w:type="dxa"/>
            <w:gridSpan w:val="2"/>
            <w:tcBorders>
              <w:top w:val="single" w:sz="4" w:space="0" w:color="auto"/>
              <w:left w:val="single" w:sz="4" w:space="0" w:color="auto"/>
              <w:bottom w:val="single" w:sz="4" w:space="0" w:color="auto"/>
              <w:right w:val="single" w:sz="4" w:space="0" w:color="auto"/>
            </w:tcBorders>
          </w:tcPr>
          <w:p w14:paraId="4C519FF2" w14:textId="77777777" w:rsidR="00684AD6" w:rsidRDefault="00684AD6" w:rsidP="00E8050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7271D583" w14:textId="77777777" w:rsidR="00684AD6" w:rsidRDefault="00684AD6" w:rsidP="00E80506">
            <w:pPr>
              <w:pStyle w:val="NormalWeb"/>
              <w:spacing w:before="0" w:beforeAutospacing="0" w:after="0" w:afterAutospacing="0"/>
              <w:ind w:right="34"/>
              <w:rPr>
                <w:rFonts w:ascii="Calibri" w:hAnsi="Calibri" w:cs="Tahoma"/>
                <w:sz w:val="24"/>
                <w:szCs w:val="24"/>
              </w:rPr>
            </w:pPr>
          </w:p>
          <w:p w14:paraId="1418F130" w14:textId="77777777" w:rsidR="00684AD6" w:rsidRPr="0008326D" w:rsidRDefault="00684AD6" w:rsidP="00E80506">
            <w:pPr>
              <w:pStyle w:val="NormalWeb"/>
              <w:spacing w:before="0" w:beforeAutospacing="0" w:after="0" w:afterAutospacing="0"/>
              <w:ind w:right="34"/>
              <w:rPr>
                <w:rFonts w:ascii="Calibri" w:hAnsi="Calibri" w:cs="Tahoma"/>
                <w:sz w:val="24"/>
                <w:szCs w:val="24"/>
              </w:rPr>
            </w:pPr>
            <w:r>
              <w:rPr>
                <w:rFonts w:ascii="Calibri" w:hAnsi="Calibri" w:cs="Tahoma"/>
                <w:sz w:val="24"/>
                <w:szCs w:val="24"/>
              </w:rPr>
              <w:t>1700547</w:t>
            </w:r>
          </w:p>
        </w:tc>
      </w:tr>
      <w:tr w:rsidR="00684AD6" w:rsidRPr="0065654E" w14:paraId="03859B08" w14:textId="77777777" w:rsidTr="00E8050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65968F4" w14:textId="77777777" w:rsidR="00684AD6" w:rsidRPr="0065654E" w:rsidRDefault="00684AD6" w:rsidP="00E80506">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F1C41EB" w14:textId="77777777" w:rsidR="00684AD6" w:rsidRDefault="00684AD6" w:rsidP="00E80506">
            <w:pPr>
              <w:pStyle w:val="NormalWeb"/>
              <w:rPr>
                <w:rFonts w:ascii="Calibri" w:hAnsi="Calibri" w:cs="Tahoma"/>
                <w:i/>
                <w:sz w:val="24"/>
                <w:szCs w:val="24"/>
              </w:rPr>
            </w:pPr>
            <w:r w:rsidRPr="0065654E">
              <w:rPr>
                <w:rFonts w:ascii="Calibri" w:hAnsi="Calibri" w:cs="Tahoma"/>
                <w:i/>
                <w:sz w:val="24"/>
                <w:szCs w:val="24"/>
              </w:rPr>
              <w:t>Comments:</w:t>
            </w:r>
          </w:p>
          <w:p w14:paraId="4A198FB7" w14:textId="77777777" w:rsidR="00684AD6" w:rsidRDefault="00684AD6" w:rsidP="00E80506">
            <w:pPr>
              <w:pStyle w:val="NormalWeb"/>
              <w:rPr>
                <w:rFonts w:ascii="Calibri" w:hAnsi="Calibri" w:cs="Tahoma"/>
                <w:i/>
                <w:sz w:val="24"/>
                <w:szCs w:val="24"/>
              </w:rPr>
            </w:pPr>
          </w:p>
          <w:p w14:paraId="51AB33ED" w14:textId="77777777" w:rsidR="00684AD6" w:rsidRDefault="00684AD6" w:rsidP="00E80506">
            <w:pPr>
              <w:pStyle w:val="NormalWeb"/>
              <w:rPr>
                <w:rFonts w:ascii="Calibri" w:hAnsi="Calibri" w:cs="Tahoma"/>
                <w:i/>
                <w:sz w:val="24"/>
                <w:szCs w:val="24"/>
              </w:rPr>
            </w:pPr>
          </w:p>
          <w:p w14:paraId="2FF3D9C6" w14:textId="77777777" w:rsidR="00684AD6" w:rsidRDefault="00684AD6" w:rsidP="00E80506">
            <w:pPr>
              <w:pStyle w:val="NormalWeb"/>
              <w:rPr>
                <w:rFonts w:ascii="Calibri" w:hAnsi="Calibri" w:cs="Tahoma"/>
                <w:i/>
                <w:sz w:val="24"/>
                <w:szCs w:val="24"/>
              </w:rPr>
            </w:pPr>
          </w:p>
          <w:p w14:paraId="38F65021" w14:textId="77777777" w:rsidR="00684AD6" w:rsidRDefault="00684AD6" w:rsidP="00E80506">
            <w:pPr>
              <w:pStyle w:val="NormalWeb"/>
              <w:rPr>
                <w:rFonts w:ascii="Calibri" w:hAnsi="Calibri" w:cs="Tahoma"/>
                <w:i/>
                <w:sz w:val="24"/>
                <w:szCs w:val="24"/>
              </w:rPr>
            </w:pPr>
          </w:p>
          <w:p w14:paraId="5C6CDB9A" w14:textId="77777777" w:rsidR="00684AD6" w:rsidRDefault="00684AD6" w:rsidP="00E80506">
            <w:pPr>
              <w:pStyle w:val="NormalWeb"/>
              <w:rPr>
                <w:rFonts w:ascii="Calibri" w:hAnsi="Calibri" w:cs="Tahoma"/>
                <w:i/>
                <w:sz w:val="24"/>
                <w:szCs w:val="24"/>
              </w:rPr>
            </w:pPr>
          </w:p>
          <w:p w14:paraId="57318613" w14:textId="77777777" w:rsidR="00684AD6" w:rsidRDefault="00684AD6" w:rsidP="00E80506">
            <w:pPr>
              <w:pStyle w:val="NormalWeb"/>
              <w:rPr>
                <w:rFonts w:ascii="Calibri" w:hAnsi="Calibri" w:cs="Tahoma"/>
                <w:i/>
                <w:sz w:val="24"/>
                <w:szCs w:val="24"/>
              </w:rPr>
            </w:pPr>
          </w:p>
          <w:p w14:paraId="21F16CA8" w14:textId="77777777" w:rsidR="00684AD6" w:rsidRDefault="00684AD6" w:rsidP="00E80506">
            <w:pPr>
              <w:pStyle w:val="NormalWeb"/>
              <w:rPr>
                <w:rFonts w:ascii="Calibri" w:hAnsi="Calibri" w:cs="Tahoma"/>
                <w:i/>
                <w:sz w:val="24"/>
                <w:szCs w:val="24"/>
              </w:rPr>
            </w:pPr>
          </w:p>
          <w:p w14:paraId="45E23622" w14:textId="77777777" w:rsidR="00684AD6" w:rsidRDefault="00684AD6" w:rsidP="00E80506">
            <w:pPr>
              <w:pStyle w:val="NormalWeb"/>
              <w:rPr>
                <w:rFonts w:ascii="Calibri" w:hAnsi="Calibri" w:cs="Tahoma"/>
                <w:i/>
                <w:sz w:val="24"/>
                <w:szCs w:val="24"/>
              </w:rPr>
            </w:pPr>
          </w:p>
          <w:p w14:paraId="12438CAC" w14:textId="77777777" w:rsidR="00684AD6" w:rsidRDefault="00684AD6" w:rsidP="00E80506">
            <w:pPr>
              <w:pStyle w:val="NormalWeb"/>
              <w:rPr>
                <w:rFonts w:ascii="Calibri" w:hAnsi="Calibri" w:cs="Tahoma"/>
                <w:i/>
                <w:sz w:val="24"/>
                <w:szCs w:val="24"/>
              </w:rPr>
            </w:pPr>
          </w:p>
          <w:p w14:paraId="44785F8D" w14:textId="77777777" w:rsidR="00684AD6" w:rsidRDefault="00684AD6" w:rsidP="00E80506">
            <w:pPr>
              <w:pStyle w:val="NormalWeb"/>
              <w:rPr>
                <w:rFonts w:ascii="Calibri" w:hAnsi="Calibri" w:cs="Tahoma"/>
                <w:i/>
                <w:sz w:val="24"/>
                <w:szCs w:val="24"/>
              </w:rPr>
            </w:pPr>
          </w:p>
          <w:p w14:paraId="58F67F7C" w14:textId="77777777" w:rsidR="00684AD6" w:rsidRPr="0065654E" w:rsidRDefault="00684AD6" w:rsidP="00E80506">
            <w:pPr>
              <w:pStyle w:val="NormalWeb"/>
              <w:rPr>
                <w:rFonts w:ascii="Calibri" w:hAnsi="Calibri" w:cs="Tahoma"/>
                <w:i/>
                <w:sz w:val="24"/>
                <w:szCs w:val="24"/>
              </w:rPr>
            </w:pPr>
          </w:p>
        </w:tc>
      </w:tr>
      <w:tr w:rsidR="00684AD6" w:rsidRPr="0065654E" w14:paraId="3639A5C6" w14:textId="77777777" w:rsidTr="00E80506">
        <w:trPr>
          <w:trHeight w:val="492"/>
        </w:trPr>
        <w:tc>
          <w:tcPr>
            <w:tcW w:w="6768" w:type="dxa"/>
            <w:gridSpan w:val="2"/>
            <w:tcBorders>
              <w:top w:val="single" w:sz="4" w:space="0" w:color="auto"/>
            </w:tcBorders>
            <w:vAlign w:val="center"/>
          </w:tcPr>
          <w:p w14:paraId="3799335C" w14:textId="77777777" w:rsidR="00684AD6" w:rsidRPr="0065654E" w:rsidRDefault="00684AD6" w:rsidP="00E80506">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B5425C5" w14:textId="77777777" w:rsidR="00684AD6" w:rsidRPr="0065654E" w:rsidRDefault="00684AD6" w:rsidP="00E80506">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684AD6" w:rsidRPr="0065654E" w14:paraId="61394A41" w14:textId="77777777" w:rsidTr="00E80506">
        <w:tc>
          <w:tcPr>
            <w:tcW w:w="8755" w:type="dxa"/>
            <w:gridSpan w:val="3"/>
            <w:vAlign w:val="center"/>
          </w:tcPr>
          <w:p w14:paraId="5C99610A" w14:textId="77777777" w:rsidR="00684AD6" w:rsidRDefault="00684AD6" w:rsidP="00E80506">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032C9ABF" w14:textId="77777777" w:rsidR="00684AD6" w:rsidRPr="0065654E" w:rsidRDefault="00684AD6" w:rsidP="00E80506">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6DE29AA5" w14:textId="77777777" w:rsidR="00684AD6" w:rsidRPr="0065654E" w:rsidRDefault="00684AD6" w:rsidP="00684AD6">
      <w:pPr>
        <w:pStyle w:val="NormalWeb"/>
        <w:spacing w:before="0" w:beforeAutospacing="0" w:after="0" w:afterAutospacing="0"/>
        <w:ind w:right="-334"/>
        <w:rPr>
          <w:rFonts w:ascii="Trebuchet MS" w:hAnsi="Trebuchet MS" w:cs="Tahoma"/>
          <w:b/>
          <w:bCs/>
          <w:sz w:val="24"/>
          <w:szCs w:val="24"/>
        </w:rPr>
      </w:pPr>
    </w:p>
    <w:p w14:paraId="2953A687" w14:textId="77777777" w:rsidR="00684AD6" w:rsidRPr="000B3D5E" w:rsidRDefault="00684AD6" w:rsidP="00684AD6"/>
    <w:p w14:paraId="1ADC76C1" w14:textId="77777777" w:rsidR="00684AD6" w:rsidRDefault="00684AD6">
      <w:pPr>
        <w:rPr>
          <w:u w:val="single"/>
        </w:rPr>
      </w:pPr>
      <w:r>
        <w:rPr>
          <w:u w:val="single"/>
        </w:rPr>
        <w:br w:type="page"/>
      </w:r>
    </w:p>
    <w:p w14:paraId="01D54399" w14:textId="48B31FEC" w:rsidR="00BB6B34" w:rsidRPr="005C31F4" w:rsidRDefault="00A25766" w:rsidP="00A11A17">
      <w:pPr>
        <w:spacing w:line="600" w:lineRule="auto"/>
        <w:jc w:val="both"/>
        <w:rPr>
          <w:u w:val="single"/>
        </w:rPr>
      </w:pPr>
      <w:r w:rsidRPr="005C31F4">
        <w:rPr>
          <w:u w:val="single"/>
        </w:rPr>
        <w:lastRenderedPageBreak/>
        <w:t>Carney, E. (2000)</w:t>
      </w:r>
      <w:r w:rsidR="00A11A17" w:rsidRPr="005C31F4">
        <w:rPr>
          <w:u w:val="single"/>
        </w:rPr>
        <w:t xml:space="preserve"> ‘The Initiation of Cult for Royal Macedonian Women’, </w:t>
      </w:r>
      <w:r w:rsidR="00A11A17" w:rsidRPr="005C31F4">
        <w:rPr>
          <w:i/>
          <w:u w:val="single"/>
        </w:rPr>
        <w:t>Classical Philology</w:t>
      </w:r>
      <w:r w:rsidR="00A11A17" w:rsidRPr="005C31F4">
        <w:rPr>
          <w:u w:val="single"/>
        </w:rPr>
        <w:t>, 95(1), pp. 21-43.</w:t>
      </w:r>
    </w:p>
    <w:p w14:paraId="04645D3E" w14:textId="77777777" w:rsidR="0000228A" w:rsidRDefault="0000228A" w:rsidP="002222AF">
      <w:pPr>
        <w:spacing w:line="600" w:lineRule="auto"/>
        <w:jc w:val="both"/>
      </w:pPr>
    </w:p>
    <w:p w14:paraId="4EAA5960" w14:textId="3358ACDC" w:rsidR="002222AF" w:rsidRPr="002222AF" w:rsidRDefault="002222AF" w:rsidP="002222AF">
      <w:pPr>
        <w:spacing w:line="600" w:lineRule="auto"/>
        <w:jc w:val="both"/>
      </w:pPr>
      <w:r w:rsidRPr="002222AF">
        <w:t xml:space="preserve">In this article Carney aims to promote recognition of the power held by individual women in this ancient world, one that has not been fully understood previously. </w:t>
      </w:r>
      <w:r w:rsidR="005B4B76" w:rsidRPr="00553BCC">
        <w:t>Most importantly, Carney draws attention to an omission in scholarship regarding the earliest dynastic cults directed at women.</w:t>
      </w:r>
      <w:r w:rsidR="005B4B76" w:rsidRPr="005C31F4">
        <w:rPr>
          <w:rStyle w:val="FootnoteReference"/>
        </w:rPr>
        <w:footnoteReference w:id="1"/>
      </w:r>
      <w:r w:rsidR="005B4B76" w:rsidRPr="00553BCC">
        <w:t xml:space="preserve"> She argues that before the 270s BC and the cult of </w:t>
      </w:r>
      <w:proofErr w:type="spellStart"/>
      <w:r w:rsidR="005B4B76" w:rsidRPr="00553BCC">
        <w:t>Arsinoe</w:t>
      </w:r>
      <w:proofErr w:type="spellEnd"/>
      <w:r w:rsidR="005B4B76" w:rsidRPr="00553BCC">
        <w:t xml:space="preserve"> Philadelphus there has been no scholarly interest for a phenomenon that has existed since the late fourth century BC.</w:t>
      </w:r>
      <w:r w:rsidR="005B4B76" w:rsidRPr="005C31F4">
        <w:rPr>
          <w:rStyle w:val="FootnoteReference"/>
        </w:rPr>
        <w:footnoteReference w:id="2"/>
      </w:r>
      <w:r w:rsidR="005B4B76" w:rsidRPr="00553BCC">
        <w:t xml:space="preserve"> Carney addresses this gap specifically and looks to also provide analysis about the origins and motivation of such cult practices.</w:t>
      </w:r>
      <w:r w:rsidR="005B4B76" w:rsidRPr="005C31F4">
        <w:rPr>
          <w:rStyle w:val="FootnoteReference"/>
        </w:rPr>
        <w:footnoteReference w:id="3"/>
      </w:r>
      <w:r w:rsidR="005B4B76">
        <w:t xml:space="preserve"> </w:t>
      </w:r>
      <w:r w:rsidRPr="002222AF">
        <w:t>Scholarship, she argues, has not paid enough attention to this important aspect of women’s lives in the ancient world. Carney does not explore where this bias comes from, however the world of Classics has been accused of an over emphasis on men’s worlds at the expense of women’s</w:t>
      </w:r>
      <w:r w:rsidR="00A4117B">
        <w:t>, with</w:t>
      </w:r>
      <w:r w:rsidRPr="002222AF">
        <w:t xml:space="preserve"> scholars such as </w:t>
      </w:r>
      <w:proofErr w:type="spellStart"/>
      <w:r w:rsidRPr="002222AF">
        <w:t>Scheidel</w:t>
      </w:r>
      <w:proofErr w:type="spellEnd"/>
      <w:r w:rsidR="00A4117B">
        <w:t xml:space="preserve"> having</w:t>
      </w:r>
      <w:r w:rsidRPr="002222AF">
        <w:t xml:space="preserve"> recognised </w:t>
      </w:r>
      <w:r w:rsidR="00A4117B">
        <w:t xml:space="preserve">that </w:t>
      </w:r>
      <w:r w:rsidRPr="002222AF">
        <w:t>there has been a ‘boom’ of scholarship concerning women in the ancient world and Carney’s study would certainly be considered part of this.</w:t>
      </w:r>
      <w:r w:rsidR="00D75BBD">
        <w:rPr>
          <w:rStyle w:val="FootnoteReference"/>
        </w:rPr>
        <w:footnoteReference w:id="4"/>
      </w:r>
      <w:r w:rsidRPr="002222AF">
        <w:t xml:space="preserve"> It may be that the bias of ancient writers towards the world of men has somehow influenced modern classicists to focus more on their lives than on women’s.</w:t>
      </w:r>
    </w:p>
    <w:p w14:paraId="78339E00" w14:textId="77777777" w:rsidR="002222AF" w:rsidRPr="002222AF" w:rsidRDefault="002222AF" w:rsidP="002222AF">
      <w:pPr>
        <w:spacing w:line="600" w:lineRule="auto"/>
        <w:jc w:val="both"/>
      </w:pPr>
    </w:p>
    <w:p w14:paraId="3BC6B09E" w14:textId="089BE37F" w:rsidR="002222AF" w:rsidRPr="002222AF" w:rsidRDefault="002222AF" w:rsidP="002222AF">
      <w:pPr>
        <w:spacing w:line="600" w:lineRule="auto"/>
        <w:jc w:val="both"/>
      </w:pPr>
      <w:r w:rsidRPr="002222AF">
        <w:lastRenderedPageBreak/>
        <w:t>Carney focuses on the reasons why cultic activity for royal Macedonian women came about, and the development of this.</w:t>
      </w:r>
      <w:r>
        <w:rPr>
          <w:rStyle w:val="FootnoteReference"/>
        </w:rPr>
        <w:footnoteReference w:id="5"/>
      </w:r>
      <w:r w:rsidRPr="002222AF">
        <w:t xml:space="preserve"> According to Carney, the cultic practices focusing on royal Macedonian women primarily took the form of the placement and dedication of statues and imagery in sacred areas. The promotion of women through these cultic practices occurred in the same period as Macedonian men’s cults did.</w:t>
      </w:r>
      <w:r w:rsidRPr="005C31F4">
        <w:rPr>
          <w:rStyle w:val="FootnoteReference"/>
        </w:rPr>
        <w:footnoteReference w:id="6"/>
      </w:r>
      <w:r w:rsidRPr="002222AF">
        <w:t xml:space="preserve"> In order to do this, Carney discusses the end of the </w:t>
      </w:r>
      <w:proofErr w:type="spellStart"/>
      <w:r w:rsidRPr="002222AF">
        <w:t>Argead</w:t>
      </w:r>
      <w:proofErr w:type="spellEnd"/>
      <w:r w:rsidRPr="002222AF">
        <w:t xml:space="preserve"> dynasty and the Diadochi period, then considers the ‘early Ptolemaic cult of royal women’. She addresses the important question of how and why female cults came about.</w:t>
      </w:r>
      <w:r w:rsidRPr="005C31F4">
        <w:rPr>
          <w:rStyle w:val="FootnoteReference"/>
        </w:rPr>
        <w:footnoteReference w:id="7"/>
      </w:r>
    </w:p>
    <w:p w14:paraId="00FCFC36" w14:textId="77777777" w:rsidR="0000228A" w:rsidRDefault="0000228A" w:rsidP="002222AF">
      <w:pPr>
        <w:spacing w:line="600" w:lineRule="auto"/>
        <w:jc w:val="both"/>
      </w:pPr>
    </w:p>
    <w:p w14:paraId="1E97239A" w14:textId="09890E45" w:rsidR="002222AF" w:rsidRDefault="002222AF" w:rsidP="002222AF">
      <w:pPr>
        <w:spacing w:line="600" w:lineRule="auto"/>
        <w:jc w:val="both"/>
      </w:pPr>
      <w:r w:rsidRPr="002222AF">
        <w:t xml:space="preserve">When writing the article, Carney </w:t>
      </w:r>
      <w:r w:rsidR="001E3781">
        <w:t>focuses on</w:t>
      </w:r>
      <w:r w:rsidRPr="002222AF">
        <w:t xml:space="preserve"> the origin of the cults for royal Macedonian women during the fourth and early third century BC.</w:t>
      </w:r>
      <w:r w:rsidRPr="001E6C69">
        <w:rPr>
          <w:rStyle w:val="FootnoteReference"/>
        </w:rPr>
        <w:footnoteReference w:id="8"/>
      </w:r>
      <w:r w:rsidRPr="002222AF">
        <w:t xml:space="preserve"> She starts with Philip II’s Philippeum and his dedication to his family, including Olympias and Eurydice, and explores how he used his ‘divine status’ to almost manipulate people into worshipping him like an Olympian.</w:t>
      </w:r>
      <w:r w:rsidRPr="001E6C69">
        <w:rPr>
          <w:rStyle w:val="FootnoteReference"/>
        </w:rPr>
        <w:footnoteReference w:id="9"/>
      </w:r>
      <w:r w:rsidRPr="002222AF">
        <w:t xml:space="preserve"> Carney moves onto the Ptolemaic period, looking at the status royal women had within cults in Egypt, such as Berenice with her husband Ptolemy I.</w:t>
      </w:r>
      <w:r w:rsidRPr="001E6C69">
        <w:rPr>
          <w:rStyle w:val="FootnoteReference"/>
        </w:rPr>
        <w:footnoteReference w:id="10"/>
      </w:r>
      <w:r w:rsidRPr="002222AF">
        <w:t xml:space="preserve"> Here she describes how cults of women, such as Berenice, were often associated with deities, in this case Aphrodite. Carney comes to the conclusion that cultic dedications and practices towards the Greek women </w:t>
      </w:r>
      <w:r w:rsidRPr="002222AF">
        <w:lastRenderedPageBreak/>
        <w:t>started at the end of the fourth century, associating royal women with Aphrodite in both ‘civic and private cult’.</w:t>
      </w:r>
      <w:r w:rsidRPr="001E6C69">
        <w:rPr>
          <w:rStyle w:val="FootnoteReference"/>
        </w:rPr>
        <w:footnoteReference w:id="11"/>
      </w:r>
      <w:r w:rsidRPr="002222AF">
        <w:t xml:space="preserve"> This then led to the women in the third century, who were rulers during this period, </w:t>
      </w:r>
      <w:r w:rsidR="00C37F5E">
        <w:t>to beco</w:t>
      </w:r>
      <w:r w:rsidRPr="002222AF">
        <w:t>me part of the cults as well.</w:t>
      </w:r>
      <w:r w:rsidRPr="001E6C69">
        <w:rPr>
          <w:rStyle w:val="FootnoteReference"/>
        </w:rPr>
        <w:footnoteReference w:id="12"/>
      </w:r>
      <w:r w:rsidRPr="002222AF">
        <w:t xml:space="preserve"> Other </w:t>
      </w:r>
      <w:r w:rsidR="00C37F5E">
        <w:t>viewpoints</w:t>
      </w:r>
      <w:r w:rsidRPr="002222AF">
        <w:t xml:space="preserve"> </w:t>
      </w:r>
      <w:r w:rsidR="00C37F5E">
        <w:t>are</w:t>
      </w:r>
      <w:r w:rsidRPr="002222AF">
        <w:t xml:space="preserve"> discussed, such as </w:t>
      </w:r>
      <w:proofErr w:type="spellStart"/>
      <w:r w:rsidRPr="002222AF">
        <w:t>Tondriau’s</w:t>
      </w:r>
      <w:proofErr w:type="spellEnd"/>
      <w:r w:rsidRPr="002222AF">
        <w:t xml:space="preserve"> flattery suggestion, and </w:t>
      </w:r>
      <w:proofErr w:type="spellStart"/>
      <w:r w:rsidRPr="002222AF">
        <w:t>Neumer-Pfau’s</w:t>
      </w:r>
      <w:proofErr w:type="spellEnd"/>
      <w:r w:rsidRPr="002222AF">
        <w:t xml:space="preserve"> theory of Aphrodite being a model for women during the Hellenistic period.</w:t>
      </w:r>
      <w:r w:rsidRPr="002222AF">
        <w:rPr>
          <w:rStyle w:val="FootnoteReference"/>
        </w:rPr>
        <w:t xml:space="preserve"> </w:t>
      </w:r>
      <w:r w:rsidRPr="001E6C69">
        <w:rPr>
          <w:rStyle w:val="FootnoteReference"/>
        </w:rPr>
        <w:footnoteReference w:id="13"/>
      </w:r>
      <w:r w:rsidRPr="002222AF">
        <w:t xml:space="preserve"> Carney also briefly looks at the problem of not many scholars looking at the association with Aphrodite primarily within Ptolemaic Egypt rather than the earlier examples outside of Egypt.</w:t>
      </w:r>
      <w:r w:rsidRPr="001E6C69">
        <w:rPr>
          <w:rStyle w:val="FootnoteReference"/>
        </w:rPr>
        <w:footnoteReference w:id="14"/>
      </w:r>
      <w:r w:rsidRPr="002222AF">
        <w:t xml:space="preserve"> The choice of Aphrodite compared to the goddess Hera is discussed,</w:t>
      </w:r>
      <w:r w:rsidRPr="001E6C69">
        <w:rPr>
          <w:rStyle w:val="FootnoteReference"/>
        </w:rPr>
        <w:footnoteReference w:id="15"/>
      </w:r>
      <w:r w:rsidRPr="002222AF">
        <w:t xml:space="preserve"> as well as the male association preferences of Dionysus compared to Zeus.</w:t>
      </w:r>
      <w:r w:rsidRPr="001E6C69">
        <w:rPr>
          <w:rStyle w:val="FootnoteReference"/>
        </w:rPr>
        <w:footnoteReference w:id="16"/>
      </w:r>
      <w:r w:rsidRPr="002222AF">
        <w:t xml:space="preserve"> Carney </w:t>
      </w:r>
      <w:r w:rsidR="00C37F5E">
        <w:t>concludes</w:t>
      </w:r>
      <w:r w:rsidRPr="002222AF">
        <w:t xml:space="preserve"> the article with linking t</w:t>
      </w:r>
      <w:r w:rsidR="00C37F5E">
        <w:t>he areas she covered throughout. S</w:t>
      </w:r>
      <w:r w:rsidRPr="002222AF">
        <w:t>he</w:t>
      </w:r>
      <w:r w:rsidR="00C37F5E">
        <w:t xml:space="preserve"> determines that the</w:t>
      </w:r>
      <w:r w:rsidRPr="002222AF">
        <w:t xml:space="preserve"> royal women who were </w:t>
      </w:r>
      <w:r w:rsidR="001C7687">
        <w:t>promoted</w:t>
      </w:r>
      <w:r w:rsidRPr="002222AF">
        <w:t xml:space="preserve"> in cults </w:t>
      </w:r>
      <w:r w:rsidR="001C7687">
        <w:t xml:space="preserve">were </w:t>
      </w:r>
      <w:r w:rsidR="007F7D05">
        <w:t xml:space="preserve">part of an attempt to </w:t>
      </w:r>
      <w:r w:rsidR="009F5A24">
        <w:t>show leaders, such as Philip II, in a familial context rather than as individuals. In this way,</w:t>
      </w:r>
      <w:r w:rsidRPr="002222AF">
        <w:t xml:space="preserve"> queens and royal </w:t>
      </w:r>
      <w:r w:rsidR="009F5A24">
        <w:t>family</w:t>
      </w:r>
      <w:r w:rsidRPr="002222AF">
        <w:t xml:space="preserve"> members </w:t>
      </w:r>
      <w:r w:rsidR="009F5A24">
        <w:t xml:space="preserve">helped </w:t>
      </w:r>
      <w:r w:rsidRPr="002222AF">
        <w:t>‘legitimize the newly emergent dynasties’.</w:t>
      </w:r>
      <w:r w:rsidRPr="001E6C69">
        <w:rPr>
          <w:rStyle w:val="FootnoteReference"/>
        </w:rPr>
        <w:footnoteReference w:id="17"/>
      </w:r>
    </w:p>
    <w:p w14:paraId="325E35C2" w14:textId="77777777" w:rsidR="00D73E50" w:rsidRPr="00D73E50" w:rsidRDefault="00D73E50" w:rsidP="002222AF">
      <w:pPr>
        <w:spacing w:line="600" w:lineRule="auto"/>
        <w:jc w:val="both"/>
      </w:pPr>
    </w:p>
    <w:p w14:paraId="573F249E" w14:textId="736173C6" w:rsidR="00D15B87" w:rsidRPr="002B6098" w:rsidRDefault="00D15B87" w:rsidP="00D15B87">
      <w:pPr>
        <w:spacing w:line="600" w:lineRule="auto"/>
        <w:jc w:val="both"/>
      </w:pPr>
      <w:r w:rsidRPr="002B6098">
        <w:t>Carney identifies that cults for women existed</w:t>
      </w:r>
      <w:r w:rsidR="005C157A" w:rsidRPr="002B6098">
        <w:t xml:space="preserve"> before the end of the fourth century</w:t>
      </w:r>
      <w:r w:rsidRPr="002B6098">
        <w:t>,</w:t>
      </w:r>
      <w:r w:rsidR="005C157A" w:rsidRPr="002B6098">
        <w:t xml:space="preserve"> but</w:t>
      </w:r>
      <w:r w:rsidRPr="002B6098">
        <w:t xml:space="preserve"> only </w:t>
      </w:r>
      <w:r w:rsidR="005C157A" w:rsidRPr="002B6098">
        <w:t>post-mortem. C</w:t>
      </w:r>
      <w:r w:rsidRPr="002B6098">
        <w:t>ults began for living women by the end of the fourth century BC.</w:t>
      </w:r>
      <w:r w:rsidRPr="002B6098">
        <w:rPr>
          <w:rStyle w:val="FootnoteReference"/>
        </w:rPr>
        <w:footnoteReference w:id="18"/>
      </w:r>
      <w:r w:rsidRPr="002B6098">
        <w:t xml:space="preserve"> The </w:t>
      </w:r>
      <w:r w:rsidRPr="002B6098">
        <w:lastRenderedPageBreak/>
        <w:t xml:space="preserve">Philippeum has been used as evidence of indirect cultic activity, </w:t>
      </w:r>
      <w:r w:rsidR="00316BA0" w:rsidRPr="002B6098">
        <w:t xml:space="preserve">with the god-like portrayal of </w:t>
      </w:r>
      <w:r w:rsidR="005C157A" w:rsidRPr="002B6098">
        <w:t>Philip II</w:t>
      </w:r>
      <w:r w:rsidR="00316BA0" w:rsidRPr="002B6098">
        <w:t xml:space="preserve"> along with his family.</w:t>
      </w:r>
      <w:r w:rsidR="00316BA0" w:rsidRPr="002B6098">
        <w:rPr>
          <w:rStyle w:val="FootnoteReference"/>
        </w:rPr>
        <w:footnoteReference w:id="19"/>
      </w:r>
    </w:p>
    <w:p w14:paraId="2C6C9EB0" w14:textId="77777777" w:rsidR="00D15B87" w:rsidRPr="00D15B87" w:rsidRDefault="00D15B87" w:rsidP="00D15B87">
      <w:pPr>
        <w:spacing w:line="600" w:lineRule="auto"/>
        <w:jc w:val="both"/>
      </w:pPr>
    </w:p>
    <w:p w14:paraId="5E107EE2" w14:textId="538209FA" w:rsidR="00D15B87" w:rsidRDefault="00D15B87" w:rsidP="00D15B87">
      <w:pPr>
        <w:spacing w:line="600" w:lineRule="auto"/>
        <w:jc w:val="both"/>
      </w:pPr>
      <w:r w:rsidRPr="00D15B87">
        <w:t>However, the introduction of cults for royal Macedonian women did not occur until Philip II’s dedication to Olympias and Eurydice after the Battle of Chaeronea in 338 BC.</w:t>
      </w:r>
      <w:r>
        <w:rPr>
          <w:rStyle w:val="FootnoteReference"/>
        </w:rPr>
        <w:footnoteReference w:id="20"/>
      </w:r>
      <w:r w:rsidRPr="00D15B87">
        <w:t xml:space="preserve"> Olympias and Eurydice were royal women who were members of Philip’s family, and statues of them appeared alongside statues of Philip II and other male members of his family in the Philippeum. Using Pausanias as her main source for this information,</w:t>
      </w:r>
      <w:r>
        <w:rPr>
          <w:rStyle w:val="FootnoteReference"/>
        </w:rPr>
        <w:footnoteReference w:id="21"/>
      </w:r>
      <w:r w:rsidRPr="00D15B87">
        <w:t xml:space="preserve"> Carney explains that these were not simply family portraits but had cultic status due to their purposeful placement at the temple-like Philippeum by Philip, who, according to Carney, was ‘a master of the creation and manipulation of public image’.</w:t>
      </w:r>
      <w:r w:rsidRPr="005C31F4">
        <w:rPr>
          <w:rStyle w:val="FootnoteReference"/>
        </w:rPr>
        <w:footnoteReference w:id="22"/>
      </w:r>
      <w:r w:rsidRPr="00D15B87">
        <w:t xml:space="preserve"> Carney does recognise that they </w:t>
      </w:r>
      <w:r w:rsidR="00227337">
        <w:t>may</w:t>
      </w:r>
      <w:r w:rsidRPr="00D15B87">
        <w:t xml:space="preserve"> not have been built with cultic intent, as Pausanias refers to the statues of Olympias and Eurydice as an image that did not receive cultic practices, compared to one that did.</w:t>
      </w:r>
      <w:r>
        <w:rPr>
          <w:rStyle w:val="FootnoteReference"/>
        </w:rPr>
        <w:footnoteReference w:id="23"/>
      </w:r>
      <w:r w:rsidR="00227337">
        <w:t xml:space="preserve"> However, she also questions the ability of Pausanias to have knowledge of this.</w:t>
      </w:r>
      <w:r w:rsidR="00227337">
        <w:rPr>
          <w:rStyle w:val="FootnoteReference"/>
        </w:rPr>
        <w:footnoteReference w:id="24"/>
      </w:r>
    </w:p>
    <w:p w14:paraId="1561AF46" w14:textId="77777777" w:rsidR="00714C94" w:rsidRDefault="00714C94" w:rsidP="00E0729F">
      <w:pPr>
        <w:spacing w:line="600" w:lineRule="auto"/>
        <w:jc w:val="both"/>
      </w:pPr>
    </w:p>
    <w:p w14:paraId="0337A763" w14:textId="140181E0" w:rsidR="00E0729F" w:rsidRDefault="00E0729F" w:rsidP="00E0729F">
      <w:pPr>
        <w:spacing w:line="600" w:lineRule="auto"/>
        <w:jc w:val="both"/>
      </w:pPr>
      <w:r w:rsidRPr="005C31F4">
        <w:lastRenderedPageBreak/>
        <w:t>A very interesting idea that Carney explores about the nature of cults is the Greek distinction between human and divine and how this was not always a clear one.</w:t>
      </w:r>
      <w:r w:rsidRPr="005C31F4">
        <w:rPr>
          <w:rStyle w:val="FootnoteReference"/>
        </w:rPr>
        <w:footnoteReference w:id="25"/>
      </w:r>
      <w:r w:rsidRPr="005C31F4">
        <w:t xml:space="preserve"> The blurring of this distinction appears to be at the root of the cult practices according to Carney.</w:t>
      </w:r>
      <w:r w:rsidRPr="005C31F4">
        <w:rPr>
          <w:rStyle w:val="FootnoteReference"/>
        </w:rPr>
        <w:footnoteReference w:id="26"/>
      </w:r>
      <w:r w:rsidRPr="005C31F4">
        <w:t xml:space="preserve"> </w:t>
      </w:r>
      <w:r>
        <w:t>Outside of Carney</w:t>
      </w:r>
      <w:r w:rsidR="00227337">
        <w:t>’s discussion</w:t>
      </w:r>
      <w:r>
        <w:t xml:space="preserve">, this can also be seen within Greek religion. </w:t>
      </w:r>
      <w:proofErr w:type="spellStart"/>
      <w:r>
        <w:t>Burkert</w:t>
      </w:r>
      <w:proofErr w:type="spellEnd"/>
      <w:r>
        <w:t xml:space="preserve"> goes against the blurring of the distinction, saying that ‘The wall which separates them is impermeable: no god is a hero, and no hero becomes a god’.</w:t>
      </w:r>
      <w:r>
        <w:rPr>
          <w:rStyle w:val="FootnoteReference"/>
        </w:rPr>
        <w:footnoteReference w:id="27"/>
      </w:r>
      <w:r>
        <w:t xml:space="preserve"> </w:t>
      </w:r>
      <w:r w:rsidR="002A68F1">
        <w:t xml:space="preserve">Carney’s arguments however for the blurring and the permeability of these categories, under certain circumstances, are compelling. </w:t>
      </w:r>
      <w:r w:rsidR="002A68F1">
        <w:rPr>
          <w:rStyle w:val="FootnoteReference"/>
        </w:rPr>
        <w:footnoteReference w:id="28"/>
      </w:r>
    </w:p>
    <w:p w14:paraId="091D453A" w14:textId="77777777" w:rsidR="00E0729F" w:rsidRDefault="00E0729F" w:rsidP="00E0729F">
      <w:pPr>
        <w:spacing w:line="600" w:lineRule="auto"/>
        <w:jc w:val="both"/>
      </w:pPr>
    </w:p>
    <w:p w14:paraId="42F587C2" w14:textId="7E672A05" w:rsidR="00E0729F" w:rsidRPr="005C31F4" w:rsidRDefault="00E0729F" w:rsidP="00E0729F">
      <w:pPr>
        <w:spacing w:line="600" w:lineRule="auto"/>
        <w:jc w:val="both"/>
      </w:pPr>
      <w:r>
        <w:t xml:space="preserve">When looking into this, many scholars that Carney has not used have explored this idea, and it may have been a great way to establish the connection between Egypt and Macedonia. </w:t>
      </w:r>
      <w:r w:rsidRPr="005C31F4">
        <w:t>This idea of the blurring of the distinction had been long established in Egypt, whereby Pharaohs were considered divine but lived on Earth as humans.</w:t>
      </w:r>
      <w:r w:rsidRPr="005C31F4">
        <w:rPr>
          <w:rStyle w:val="FootnoteReference"/>
        </w:rPr>
        <w:footnoteReference w:id="29"/>
      </w:r>
      <w:r w:rsidRPr="005C31F4">
        <w:t xml:space="preserve"> Their legitimacy came from their divine ancestry, which also came about during their coronation when they, as Morris says in her study of </w:t>
      </w:r>
      <w:r w:rsidRPr="005C31F4">
        <w:rPr>
          <w:i/>
        </w:rPr>
        <w:t>The Pharaoh and Pharaonic</w:t>
      </w:r>
      <w:r w:rsidRPr="005C31F4">
        <w:t xml:space="preserve"> </w:t>
      </w:r>
      <w:r w:rsidRPr="005C31F4">
        <w:rPr>
          <w:i/>
        </w:rPr>
        <w:t>Office</w:t>
      </w:r>
      <w:r w:rsidRPr="005C31F4">
        <w:t>, infused the two.</w:t>
      </w:r>
      <w:r w:rsidRPr="005C31F4">
        <w:rPr>
          <w:rStyle w:val="FootnoteReference"/>
        </w:rPr>
        <w:footnoteReference w:id="30"/>
      </w:r>
      <w:r w:rsidRPr="005C31F4">
        <w:t xml:space="preserve"> Egyptian notions of human and divine may have been understood as distinct categories rather than blurred, but there is clearly an understanding in Egyptian society that, while distinct, these </w:t>
      </w:r>
      <w:r w:rsidR="002A68F1">
        <w:t>categories</w:t>
      </w:r>
      <w:r w:rsidRPr="005C31F4">
        <w:t xml:space="preserve"> were not necessarily fixed. Zinn explains how the Egyptian king would serve as a mediator </w:t>
      </w:r>
      <w:r w:rsidRPr="005C31F4">
        <w:lastRenderedPageBreak/>
        <w:t>between humans and the gods during rituals, and throughout these would be considered as and treated as a god.</w:t>
      </w:r>
      <w:r w:rsidRPr="005C31F4">
        <w:rPr>
          <w:rStyle w:val="FootnoteReference"/>
        </w:rPr>
        <w:footnoteReference w:id="31"/>
      </w:r>
    </w:p>
    <w:p w14:paraId="6065E519" w14:textId="77777777" w:rsidR="00E0729F" w:rsidRPr="005C31F4" w:rsidRDefault="00E0729F" w:rsidP="00E0729F">
      <w:pPr>
        <w:spacing w:line="600" w:lineRule="auto"/>
        <w:jc w:val="both"/>
      </w:pPr>
    </w:p>
    <w:p w14:paraId="4012D383" w14:textId="36F31AEA" w:rsidR="00E0729F" w:rsidRPr="005C31F4" w:rsidRDefault="00E0729F" w:rsidP="00E0729F">
      <w:pPr>
        <w:spacing w:line="600" w:lineRule="auto"/>
        <w:jc w:val="both"/>
      </w:pPr>
      <w:r w:rsidRPr="005C31F4">
        <w:t>Carney does not digress into the possible connections with Egyptian concepts of divine rulers</w:t>
      </w:r>
      <w:r>
        <w:t xml:space="preserve">. </w:t>
      </w:r>
      <w:r w:rsidRPr="005C31F4">
        <w:t xml:space="preserve">This crossover between Macedonian and Egyptian beliefs can also be seen </w:t>
      </w:r>
      <w:r w:rsidR="00FF1F66">
        <w:t>when looking at</w:t>
      </w:r>
      <w:r w:rsidRPr="005C31F4">
        <w:t xml:space="preserve"> Zinn’s article, as she explains our understanding of the Egyptian’s gods – which Zinn refers to as </w:t>
      </w:r>
      <w:proofErr w:type="spellStart"/>
      <w:r w:rsidRPr="005C31F4">
        <w:rPr>
          <w:i/>
        </w:rPr>
        <w:t>netjerw</w:t>
      </w:r>
      <w:proofErr w:type="spellEnd"/>
      <w:r w:rsidRPr="005C31F4">
        <w:t>.</w:t>
      </w:r>
      <w:r w:rsidRPr="005C31F4">
        <w:rPr>
          <w:rStyle w:val="FootnoteReference"/>
        </w:rPr>
        <w:footnoteReference w:id="32"/>
      </w:r>
      <w:r w:rsidRPr="005C31F4">
        <w:t xml:space="preserve"> Deceased kings are considered as part of the divine cult category.</w:t>
      </w:r>
      <w:r w:rsidRPr="005C31F4">
        <w:rPr>
          <w:rStyle w:val="FootnoteReference"/>
        </w:rPr>
        <w:footnoteReference w:id="33"/>
      </w:r>
      <w:r w:rsidRPr="005C31F4">
        <w:t xml:space="preserve"> Using Meeks’ 1988 work, Zinn explains </w:t>
      </w:r>
      <w:proofErr w:type="spellStart"/>
      <w:r w:rsidRPr="005C31F4">
        <w:rPr>
          <w:i/>
        </w:rPr>
        <w:t>netjerw</w:t>
      </w:r>
      <w:proofErr w:type="spellEnd"/>
      <w:r w:rsidRPr="005C31F4">
        <w:t xml:space="preserve"> as not an ‘equivalent to the common understanding of “god”’, but a term that could be applied to both people and objects, as well as deities.</w:t>
      </w:r>
      <w:r w:rsidRPr="005C31F4">
        <w:rPr>
          <w:rStyle w:val="FootnoteReference"/>
        </w:rPr>
        <w:footnoteReference w:id="34"/>
      </w:r>
    </w:p>
    <w:p w14:paraId="2D4923DB" w14:textId="77777777" w:rsidR="00E0729F" w:rsidRPr="005C31F4" w:rsidRDefault="00E0729F" w:rsidP="00E0729F">
      <w:pPr>
        <w:spacing w:line="600" w:lineRule="auto"/>
        <w:jc w:val="both"/>
      </w:pPr>
    </w:p>
    <w:p w14:paraId="69F1452C" w14:textId="1E9A2270" w:rsidR="00E0729F" w:rsidRPr="005C31F4" w:rsidRDefault="00E0729F" w:rsidP="00E0729F">
      <w:pPr>
        <w:spacing w:line="600" w:lineRule="auto"/>
        <w:jc w:val="both"/>
      </w:pPr>
      <w:r w:rsidRPr="005C31F4">
        <w:t>Carney describes the evidence for Philip’s encouragement of the development of his cult, and that of his female family members.</w:t>
      </w:r>
      <w:r w:rsidRPr="005C31F4">
        <w:rPr>
          <w:rStyle w:val="FootnoteReference"/>
        </w:rPr>
        <w:footnoteReference w:id="35"/>
      </w:r>
      <w:r w:rsidRPr="005C31F4">
        <w:t xml:space="preserve"> Carney addresses the reasons why Philip built the Philippeum, and explores the impact of the statues of his family being placed in there.</w:t>
      </w:r>
      <w:r w:rsidRPr="005C31F4">
        <w:rPr>
          <w:rStyle w:val="FootnoteReference"/>
        </w:rPr>
        <w:footnoteReference w:id="36"/>
      </w:r>
      <w:r w:rsidRPr="005C31F4">
        <w:t xml:space="preserve"> Carney argues that the Philippeum was not a temple, even though it was built in the image of a temple, and placed where one would expect a temple to be. The statues inside, of Philip and </w:t>
      </w:r>
      <w:r w:rsidRPr="005C31F4">
        <w:lastRenderedPageBreak/>
        <w:t xml:space="preserve">his family, seemed cultic, but this was not their </w:t>
      </w:r>
      <w:r w:rsidR="009D4EAE">
        <w:t xml:space="preserve">stated </w:t>
      </w:r>
      <w:r w:rsidRPr="005C31F4">
        <w:t>purpose.</w:t>
      </w:r>
      <w:r w:rsidRPr="005C31F4">
        <w:rPr>
          <w:rStyle w:val="FootnoteReference"/>
        </w:rPr>
        <w:footnoteReference w:id="37"/>
      </w:r>
      <w:r w:rsidRPr="005C31F4">
        <w:t xml:space="preserve"> By giving the image of divinity, people would respond to it as divinity, even though they knew Philip II was a mortal king, and this was his family. The implication that Carney draws from this is clear, that through this installation Philip presented himself as divine, and his family also by association, however he did not proclaim this directly. Other evidence presented by Carney for Philip’s divine self-promotion includes the assertion that he presented himself as a thirteenth god or ‘a man on par with the twelve Olympians’.</w:t>
      </w:r>
      <w:r w:rsidRPr="005C31F4">
        <w:rPr>
          <w:rStyle w:val="FootnoteReference"/>
        </w:rPr>
        <w:footnoteReference w:id="38"/>
      </w:r>
      <w:r w:rsidRPr="005C31F4">
        <w:t xml:space="preserve"> Carney omits to reference this, but the account can be found in </w:t>
      </w:r>
      <w:proofErr w:type="spellStart"/>
      <w:r w:rsidRPr="005C31F4">
        <w:t>Diodorus</w:t>
      </w:r>
      <w:proofErr w:type="spellEnd"/>
      <w:r w:rsidRPr="005C31F4">
        <w:t xml:space="preserve"> </w:t>
      </w:r>
      <w:proofErr w:type="spellStart"/>
      <w:r w:rsidRPr="005C31F4">
        <w:t>Siculus</w:t>
      </w:r>
      <w:proofErr w:type="spellEnd"/>
      <w:r w:rsidRPr="005C31F4">
        <w:t>.</w:t>
      </w:r>
      <w:r w:rsidRPr="005C31F4">
        <w:rPr>
          <w:rStyle w:val="FootnoteReference"/>
        </w:rPr>
        <w:footnoteReference w:id="39"/>
      </w:r>
    </w:p>
    <w:p w14:paraId="67F7A729" w14:textId="77777777" w:rsidR="00E0729F" w:rsidRPr="005C31F4" w:rsidRDefault="00E0729F" w:rsidP="00E0729F">
      <w:pPr>
        <w:spacing w:line="600" w:lineRule="auto"/>
        <w:jc w:val="both"/>
      </w:pPr>
    </w:p>
    <w:p w14:paraId="22D4CB9A" w14:textId="77777777" w:rsidR="00E0729F" w:rsidRDefault="00E0729F" w:rsidP="00E0729F">
      <w:pPr>
        <w:spacing w:line="600" w:lineRule="auto"/>
        <w:jc w:val="both"/>
      </w:pPr>
      <w:r w:rsidRPr="005C31F4">
        <w:t>Carney paints a vivid picture of how Philip clearly exploits the blurring of the distinction of human and divine to promote himself and his family.</w:t>
      </w:r>
      <w:r w:rsidRPr="005C31F4">
        <w:rPr>
          <w:rStyle w:val="FootnoteReference"/>
        </w:rPr>
        <w:footnoteReference w:id="40"/>
      </w:r>
      <w:r w:rsidRPr="005C31F4">
        <w:t xml:space="preserve"> She comments that Philip wanted to show his power ‘in familial rather than individual terms’ to show and help the Greeks understand that Macedonian power was dynastic and ‘long-term’.</w:t>
      </w:r>
      <w:r w:rsidRPr="005C31F4">
        <w:rPr>
          <w:rStyle w:val="FootnoteReference"/>
        </w:rPr>
        <w:footnoteReference w:id="41"/>
      </w:r>
      <w:r w:rsidRPr="005C31F4">
        <w:t xml:space="preserve"> By including the women, it showed the entire family had the same divine power he had, as well as made a statement because statues and portraits of women, in public places especially, were not common at the time.</w:t>
      </w:r>
      <w:r w:rsidRPr="005C31F4">
        <w:rPr>
          <w:rStyle w:val="FootnoteReference"/>
        </w:rPr>
        <w:footnoteReference w:id="42"/>
      </w:r>
      <w:r w:rsidRPr="005C31F4">
        <w:t xml:space="preserve"> Carney also explains that these two statues of Olympias and Eurydice were possibly the first to celebrate women in a political role in mainland Greece, but in her references, she </w:t>
      </w:r>
      <w:r w:rsidRPr="005C31F4">
        <w:lastRenderedPageBreak/>
        <w:t>mentions this is a debate among scholars between Olympias and Eurydice, and the statue of Artemisia, which was used to commemorate the Persian War at Sparta, and guides the reader to Rice’s work.</w:t>
      </w:r>
      <w:r>
        <w:t xml:space="preserve"> Rice briefly mentions the Artemisia, using Pausanias to bring in the Persian </w:t>
      </w:r>
      <w:proofErr w:type="spellStart"/>
      <w:r>
        <w:t>Stoa</w:t>
      </w:r>
      <w:proofErr w:type="spellEnd"/>
      <w:r>
        <w:t xml:space="preserve">, and talks about the design of the statues of Artemisia and </w:t>
      </w:r>
      <w:proofErr w:type="spellStart"/>
      <w:r>
        <w:t>Mardonios</w:t>
      </w:r>
      <w:proofErr w:type="spellEnd"/>
      <w:r>
        <w:t>, and not much else is said about the statue.</w:t>
      </w:r>
      <w:r>
        <w:rPr>
          <w:rStyle w:val="FootnoteReference"/>
        </w:rPr>
        <w:footnoteReference w:id="43"/>
      </w:r>
    </w:p>
    <w:p w14:paraId="71205554" w14:textId="77777777" w:rsidR="001B68E2" w:rsidRDefault="001B68E2" w:rsidP="00E0729F">
      <w:pPr>
        <w:spacing w:line="600" w:lineRule="auto"/>
        <w:jc w:val="both"/>
      </w:pPr>
    </w:p>
    <w:p w14:paraId="5BB92124" w14:textId="578A80FF" w:rsidR="001B68E2" w:rsidRDefault="001B68E2" w:rsidP="001B68E2">
      <w:pPr>
        <w:spacing w:line="600" w:lineRule="auto"/>
        <w:jc w:val="both"/>
      </w:pPr>
      <w:r>
        <w:t>When moving onto Ptolemaic Egypt, Carney also introduces Aphrodite, and her part in cultic activity dedicated to women.</w:t>
      </w:r>
      <w:r>
        <w:rPr>
          <w:rStyle w:val="FootnoteReference"/>
        </w:rPr>
        <w:footnoteReference w:id="44"/>
      </w:r>
      <w:r>
        <w:t xml:space="preserve"> Most cults for women that were associated with Aphrodite, also had a connection to Isis.</w:t>
      </w:r>
      <w:r>
        <w:rPr>
          <w:rStyle w:val="FootnoteReference"/>
        </w:rPr>
        <w:footnoteReference w:id="45"/>
      </w:r>
      <w:r>
        <w:t xml:space="preserve"> Carney continues to talk about goddesses in her footnotes, saying that Aphrodite was also seen to be connected with Hathor, and Isis was sometimes associated with Demeter, which has been seen as early as Herodotus.</w:t>
      </w:r>
      <w:r>
        <w:rPr>
          <w:rStyle w:val="FootnoteReference"/>
        </w:rPr>
        <w:footnoteReference w:id="46"/>
      </w:r>
      <w:r>
        <w:t xml:space="preserve"> Looking into this even further</w:t>
      </w:r>
      <w:r w:rsidR="001822B6">
        <w:t xml:space="preserve"> is yet another place she misses</w:t>
      </w:r>
      <w:r>
        <w:t xml:space="preserve"> an opportunity</w:t>
      </w:r>
      <w:r w:rsidR="001822B6">
        <w:t xml:space="preserve"> to discuss other goddesses in relation to female cults</w:t>
      </w:r>
      <w:r>
        <w:t>, as Carney only looks at the reasons behind Aphrodite as a choice and not Hera.</w:t>
      </w:r>
      <w:r w:rsidR="001822B6">
        <w:rPr>
          <w:rStyle w:val="FootnoteReference"/>
        </w:rPr>
        <w:footnoteReference w:id="47"/>
      </w:r>
      <w:r>
        <w:t xml:space="preserve"> </w:t>
      </w:r>
    </w:p>
    <w:p w14:paraId="4764CC43" w14:textId="77777777" w:rsidR="0000228A" w:rsidRDefault="0000228A" w:rsidP="001B68E2">
      <w:pPr>
        <w:spacing w:line="600" w:lineRule="auto"/>
        <w:jc w:val="both"/>
        <w:rPr>
          <w:u w:val="single"/>
        </w:rPr>
      </w:pPr>
    </w:p>
    <w:p w14:paraId="73B117E7" w14:textId="1E6FAA03" w:rsidR="001B68E2" w:rsidRPr="005C31F4" w:rsidRDefault="001B68E2" w:rsidP="001B68E2">
      <w:pPr>
        <w:spacing w:line="600" w:lineRule="auto"/>
        <w:jc w:val="both"/>
      </w:pPr>
      <w:r w:rsidRPr="005C31F4">
        <w:t>Carney comes to the conclusion that the development of cults</w:t>
      </w:r>
      <w:r w:rsidR="001822B6">
        <w:t xml:space="preserve"> dedicated</w:t>
      </w:r>
      <w:r w:rsidRPr="005C31F4">
        <w:t xml:space="preserve"> to royal women is related to a need at that time to represent power as both male and female.</w:t>
      </w:r>
      <w:r w:rsidRPr="005C31F4">
        <w:rPr>
          <w:rStyle w:val="FootnoteReference"/>
        </w:rPr>
        <w:footnoteReference w:id="48"/>
      </w:r>
      <w:r w:rsidRPr="005C31F4">
        <w:t xml:space="preserve"> She suggests that </w:t>
      </w:r>
      <w:r w:rsidRPr="005C31F4">
        <w:lastRenderedPageBreak/>
        <w:t>cults emerged as a way of accessing power, and that the cults focusing on women were a way of gaining access to these very powerful, semi-divine men.</w:t>
      </w:r>
      <w:r w:rsidRPr="005C31F4">
        <w:rPr>
          <w:rStyle w:val="FootnoteReference"/>
        </w:rPr>
        <w:footnoteReference w:id="49"/>
      </w:r>
      <w:r w:rsidRPr="005C31F4">
        <w:t xml:space="preserve"> Carney argues this can be seen in the cult honouring royal Macedonian women, by people who were not related to them, such as their husbands or sons.</w:t>
      </w:r>
      <w:r w:rsidRPr="005C31F4">
        <w:rPr>
          <w:rStyle w:val="FootnoteReference"/>
        </w:rPr>
        <w:footnoteReference w:id="50"/>
      </w:r>
      <w:r w:rsidRPr="005C31F4">
        <w:t xml:space="preserve"> </w:t>
      </w:r>
    </w:p>
    <w:p w14:paraId="6BEEE82F" w14:textId="77777777" w:rsidR="001B68E2" w:rsidRPr="005C31F4" w:rsidRDefault="001B68E2" w:rsidP="001B68E2">
      <w:pPr>
        <w:spacing w:line="600" w:lineRule="auto"/>
        <w:jc w:val="both"/>
      </w:pPr>
    </w:p>
    <w:p w14:paraId="71EFCD24" w14:textId="10346369" w:rsidR="001B68E2" w:rsidRPr="005C31F4" w:rsidRDefault="001B68E2" w:rsidP="001B68E2">
      <w:pPr>
        <w:spacing w:line="600" w:lineRule="auto"/>
        <w:jc w:val="both"/>
      </w:pPr>
      <w:r w:rsidRPr="005C31F4">
        <w:t>Carney introduces the idea of the Aphrodite equation, as a reason why these women might be seen as more accessible than their god-like men; their sexuality and domesticity was emphasised.</w:t>
      </w:r>
      <w:r w:rsidRPr="005C31F4">
        <w:rPr>
          <w:rStyle w:val="FootnoteReference"/>
        </w:rPr>
        <w:footnoteReference w:id="51"/>
      </w:r>
      <w:r w:rsidR="001822B6">
        <w:t xml:space="preserve"> </w:t>
      </w:r>
      <w:r w:rsidRPr="005C31F4">
        <w:t>This idea that power was seen as both male and female is confirmed by Carney through the part that female cult plays among a number of other practices that raise the profile of royal women in the late fourth century. These practices include the creation of royal titles and changes in the roles for royal women.</w:t>
      </w:r>
      <w:r>
        <w:rPr>
          <w:rStyle w:val="FootnoteReference"/>
        </w:rPr>
        <w:footnoteReference w:id="52"/>
      </w:r>
    </w:p>
    <w:p w14:paraId="007676D3" w14:textId="77777777" w:rsidR="001B68E2" w:rsidRDefault="001B68E2" w:rsidP="00E0729F">
      <w:pPr>
        <w:spacing w:line="600" w:lineRule="auto"/>
        <w:jc w:val="both"/>
      </w:pPr>
    </w:p>
    <w:p w14:paraId="16A13AF9" w14:textId="47C8A576" w:rsidR="001B68E2" w:rsidRPr="005C31F4" w:rsidRDefault="001822B6" w:rsidP="001B68E2">
      <w:pPr>
        <w:spacing w:line="600" w:lineRule="auto"/>
        <w:jc w:val="both"/>
      </w:pPr>
      <w:r>
        <w:t>It seems that, although Carney does not enter into a discussion about this, t</w:t>
      </w:r>
      <w:r w:rsidR="001B68E2" w:rsidRPr="005C31F4">
        <w:t xml:space="preserve">he similarities between gods and elite rulers and their families extend to the fact that, just like gods, they were not readily accessible to ordinary people. They moved in different circles, but in the same way as the gods, rulers were seen to have an effect and impact on the lives of everyday folk through their actions. Carney writes that ‘the relationship between image and cult is </w:t>
      </w:r>
      <w:r w:rsidR="001B68E2" w:rsidRPr="005C31F4">
        <w:lastRenderedPageBreak/>
        <w:t>complex and critical’.</w:t>
      </w:r>
      <w:r w:rsidR="001B68E2" w:rsidRPr="005C31F4">
        <w:rPr>
          <w:rStyle w:val="FootnoteReference"/>
        </w:rPr>
        <w:footnoteReference w:id="53"/>
      </w:r>
      <w:r w:rsidR="001B68E2" w:rsidRPr="005C31F4">
        <w:t xml:space="preserve"> Carney explains this idea clearly, as ancient authors would often refer to the person and the image in the same way without distinction.</w:t>
      </w:r>
      <w:r w:rsidR="001B68E2" w:rsidRPr="005C31F4">
        <w:rPr>
          <w:rStyle w:val="FootnoteReference"/>
        </w:rPr>
        <w:footnoteReference w:id="54"/>
      </w:r>
      <w:r w:rsidR="001B68E2" w:rsidRPr="005C31F4">
        <w:t xml:space="preserve"> This gives some indication of the power that the statues may have had, and to emphasise this point she includes a discussion of modern public interaction with statuary and memorials, such as the Viet Nam memorial,</w:t>
      </w:r>
      <w:r w:rsidR="001B68E2" w:rsidRPr="005C31F4">
        <w:rPr>
          <w:rStyle w:val="FootnoteReference"/>
        </w:rPr>
        <w:footnoteReference w:id="55"/>
      </w:r>
      <w:r w:rsidR="001B68E2" w:rsidRPr="005C31F4">
        <w:t xml:space="preserve"> and the large statue of Abraham Lincoln in Washington DC.</w:t>
      </w:r>
      <w:r w:rsidR="001B68E2" w:rsidRPr="005C31F4">
        <w:rPr>
          <w:rStyle w:val="FootnoteReference"/>
        </w:rPr>
        <w:footnoteReference w:id="56"/>
      </w:r>
      <w:r w:rsidR="001B68E2" w:rsidRPr="005C31F4">
        <w:t xml:space="preserve"> This phenomenology approach provides a highly effective and personal way of enabling modern readers to understand and appreciate the power and impression of Macedonian cult statues.</w:t>
      </w:r>
      <w:r w:rsidR="00E63E82">
        <w:t xml:space="preserve"> </w:t>
      </w:r>
      <w:r w:rsidR="008E284C">
        <w:t>Casey explains the concept of the ‘lived experience’ in re</w:t>
      </w:r>
      <w:r w:rsidR="00CB699A">
        <w:t>lation to landscape archaeology</w:t>
      </w:r>
      <w:r w:rsidR="00A7385A">
        <w:t>,</w:t>
      </w:r>
      <w:r w:rsidR="00CB699A">
        <w:rPr>
          <w:rStyle w:val="FootnoteReference"/>
        </w:rPr>
        <w:footnoteReference w:id="57"/>
      </w:r>
      <w:r w:rsidR="008E284C">
        <w:t xml:space="preserve"> </w:t>
      </w:r>
      <w:r w:rsidR="00A7385A">
        <w:t xml:space="preserve">and </w:t>
      </w:r>
      <w:r w:rsidR="002D5661">
        <w:t xml:space="preserve">it is clear how </w:t>
      </w:r>
      <w:r w:rsidR="00A7385A">
        <w:t xml:space="preserve">such an approach can </w:t>
      </w:r>
      <w:r w:rsidR="002D5661">
        <w:t>help illuminate the powerful effect of the statuary in the Philippeum on ancient Macedonian people.</w:t>
      </w:r>
      <w:r w:rsidR="006E381D">
        <w:t xml:space="preserve"> This interesting approach is not often seen in Classics scholarship</w:t>
      </w:r>
      <w:r w:rsidR="0053287D">
        <w:t xml:space="preserve">, and here it </w:t>
      </w:r>
      <w:r w:rsidR="00A82482">
        <w:t xml:space="preserve">brings a refreshing and original form of analysis to this topic. </w:t>
      </w:r>
    </w:p>
    <w:p w14:paraId="3D75C4AF" w14:textId="77777777" w:rsidR="001B68E2" w:rsidRDefault="001B68E2" w:rsidP="001B68E2">
      <w:pPr>
        <w:spacing w:line="600" w:lineRule="auto"/>
        <w:jc w:val="both"/>
      </w:pPr>
    </w:p>
    <w:p w14:paraId="7F68B2B2" w14:textId="0D130164" w:rsidR="001B68E2" w:rsidRDefault="00DB7401" w:rsidP="00235172">
      <w:pPr>
        <w:spacing w:line="600" w:lineRule="auto"/>
        <w:jc w:val="both"/>
      </w:pPr>
      <w:r>
        <w:t xml:space="preserve">While the phenomenology approach might be considered a little speculative, Carney bases her study solidly on the work of </w:t>
      </w:r>
      <w:r w:rsidR="00AC6838">
        <w:t xml:space="preserve">the scholars who have come before her. </w:t>
      </w:r>
      <w:r w:rsidR="00235172">
        <w:t>She</w:t>
      </w:r>
      <w:r w:rsidR="001B68E2">
        <w:t xml:space="preserve"> does disclaim at the beginning of her work that she had made an assumption when writing her work, about the ‘general nature of ruler cult in the Hellenic world’,</w:t>
      </w:r>
      <w:r w:rsidR="001B68E2">
        <w:rPr>
          <w:rStyle w:val="FootnoteReference"/>
        </w:rPr>
        <w:footnoteReference w:id="58"/>
      </w:r>
      <w:r w:rsidR="00C251B1">
        <w:t xml:space="preserve"> based on</w:t>
      </w:r>
      <w:r w:rsidR="001B68E2">
        <w:t xml:space="preserve"> early scholars of the field.</w:t>
      </w:r>
    </w:p>
    <w:p w14:paraId="0428C948" w14:textId="77777777" w:rsidR="00A82482" w:rsidRDefault="00A82482" w:rsidP="00235172">
      <w:pPr>
        <w:spacing w:line="600" w:lineRule="auto"/>
        <w:jc w:val="both"/>
      </w:pPr>
    </w:p>
    <w:p w14:paraId="5451EBD4" w14:textId="6FE31538" w:rsidR="001B68E2" w:rsidRDefault="001B68E2" w:rsidP="001B68E2">
      <w:pPr>
        <w:spacing w:line="600" w:lineRule="auto"/>
        <w:jc w:val="both"/>
      </w:pPr>
      <w:r w:rsidRPr="005C31F4">
        <w:lastRenderedPageBreak/>
        <w:t>While Carney uses evidence from temples, statues and iconography to illustrate her argument for the promotion of cults by Philip and Alexander, she does not explicitly make the connection between art and architecture, as a mechanism of propaganda.</w:t>
      </w:r>
      <w:r w:rsidR="00C14155">
        <w:t xml:space="preserve"> This is such a big topic and has been covered well by other scholarship, however, </w:t>
      </w:r>
      <w:r w:rsidR="007A7ED3">
        <w:t xml:space="preserve">that </w:t>
      </w:r>
      <w:r w:rsidR="00C14155">
        <w:t>it is understandable why she did not digress into this area.</w:t>
      </w:r>
      <w:r w:rsidR="007A7ED3">
        <w:rPr>
          <w:rStyle w:val="FootnoteReference"/>
        </w:rPr>
        <w:footnoteReference w:id="59"/>
      </w:r>
    </w:p>
    <w:p w14:paraId="76F72AF3" w14:textId="77777777" w:rsidR="00E0729F" w:rsidRPr="00D15B87" w:rsidRDefault="00E0729F" w:rsidP="00D15B87">
      <w:pPr>
        <w:spacing w:line="600" w:lineRule="auto"/>
        <w:jc w:val="both"/>
      </w:pPr>
    </w:p>
    <w:p w14:paraId="3435DB88" w14:textId="0CF8FA90" w:rsidR="00AF7602" w:rsidRDefault="007A7ED3" w:rsidP="00FD16C7">
      <w:pPr>
        <w:spacing w:line="600" w:lineRule="auto"/>
        <w:jc w:val="both"/>
      </w:pPr>
      <w:r w:rsidRPr="002959ED">
        <w:t xml:space="preserve">Carney’s article provides an in-depth and fairly detailed study of a neglected area in Classics, in which she draws on a number of theoretical approaches including ones </w:t>
      </w:r>
      <w:r w:rsidR="001B143A" w:rsidRPr="002959ED">
        <w:t xml:space="preserve">from other disciplines such as landscape archaeology. As such, </w:t>
      </w:r>
      <w:r w:rsidR="002959ED" w:rsidRPr="002959ED">
        <w:t xml:space="preserve">it provides useful scholarly material </w:t>
      </w:r>
      <w:r w:rsidR="00CF4023">
        <w:t xml:space="preserve">for students across disciplines. </w:t>
      </w:r>
      <w:r w:rsidR="00343531">
        <w:t>Carney has written extensively about women in the ancient world,</w:t>
      </w:r>
      <w:r w:rsidR="00343531">
        <w:rPr>
          <w:rStyle w:val="FootnoteReference"/>
        </w:rPr>
        <w:footnoteReference w:id="60"/>
      </w:r>
      <w:r w:rsidR="00E959BC">
        <w:t xml:space="preserve"> and this article adds to her c</w:t>
      </w:r>
      <w:r w:rsidR="007A2104">
        <w:t>onsiderable contribution to scholarly knowledge of their lives.</w:t>
      </w:r>
      <w:r w:rsidR="00C92320">
        <w:t xml:space="preserve"> </w:t>
      </w:r>
      <w:r w:rsidR="002725A7">
        <w:t xml:space="preserve">Within her </w:t>
      </w:r>
      <w:r w:rsidR="00B70A41">
        <w:t>work, Carney does not use a</w:t>
      </w:r>
      <w:r w:rsidR="002725A7">
        <w:t xml:space="preserve"> feminist </w:t>
      </w:r>
      <w:r w:rsidR="00B70A41">
        <w:t>theory or push an agenda</w:t>
      </w:r>
      <w:r w:rsidR="002725A7">
        <w:t xml:space="preserve">, </w:t>
      </w:r>
      <w:r w:rsidR="00B70A41">
        <w:t xml:space="preserve">rather her body of work seeks to address a balance </w:t>
      </w:r>
      <w:r w:rsidR="00147DD1">
        <w:t>in scholarship that has</w:t>
      </w:r>
      <w:r w:rsidR="00736ECB">
        <w:t xml:space="preserve"> neglected women.</w:t>
      </w:r>
      <w:r w:rsidR="00147DD1">
        <w:t xml:space="preserve"> </w:t>
      </w:r>
    </w:p>
    <w:p w14:paraId="1133C0BC" w14:textId="77777777" w:rsidR="00AF7602" w:rsidRPr="005C31F4" w:rsidRDefault="00AF7602" w:rsidP="00FD16C7">
      <w:pPr>
        <w:spacing w:line="600" w:lineRule="auto"/>
        <w:jc w:val="both"/>
        <w:rPr>
          <w:i/>
        </w:rPr>
      </w:pPr>
    </w:p>
    <w:p w14:paraId="0D783C24" w14:textId="58A7FA5B" w:rsidR="00F63D7F" w:rsidRDefault="00F63D7F">
      <w:r>
        <w:br w:type="page"/>
      </w:r>
    </w:p>
    <w:p w14:paraId="3F3C67A0" w14:textId="04CCCD62" w:rsidR="00F63D7F" w:rsidRPr="00C552FF" w:rsidRDefault="00F63D7F" w:rsidP="00F63D7F">
      <w:pPr>
        <w:spacing w:line="600" w:lineRule="auto"/>
        <w:jc w:val="both"/>
        <w:rPr>
          <w:u w:val="single"/>
        </w:rPr>
      </w:pPr>
      <w:r w:rsidRPr="00C552FF">
        <w:rPr>
          <w:u w:val="single"/>
        </w:rPr>
        <w:lastRenderedPageBreak/>
        <w:t>Bibliography</w:t>
      </w:r>
    </w:p>
    <w:p w14:paraId="63847906" w14:textId="6C23C61A" w:rsidR="00F63D7F" w:rsidRDefault="00F63D7F" w:rsidP="00F63D7F">
      <w:pPr>
        <w:spacing w:line="600" w:lineRule="auto"/>
        <w:jc w:val="both"/>
        <w:rPr>
          <w:u w:val="single"/>
        </w:rPr>
      </w:pPr>
      <w:r w:rsidRPr="00C552FF">
        <w:rPr>
          <w:u w:val="single"/>
        </w:rPr>
        <w:t>Ancient Sources</w:t>
      </w:r>
    </w:p>
    <w:p w14:paraId="10F87D6E" w14:textId="2D7EE88C" w:rsidR="00C87F90" w:rsidRDefault="00930897" w:rsidP="00F63D7F">
      <w:pPr>
        <w:spacing w:line="600" w:lineRule="auto"/>
        <w:jc w:val="both"/>
      </w:pPr>
      <w:proofErr w:type="spellStart"/>
      <w:r>
        <w:t>Diodorus</w:t>
      </w:r>
      <w:proofErr w:type="spellEnd"/>
      <w:r>
        <w:t xml:space="preserve"> </w:t>
      </w:r>
      <w:proofErr w:type="spellStart"/>
      <w:r>
        <w:t>Siculus</w:t>
      </w:r>
      <w:proofErr w:type="spellEnd"/>
      <w:r>
        <w:t xml:space="preserve">, </w:t>
      </w:r>
      <w:r w:rsidRPr="00930897">
        <w:rPr>
          <w:i/>
        </w:rPr>
        <w:t>Library of History</w:t>
      </w:r>
      <w:r>
        <w:t>. Sherman, C. L. (trans.). 1952. Cambridge, MA: Harvard University Press.</w:t>
      </w:r>
    </w:p>
    <w:p w14:paraId="43AD6B1A" w14:textId="5249414E" w:rsidR="00F63D7F" w:rsidRDefault="00930897" w:rsidP="00F63D7F">
      <w:pPr>
        <w:spacing w:line="600" w:lineRule="auto"/>
        <w:jc w:val="both"/>
      </w:pPr>
      <w:r>
        <w:t xml:space="preserve">Pausanias, </w:t>
      </w:r>
      <w:r w:rsidRPr="00930897">
        <w:rPr>
          <w:i/>
        </w:rPr>
        <w:t>Description of Greece</w:t>
      </w:r>
      <w:r>
        <w:t xml:space="preserve">. Jones, W. H. S. and </w:t>
      </w:r>
      <w:proofErr w:type="spellStart"/>
      <w:r>
        <w:t>Ormerod</w:t>
      </w:r>
      <w:proofErr w:type="spellEnd"/>
      <w:r>
        <w:t>, H. A. (trans.). 1926. Cambridge, MA: Harvard University Press.</w:t>
      </w:r>
      <w:bookmarkStart w:id="0" w:name="_GoBack"/>
      <w:bookmarkEnd w:id="0"/>
    </w:p>
    <w:p w14:paraId="46D03735" w14:textId="3CE2C259" w:rsidR="006F0DD3" w:rsidRPr="006F0DD3" w:rsidRDefault="00F63D7F" w:rsidP="006F0DD3">
      <w:pPr>
        <w:spacing w:line="600" w:lineRule="auto"/>
        <w:jc w:val="both"/>
        <w:rPr>
          <w:u w:val="single"/>
        </w:rPr>
      </w:pPr>
      <w:r w:rsidRPr="00C552FF">
        <w:rPr>
          <w:u w:val="single"/>
        </w:rPr>
        <w:t>Modern Scholarship</w:t>
      </w:r>
    </w:p>
    <w:p w14:paraId="3E249201" w14:textId="3992045B" w:rsidR="004530DA" w:rsidRDefault="004530DA" w:rsidP="006F0DD3">
      <w:pPr>
        <w:spacing w:line="600" w:lineRule="auto"/>
        <w:jc w:val="both"/>
      </w:pPr>
      <w:r>
        <w:t xml:space="preserve">Bosworth, A. B. (1971) ‘The Death of Alexander the Great: Rumour and Propaganda’, </w:t>
      </w:r>
      <w:r>
        <w:rPr>
          <w:i/>
        </w:rPr>
        <w:t>The Classical Quarterly</w:t>
      </w:r>
      <w:r>
        <w:t>, 21(1), pp. 112-136.</w:t>
      </w:r>
    </w:p>
    <w:p w14:paraId="18ADE989" w14:textId="059302CB" w:rsidR="006F0DD3" w:rsidRDefault="006F0DD3" w:rsidP="006F0DD3">
      <w:pPr>
        <w:spacing w:line="600" w:lineRule="auto"/>
        <w:jc w:val="both"/>
      </w:pPr>
      <w:r>
        <w:t xml:space="preserve">Bosworth, A. B. (2002) </w:t>
      </w:r>
      <w:r>
        <w:rPr>
          <w:i/>
        </w:rPr>
        <w:t xml:space="preserve">The Legacy of Alexander: Politics, Warfare, and Propaganda Under the Successors. </w:t>
      </w:r>
      <w:r>
        <w:t>New York: Oxford University Press Inc.</w:t>
      </w:r>
    </w:p>
    <w:p w14:paraId="128B5044" w14:textId="176A5752" w:rsidR="006F0DD3" w:rsidRDefault="006F0DD3" w:rsidP="006F0DD3">
      <w:pPr>
        <w:spacing w:line="600" w:lineRule="auto"/>
        <w:jc w:val="both"/>
      </w:pPr>
      <w:proofErr w:type="spellStart"/>
      <w:r>
        <w:t>Burkert</w:t>
      </w:r>
      <w:proofErr w:type="spellEnd"/>
      <w:r>
        <w:t xml:space="preserve">, W. (1985) </w:t>
      </w:r>
      <w:r>
        <w:rPr>
          <w:i/>
        </w:rPr>
        <w:t>Greek Religion</w:t>
      </w:r>
      <w:r>
        <w:t xml:space="preserve">. </w:t>
      </w:r>
      <w:r w:rsidR="00D622D2">
        <w:t>United States of America: Harvard University Press.</w:t>
      </w:r>
    </w:p>
    <w:p w14:paraId="0A743990" w14:textId="4A8900DC" w:rsidR="00C41CB7" w:rsidRDefault="00C41CB7" w:rsidP="00465046">
      <w:pPr>
        <w:spacing w:line="600" w:lineRule="auto"/>
        <w:jc w:val="both"/>
      </w:pPr>
      <w:r>
        <w:t xml:space="preserve">Carney, E. (1991) ‘What’s in a </w:t>
      </w:r>
      <w:proofErr w:type="gramStart"/>
      <w:r>
        <w:t>Name?:</w:t>
      </w:r>
      <w:proofErr w:type="gramEnd"/>
      <w:r>
        <w:t xml:space="preserve"> The Emergence of a Title for Royal Women in the Hellenistic Period’, </w:t>
      </w:r>
      <w:r w:rsidR="0088117E">
        <w:t xml:space="preserve">in Pomeroy, S. B. (ed.) </w:t>
      </w:r>
      <w:r w:rsidR="0088117E">
        <w:rPr>
          <w:i/>
        </w:rPr>
        <w:t>Women’s History and Ancient History</w:t>
      </w:r>
      <w:r w:rsidR="009F7D4E">
        <w:t>.</w:t>
      </w:r>
      <w:r w:rsidR="00FC1BB1">
        <w:rPr>
          <w:i/>
        </w:rPr>
        <w:t xml:space="preserve"> </w:t>
      </w:r>
      <w:r w:rsidR="009F7D4E">
        <w:t xml:space="preserve">United States of America: </w:t>
      </w:r>
      <w:r w:rsidR="00FC1BB1">
        <w:t>University of North Carolina Press</w:t>
      </w:r>
      <w:r w:rsidR="009F7D4E">
        <w:t>.</w:t>
      </w:r>
    </w:p>
    <w:p w14:paraId="77C68602" w14:textId="139E82ED" w:rsidR="007C7ABD" w:rsidRDefault="009F7D4E" w:rsidP="00465046">
      <w:pPr>
        <w:spacing w:line="600" w:lineRule="auto"/>
        <w:rPr>
          <w:rFonts w:eastAsia="Times New Roman"/>
        </w:rPr>
      </w:pPr>
      <w:r>
        <w:t xml:space="preserve">Carney, E. (1992) </w:t>
      </w:r>
      <w:r w:rsidR="007C7ABD">
        <w:t>‘</w:t>
      </w:r>
      <w:r w:rsidR="007C7ABD">
        <w:rPr>
          <w:rFonts w:eastAsia="Times New Roman"/>
        </w:rPr>
        <w:t>The Politics of Polygamy: Olympias, Alexander and the Murder of Philip</w:t>
      </w:r>
      <w:r w:rsidR="007C7ABD">
        <w:rPr>
          <w:rFonts w:eastAsia="Times New Roman"/>
        </w:rPr>
        <w:t xml:space="preserve">’, </w:t>
      </w:r>
      <w:proofErr w:type="spellStart"/>
      <w:r w:rsidR="00465046" w:rsidRPr="00465046">
        <w:rPr>
          <w:rFonts w:eastAsia="Times New Roman"/>
          <w:i/>
        </w:rPr>
        <w:t>Historia</w:t>
      </w:r>
      <w:proofErr w:type="spellEnd"/>
      <w:r w:rsidR="00465046" w:rsidRPr="00465046">
        <w:rPr>
          <w:rFonts w:eastAsia="Times New Roman"/>
          <w:i/>
        </w:rPr>
        <w:t xml:space="preserve">: </w:t>
      </w:r>
      <w:proofErr w:type="spellStart"/>
      <w:r w:rsidR="00465046" w:rsidRPr="00465046">
        <w:rPr>
          <w:rFonts w:eastAsia="Times New Roman"/>
          <w:i/>
        </w:rPr>
        <w:t>Zeitschrift</w:t>
      </w:r>
      <w:proofErr w:type="spellEnd"/>
      <w:r w:rsidR="00465046" w:rsidRPr="00465046">
        <w:rPr>
          <w:rFonts w:eastAsia="Times New Roman"/>
          <w:i/>
        </w:rPr>
        <w:t xml:space="preserve"> </w:t>
      </w:r>
      <w:proofErr w:type="spellStart"/>
      <w:r w:rsidR="00465046" w:rsidRPr="00465046">
        <w:rPr>
          <w:rFonts w:eastAsia="Times New Roman"/>
          <w:i/>
        </w:rPr>
        <w:t>für</w:t>
      </w:r>
      <w:proofErr w:type="spellEnd"/>
      <w:r w:rsidR="00465046" w:rsidRPr="00465046">
        <w:rPr>
          <w:rFonts w:eastAsia="Times New Roman"/>
          <w:i/>
        </w:rPr>
        <w:t xml:space="preserve"> </w:t>
      </w:r>
      <w:proofErr w:type="spellStart"/>
      <w:r w:rsidR="00465046" w:rsidRPr="00465046">
        <w:rPr>
          <w:rFonts w:eastAsia="Times New Roman"/>
          <w:i/>
        </w:rPr>
        <w:t>Alte</w:t>
      </w:r>
      <w:proofErr w:type="spellEnd"/>
      <w:r w:rsidR="00465046" w:rsidRPr="00465046">
        <w:rPr>
          <w:rFonts w:eastAsia="Times New Roman"/>
          <w:i/>
        </w:rPr>
        <w:t xml:space="preserve"> Geschichte</w:t>
      </w:r>
      <w:r w:rsidR="00465046">
        <w:rPr>
          <w:rFonts w:eastAsia="Times New Roman"/>
          <w:i/>
        </w:rPr>
        <w:t xml:space="preserve">, </w:t>
      </w:r>
      <w:r w:rsidR="00465046">
        <w:rPr>
          <w:rFonts w:eastAsia="Times New Roman"/>
        </w:rPr>
        <w:t>41(2), pp. 169-89.</w:t>
      </w:r>
    </w:p>
    <w:p w14:paraId="6EA8FBE9" w14:textId="6B1CF545" w:rsidR="00465046" w:rsidRDefault="00465046" w:rsidP="00465046">
      <w:pPr>
        <w:rPr>
          <w:rFonts w:eastAsia="Times New Roman"/>
        </w:rPr>
      </w:pPr>
      <w:r>
        <w:rPr>
          <w:rFonts w:eastAsia="Times New Roman"/>
        </w:rPr>
        <w:t>Carney, E. (1996) ‘</w:t>
      </w:r>
      <w:r>
        <w:rPr>
          <w:rFonts w:eastAsia="Times New Roman"/>
        </w:rPr>
        <w:t>Macedonians and Mutiny: Discipline and Indiscipline in the Army of Philip and Alexander</w:t>
      </w:r>
      <w:r>
        <w:rPr>
          <w:rFonts w:eastAsia="Times New Roman"/>
        </w:rPr>
        <w:t xml:space="preserve">’, </w:t>
      </w:r>
      <w:r>
        <w:rPr>
          <w:rFonts w:eastAsia="Times New Roman"/>
          <w:i/>
        </w:rPr>
        <w:t>Classical Philology</w:t>
      </w:r>
      <w:r>
        <w:rPr>
          <w:rFonts w:eastAsia="Times New Roman"/>
        </w:rPr>
        <w:t>, 91(1), pp. 19-44.</w:t>
      </w:r>
    </w:p>
    <w:p w14:paraId="57E8BEDA" w14:textId="77777777" w:rsidR="00C71E44" w:rsidRDefault="00C71E44" w:rsidP="00465046">
      <w:pPr>
        <w:rPr>
          <w:rFonts w:eastAsia="Times New Roman"/>
        </w:rPr>
      </w:pPr>
    </w:p>
    <w:p w14:paraId="16EE87AA" w14:textId="11E9295D" w:rsidR="00C71E44" w:rsidRDefault="00C71E44" w:rsidP="00465046">
      <w:pPr>
        <w:rPr>
          <w:rFonts w:eastAsia="Times New Roman"/>
        </w:rPr>
      </w:pPr>
      <w:r>
        <w:rPr>
          <w:rFonts w:eastAsia="Times New Roman"/>
        </w:rPr>
        <w:t>Carney, E. (2000) ‘</w:t>
      </w:r>
      <w:r w:rsidR="00CD7836">
        <w:rPr>
          <w:rFonts w:eastAsia="Times New Roman"/>
        </w:rPr>
        <w:t xml:space="preserve">The Initiation of Cult for Royal Macedonian Women’, </w:t>
      </w:r>
      <w:r w:rsidR="00CD7836">
        <w:rPr>
          <w:rFonts w:eastAsia="Times New Roman"/>
          <w:i/>
        </w:rPr>
        <w:t>Classical Philology</w:t>
      </w:r>
      <w:r w:rsidR="00CD7836">
        <w:rPr>
          <w:rFonts w:eastAsia="Times New Roman"/>
        </w:rPr>
        <w:t>, 95(1), pp. 21-43.</w:t>
      </w:r>
    </w:p>
    <w:p w14:paraId="3CAC6825" w14:textId="77777777" w:rsidR="001D2507" w:rsidRDefault="001D2507" w:rsidP="00465046">
      <w:pPr>
        <w:rPr>
          <w:rFonts w:eastAsia="Times New Roman"/>
        </w:rPr>
      </w:pPr>
    </w:p>
    <w:p w14:paraId="3D241E38" w14:textId="67EE21D3" w:rsidR="001D2507" w:rsidRDefault="001D2507" w:rsidP="00465046">
      <w:pPr>
        <w:rPr>
          <w:rFonts w:eastAsia="Times New Roman"/>
        </w:rPr>
      </w:pPr>
      <w:r>
        <w:rPr>
          <w:rFonts w:eastAsia="Times New Roman"/>
        </w:rPr>
        <w:t xml:space="preserve">Carney, E. (2000) </w:t>
      </w:r>
      <w:r>
        <w:rPr>
          <w:rFonts w:eastAsia="Times New Roman"/>
          <w:i/>
        </w:rPr>
        <w:t>Women and Monarchy in Macedonia</w:t>
      </w:r>
      <w:r w:rsidR="00C61AEB">
        <w:rPr>
          <w:rFonts w:eastAsia="Times New Roman"/>
          <w:i/>
        </w:rPr>
        <w:t>.</w:t>
      </w:r>
      <w:r w:rsidR="00C61AEB">
        <w:rPr>
          <w:rFonts w:eastAsia="Times New Roman"/>
        </w:rPr>
        <w:t xml:space="preserve"> United States of America: University of Oklahoma Press.</w:t>
      </w:r>
    </w:p>
    <w:p w14:paraId="35948DD8" w14:textId="77777777" w:rsidR="00C61AEB" w:rsidRDefault="00C61AEB" w:rsidP="00465046">
      <w:pPr>
        <w:rPr>
          <w:rFonts w:eastAsia="Times New Roman"/>
        </w:rPr>
      </w:pPr>
    </w:p>
    <w:p w14:paraId="51C25988" w14:textId="27F1A3E1" w:rsidR="007D2611" w:rsidRDefault="00C61AEB" w:rsidP="007D2611">
      <w:pPr>
        <w:rPr>
          <w:rFonts w:eastAsia="Times New Roman"/>
        </w:rPr>
      </w:pPr>
      <w:r>
        <w:rPr>
          <w:rFonts w:eastAsia="Times New Roman"/>
        </w:rPr>
        <w:t xml:space="preserve">Carney, E. (2005) </w:t>
      </w:r>
      <w:r w:rsidR="007D2611">
        <w:rPr>
          <w:rFonts w:eastAsia="Times New Roman"/>
        </w:rPr>
        <w:t>‘</w:t>
      </w:r>
      <w:r w:rsidR="007D2611">
        <w:rPr>
          <w:rFonts w:eastAsia="Times New Roman"/>
        </w:rPr>
        <w:t xml:space="preserve">Women and </w:t>
      </w:r>
      <w:proofErr w:type="spellStart"/>
      <w:r w:rsidR="007D2611">
        <w:rPr>
          <w:rFonts w:eastAsia="Times New Roman"/>
        </w:rPr>
        <w:t>Dunasteia</w:t>
      </w:r>
      <w:proofErr w:type="spellEnd"/>
      <w:r w:rsidR="007D2611">
        <w:rPr>
          <w:rFonts w:eastAsia="Times New Roman"/>
        </w:rPr>
        <w:t xml:space="preserve"> in Caria</w:t>
      </w:r>
      <w:r w:rsidR="007D2611">
        <w:rPr>
          <w:rFonts w:eastAsia="Times New Roman"/>
        </w:rPr>
        <w:t xml:space="preserve">’, </w:t>
      </w:r>
      <w:r w:rsidR="007D2611" w:rsidRPr="007D2611">
        <w:rPr>
          <w:rFonts w:eastAsia="Times New Roman"/>
          <w:i/>
        </w:rPr>
        <w:t>American Journal of Philology</w:t>
      </w:r>
      <w:r w:rsidR="007D2611">
        <w:rPr>
          <w:rFonts w:eastAsia="Times New Roman"/>
        </w:rPr>
        <w:t xml:space="preserve">, </w:t>
      </w:r>
      <w:r w:rsidR="007D2611">
        <w:rPr>
          <w:rFonts w:eastAsia="Times New Roman"/>
        </w:rPr>
        <w:t>126(1), pp. 65-91.</w:t>
      </w:r>
    </w:p>
    <w:p w14:paraId="7C28B0AC" w14:textId="77777777" w:rsidR="007D2611" w:rsidRDefault="007D2611" w:rsidP="007D2611">
      <w:pPr>
        <w:rPr>
          <w:rFonts w:eastAsia="Times New Roman"/>
        </w:rPr>
      </w:pPr>
    </w:p>
    <w:p w14:paraId="400EB0B1" w14:textId="5B54BE48" w:rsidR="007D2611" w:rsidRDefault="007D2611" w:rsidP="007D2611">
      <w:pPr>
        <w:rPr>
          <w:rFonts w:eastAsia="Times New Roman"/>
        </w:rPr>
      </w:pPr>
      <w:r>
        <w:rPr>
          <w:rFonts w:eastAsia="Times New Roman"/>
        </w:rPr>
        <w:t xml:space="preserve">Carney, E. (2006) </w:t>
      </w:r>
      <w:r w:rsidR="000A43F2">
        <w:rPr>
          <w:rFonts w:eastAsia="Times New Roman"/>
          <w:i/>
        </w:rPr>
        <w:t>Olympias: Mother of Alexander the Great</w:t>
      </w:r>
      <w:r w:rsidR="00F46118">
        <w:rPr>
          <w:rFonts w:eastAsia="Times New Roman"/>
          <w:i/>
        </w:rPr>
        <w:t>.</w:t>
      </w:r>
      <w:r w:rsidR="00F46118">
        <w:rPr>
          <w:rFonts w:eastAsia="Times New Roman"/>
        </w:rPr>
        <w:t xml:space="preserve"> Oxon: Routledge</w:t>
      </w:r>
      <w:r w:rsidR="0080705E">
        <w:rPr>
          <w:rFonts w:eastAsia="Times New Roman"/>
        </w:rPr>
        <w:t>.</w:t>
      </w:r>
    </w:p>
    <w:p w14:paraId="392A544E" w14:textId="77777777" w:rsidR="0080705E" w:rsidRDefault="0080705E" w:rsidP="007D2611">
      <w:pPr>
        <w:rPr>
          <w:rFonts w:eastAsia="Times New Roman"/>
        </w:rPr>
      </w:pPr>
    </w:p>
    <w:p w14:paraId="27F11632" w14:textId="1CF2302D" w:rsidR="0080705E" w:rsidRDefault="0080705E" w:rsidP="007D2611">
      <w:pPr>
        <w:rPr>
          <w:rFonts w:eastAsia="Times New Roman"/>
        </w:rPr>
      </w:pPr>
      <w:r>
        <w:rPr>
          <w:rFonts w:eastAsia="Times New Roman"/>
        </w:rPr>
        <w:t xml:space="preserve">Carney, E. (2013) </w:t>
      </w:r>
      <w:proofErr w:type="spellStart"/>
      <w:r>
        <w:rPr>
          <w:rFonts w:eastAsia="Times New Roman"/>
          <w:i/>
        </w:rPr>
        <w:t>Arsinoe</w:t>
      </w:r>
      <w:proofErr w:type="spellEnd"/>
      <w:r>
        <w:rPr>
          <w:rFonts w:eastAsia="Times New Roman"/>
          <w:i/>
        </w:rPr>
        <w:t xml:space="preserve"> of Egypt and Macedon: A Royal Life. </w:t>
      </w:r>
      <w:r>
        <w:rPr>
          <w:rFonts w:eastAsia="Times New Roman"/>
        </w:rPr>
        <w:t>New York: University of Oxford Press.</w:t>
      </w:r>
    </w:p>
    <w:p w14:paraId="122F00EC" w14:textId="77777777" w:rsidR="0080705E" w:rsidRDefault="0080705E" w:rsidP="007D2611">
      <w:pPr>
        <w:rPr>
          <w:rFonts w:eastAsia="Times New Roman"/>
        </w:rPr>
      </w:pPr>
    </w:p>
    <w:p w14:paraId="5D14A520" w14:textId="2D7B918A" w:rsidR="0080705E" w:rsidRDefault="00E71773" w:rsidP="007D2611">
      <w:pPr>
        <w:rPr>
          <w:bCs/>
          <w:color w:val="000000"/>
          <w:lang w:eastAsia="en-US"/>
        </w:rPr>
      </w:pPr>
      <w:r>
        <w:rPr>
          <w:bCs/>
          <w:color w:val="000000"/>
          <w:lang w:eastAsia="en-US"/>
        </w:rPr>
        <w:t>Casey, E. S. (1996)</w:t>
      </w:r>
      <w:r w:rsidR="00700BC3">
        <w:rPr>
          <w:bCs/>
          <w:color w:val="000000"/>
          <w:lang w:eastAsia="en-US"/>
        </w:rPr>
        <w:t xml:space="preserve"> ‘How to get from space to place in a fairly short stretch of time: phenomenological prolegomena’ in Basso, K. and Feld, S. (ed.) </w:t>
      </w:r>
      <w:r w:rsidR="00700BC3">
        <w:rPr>
          <w:bCs/>
          <w:i/>
          <w:color w:val="000000"/>
          <w:lang w:eastAsia="en-US"/>
        </w:rPr>
        <w:t>Senses of Places</w:t>
      </w:r>
      <w:r w:rsidR="00700BC3">
        <w:rPr>
          <w:bCs/>
          <w:color w:val="000000"/>
          <w:lang w:eastAsia="en-US"/>
        </w:rPr>
        <w:t xml:space="preserve">. </w:t>
      </w:r>
      <w:r w:rsidR="00211967">
        <w:rPr>
          <w:bCs/>
          <w:color w:val="000000"/>
          <w:lang w:eastAsia="en-US"/>
        </w:rPr>
        <w:t>New Mexico: School of American Research Press.</w:t>
      </w:r>
    </w:p>
    <w:p w14:paraId="739B7244" w14:textId="77777777" w:rsidR="00211967" w:rsidRDefault="00211967" w:rsidP="007D2611">
      <w:pPr>
        <w:rPr>
          <w:bCs/>
          <w:color w:val="000000"/>
          <w:lang w:eastAsia="en-US"/>
        </w:rPr>
      </w:pPr>
    </w:p>
    <w:p w14:paraId="788B3844" w14:textId="219F3D78" w:rsidR="00211967" w:rsidRDefault="00211967" w:rsidP="007D2611">
      <w:pPr>
        <w:rPr>
          <w:bCs/>
          <w:color w:val="000000"/>
          <w:lang w:eastAsia="en-US"/>
        </w:rPr>
      </w:pPr>
      <w:r>
        <w:rPr>
          <w:bCs/>
          <w:color w:val="000000"/>
          <w:lang w:eastAsia="en-US"/>
        </w:rPr>
        <w:t xml:space="preserve">Morris, E. F. (2010) ‘The Pharaoh and Pharaonic Office’ in Lloyd, A. B. (ed.) </w:t>
      </w:r>
      <w:r>
        <w:rPr>
          <w:bCs/>
          <w:i/>
          <w:color w:val="000000"/>
          <w:lang w:eastAsia="en-US"/>
        </w:rPr>
        <w:t>A Companion to Ancient Egypt Volume I</w:t>
      </w:r>
      <w:r>
        <w:rPr>
          <w:bCs/>
          <w:color w:val="000000"/>
          <w:lang w:eastAsia="en-US"/>
        </w:rPr>
        <w:t xml:space="preserve">. </w:t>
      </w:r>
      <w:r w:rsidR="00092BEA">
        <w:rPr>
          <w:bCs/>
          <w:color w:val="000000"/>
          <w:lang w:eastAsia="en-US"/>
        </w:rPr>
        <w:t>West Sussex: Blackwell Publishing Ltd.</w:t>
      </w:r>
    </w:p>
    <w:p w14:paraId="485A1F7F" w14:textId="77777777" w:rsidR="00AB28E0" w:rsidRDefault="00AB28E0" w:rsidP="007D2611">
      <w:pPr>
        <w:rPr>
          <w:bCs/>
          <w:color w:val="000000"/>
          <w:lang w:eastAsia="en-US"/>
        </w:rPr>
      </w:pPr>
    </w:p>
    <w:p w14:paraId="44771936" w14:textId="033DAF76" w:rsidR="00AB28E0" w:rsidRDefault="00AB28E0" w:rsidP="007D2611">
      <w:pPr>
        <w:rPr>
          <w:bCs/>
          <w:color w:val="000000"/>
          <w:lang w:eastAsia="en-US"/>
        </w:rPr>
      </w:pPr>
      <w:proofErr w:type="spellStart"/>
      <w:r>
        <w:rPr>
          <w:bCs/>
          <w:color w:val="000000"/>
          <w:lang w:eastAsia="en-US"/>
        </w:rPr>
        <w:t>Palagia</w:t>
      </w:r>
      <w:proofErr w:type="spellEnd"/>
      <w:r>
        <w:rPr>
          <w:bCs/>
          <w:color w:val="000000"/>
          <w:lang w:eastAsia="en-US"/>
        </w:rPr>
        <w:t xml:space="preserve">, </w:t>
      </w:r>
      <w:r w:rsidR="00211669">
        <w:rPr>
          <w:bCs/>
          <w:color w:val="000000"/>
          <w:lang w:eastAsia="en-US"/>
        </w:rPr>
        <w:t xml:space="preserve">O. (2010) ‘Philip’s Eurydice in the Philippeum at Olympia’ in Carney, E. and </w:t>
      </w:r>
      <w:r w:rsidR="00D50EE0">
        <w:rPr>
          <w:bCs/>
          <w:color w:val="000000"/>
          <w:lang w:eastAsia="en-US"/>
        </w:rPr>
        <w:t>Ogden, D. (</w:t>
      </w:r>
      <w:r w:rsidR="00211669">
        <w:rPr>
          <w:bCs/>
          <w:color w:val="000000"/>
          <w:lang w:eastAsia="en-US"/>
        </w:rPr>
        <w:t xml:space="preserve">ed.) </w:t>
      </w:r>
      <w:r w:rsidR="00211669" w:rsidRPr="00211669">
        <w:rPr>
          <w:bCs/>
          <w:i/>
          <w:color w:val="000000"/>
          <w:lang w:eastAsia="en-US"/>
        </w:rPr>
        <w:t>Philip II and Alexander the Great: Father and Son, Lives and Afterlives</w:t>
      </w:r>
      <w:r w:rsidR="00211669">
        <w:rPr>
          <w:bCs/>
          <w:color w:val="000000"/>
          <w:lang w:eastAsia="en-US"/>
        </w:rPr>
        <w:t xml:space="preserve">. </w:t>
      </w:r>
      <w:r w:rsidR="00D50EE0">
        <w:rPr>
          <w:bCs/>
          <w:color w:val="000000"/>
          <w:lang w:eastAsia="en-US"/>
        </w:rPr>
        <w:t>New York: Oxford University Press.</w:t>
      </w:r>
    </w:p>
    <w:p w14:paraId="51167B03" w14:textId="77777777" w:rsidR="003049FA" w:rsidRDefault="003049FA" w:rsidP="007D2611">
      <w:pPr>
        <w:rPr>
          <w:bCs/>
          <w:color w:val="000000"/>
          <w:lang w:eastAsia="en-US"/>
        </w:rPr>
      </w:pPr>
    </w:p>
    <w:p w14:paraId="667A067E" w14:textId="319FCA1C" w:rsidR="003049FA" w:rsidRDefault="003049FA" w:rsidP="007D2611">
      <w:pPr>
        <w:rPr>
          <w:bCs/>
          <w:color w:val="000000"/>
          <w:lang w:eastAsia="en-US"/>
        </w:rPr>
      </w:pPr>
      <w:r>
        <w:rPr>
          <w:bCs/>
          <w:color w:val="000000"/>
          <w:lang w:eastAsia="en-US"/>
        </w:rPr>
        <w:t>Pe</w:t>
      </w:r>
      <w:r w:rsidR="00936129">
        <w:rPr>
          <w:bCs/>
          <w:color w:val="000000"/>
          <w:lang w:eastAsia="en-US"/>
        </w:rPr>
        <w:t xml:space="preserve">rlman, S. (1965) ‘The Coins of Philip II and Alexander the Great and their Pan-Hellenic Propaganda’, </w:t>
      </w:r>
      <w:r w:rsidR="00936129">
        <w:rPr>
          <w:bCs/>
          <w:i/>
          <w:color w:val="000000"/>
          <w:lang w:eastAsia="en-US"/>
        </w:rPr>
        <w:t>The Numismatic Chronicle and Journal of the Royal Numismatic Society</w:t>
      </w:r>
      <w:r w:rsidR="00936129">
        <w:rPr>
          <w:bCs/>
          <w:color w:val="000000"/>
          <w:lang w:eastAsia="en-US"/>
        </w:rPr>
        <w:t>, 5, pp. 57-67.</w:t>
      </w:r>
    </w:p>
    <w:p w14:paraId="390432C6" w14:textId="77777777" w:rsidR="00182FB7" w:rsidRDefault="00182FB7" w:rsidP="007D2611">
      <w:pPr>
        <w:rPr>
          <w:bCs/>
          <w:color w:val="000000"/>
          <w:lang w:eastAsia="en-US"/>
        </w:rPr>
      </w:pPr>
    </w:p>
    <w:p w14:paraId="711C9A69" w14:textId="4A79236A" w:rsidR="00182FB7" w:rsidRDefault="00182FB7" w:rsidP="007D2611">
      <w:pPr>
        <w:rPr>
          <w:bCs/>
          <w:color w:val="000000"/>
          <w:lang w:eastAsia="en-US"/>
        </w:rPr>
      </w:pPr>
      <w:r>
        <w:rPr>
          <w:bCs/>
          <w:color w:val="000000"/>
          <w:lang w:eastAsia="en-US"/>
        </w:rPr>
        <w:t xml:space="preserve">Rice, E. (1993). ‘The Glorious Dead: Commemoration of the Fallen and Portrayal of Victory in the Late Classical and Hellenistic World’ in Shipley, G. and Rich, J. (ed.) </w:t>
      </w:r>
      <w:r>
        <w:rPr>
          <w:bCs/>
          <w:i/>
          <w:color w:val="000000"/>
          <w:lang w:eastAsia="en-US"/>
        </w:rPr>
        <w:t>War and Society in the Greek World</w:t>
      </w:r>
      <w:r>
        <w:rPr>
          <w:bCs/>
          <w:color w:val="000000"/>
          <w:lang w:eastAsia="en-US"/>
        </w:rPr>
        <w:t>. New York: Oxford University Press.</w:t>
      </w:r>
    </w:p>
    <w:p w14:paraId="6EB6A400" w14:textId="77777777" w:rsidR="00B35F94" w:rsidRDefault="00B35F94" w:rsidP="007D2611">
      <w:pPr>
        <w:rPr>
          <w:bCs/>
          <w:color w:val="000000"/>
          <w:lang w:eastAsia="en-US"/>
        </w:rPr>
      </w:pPr>
    </w:p>
    <w:p w14:paraId="6FBE90E7" w14:textId="5B94C92F" w:rsidR="00B35F94" w:rsidRDefault="00B35F94" w:rsidP="007D2611">
      <w:pPr>
        <w:rPr>
          <w:rFonts w:eastAsia="Times New Roman"/>
        </w:rPr>
      </w:pPr>
      <w:proofErr w:type="spellStart"/>
      <w:r>
        <w:rPr>
          <w:bCs/>
          <w:color w:val="000000"/>
          <w:lang w:eastAsia="en-US"/>
        </w:rPr>
        <w:t>Scheidel</w:t>
      </w:r>
      <w:proofErr w:type="spellEnd"/>
      <w:r>
        <w:rPr>
          <w:bCs/>
          <w:color w:val="000000"/>
          <w:lang w:eastAsia="en-US"/>
        </w:rPr>
        <w:t xml:space="preserve">, </w:t>
      </w:r>
      <w:r w:rsidR="001F288E">
        <w:rPr>
          <w:bCs/>
          <w:color w:val="000000"/>
          <w:lang w:eastAsia="en-US"/>
        </w:rPr>
        <w:t xml:space="preserve">W. (1995) </w:t>
      </w:r>
      <w:r w:rsidR="001E63BB">
        <w:rPr>
          <w:bCs/>
          <w:color w:val="000000"/>
          <w:lang w:eastAsia="en-US"/>
        </w:rPr>
        <w:t>‘</w:t>
      </w:r>
      <w:r w:rsidR="001E63BB">
        <w:rPr>
          <w:rFonts w:eastAsia="Times New Roman"/>
        </w:rPr>
        <w:t>The Most Silent Women of Greece and Rome: Rural Labour and Women's Life in the Ancient World (I)</w:t>
      </w:r>
      <w:r w:rsidR="001E63BB">
        <w:rPr>
          <w:rFonts w:eastAsia="Times New Roman"/>
        </w:rPr>
        <w:t xml:space="preserve">’, </w:t>
      </w:r>
      <w:r w:rsidR="001E63BB">
        <w:rPr>
          <w:rFonts w:eastAsia="Times New Roman"/>
          <w:i/>
        </w:rPr>
        <w:t>Greece and Rome</w:t>
      </w:r>
      <w:r w:rsidR="001E63BB">
        <w:rPr>
          <w:rFonts w:eastAsia="Times New Roman"/>
        </w:rPr>
        <w:t>, 42(2), pp. 202-217.</w:t>
      </w:r>
    </w:p>
    <w:p w14:paraId="590A397E" w14:textId="77777777" w:rsidR="00195DB3" w:rsidRDefault="00195DB3" w:rsidP="007D2611">
      <w:pPr>
        <w:rPr>
          <w:rFonts w:eastAsia="Times New Roman"/>
        </w:rPr>
      </w:pPr>
    </w:p>
    <w:p w14:paraId="784C6C0A" w14:textId="072F8CC2" w:rsidR="00195DB3" w:rsidRDefault="009720B3" w:rsidP="007D2611">
      <w:pPr>
        <w:rPr>
          <w:rFonts w:eastAsia="Times New Roman"/>
        </w:rPr>
      </w:pPr>
      <w:r>
        <w:rPr>
          <w:rFonts w:eastAsia="Times New Roman"/>
        </w:rPr>
        <w:t xml:space="preserve">University College London (2002) </w:t>
      </w:r>
      <w:r w:rsidR="00C9047E">
        <w:rPr>
          <w:rFonts w:eastAsia="Times New Roman"/>
          <w:i/>
        </w:rPr>
        <w:t>Kingship in Ancient Egypt</w:t>
      </w:r>
      <w:r w:rsidR="00C9047E">
        <w:rPr>
          <w:rFonts w:eastAsia="Times New Roman"/>
        </w:rPr>
        <w:t xml:space="preserve">. Available at: </w:t>
      </w:r>
      <w:r w:rsidR="00C9047E" w:rsidRPr="00C9047E">
        <w:rPr>
          <w:rFonts w:eastAsia="Times New Roman"/>
        </w:rPr>
        <w:t>https://www.ucl.ac.uk/museums-static/digitalegypt/ideology/king/what.html</w:t>
      </w:r>
      <w:r w:rsidR="00C9047E">
        <w:rPr>
          <w:rFonts w:eastAsia="Times New Roman"/>
        </w:rPr>
        <w:t>. (Accessed: 1 April 2019).</w:t>
      </w:r>
    </w:p>
    <w:p w14:paraId="6E993913" w14:textId="77777777" w:rsidR="00C9047E" w:rsidRDefault="00C9047E" w:rsidP="007D2611">
      <w:pPr>
        <w:rPr>
          <w:rFonts w:eastAsia="Times New Roman"/>
        </w:rPr>
      </w:pPr>
    </w:p>
    <w:p w14:paraId="4637B5E2" w14:textId="4271A16F" w:rsidR="00C9047E" w:rsidRPr="00C9047E" w:rsidRDefault="0038072E" w:rsidP="007D2611">
      <w:pPr>
        <w:rPr>
          <w:rFonts w:eastAsia="Times New Roman"/>
        </w:rPr>
      </w:pPr>
      <w:r>
        <w:rPr>
          <w:rFonts w:eastAsia="Times New Roman"/>
        </w:rPr>
        <w:t xml:space="preserve">Zinn, K. (2013). </w:t>
      </w:r>
      <w:r w:rsidR="006A507B">
        <w:rPr>
          <w:rFonts w:eastAsia="Times New Roman"/>
        </w:rPr>
        <w:t>‘</w:t>
      </w:r>
      <w:r>
        <w:rPr>
          <w:rFonts w:eastAsia="Times New Roman"/>
        </w:rPr>
        <w:t>Cults: divine Pharaonic Egypt</w:t>
      </w:r>
      <w:r w:rsidR="006A507B">
        <w:rPr>
          <w:rFonts w:eastAsia="Times New Roman"/>
        </w:rPr>
        <w:t xml:space="preserve">’ in </w:t>
      </w:r>
      <w:proofErr w:type="spellStart"/>
      <w:r w:rsidR="006A507B">
        <w:rPr>
          <w:rFonts w:eastAsia="Times New Roman"/>
        </w:rPr>
        <w:t>Bagnall</w:t>
      </w:r>
      <w:proofErr w:type="spellEnd"/>
      <w:r w:rsidR="006A507B">
        <w:rPr>
          <w:rFonts w:eastAsia="Times New Roman"/>
        </w:rPr>
        <w:t xml:space="preserve">, R. S., </w:t>
      </w:r>
      <w:proofErr w:type="spellStart"/>
      <w:r w:rsidR="006A507B">
        <w:rPr>
          <w:rFonts w:eastAsia="Times New Roman"/>
        </w:rPr>
        <w:t>Brodersen</w:t>
      </w:r>
      <w:proofErr w:type="spellEnd"/>
      <w:r w:rsidR="006A507B">
        <w:rPr>
          <w:rFonts w:eastAsia="Times New Roman"/>
        </w:rPr>
        <w:t xml:space="preserve">, K., Champion, C. B., Erskine, A. and Huebner, S. R. (ed.) </w:t>
      </w:r>
      <w:r w:rsidR="006A507B">
        <w:rPr>
          <w:rFonts w:eastAsia="Times New Roman"/>
          <w:i/>
        </w:rPr>
        <w:t xml:space="preserve">The </w:t>
      </w:r>
      <w:proofErr w:type="spellStart"/>
      <w:r w:rsidR="006A507B">
        <w:rPr>
          <w:rFonts w:eastAsia="Times New Roman"/>
          <w:i/>
        </w:rPr>
        <w:t>Encyclopedia</w:t>
      </w:r>
      <w:proofErr w:type="spellEnd"/>
      <w:r w:rsidR="006A507B">
        <w:rPr>
          <w:rFonts w:eastAsia="Times New Roman"/>
          <w:i/>
        </w:rPr>
        <w:t xml:space="preserve"> of Ancient </w:t>
      </w:r>
      <w:r w:rsidR="006A507B" w:rsidRPr="00F246B8">
        <w:rPr>
          <w:rFonts w:eastAsia="Times New Roman"/>
          <w:i/>
        </w:rPr>
        <w:t>History</w:t>
      </w:r>
      <w:r w:rsidR="00F246B8">
        <w:rPr>
          <w:rFonts w:eastAsia="Times New Roman"/>
        </w:rPr>
        <w:t>.</w:t>
      </w:r>
      <w:r w:rsidR="006A507B">
        <w:rPr>
          <w:rFonts w:eastAsia="Times New Roman"/>
        </w:rPr>
        <w:t xml:space="preserve"> </w:t>
      </w:r>
      <w:r w:rsidR="005803B8" w:rsidRPr="006A507B">
        <w:rPr>
          <w:rFonts w:eastAsia="Times New Roman"/>
        </w:rPr>
        <w:t>Blackwell</w:t>
      </w:r>
      <w:r w:rsidR="005803B8">
        <w:rPr>
          <w:rFonts w:eastAsia="Times New Roman"/>
        </w:rPr>
        <w:t xml:space="preserve"> Publishing Ltd.</w:t>
      </w:r>
    </w:p>
    <w:p w14:paraId="1F126A6B" w14:textId="0D9C20B4" w:rsidR="00C61AEB" w:rsidRPr="001D2507" w:rsidRDefault="00C61AEB" w:rsidP="00465046">
      <w:pPr>
        <w:rPr>
          <w:rFonts w:eastAsia="Times New Roman"/>
        </w:rPr>
      </w:pPr>
    </w:p>
    <w:p w14:paraId="6318318A" w14:textId="77777777" w:rsidR="00F63D7F" w:rsidRDefault="00F63D7F" w:rsidP="00F63D7F">
      <w:pPr>
        <w:spacing w:line="600" w:lineRule="auto"/>
        <w:jc w:val="both"/>
      </w:pPr>
    </w:p>
    <w:sectPr w:rsidR="00F63D7F" w:rsidSect="00E90D46">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05218C" w14:textId="77777777" w:rsidR="0043765C" w:rsidRDefault="0043765C" w:rsidP="004A27EF">
      <w:r>
        <w:separator/>
      </w:r>
    </w:p>
  </w:endnote>
  <w:endnote w:type="continuationSeparator" w:id="0">
    <w:p w14:paraId="36AC98F1" w14:textId="77777777" w:rsidR="0043765C" w:rsidRDefault="0043765C" w:rsidP="004A27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DB5A7D" w14:textId="77777777" w:rsidR="0043765C" w:rsidRDefault="0043765C" w:rsidP="004A27EF">
      <w:r>
        <w:separator/>
      </w:r>
    </w:p>
  </w:footnote>
  <w:footnote w:type="continuationSeparator" w:id="0">
    <w:p w14:paraId="14FC8A06" w14:textId="77777777" w:rsidR="0043765C" w:rsidRDefault="0043765C" w:rsidP="004A27EF">
      <w:r>
        <w:continuationSeparator/>
      </w:r>
    </w:p>
  </w:footnote>
  <w:footnote w:id="1">
    <w:p w14:paraId="353B01BC" w14:textId="77777777" w:rsidR="005B4B76" w:rsidRPr="00293BEF" w:rsidRDefault="005B4B76" w:rsidP="005B4B76">
      <w:pPr>
        <w:pStyle w:val="FootnoteText"/>
      </w:pPr>
      <w:r w:rsidRPr="00293BEF">
        <w:rPr>
          <w:rStyle w:val="FootnoteReference"/>
        </w:rPr>
        <w:footnoteRef/>
      </w:r>
      <w:r w:rsidRPr="00293BEF">
        <w:t xml:space="preserve"> </w:t>
      </w:r>
      <w:r>
        <w:t>Carney 2000: 21.</w:t>
      </w:r>
    </w:p>
  </w:footnote>
  <w:footnote w:id="2">
    <w:p w14:paraId="33BE47B7" w14:textId="77777777" w:rsidR="005B4B76" w:rsidRPr="00293BEF" w:rsidRDefault="005B4B76" w:rsidP="005B4B76">
      <w:pPr>
        <w:pStyle w:val="FootnoteText"/>
      </w:pPr>
      <w:r w:rsidRPr="00293BEF">
        <w:rPr>
          <w:rStyle w:val="FootnoteReference"/>
        </w:rPr>
        <w:footnoteRef/>
      </w:r>
      <w:r w:rsidRPr="00293BEF">
        <w:t xml:space="preserve"> </w:t>
      </w:r>
      <w:r>
        <w:t>Carney 2000: 21.</w:t>
      </w:r>
    </w:p>
  </w:footnote>
  <w:footnote w:id="3">
    <w:p w14:paraId="25D1F6B9" w14:textId="77777777" w:rsidR="005B4B76" w:rsidRPr="00293BEF" w:rsidRDefault="005B4B76" w:rsidP="005B4B76">
      <w:pPr>
        <w:pStyle w:val="FootnoteText"/>
      </w:pPr>
      <w:r w:rsidRPr="00293BEF">
        <w:rPr>
          <w:rStyle w:val="FootnoteReference"/>
        </w:rPr>
        <w:footnoteRef/>
      </w:r>
      <w:r w:rsidRPr="00293BEF">
        <w:t xml:space="preserve"> </w:t>
      </w:r>
      <w:r>
        <w:t>Carney 2000: 21.</w:t>
      </w:r>
    </w:p>
  </w:footnote>
  <w:footnote w:id="4">
    <w:p w14:paraId="6BEC48D0" w14:textId="7BF1B9B1" w:rsidR="00D75BBD" w:rsidRPr="00D75BBD" w:rsidRDefault="00D75BBD">
      <w:pPr>
        <w:pStyle w:val="FootnoteText"/>
        <w:rPr>
          <w:lang w:val="en-US"/>
        </w:rPr>
      </w:pPr>
      <w:r>
        <w:rPr>
          <w:rStyle w:val="FootnoteReference"/>
        </w:rPr>
        <w:footnoteRef/>
      </w:r>
      <w:r>
        <w:t xml:space="preserve"> </w:t>
      </w:r>
      <w:proofErr w:type="spellStart"/>
      <w:r>
        <w:rPr>
          <w:lang w:val="en-US"/>
        </w:rPr>
        <w:t>Scheidel</w:t>
      </w:r>
      <w:proofErr w:type="spellEnd"/>
      <w:r>
        <w:rPr>
          <w:lang w:val="en-US"/>
        </w:rPr>
        <w:t xml:space="preserve"> 1995: 202.</w:t>
      </w:r>
    </w:p>
  </w:footnote>
  <w:footnote w:id="5">
    <w:p w14:paraId="43C42D3F" w14:textId="77777777" w:rsidR="002222AF" w:rsidRPr="00293BEF" w:rsidRDefault="002222AF" w:rsidP="002222AF">
      <w:pPr>
        <w:pStyle w:val="FootnoteText"/>
      </w:pPr>
      <w:r w:rsidRPr="00293BEF">
        <w:rPr>
          <w:rStyle w:val="FootnoteReference"/>
        </w:rPr>
        <w:footnoteRef/>
      </w:r>
      <w:r w:rsidRPr="00293BEF">
        <w:t xml:space="preserve"> Carney</w:t>
      </w:r>
      <w:r>
        <w:t xml:space="preserve"> 2000: 21.</w:t>
      </w:r>
    </w:p>
  </w:footnote>
  <w:footnote w:id="6">
    <w:p w14:paraId="58089244" w14:textId="77777777" w:rsidR="002222AF" w:rsidRPr="00293BEF" w:rsidRDefault="002222AF" w:rsidP="002222AF">
      <w:pPr>
        <w:pStyle w:val="FootnoteText"/>
      </w:pPr>
      <w:r w:rsidRPr="00293BEF">
        <w:rPr>
          <w:rStyle w:val="FootnoteReference"/>
        </w:rPr>
        <w:footnoteRef/>
      </w:r>
      <w:r w:rsidRPr="00293BEF">
        <w:t xml:space="preserve"> </w:t>
      </w:r>
      <w:r>
        <w:t>Carney 2000: 23-24.</w:t>
      </w:r>
    </w:p>
  </w:footnote>
  <w:footnote w:id="7">
    <w:p w14:paraId="5BE02660" w14:textId="77777777" w:rsidR="002222AF" w:rsidRPr="00293BEF" w:rsidRDefault="002222AF" w:rsidP="002222AF">
      <w:pPr>
        <w:pStyle w:val="FootnoteText"/>
      </w:pPr>
      <w:r w:rsidRPr="00293BEF">
        <w:rPr>
          <w:rStyle w:val="FootnoteReference"/>
        </w:rPr>
        <w:footnoteRef/>
      </w:r>
      <w:r w:rsidRPr="00293BEF">
        <w:t xml:space="preserve"> Carney 2000: 21.</w:t>
      </w:r>
    </w:p>
  </w:footnote>
  <w:footnote w:id="8">
    <w:p w14:paraId="225053C6" w14:textId="77777777" w:rsidR="002222AF" w:rsidRPr="00F749CC" w:rsidRDefault="002222AF" w:rsidP="002222AF">
      <w:pPr>
        <w:pStyle w:val="FootnoteText"/>
        <w:rPr>
          <w:lang w:val="en-US"/>
        </w:rPr>
      </w:pPr>
      <w:r>
        <w:rPr>
          <w:rStyle w:val="FootnoteReference"/>
        </w:rPr>
        <w:footnoteRef/>
      </w:r>
      <w:r>
        <w:t xml:space="preserve"> </w:t>
      </w:r>
      <w:r>
        <w:rPr>
          <w:lang w:val="en-US"/>
        </w:rPr>
        <w:t>Carney 2000: 21.</w:t>
      </w:r>
    </w:p>
  </w:footnote>
  <w:footnote w:id="9">
    <w:p w14:paraId="7EAA917E" w14:textId="4C3A9854" w:rsidR="002222AF" w:rsidRPr="00ED2630" w:rsidRDefault="002222AF" w:rsidP="002222AF">
      <w:pPr>
        <w:pStyle w:val="FootnoteText"/>
        <w:rPr>
          <w:lang w:val="en-US"/>
        </w:rPr>
      </w:pPr>
      <w:r>
        <w:rPr>
          <w:rStyle w:val="FootnoteReference"/>
        </w:rPr>
        <w:footnoteRef/>
      </w:r>
      <w:r>
        <w:t xml:space="preserve"> </w:t>
      </w:r>
      <w:r>
        <w:rPr>
          <w:lang w:val="en-US"/>
        </w:rPr>
        <w:t xml:space="preserve">Carney 2000: </w:t>
      </w:r>
      <w:r w:rsidR="00C97F74">
        <w:rPr>
          <w:lang w:val="en-US"/>
        </w:rPr>
        <w:t>25.</w:t>
      </w:r>
    </w:p>
  </w:footnote>
  <w:footnote w:id="10">
    <w:p w14:paraId="709C824F" w14:textId="77777777" w:rsidR="002222AF" w:rsidRPr="000D127B" w:rsidRDefault="002222AF" w:rsidP="002222AF">
      <w:pPr>
        <w:pStyle w:val="FootnoteText"/>
        <w:rPr>
          <w:lang w:val="en-US"/>
        </w:rPr>
      </w:pPr>
      <w:r>
        <w:rPr>
          <w:rStyle w:val="FootnoteReference"/>
        </w:rPr>
        <w:footnoteRef/>
      </w:r>
      <w:r>
        <w:t xml:space="preserve"> </w:t>
      </w:r>
      <w:r>
        <w:rPr>
          <w:lang w:val="en-US"/>
        </w:rPr>
        <w:t>Carney 2000: 33.</w:t>
      </w:r>
    </w:p>
  </w:footnote>
  <w:footnote w:id="11">
    <w:p w14:paraId="3F401480" w14:textId="77777777" w:rsidR="002222AF" w:rsidRPr="0052081F" w:rsidRDefault="002222AF" w:rsidP="002222AF">
      <w:pPr>
        <w:pStyle w:val="FootnoteText"/>
        <w:rPr>
          <w:lang w:val="en-US"/>
        </w:rPr>
      </w:pPr>
      <w:r>
        <w:rPr>
          <w:rStyle w:val="FootnoteReference"/>
        </w:rPr>
        <w:footnoteRef/>
      </w:r>
      <w:r>
        <w:t xml:space="preserve"> Carney 2000: 33.</w:t>
      </w:r>
    </w:p>
  </w:footnote>
  <w:footnote w:id="12">
    <w:p w14:paraId="185F3976" w14:textId="77777777" w:rsidR="002222AF" w:rsidRPr="0052081F" w:rsidRDefault="002222AF" w:rsidP="002222AF">
      <w:pPr>
        <w:pStyle w:val="FootnoteText"/>
        <w:rPr>
          <w:lang w:val="en-US"/>
        </w:rPr>
      </w:pPr>
      <w:r>
        <w:rPr>
          <w:rStyle w:val="FootnoteReference"/>
        </w:rPr>
        <w:footnoteRef/>
      </w:r>
      <w:r>
        <w:t xml:space="preserve"> Carney 2000: 34.</w:t>
      </w:r>
    </w:p>
  </w:footnote>
  <w:footnote w:id="13">
    <w:p w14:paraId="6E9C7BBC" w14:textId="75B706B4" w:rsidR="002222AF" w:rsidRPr="00100D68" w:rsidRDefault="002222AF" w:rsidP="002222AF">
      <w:pPr>
        <w:pStyle w:val="FootnoteText"/>
        <w:rPr>
          <w:lang w:val="en-US"/>
        </w:rPr>
      </w:pPr>
      <w:r>
        <w:rPr>
          <w:rStyle w:val="FootnoteReference"/>
        </w:rPr>
        <w:footnoteRef/>
      </w:r>
      <w:r>
        <w:t xml:space="preserve"> </w:t>
      </w:r>
      <w:r w:rsidR="003211FC">
        <w:t>Carney 2000: 35.</w:t>
      </w:r>
    </w:p>
  </w:footnote>
  <w:footnote w:id="14">
    <w:p w14:paraId="0443BE35" w14:textId="77777777" w:rsidR="002222AF" w:rsidRPr="00DA4D24" w:rsidRDefault="002222AF" w:rsidP="002222AF">
      <w:pPr>
        <w:pStyle w:val="FootnoteText"/>
        <w:rPr>
          <w:lang w:val="en-US"/>
        </w:rPr>
      </w:pPr>
      <w:r>
        <w:rPr>
          <w:rStyle w:val="FootnoteReference"/>
        </w:rPr>
        <w:footnoteRef/>
      </w:r>
      <w:r>
        <w:t xml:space="preserve"> </w:t>
      </w:r>
      <w:r>
        <w:rPr>
          <w:lang w:val="en-US"/>
        </w:rPr>
        <w:t>Carney 2000: 35.</w:t>
      </w:r>
    </w:p>
  </w:footnote>
  <w:footnote w:id="15">
    <w:p w14:paraId="35E4A1BD" w14:textId="77777777" w:rsidR="002222AF" w:rsidRPr="00082CDE" w:rsidRDefault="002222AF" w:rsidP="002222AF">
      <w:pPr>
        <w:pStyle w:val="FootnoteText"/>
        <w:rPr>
          <w:lang w:val="en-US"/>
        </w:rPr>
      </w:pPr>
      <w:r>
        <w:rPr>
          <w:rStyle w:val="FootnoteReference"/>
        </w:rPr>
        <w:footnoteRef/>
      </w:r>
      <w:r>
        <w:t xml:space="preserve"> </w:t>
      </w:r>
      <w:r>
        <w:rPr>
          <w:lang w:val="en-US"/>
        </w:rPr>
        <w:t xml:space="preserve">Carney 2000: 36. </w:t>
      </w:r>
    </w:p>
  </w:footnote>
  <w:footnote w:id="16">
    <w:p w14:paraId="1F1DA920" w14:textId="77777777" w:rsidR="002222AF" w:rsidRPr="00082CDE" w:rsidRDefault="002222AF" w:rsidP="002222AF">
      <w:pPr>
        <w:pStyle w:val="FootnoteText"/>
        <w:rPr>
          <w:lang w:val="en-US"/>
        </w:rPr>
      </w:pPr>
      <w:r>
        <w:rPr>
          <w:rStyle w:val="FootnoteReference"/>
        </w:rPr>
        <w:footnoteRef/>
      </w:r>
      <w:r>
        <w:t xml:space="preserve"> </w:t>
      </w:r>
      <w:r>
        <w:rPr>
          <w:lang w:val="en-US"/>
        </w:rPr>
        <w:t>Carney 2000: 37.</w:t>
      </w:r>
    </w:p>
  </w:footnote>
  <w:footnote w:id="17">
    <w:p w14:paraId="4FEE05D1" w14:textId="77777777" w:rsidR="002222AF" w:rsidRPr="00DC419C" w:rsidRDefault="002222AF" w:rsidP="002222AF">
      <w:pPr>
        <w:pStyle w:val="FootnoteText"/>
        <w:rPr>
          <w:lang w:val="en-US"/>
        </w:rPr>
      </w:pPr>
      <w:r>
        <w:rPr>
          <w:rStyle w:val="FootnoteReference"/>
        </w:rPr>
        <w:footnoteRef/>
      </w:r>
      <w:r>
        <w:t xml:space="preserve"> </w:t>
      </w:r>
      <w:r>
        <w:rPr>
          <w:lang w:val="en-US"/>
        </w:rPr>
        <w:t>Carney 2000: 40.</w:t>
      </w:r>
    </w:p>
  </w:footnote>
  <w:footnote w:id="18">
    <w:p w14:paraId="39E07FBD" w14:textId="77777777" w:rsidR="00D15B87" w:rsidRPr="009F6F75" w:rsidRDefault="00D15B87" w:rsidP="00D15B87">
      <w:pPr>
        <w:pStyle w:val="FootnoteText"/>
        <w:rPr>
          <w:lang w:val="en-US"/>
        </w:rPr>
      </w:pPr>
      <w:r>
        <w:rPr>
          <w:rStyle w:val="FootnoteReference"/>
        </w:rPr>
        <w:footnoteRef/>
      </w:r>
      <w:r>
        <w:t xml:space="preserve"> Carney 2000: 34.</w:t>
      </w:r>
    </w:p>
  </w:footnote>
  <w:footnote w:id="19">
    <w:p w14:paraId="78D9D615" w14:textId="1BE782E6" w:rsidR="00316BA0" w:rsidRPr="00316BA0" w:rsidRDefault="00316BA0">
      <w:pPr>
        <w:pStyle w:val="FootnoteText"/>
        <w:rPr>
          <w:lang w:val="en-US"/>
        </w:rPr>
      </w:pPr>
      <w:r>
        <w:rPr>
          <w:rStyle w:val="FootnoteReference"/>
        </w:rPr>
        <w:footnoteRef/>
      </w:r>
      <w:r>
        <w:t xml:space="preserve"> </w:t>
      </w:r>
      <w:r>
        <w:rPr>
          <w:lang w:val="en-US"/>
        </w:rPr>
        <w:t xml:space="preserve">Carney 2000: </w:t>
      </w:r>
      <w:r w:rsidR="006E6157">
        <w:rPr>
          <w:lang w:val="en-US"/>
        </w:rPr>
        <w:t>24.</w:t>
      </w:r>
    </w:p>
  </w:footnote>
  <w:footnote w:id="20">
    <w:p w14:paraId="7491551E" w14:textId="77777777" w:rsidR="00D15B87" w:rsidRPr="001A5699" w:rsidRDefault="00D15B87" w:rsidP="00D15B87">
      <w:pPr>
        <w:pStyle w:val="FootnoteText"/>
        <w:rPr>
          <w:lang w:val="en-US"/>
        </w:rPr>
      </w:pPr>
      <w:r>
        <w:rPr>
          <w:rStyle w:val="FootnoteReference"/>
        </w:rPr>
        <w:footnoteRef/>
      </w:r>
      <w:r>
        <w:t xml:space="preserve"> </w:t>
      </w:r>
      <w:proofErr w:type="spellStart"/>
      <w:r>
        <w:rPr>
          <w:lang w:val="en-US"/>
        </w:rPr>
        <w:t>Palagia</w:t>
      </w:r>
      <w:proofErr w:type="spellEnd"/>
      <w:r>
        <w:rPr>
          <w:lang w:val="en-US"/>
        </w:rPr>
        <w:t xml:space="preserve"> 2010: 33. </w:t>
      </w:r>
    </w:p>
  </w:footnote>
  <w:footnote w:id="21">
    <w:p w14:paraId="067B497A" w14:textId="24962FE6" w:rsidR="00D15B87" w:rsidRPr="00293BEF" w:rsidRDefault="00D15B87" w:rsidP="00D15B87">
      <w:pPr>
        <w:pStyle w:val="FootnoteText"/>
      </w:pPr>
      <w:r w:rsidRPr="00293BEF">
        <w:rPr>
          <w:rStyle w:val="FootnoteReference"/>
        </w:rPr>
        <w:footnoteRef/>
      </w:r>
      <w:r w:rsidR="00F43F01">
        <w:t xml:space="preserve"> Paus.</w:t>
      </w:r>
      <w:r w:rsidRPr="00293BEF">
        <w:t xml:space="preserve"> 5.17.4</w:t>
      </w:r>
    </w:p>
  </w:footnote>
  <w:footnote w:id="22">
    <w:p w14:paraId="42BE7E40" w14:textId="77777777" w:rsidR="00D15B87" w:rsidRPr="00293BEF" w:rsidRDefault="00D15B87" w:rsidP="00D15B87">
      <w:pPr>
        <w:pStyle w:val="FootnoteText"/>
      </w:pPr>
      <w:r w:rsidRPr="00293BEF">
        <w:rPr>
          <w:rStyle w:val="FootnoteReference"/>
        </w:rPr>
        <w:footnoteRef/>
      </w:r>
      <w:r w:rsidRPr="00293BEF">
        <w:t xml:space="preserve"> </w:t>
      </w:r>
      <w:r>
        <w:t xml:space="preserve">Carney 2000: </w:t>
      </w:r>
      <w:r w:rsidRPr="00293BEF">
        <w:t>25</w:t>
      </w:r>
      <w:r>
        <w:t>.</w:t>
      </w:r>
    </w:p>
  </w:footnote>
  <w:footnote w:id="23">
    <w:p w14:paraId="20FE282E" w14:textId="77777777" w:rsidR="00D15B87" w:rsidRPr="00F23DC2" w:rsidRDefault="00D15B87" w:rsidP="00D15B87">
      <w:pPr>
        <w:pStyle w:val="FootnoteText"/>
        <w:rPr>
          <w:lang w:val="en-US"/>
        </w:rPr>
      </w:pPr>
      <w:r>
        <w:rPr>
          <w:rStyle w:val="FootnoteReference"/>
        </w:rPr>
        <w:footnoteRef/>
      </w:r>
      <w:r>
        <w:t xml:space="preserve"> </w:t>
      </w:r>
      <w:r>
        <w:rPr>
          <w:lang w:val="en-US"/>
        </w:rPr>
        <w:t>Carney 2000: 29. Paus. 1.40.2.</w:t>
      </w:r>
    </w:p>
  </w:footnote>
  <w:footnote w:id="24">
    <w:p w14:paraId="3EC59057" w14:textId="79F4B439" w:rsidR="00227337" w:rsidRPr="00227337" w:rsidRDefault="00227337">
      <w:pPr>
        <w:pStyle w:val="FootnoteText"/>
        <w:rPr>
          <w:lang w:val="en-US"/>
        </w:rPr>
      </w:pPr>
      <w:r>
        <w:rPr>
          <w:rStyle w:val="FootnoteReference"/>
        </w:rPr>
        <w:footnoteRef/>
      </w:r>
      <w:r>
        <w:t xml:space="preserve"> </w:t>
      </w:r>
      <w:r w:rsidR="00E41A7E">
        <w:t>Carney 2000: 24.</w:t>
      </w:r>
    </w:p>
  </w:footnote>
  <w:footnote w:id="25">
    <w:p w14:paraId="5893A883" w14:textId="77777777" w:rsidR="00E0729F" w:rsidRPr="00293BEF" w:rsidRDefault="00E0729F" w:rsidP="00E0729F">
      <w:pPr>
        <w:pStyle w:val="FootnoteText"/>
      </w:pPr>
      <w:r w:rsidRPr="00293BEF">
        <w:rPr>
          <w:rStyle w:val="FootnoteReference"/>
        </w:rPr>
        <w:footnoteRef/>
      </w:r>
      <w:r w:rsidRPr="00293BEF">
        <w:t xml:space="preserve"> </w:t>
      </w:r>
      <w:r>
        <w:t>Carney 2000: 22.</w:t>
      </w:r>
    </w:p>
  </w:footnote>
  <w:footnote w:id="26">
    <w:p w14:paraId="33B49410" w14:textId="77777777" w:rsidR="00E0729F" w:rsidRPr="00293BEF" w:rsidRDefault="00E0729F" w:rsidP="00E0729F">
      <w:pPr>
        <w:pStyle w:val="FootnoteText"/>
      </w:pPr>
      <w:r w:rsidRPr="00293BEF">
        <w:rPr>
          <w:rStyle w:val="FootnoteReference"/>
        </w:rPr>
        <w:footnoteRef/>
      </w:r>
      <w:r w:rsidRPr="00293BEF">
        <w:t xml:space="preserve"> </w:t>
      </w:r>
      <w:r>
        <w:t>Carney 2000: 22.</w:t>
      </w:r>
    </w:p>
  </w:footnote>
  <w:footnote w:id="27">
    <w:p w14:paraId="31A107EC" w14:textId="77777777" w:rsidR="00E0729F" w:rsidRPr="00D73B5B" w:rsidRDefault="00E0729F" w:rsidP="00E0729F">
      <w:pPr>
        <w:pStyle w:val="FootnoteText"/>
        <w:rPr>
          <w:lang w:val="en-US"/>
        </w:rPr>
      </w:pPr>
      <w:r>
        <w:rPr>
          <w:rStyle w:val="FootnoteReference"/>
        </w:rPr>
        <w:footnoteRef/>
      </w:r>
      <w:r>
        <w:t xml:space="preserve"> </w:t>
      </w:r>
      <w:proofErr w:type="spellStart"/>
      <w:r>
        <w:rPr>
          <w:lang w:val="en-US"/>
        </w:rPr>
        <w:t>Burkert</w:t>
      </w:r>
      <w:proofErr w:type="spellEnd"/>
      <w:r>
        <w:rPr>
          <w:lang w:val="en-US"/>
        </w:rPr>
        <w:t xml:space="preserve"> 1985: 205.</w:t>
      </w:r>
    </w:p>
  </w:footnote>
  <w:footnote w:id="28">
    <w:p w14:paraId="18E03808" w14:textId="5BEAF0F3" w:rsidR="002A68F1" w:rsidRPr="002A68F1" w:rsidRDefault="002A68F1">
      <w:pPr>
        <w:pStyle w:val="FootnoteText"/>
        <w:rPr>
          <w:lang w:val="en-US"/>
        </w:rPr>
      </w:pPr>
      <w:r>
        <w:rPr>
          <w:rStyle w:val="FootnoteReference"/>
        </w:rPr>
        <w:footnoteRef/>
      </w:r>
      <w:r>
        <w:t xml:space="preserve"> </w:t>
      </w:r>
      <w:r>
        <w:rPr>
          <w:lang w:val="en-US"/>
        </w:rPr>
        <w:t>Carney 2000: 28-29.</w:t>
      </w:r>
    </w:p>
  </w:footnote>
  <w:footnote w:id="29">
    <w:p w14:paraId="09B9C7F9" w14:textId="27EBD35D" w:rsidR="00E0729F" w:rsidRPr="00293BEF" w:rsidRDefault="00E0729F" w:rsidP="00E0729F">
      <w:pPr>
        <w:pStyle w:val="FootnoteText"/>
      </w:pPr>
      <w:r w:rsidRPr="00293BEF">
        <w:rPr>
          <w:rStyle w:val="FootnoteReference"/>
        </w:rPr>
        <w:footnoteRef/>
      </w:r>
      <w:r w:rsidRPr="00293BEF">
        <w:t xml:space="preserve"> </w:t>
      </w:r>
      <w:r w:rsidR="00681E46">
        <w:t>U</w:t>
      </w:r>
      <w:r w:rsidR="00556097">
        <w:t xml:space="preserve">niversity </w:t>
      </w:r>
      <w:r w:rsidR="00681E46">
        <w:t>C</w:t>
      </w:r>
      <w:r w:rsidR="00556097">
        <w:t xml:space="preserve">ollege </w:t>
      </w:r>
      <w:r w:rsidR="00681E46">
        <w:t>L</w:t>
      </w:r>
      <w:r w:rsidR="00556097">
        <w:t>ondon</w:t>
      </w:r>
      <w:r w:rsidR="00681E46">
        <w:t xml:space="preserve"> 2002</w:t>
      </w:r>
      <w:r w:rsidR="00F51ED4">
        <w:t>.</w:t>
      </w:r>
    </w:p>
  </w:footnote>
  <w:footnote w:id="30">
    <w:p w14:paraId="373949C3" w14:textId="77777777" w:rsidR="00E0729F" w:rsidRPr="00293BEF" w:rsidRDefault="00E0729F" w:rsidP="00E0729F">
      <w:pPr>
        <w:pStyle w:val="FootnoteText"/>
      </w:pPr>
      <w:r w:rsidRPr="00293BEF">
        <w:rPr>
          <w:rStyle w:val="FootnoteReference"/>
        </w:rPr>
        <w:footnoteRef/>
      </w:r>
      <w:r w:rsidRPr="00293BEF">
        <w:t xml:space="preserve"> Morris 2010: 207.</w:t>
      </w:r>
    </w:p>
  </w:footnote>
  <w:footnote w:id="31">
    <w:p w14:paraId="2BCFA16C" w14:textId="77777777" w:rsidR="00E0729F" w:rsidRPr="00293BEF" w:rsidRDefault="00E0729F" w:rsidP="00E0729F">
      <w:pPr>
        <w:pStyle w:val="FootnoteText"/>
      </w:pPr>
      <w:r w:rsidRPr="00293BEF">
        <w:rPr>
          <w:rStyle w:val="FootnoteReference"/>
        </w:rPr>
        <w:footnoteRef/>
      </w:r>
      <w:r w:rsidRPr="00293BEF">
        <w:t xml:space="preserve"> Zinn </w:t>
      </w:r>
      <w:r>
        <w:t xml:space="preserve">2013: </w:t>
      </w:r>
      <w:r w:rsidRPr="00293BEF">
        <w:t>1</w:t>
      </w:r>
      <w:r>
        <w:t>.</w:t>
      </w:r>
    </w:p>
  </w:footnote>
  <w:footnote w:id="32">
    <w:p w14:paraId="57706F12" w14:textId="77777777" w:rsidR="00E0729F" w:rsidRPr="00293BEF" w:rsidRDefault="00E0729F" w:rsidP="00E0729F">
      <w:pPr>
        <w:pStyle w:val="FootnoteText"/>
      </w:pPr>
      <w:r w:rsidRPr="00293BEF">
        <w:rPr>
          <w:rStyle w:val="FootnoteReference"/>
        </w:rPr>
        <w:footnoteRef/>
      </w:r>
      <w:r w:rsidRPr="00293BEF">
        <w:t xml:space="preserve"> </w:t>
      </w:r>
      <w:r>
        <w:t>Zinn 2013: 1.</w:t>
      </w:r>
    </w:p>
  </w:footnote>
  <w:footnote w:id="33">
    <w:p w14:paraId="0F61E048" w14:textId="77777777" w:rsidR="00E0729F" w:rsidRPr="00293BEF" w:rsidRDefault="00E0729F" w:rsidP="00E0729F">
      <w:pPr>
        <w:pStyle w:val="FootnoteText"/>
      </w:pPr>
      <w:r w:rsidRPr="00293BEF">
        <w:rPr>
          <w:rStyle w:val="FootnoteReference"/>
        </w:rPr>
        <w:footnoteRef/>
      </w:r>
      <w:r w:rsidRPr="00293BEF">
        <w:t xml:space="preserve"> </w:t>
      </w:r>
      <w:r>
        <w:t>Zinn 2013: 1.</w:t>
      </w:r>
    </w:p>
  </w:footnote>
  <w:footnote w:id="34">
    <w:p w14:paraId="38E5DC5C" w14:textId="77777777" w:rsidR="00E0729F" w:rsidRPr="00293BEF" w:rsidRDefault="00E0729F" w:rsidP="00E0729F">
      <w:pPr>
        <w:pStyle w:val="FootnoteText"/>
      </w:pPr>
      <w:r w:rsidRPr="00293BEF">
        <w:rPr>
          <w:rStyle w:val="FootnoteReference"/>
        </w:rPr>
        <w:footnoteRef/>
      </w:r>
      <w:r w:rsidRPr="00293BEF">
        <w:t xml:space="preserve"> Zinn 2013: 1.</w:t>
      </w:r>
    </w:p>
  </w:footnote>
  <w:footnote w:id="35">
    <w:p w14:paraId="654383B8" w14:textId="77777777" w:rsidR="00E0729F" w:rsidRPr="00293BEF" w:rsidRDefault="00E0729F" w:rsidP="00E0729F">
      <w:pPr>
        <w:pStyle w:val="FootnoteText"/>
      </w:pPr>
      <w:r w:rsidRPr="00293BEF">
        <w:rPr>
          <w:rStyle w:val="FootnoteReference"/>
        </w:rPr>
        <w:footnoteRef/>
      </w:r>
      <w:r w:rsidRPr="00293BEF">
        <w:t xml:space="preserve"> Carney 2000: 25, note 21.</w:t>
      </w:r>
    </w:p>
  </w:footnote>
  <w:footnote w:id="36">
    <w:p w14:paraId="6A2122ED" w14:textId="77777777" w:rsidR="00E0729F" w:rsidRPr="00293BEF" w:rsidRDefault="00E0729F" w:rsidP="00E0729F">
      <w:pPr>
        <w:pStyle w:val="FootnoteText"/>
      </w:pPr>
      <w:r w:rsidRPr="00293BEF">
        <w:rPr>
          <w:rStyle w:val="FootnoteReference"/>
        </w:rPr>
        <w:footnoteRef/>
      </w:r>
      <w:r w:rsidRPr="00293BEF">
        <w:t xml:space="preserve"> </w:t>
      </w:r>
      <w:r>
        <w:t>Carney 2000: 24.</w:t>
      </w:r>
    </w:p>
  </w:footnote>
  <w:footnote w:id="37">
    <w:p w14:paraId="1445CC52" w14:textId="77777777" w:rsidR="00E0729F" w:rsidRPr="00293BEF" w:rsidRDefault="00E0729F" w:rsidP="00E0729F">
      <w:pPr>
        <w:pStyle w:val="FootnoteText"/>
      </w:pPr>
      <w:r w:rsidRPr="00293BEF">
        <w:rPr>
          <w:rStyle w:val="FootnoteReference"/>
        </w:rPr>
        <w:footnoteRef/>
      </w:r>
      <w:r w:rsidRPr="00293BEF">
        <w:t xml:space="preserve"> </w:t>
      </w:r>
      <w:r>
        <w:t>Carney 2000: 25.</w:t>
      </w:r>
    </w:p>
  </w:footnote>
  <w:footnote w:id="38">
    <w:p w14:paraId="54BC20AF" w14:textId="77777777" w:rsidR="00E0729F" w:rsidRPr="00293BEF" w:rsidRDefault="00E0729F" w:rsidP="00E0729F">
      <w:pPr>
        <w:pStyle w:val="FootnoteText"/>
      </w:pPr>
      <w:r w:rsidRPr="00293BEF">
        <w:rPr>
          <w:rStyle w:val="FootnoteReference"/>
        </w:rPr>
        <w:footnoteRef/>
      </w:r>
      <w:r w:rsidRPr="00293BEF">
        <w:t xml:space="preserve"> Carney 2000: 25.</w:t>
      </w:r>
    </w:p>
  </w:footnote>
  <w:footnote w:id="39">
    <w:p w14:paraId="503EAA92" w14:textId="49B2B79A" w:rsidR="00E0729F" w:rsidRPr="00293BEF" w:rsidRDefault="00E0729F" w:rsidP="00E0729F">
      <w:pPr>
        <w:pStyle w:val="FootnoteText"/>
      </w:pPr>
      <w:r w:rsidRPr="00293BEF">
        <w:rPr>
          <w:rStyle w:val="FootnoteReference"/>
        </w:rPr>
        <w:footnoteRef/>
      </w:r>
      <w:r w:rsidRPr="00293BEF">
        <w:t xml:space="preserve"> </w:t>
      </w:r>
      <w:proofErr w:type="spellStart"/>
      <w:r w:rsidRPr="00293BEF">
        <w:t>Diod</w:t>
      </w:r>
      <w:proofErr w:type="spellEnd"/>
      <w:r w:rsidR="00F43F01">
        <w:t>. Sic.</w:t>
      </w:r>
      <w:r w:rsidRPr="00293BEF">
        <w:t xml:space="preserve"> XVI 92.5.</w:t>
      </w:r>
    </w:p>
  </w:footnote>
  <w:footnote w:id="40">
    <w:p w14:paraId="0F228A72" w14:textId="77777777" w:rsidR="00E0729F" w:rsidRPr="00293BEF" w:rsidRDefault="00E0729F" w:rsidP="00E0729F">
      <w:pPr>
        <w:pStyle w:val="FootnoteText"/>
      </w:pPr>
      <w:r w:rsidRPr="00293BEF">
        <w:rPr>
          <w:rStyle w:val="FootnoteReference"/>
        </w:rPr>
        <w:footnoteRef/>
      </w:r>
      <w:r w:rsidRPr="00293BEF">
        <w:t xml:space="preserve"> </w:t>
      </w:r>
      <w:r>
        <w:t>Carney 2000: 25.</w:t>
      </w:r>
    </w:p>
  </w:footnote>
  <w:footnote w:id="41">
    <w:p w14:paraId="3B25DE01" w14:textId="77777777" w:rsidR="00E0729F" w:rsidRPr="00293BEF" w:rsidRDefault="00E0729F" w:rsidP="00E0729F">
      <w:pPr>
        <w:pStyle w:val="FootnoteText"/>
      </w:pPr>
      <w:r w:rsidRPr="00293BEF">
        <w:rPr>
          <w:rStyle w:val="FootnoteReference"/>
        </w:rPr>
        <w:footnoteRef/>
      </w:r>
      <w:r w:rsidRPr="00293BEF">
        <w:t xml:space="preserve"> Carney 2000: 25.</w:t>
      </w:r>
    </w:p>
  </w:footnote>
  <w:footnote w:id="42">
    <w:p w14:paraId="36C294BF" w14:textId="5100E625" w:rsidR="00E0729F" w:rsidRPr="00293BEF" w:rsidRDefault="00E0729F" w:rsidP="00E0729F">
      <w:pPr>
        <w:pStyle w:val="FootnoteText"/>
      </w:pPr>
      <w:r w:rsidRPr="00293BEF">
        <w:rPr>
          <w:rStyle w:val="FootnoteReference"/>
        </w:rPr>
        <w:footnoteRef/>
      </w:r>
      <w:r w:rsidRPr="00293BEF">
        <w:t xml:space="preserve"> </w:t>
      </w:r>
      <w:r w:rsidR="008566D1">
        <w:t>Carney 2000: 26</w:t>
      </w:r>
      <w:r>
        <w:t>.</w:t>
      </w:r>
    </w:p>
  </w:footnote>
  <w:footnote w:id="43">
    <w:p w14:paraId="61D128B2" w14:textId="77777777" w:rsidR="00E0729F" w:rsidRPr="003D2940" w:rsidRDefault="00E0729F" w:rsidP="00E0729F">
      <w:pPr>
        <w:pStyle w:val="FootnoteText"/>
        <w:rPr>
          <w:lang w:val="en-US"/>
        </w:rPr>
      </w:pPr>
      <w:r>
        <w:rPr>
          <w:rStyle w:val="FootnoteReference"/>
        </w:rPr>
        <w:footnoteRef/>
      </w:r>
      <w:r>
        <w:t xml:space="preserve"> Rice 1993: 226.</w:t>
      </w:r>
    </w:p>
  </w:footnote>
  <w:footnote w:id="44">
    <w:p w14:paraId="179DC2B6" w14:textId="77777777" w:rsidR="001B68E2" w:rsidRPr="00395892" w:rsidRDefault="001B68E2" w:rsidP="001B68E2">
      <w:pPr>
        <w:pStyle w:val="FootnoteText"/>
        <w:rPr>
          <w:lang w:val="en-US"/>
        </w:rPr>
      </w:pPr>
      <w:r>
        <w:rPr>
          <w:rStyle w:val="FootnoteReference"/>
        </w:rPr>
        <w:footnoteRef/>
      </w:r>
      <w:r>
        <w:t xml:space="preserve"> </w:t>
      </w:r>
      <w:r>
        <w:rPr>
          <w:lang w:val="en-US"/>
        </w:rPr>
        <w:t>Carney 2000: 33.</w:t>
      </w:r>
    </w:p>
  </w:footnote>
  <w:footnote w:id="45">
    <w:p w14:paraId="1A43717F" w14:textId="77777777" w:rsidR="001B68E2" w:rsidRPr="0046345F" w:rsidRDefault="001B68E2" w:rsidP="001B68E2">
      <w:pPr>
        <w:pStyle w:val="FootnoteText"/>
        <w:rPr>
          <w:lang w:val="en-US"/>
        </w:rPr>
      </w:pPr>
      <w:r>
        <w:rPr>
          <w:rStyle w:val="FootnoteReference"/>
        </w:rPr>
        <w:footnoteRef/>
      </w:r>
      <w:r>
        <w:t xml:space="preserve"> </w:t>
      </w:r>
      <w:r>
        <w:rPr>
          <w:lang w:val="en-US"/>
        </w:rPr>
        <w:t>Carney 2000: 33.</w:t>
      </w:r>
    </w:p>
  </w:footnote>
  <w:footnote w:id="46">
    <w:p w14:paraId="2865E383" w14:textId="77777777" w:rsidR="001B68E2" w:rsidRPr="0046345F" w:rsidRDefault="001B68E2" w:rsidP="001B68E2">
      <w:pPr>
        <w:pStyle w:val="FootnoteText"/>
        <w:rPr>
          <w:lang w:val="en-US"/>
        </w:rPr>
      </w:pPr>
      <w:r>
        <w:rPr>
          <w:rStyle w:val="FootnoteReference"/>
        </w:rPr>
        <w:footnoteRef/>
      </w:r>
      <w:r>
        <w:t xml:space="preserve"> </w:t>
      </w:r>
      <w:r>
        <w:rPr>
          <w:lang w:val="en-US"/>
        </w:rPr>
        <w:t>Carney 2000: 33, note 64.</w:t>
      </w:r>
    </w:p>
  </w:footnote>
  <w:footnote w:id="47">
    <w:p w14:paraId="7783944B" w14:textId="3A65A5E6" w:rsidR="001822B6" w:rsidRPr="001822B6" w:rsidRDefault="001822B6">
      <w:pPr>
        <w:pStyle w:val="FootnoteText"/>
        <w:rPr>
          <w:lang w:val="en-US"/>
        </w:rPr>
      </w:pPr>
      <w:r>
        <w:rPr>
          <w:rStyle w:val="FootnoteReference"/>
        </w:rPr>
        <w:footnoteRef/>
      </w:r>
      <w:r>
        <w:t xml:space="preserve"> </w:t>
      </w:r>
      <w:r w:rsidR="009E3548">
        <w:t>Carney 2000: 36-37.</w:t>
      </w:r>
    </w:p>
  </w:footnote>
  <w:footnote w:id="48">
    <w:p w14:paraId="67D5F247" w14:textId="77777777" w:rsidR="001B68E2" w:rsidRPr="00293BEF" w:rsidRDefault="001B68E2" w:rsidP="001B68E2">
      <w:pPr>
        <w:pStyle w:val="FootnoteText"/>
      </w:pPr>
      <w:r w:rsidRPr="00293BEF">
        <w:rPr>
          <w:rStyle w:val="FootnoteReference"/>
        </w:rPr>
        <w:footnoteRef/>
      </w:r>
      <w:r w:rsidRPr="00293BEF">
        <w:t xml:space="preserve"> </w:t>
      </w:r>
      <w:r>
        <w:t>Carney 2000: 40.</w:t>
      </w:r>
    </w:p>
  </w:footnote>
  <w:footnote w:id="49">
    <w:p w14:paraId="15BC77E5" w14:textId="77777777" w:rsidR="001B68E2" w:rsidRPr="00293BEF" w:rsidRDefault="001B68E2" w:rsidP="001B68E2">
      <w:pPr>
        <w:pStyle w:val="FootnoteText"/>
      </w:pPr>
      <w:r w:rsidRPr="00293BEF">
        <w:rPr>
          <w:rStyle w:val="FootnoteReference"/>
        </w:rPr>
        <w:footnoteRef/>
      </w:r>
      <w:r w:rsidRPr="00293BEF">
        <w:t xml:space="preserve"> </w:t>
      </w:r>
      <w:r>
        <w:t>Carney 2000: 40.</w:t>
      </w:r>
    </w:p>
  </w:footnote>
  <w:footnote w:id="50">
    <w:p w14:paraId="7A504775" w14:textId="77777777" w:rsidR="001B68E2" w:rsidRPr="00293BEF" w:rsidRDefault="001B68E2" w:rsidP="001B68E2">
      <w:pPr>
        <w:pStyle w:val="FootnoteText"/>
      </w:pPr>
      <w:r w:rsidRPr="00293BEF">
        <w:rPr>
          <w:rStyle w:val="FootnoteReference"/>
        </w:rPr>
        <w:footnoteRef/>
      </w:r>
      <w:r w:rsidRPr="00293BEF">
        <w:t xml:space="preserve"> </w:t>
      </w:r>
      <w:r>
        <w:t>Carney 2000: 40.</w:t>
      </w:r>
    </w:p>
  </w:footnote>
  <w:footnote w:id="51">
    <w:p w14:paraId="74D24757" w14:textId="77777777" w:rsidR="001B68E2" w:rsidRPr="00293BEF" w:rsidRDefault="001B68E2" w:rsidP="001B68E2">
      <w:pPr>
        <w:pStyle w:val="FootnoteText"/>
      </w:pPr>
      <w:r w:rsidRPr="00293BEF">
        <w:rPr>
          <w:rStyle w:val="FootnoteReference"/>
        </w:rPr>
        <w:footnoteRef/>
      </w:r>
      <w:r w:rsidRPr="00293BEF">
        <w:t xml:space="preserve"> </w:t>
      </w:r>
      <w:r>
        <w:t>Carney 2000: 40.</w:t>
      </w:r>
    </w:p>
  </w:footnote>
  <w:footnote w:id="52">
    <w:p w14:paraId="4207CDEA" w14:textId="7F8A067F" w:rsidR="001B68E2" w:rsidRPr="00BC0864" w:rsidRDefault="001B68E2" w:rsidP="001B68E2">
      <w:pPr>
        <w:pStyle w:val="FootnoteText"/>
        <w:rPr>
          <w:lang w:val="en-US"/>
        </w:rPr>
      </w:pPr>
      <w:r>
        <w:rPr>
          <w:rStyle w:val="FootnoteReference"/>
        </w:rPr>
        <w:footnoteRef/>
      </w:r>
      <w:r>
        <w:t xml:space="preserve"> </w:t>
      </w:r>
      <w:r w:rsidR="005000BD">
        <w:t>Carney 2000: 31.</w:t>
      </w:r>
    </w:p>
  </w:footnote>
  <w:footnote w:id="53">
    <w:p w14:paraId="65D0F948" w14:textId="77777777" w:rsidR="001B68E2" w:rsidRPr="00293BEF" w:rsidRDefault="001B68E2" w:rsidP="001B68E2">
      <w:pPr>
        <w:pStyle w:val="FootnoteText"/>
      </w:pPr>
      <w:r w:rsidRPr="00293BEF">
        <w:rPr>
          <w:rStyle w:val="FootnoteReference"/>
        </w:rPr>
        <w:footnoteRef/>
      </w:r>
      <w:r w:rsidRPr="00293BEF">
        <w:t xml:space="preserve"> Carney 2000: 28.</w:t>
      </w:r>
    </w:p>
  </w:footnote>
  <w:footnote w:id="54">
    <w:p w14:paraId="1CF8341F" w14:textId="77777777" w:rsidR="001B68E2" w:rsidRPr="00293BEF" w:rsidRDefault="001B68E2" w:rsidP="001B68E2">
      <w:pPr>
        <w:pStyle w:val="FootnoteText"/>
      </w:pPr>
      <w:r w:rsidRPr="00293BEF">
        <w:rPr>
          <w:rStyle w:val="FootnoteReference"/>
        </w:rPr>
        <w:footnoteRef/>
      </w:r>
      <w:r w:rsidRPr="00293BEF">
        <w:t xml:space="preserve"> </w:t>
      </w:r>
      <w:r>
        <w:t>Carney 2000: 28.</w:t>
      </w:r>
    </w:p>
  </w:footnote>
  <w:footnote w:id="55">
    <w:p w14:paraId="78F4517D" w14:textId="77777777" w:rsidR="001B68E2" w:rsidRPr="00293BEF" w:rsidRDefault="001B68E2" w:rsidP="001B68E2">
      <w:pPr>
        <w:pStyle w:val="FootnoteText"/>
      </w:pPr>
      <w:r w:rsidRPr="00293BEF">
        <w:rPr>
          <w:rStyle w:val="FootnoteReference"/>
        </w:rPr>
        <w:footnoteRef/>
      </w:r>
      <w:r w:rsidRPr="00293BEF">
        <w:t xml:space="preserve"> Carney 2000: </w:t>
      </w:r>
      <w:r>
        <w:t>28.</w:t>
      </w:r>
    </w:p>
  </w:footnote>
  <w:footnote w:id="56">
    <w:p w14:paraId="4FE72C82" w14:textId="77777777" w:rsidR="001B68E2" w:rsidRPr="00293BEF" w:rsidRDefault="001B68E2" w:rsidP="001B68E2">
      <w:pPr>
        <w:pStyle w:val="FootnoteText"/>
      </w:pPr>
      <w:r w:rsidRPr="00293BEF">
        <w:rPr>
          <w:rStyle w:val="FootnoteReference"/>
        </w:rPr>
        <w:footnoteRef/>
      </w:r>
      <w:r w:rsidRPr="00293BEF">
        <w:t xml:space="preserve"> Carney 2000: </w:t>
      </w:r>
      <w:r>
        <w:t>28.</w:t>
      </w:r>
    </w:p>
  </w:footnote>
  <w:footnote w:id="57">
    <w:p w14:paraId="7CAF5D3D" w14:textId="0A3F1FBE" w:rsidR="00CB699A" w:rsidRPr="00CB699A" w:rsidRDefault="00CB699A">
      <w:pPr>
        <w:pStyle w:val="FootnoteText"/>
        <w:rPr>
          <w:lang w:val="en-US"/>
        </w:rPr>
      </w:pPr>
      <w:r>
        <w:rPr>
          <w:rStyle w:val="FootnoteReference"/>
        </w:rPr>
        <w:footnoteRef/>
      </w:r>
      <w:r>
        <w:t xml:space="preserve"> </w:t>
      </w:r>
      <w:r>
        <w:rPr>
          <w:lang w:val="en-US"/>
        </w:rPr>
        <w:t xml:space="preserve">Casey </w:t>
      </w:r>
      <w:r w:rsidR="006D03D2">
        <w:rPr>
          <w:lang w:val="en-US"/>
        </w:rPr>
        <w:t>1996</w:t>
      </w:r>
      <w:r>
        <w:rPr>
          <w:lang w:val="en-US"/>
        </w:rPr>
        <w:t>: 18.</w:t>
      </w:r>
    </w:p>
  </w:footnote>
  <w:footnote w:id="58">
    <w:p w14:paraId="72A35A0E" w14:textId="77777777" w:rsidR="001B68E2" w:rsidRPr="00B1025F" w:rsidRDefault="001B68E2" w:rsidP="001B68E2">
      <w:pPr>
        <w:pStyle w:val="FootnoteText"/>
        <w:rPr>
          <w:lang w:val="en-US"/>
        </w:rPr>
      </w:pPr>
      <w:r>
        <w:rPr>
          <w:rStyle w:val="FootnoteReference"/>
        </w:rPr>
        <w:footnoteRef/>
      </w:r>
      <w:r>
        <w:t xml:space="preserve"> </w:t>
      </w:r>
      <w:r>
        <w:rPr>
          <w:lang w:val="en-US"/>
        </w:rPr>
        <w:t>Carney 2000: 21.</w:t>
      </w:r>
    </w:p>
  </w:footnote>
  <w:footnote w:id="59">
    <w:p w14:paraId="272876EF" w14:textId="5A4C51F3" w:rsidR="0070328A" w:rsidRDefault="007A7ED3">
      <w:pPr>
        <w:pStyle w:val="FootnoteText"/>
      </w:pPr>
      <w:r>
        <w:rPr>
          <w:rStyle w:val="FootnoteReference"/>
        </w:rPr>
        <w:footnoteRef/>
      </w:r>
      <w:r>
        <w:t xml:space="preserve"> </w:t>
      </w:r>
      <w:r w:rsidR="0070328A">
        <w:t>Perlman: 1965.</w:t>
      </w:r>
    </w:p>
    <w:p w14:paraId="75B1FE46" w14:textId="566776FB" w:rsidR="007A7ED3" w:rsidRDefault="0070328A">
      <w:pPr>
        <w:pStyle w:val="FootnoteText"/>
        <w:rPr>
          <w:lang w:val="en-US"/>
        </w:rPr>
      </w:pPr>
      <w:r>
        <w:rPr>
          <w:lang w:val="en-US"/>
        </w:rPr>
        <w:t>Bosworth: 1971.</w:t>
      </w:r>
    </w:p>
    <w:p w14:paraId="3CF0BE28" w14:textId="7ABBC710" w:rsidR="0070328A" w:rsidRPr="007A7ED3" w:rsidRDefault="0070328A">
      <w:pPr>
        <w:pStyle w:val="FootnoteText"/>
        <w:rPr>
          <w:lang w:val="en-US"/>
        </w:rPr>
      </w:pPr>
      <w:r>
        <w:rPr>
          <w:lang w:val="en-US"/>
        </w:rPr>
        <w:t>Bosworth: 2002.</w:t>
      </w:r>
    </w:p>
  </w:footnote>
  <w:footnote w:id="60">
    <w:p w14:paraId="3C2D3C44" w14:textId="77777777" w:rsidR="0070328A" w:rsidRDefault="00343531">
      <w:pPr>
        <w:pStyle w:val="FootnoteText"/>
      </w:pPr>
      <w:r>
        <w:rPr>
          <w:rStyle w:val="FootnoteReference"/>
        </w:rPr>
        <w:footnoteRef/>
      </w:r>
      <w:r>
        <w:t xml:space="preserve"> </w:t>
      </w:r>
      <w:r w:rsidR="0070328A">
        <w:t>Carney: 1991.</w:t>
      </w:r>
    </w:p>
    <w:p w14:paraId="089F56DC" w14:textId="77777777" w:rsidR="0070328A" w:rsidRDefault="0070328A">
      <w:pPr>
        <w:pStyle w:val="FootnoteText"/>
      </w:pPr>
      <w:r>
        <w:t xml:space="preserve">Carney: </w:t>
      </w:r>
      <w:r>
        <w:t>1992.</w:t>
      </w:r>
    </w:p>
    <w:p w14:paraId="5F419622" w14:textId="77777777" w:rsidR="0070328A" w:rsidRDefault="0070328A">
      <w:pPr>
        <w:pStyle w:val="FootnoteText"/>
      </w:pPr>
      <w:r>
        <w:t xml:space="preserve">Carney: </w:t>
      </w:r>
      <w:r>
        <w:t>1996.</w:t>
      </w:r>
    </w:p>
    <w:p w14:paraId="7701B85A" w14:textId="77777777" w:rsidR="0070328A" w:rsidRDefault="0070328A">
      <w:pPr>
        <w:pStyle w:val="FootnoteText"/>
        <w:rPr>
          <w:lang w:val="en-US"/>
        </w:rPr>
      </w:pPr>
      <w:r>
        <w:t xml:space="preserve">Carney: </w:t>
      </w:r>
      <w:r>
        <w:rPr>
          <w:lang w:val="en-US"/>
        </w:rPr>
        <w:t>2000.</w:t>
      </w:r>
    </w:p>
    <w:p w14:paraId="7D5F5EBA" w14:textId="77777777" w:rsidR="0070328A" w:rsidRDefault="0070328A">
      <w:pPr>
        <w:pStyle w:val="FootnoteText"/>
      </w:pPr>
      <w:r>
        <w:t xml:space="preserve">Carney: </w:t>
      </w:r>
      <w:r>
        <w:t>2005.</w:t>
      </w:r>
    </w:p>
    <w:p w14:paraId="0B42AC8E" w14:textId="77777777" w:rsidR="0070328A" w:rsidRDefault="0070328A">
      <w:pPr>
        <w:pStyle w:val="FootnoteText"/>
        <w:rPr>
          <w:lang w:val="en-US"/>
        </w:rPr>
      </w:pPr>
      <w:r>
        <w:t xml:space="preserve">Carney: </w:t>
      </w:r>
      <w:r>
        <w:rPr>
          <w:lang w:val="en-US"/>
        </w:rPr>
        <w:t>2006.</w:t>
      </w:r>
    </w:p>
    <w:p w14:paraId="74C3FBDD" w14:textId="0B100E16" w:rsidR="00343531" w:rsidRPr="00343531" w:rsidRDefault="0070328A">
      <w:pPr>
        <w:pStyle w:val="FootnoteText"/>
        <w:rPr>
          <w:lang w:val="en-US"/>
        </w:rPr>
      </w:pPr>
      <w:r>
        <w:t xml:space="preserve">Carney: </w:t>
      </w:r>
      <w:r>
        <w:t>2013.</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B3830D" w14:textId="6640BCE0" w:rsidR="00C44C49" w:rsidRPr="006B0150" w:rsidRDefault="00D73E50">
    <w:pPr>
      <w:pStyle w:val="Header"/>
      <w:rPr>
        <w:lang w:val="en-US"/>
      </w:rPr>
    </w:pPr>
    <w:r>
      <w:rPr>
        <w:lang w:val="en-US"/>
      </w:rPr>
      <w:t>Emily Sykes</w:t>
    </w:r>
    <w:r>
      <w:rPr>
        <w:lang w:val="en-US"/>
      </w:rPr>
      <w:tab/>
      <w:t>HPAH5034</w:t>
    </w:r>
    <w:r>
      <w:rPr>
        <w:lang w:val="en-US"/>
      </w:rPr>
      <w:tab/>
      <w:t>1700547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766E65"/>
    <w:multiLevelType w:val="multilevel"/>
    <w:tmpl w:val="D380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2A5701"/>
    <w:multiLevelType w:val="hybridMultilevel"/>
    <w:tmpl w:val="07D27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5AE72BF"/>
    <w:multiLevelType w:val="hybridMultilevel"/>
    <w:tmpl w:val="9C749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38027DB"/>
    <w:multiLevelType w:val="hybridMultilevel"/>
    <w:tmpl w:val="9C749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00E278D"/>
    <w:multiLevelType w:val="hybridMultilevel"/>
    <w:tmpl w:val="1C0A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1964F6"/>
    <w:multiLevelType w:val="multilevel"/>
    <w:tmpl w:val="E600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1A17"/>
    <w:rsid w:val="0000228A"/>
    <w:rsid w:val="000069C3"/>
    <w:rsid w:val="00020636"/>
    <w:rsid w:val="00025C21"/>
    <w:rsid w:val="00034FF7"/>
    <w:rsid w:val="00035ABA"/>
    <w:rsid w:val="000434B2"/>
    <w:rsid w:val="00047DED"/>
    <w:rsid w:val="0005024A"/>
    <w:rsid w:val="0006610C"/>
    <w:rsid w:val="00066C9D"/>
    <w:rsid w:val="00072B46"/>
    <w:rsid w:val="00082CDE"/>
    <w:rsid w:val="00083F8D"/>
    <w:rsid w:val="000847CE"/>
    <w:rsid w:val="00086F5C"/>
    <w:rsid w:val="00092BEA"/>
    <w:rsid w:val="000A00F0"/>
    <w:rsid w:val="000A43F2"/>
    <w:rsid w:val="000B382A"/>
    <w:rsid w:val="000B794C"/>
    <w:rsid w:val="000C1DAB"/>
    <w:rsid w:val="000C2455"/>
    <w:rsid w:val="000C3981"/>
    <w:rsid w:val="000D115B"/>
    <w:rsid w:val="000D127B"/>
    <w:rsid w:val="000D1949"/>
    <w:rsid w:val="000E3666"/>
    <w:rsid w:val="000F6CA5"/>
    <w:rsid w:val="00100D68"/>
    <w:rsid w:val="001050AB"/>
    <w:rsid w:val="00115DBD"/>
    <w:rsid w:val="001163B2"/>
    <w:rsid w:val="00121AFC"/>
    <w:rsid w:val="00125C59"/>
    <w:rsid w:val="00130959"/>
    <w:rsid w:val="00133E81"/>
    <w:rsid w:val="0013722A"/>
    <w:rsid w:val="00147DD1"/>
    <w:rsid w:val="00150DB6"/>
    <w:rsid w:val="00151A9A"/>
    <w:rsid w:val="0015460F"/>
    <w:rsid w:val="00154EC7"/>
    <w:rsid w:val="001573F7"/>
    <w:rsid w:val="00160933"/>
    <w:rsid w:val="00162CB5"/>
    <w:rsid w:val="00172757"/>
    <w:rsid w:val="00173B7A"/>
    <w:rsid w:val="00177598"/>
    <w:rsid w:val="001822B6"/>
    <w:rsid w:val="00182FB7"/>
    <w:rsid w:val="00195DB3"/>
    <w:rsid w:val="001A080E"/>
    <w:rsid w:val="001A5699"/>
    <w:rsid w:val="001B143A"/>
    <w:rsid w:val="001B68E2"/>
    <w:rsid w:val="001B6FE9"/>
    <w:rsid w:val="001C0DB7"/>
    <w:rsid w:val="001C7687"/>
    <w:rsid w:val="001D24AE"/>
    <w:rsid w:val="001D2507"/>
    <w:rsid w:val="001D4E65"/>
    <w:rsid w:val="001D66C9"/>
    <w:rsid w:val="001E3781"/>
    <w:rsid w:val="001E63BB"/>
    <w:rsid w:val="001E6C69"/>
    <w:rsid w:val="001F288E"/>
    <w:rsid w:val="001F67A1"/>
    <w:rsid w:val="002002E5"/>
    <w:rsid w:val="00202418"/>
    <w:rsid w:val="00204EAA"/>
    <w:rsid w:val="00211194"/>
    <w:rsid w:val="00211669"/>
    <w:rsid w:val="002117D4"/>
    <w:rsid w:val="00211967"/>
    <w:rsid w:val="00211F8A"/>
    <w:rsid w:val="002222AF"/>
    <w:rsid w:val="00225FDC"/>
    <w:rsid w:val="00227337"/>
    <w:rsid w:val="002319D5"/>
    <w:rsid w:val="00232D73"/>
    <w:rsid w:val="00232DAA"/>
    <w:rsid w:val="002349AB"/>
    <w:rsid w:val="00235172"/>
    <w:rsid w:val="00236AD2"/>
    <w:rsid w:val="002404B8"/>
    <w:rsid w:val="002435ED"/>
    <w:rsid w:val="0025075A"/>
    <w:rsid w:val="0025082D"/>
    <w:rsid w:val="002725A7"/>
    <w:rsid w:val="00272EAE"/>
    <w:rsid w:val="00273D45"/>
    <w:rsid w:val="00281435"/>
    <w:rsid w:val="002855CD"/>
    <w:rsid w:val="00293BEF"/>
    <w:rsid w:val="00294D4F"/>
    <w:rsid w:val="002959ED"/>
    <w:rsid w:val="0029708D"/>
    <w:rsid w:val="002A68F1"/>
    <w:rsid w:val="002A7286"/>
    <w:rsid w:val="002B6098"/>
    <w:rsid w:val="002B675C"/>
    <w:rsid w:val="002C4011"/>
    <w:rsid w:val="002C53A2"/>
    <w:rsid w:val="002D2BB2"/>
    <w:rsid w:val="002D3E9D"/>
    <w:rsid w:val="002D5661"/>
    <w:rsid w:val="002E2CC3"/>
    <w:rsid w:val="002E582A"/>
    <w:rsid w:val="002F1492"/>
    <w:rsid w:val="002F201E"/>
    <w:rsid w:val="002F2555"/>
    <w:rsid w:val="00303458"/>
    <w:rsid w:val="003049FA"/>
    <w:rsid w:val="00316BA0"/>
    <w:rsid w:val="003211FC"/>
    <w:rsid w:val="00343531"/>
    <w:rsid w:val="00352EF7"/>
    <w:rsid w:val="00365004"/>
    <w:rsid w:val="0038072E"/>
    <w:rsid w:val="00384849"/>
    <w:rsid w:val="00395892"/>
    <w:rsid w:val="003B07A8"/>
    <w:rsid w:val="003B2DAE"/>
    <w:rsid w:val="003B3423"/>
    <w:rsid w:val="003C2F4D"/>
    <w:rsid w:val="003D252E"/>
    <w:rsid w:val="003D2940"/>
    <w:rsid w:val="003E3F2A"/>
    <w:rsid w:val="004051E2"/>
    <w:rsid w:val="0040717B"/>
    <w:rsid w:val="004071B4"/>
    <w:rsid w:val="004166AD"/>
    <w:rsid w:val="0041762E"/>
    <w:rsid w:val="004316AA"/>
    <w:rsid w:val="00435623"/>
    <w:rsid w:val="0043765C"/>
    <w:rsid w:val="00452225"/>
    <w:rsid w:val="004530DA"/>
    <w:rsid w:val="0046345F"/>
    <w:rsid w:val="00465046"/>
    <w:rsid w:val="004717D9"/>
    <w:rsid w:val="0047380A"/>
    <w:rsid w:val="00475777"/>
    <w:rsid w:val="00481D8B"/>
    <w:rsid w:val="004A27EF"/>
    <w:rsid w:val="004A3F83"/>
    <w:rsid w:val="004A401B"/>
    <w:rsid w:val="004B2048"/>
    <w:rsid w:val="004B3224"/>
    <w:rsid w:val="004B77E5"/>
    <w:rsid w:val="004C2302"/>
    <w:rsid w:val="004C358B"/>
    <w:rsid w:val="004C35D8"/>
    <w:rsid w:val="004C3690"/>
    <w:rsid w:val="004D2821"/>
    <w:rsid w:val="004E1F94"/>
    <w:rsid w:val="005000BD"/>
    <w:rsid w:val="005030F8"/>
    <w:rsid w:val="00503A65"/>
    <w:rsid w:val="0052081F"/>
    <w:rsid w:val="005228A2"/>
    <w:rsid w:val="0053287D"/>
    <w:rsid w:val="005338F2"/>
    <w:rsid w:val="00534BA3"/>
    <w:rsid w:val="00541587"/>
    <w:rsid w:val="0054267C"/>
    <w:rsid w:val="00553BCC"/>
    <w:rsid w:val="00556097"/>
    <w:rsid w:val="0056255A"/>
    <w:rsid w:val="00563188"/>
    <w:rsid w:val="00564B3A"/>
    <w:rsid w:val="00567B66"/>
    <w:rsid w:val="00567D7D"/>
    <w:rsid w:val="00571DEB"/>
    <w:rsid w:val="0057208B"/>
    <w:rsid w:val="00576A17"/>
    <w:rsid w:val="005803B8"/>
    <w:rsid w:val="005849CA"/>
    <w:rsid w:val="005855C7"/>
    <w:rsid w:val="00587528"/>
    <w:rsid w:val="00590B66"/>
    <w:rsid w:val="00596326"/>
    <w:rsid w:val="005B0F7C"/>
    <w:rsid w:val="005B3561"/>
    <w:rsid w:val="005B4B76"/>
    <w:rsid w:val="005C157A"/>
    <w:rsid w:val="005C2FA4"/>
    <w:rsid w:val="005C31F4"/>
    <w:rsid w:val="005C5033"/>
    <w:rsid w:val="005D6E63"/>
    <w:rsid w:val="005E3368"/>
    <w:rsid w:val="005F4705"/>
    <w:rsid w:val="005F595B"/>
    <w:rsid w:val="00601D82"/>
    <w:rsid w:val="00606BDA"/>
    <w:rsid w:val="0061037D"/>
    <w:rsid w:val="0061734F"/>
    <w:rsid w:val="0061787D"/>
    <w:rsid w:val="006360EA"/>
    <w:rsid w:val="00642A90"/>
    <w:rsid w:val="006468BC"/>
    <w:rsid w:val="00656AD1"/>
    <w:rsid w:val="00667C29"/>
    <w:rsid w:val="00681E46"/>
    <w:rsid w:val="00684AD6"/>
    <w:rsid w:val="00686B4A"/>
    <w:rsid w:val="00690732"/>
    <w:rsid w:val="00690DDF"/>
    <w:rsid w:val="00694576"/>
    <w:rsid w:val="006A507B"/>
    <w:rsid w:val="006B0150"/>
    <w:rsid w:val="006B3AE5"/>
    <w:rsid w:val="006B724F"/>
    <w:rsid w:val="006D03D2"/>
    <w:rsid w:val="006D3CE1"/>
    <w:rsid w:val="006E381D"/>
    <w:rsid w:val="006E6157"/>
    <w:rsid w:val="006F0DD3"/>
    <w:rsid w:val="006F6D45"/>
    <w:rsid w:val="00700BC3"/>
    <w:rsid w:val="0070328A"/>
    <w:rsid w:val="00707878"/>
    <w:rsid w:val="00710CA4"/>
    <w:rsid w:val="0071259D"/>
    <w:rsid w:val="00714BBB"/>
    <w:rsid w:val="00714C94"/>
    <w:rsid w:val="007165DB"/>
    <w:rsid w:val="0072364D"/>
    <w:rsid w:val="00736ECB"/>
    <w:rsid w:val="00743B3E"/>
    <w:rsid w:val="007617B4"/>
    <w:rsid w:val="007642F5"/>
    <w:rsid w:val="0076492F"/>
    <w:rsid w:val="0076552F"/>
    <w:rsid w:val="007757ED"/>
    <w:rsid w:val="00793ED8"/>
    <w:rsid w:val="007A0F5A"/>
    <w:rsid w:val="007A2104"/>
    <w:rsid w:val="007A7ED3"/>
    <w:rsid w:val="007C01FB"/>
    <w:rsid w:val="007C0B0E"/>
    <w:rsid w:val="007C32E7"/>
    <w:rsid w:val="007C4451"/>
    <w:rsid w:val="007C76A9"/>
    <w:rsid w:val="007C7ABD"/>
    <w:rsid w:val="007C7EE7"/>
    <w:rsid w:val="007D2611"/>
    <w:rsid w:val="007E5559"/>
    <w:rsid w:val="007F788E"/>
    <w:rsid w:val="007F7D05"/>
    <w:rsid w:val="00804434"/>
    <w:rsid w:val="00804E6B"/>
    <w:rsid w:val="0080705E"/>
    <w:rsid w:val="00810462"/>
    <w:rsid w:val="00812D61"/>
    <w:rsid w:val="00816BC7"/>
    <w:rsid w:val="008228A6"/>
    <w:rsid w:val="00837602"/>
    <w:rsid w:val="008412BD"/>
    <w:rsid w:val="00844E6E"/>
    <w:rsid w:val="00852067"/>
    <w:rsid w:val="00852F8E"/>
    <w:rsid w:val="00856683"/>
    <w:rsid w:val="008566D1"/>
    <w:rsid w:val="00856A6B"/>
    <w:rsid w:val="008576ED"/>
    <w:rsid w:val="00857797"/>
    <w:rsid w:val="0085787D"/>
    <w:rsid w:val="00857A93"/>
    <w:rsid w:val="00862ADA"/>
    <w:rsid w:val="008631A2"/>
    <w:rsid w:val="00867AAB"/>
    <w:rsid w:val="00871FBC"/>
    <w:rsid w:val="00877CF6"/>
    <w:rsid w:val="0088117E"/>
    <w:rsid w:val="00890591"/>
    <w:rsid w:val="008A2296"/>
    <w:rsid w:val="008B1CF8"/>
    <w:rsid w:val="008B545C"/>
    <w:rsid w:val="008B5F23"/>
    <w:rsid w:val="008C0100"/>
    <w:rsid w:val="008D7BA9"/>
    <w:rsid w:val="008E284C"/>
    <w:rsid w:val="008E6E09"/>
    <w:rsid w:val="008E79F4"/>
    <w:rsid w:val="00901EB7"/>
    <w:rsid w:val="00906A35"/>
    <w:rsid w:val="00907301"/>
    <w:rsid w:val="009133C6"/>
    <w:rsid w:val="00922835"/>
    <w:rsid w:val="00930897"/>
    <w:rsid w:val="00933232"/>
    <w:rsid w:val="00936129"/>
    <w:rsid w:val="00941D69"/>
    <w:rsid w:val="009442AB"/>
    <w:rsid w:val="009454BD"/>
    <w:rsid w:val="0095031B"/>
    <w:rsid w:val="00953FDD"/>
    <w:rsid w:val="009720B3"/>
    <w:rsid w:val="00975DBF"/>
    <w:rsid w:val="009803A9"/>
    <w:rsid w:val="009B77B5"/>
    <w:rsid w:val="009C00D0"/>
    <w:rsid w:val="009C1344"/>
    <w:rsid w:val="009C335F"/>
    <w:rsid w:val="009C35E6"/>
    <w:rsid w:val="009D11DB"/>
    <w:rsid w:val="009D1220"/>
    <w:rsid w:val="009D3008"/>
    <w:rsid w:val="009D4EAE"/>
    <w:rsid w:val="009D5D56"/>
    <w:rsid w:val="009D7827"/>
    <w:rsid w:val="009E3548"/>
    <w:rsid w:val="009E44D5"/>
    <w:rsid w:val="009F5A24"/>
    <w:rsid w:val="009F6F75"/>
    <w:rsid w:val="009F7D4E"/>
    <w:rsid w:val="00A0165F"/>
    <w:rsid w:val="00A1063E"/>
    <w:rsid w:val="00A11A17"/>
    <w:rsid w:val="00A21D71"/>
    <w:rsid w:val="00A25766"/>
    <w:rsid w:val="00A31DC6"/>
    <w:rsid w:val="00A4117B"/>
    <w:rsid w:val="00A5228F"/>
    <w:rsid w:val="00A73536"/>
    <w:rsid w:val="00A7385A"/>
    <w:rsid w:val="00A82482"/>
    <w:rsid w:val="00A90290"/>
    <w:rsid w:val="00AA06D3"/>
    <w:rsid w:val="00AA3899"/>
    <w:rsid w:val="00AA70B7"/>
    <w:rsid w:val="00AB28E0"/>
    <w:rsid w:val="00AB33B4"/>
    <w:rsid w:val="00AB6B0B"/>
    <w:rsid w:val="00AC6838"/>
    <w:rsid w:val="00AD6844"/>
    <w:rsid w:val="00AF35E3"/>
    <w:rsid w:val="00AF397A"/>
    <w:rsid w:val="00AF7602"/>
    <w:rsid w:val="00B03817"/>
    <w:rsid w:val="00B07A4E"/>
    <w:rsid w:val="00B07A67"/>
    <w:rsid w:val="00B1025F"/>
    <w:rsid w:val="00B128C5"/>
    <w:rsid w:val="00B1462B"/>
    <w:rsid w:val="00B228C6"/>
    <w:rsid w:val="00B22982"/>
    <w:rsid w:val="00B302AB"/>
    <w:rsid w:val="00B35F94"/>
    <w:rsid w:val="00B46964"/>
    <w:rsid w:val="00B52EBE"/>
    <w:rsid w:val="00B64A3C"/>
    <w:rsid w:val="00B661C3"/>
    <w:rsid w:val="00B70A41"/>
    <w:rsid w:val="00B75D7D"/>
    <w:rsid w:val="00B81596"/>
    <w:rsid w:val="00B83056"/>
    <w:rsid w:val="00B92704"/>
    <w:rsid w:val="00BB10B1"/>
    <w:rsid w:val="00BC0864"/>
    <w:rsid w:val="00BC1979"/>
    <w:rsid w:val="00BC71B0"/>
    <w:rsid w:val="00BD5E61"/>
    <w:rsid w:val="00BE57B6"/>
    <w:rsid w:val="00BE6069"/>
    <w:rsid w:val="00BF0B45"/>
    <w:rsid w:val="00C06C26"/>
    <w:rsid w:val="00C1012B"/>
    <w:rsid w:val="00C11140"/>
    <w:rsid w:val="00C11FA7"/>
    <w:rsid w:val="00C14155"/>
    <w:rsid w:val="00C16E92"/>
    <w:rsid w:val="00C227D8"/>
    <w:rsid w:val="00C251B1"/>
    <w:rsid w:val="00C252B1"/>
    <w:rsid w:val="00C25982"/>
    <w:rsid w:val="00C37F5E"/>
    <w:rsid w:val="00C41CB7"/>
    <w:rsid w:val="00C44608"/>
    <w:rsid w:val="00C44C49"/>
    <w:rsid w:val="00C46CCA"/>
    <w:rsid w:val="00C50538"/>
    <w:rsid w:val="00C5356A"/>
    <w:rsid w:val="00C552FF"/>
    <w:rsid w:val="00C573D3"/>
    <w:rsid w:val="00C61AEB"/>
    <w:rsid w:val="00C61AF9"/>
    <w:rsid w:val="00C71E44"/>
    <w:rsid w:val="00C82429"/>
    <w:rsid w:val="00C84544"/>
    <w:rsid w:val="00C84A25"/>
    <w:rsid w:val="00C84B89"/>
    <w:rsid w:val="00C87F90"/>
    <w:rsid w:val="00C9047E"/>
    <w:rsid w:val="00C90DE3"/>
    <w:rsid w:val="00C92320"/>
    <w:rsid w:val="00C93629"/>
    <w:rsid w:val="00C957B5"/>
    <w:rsid w:val="00C97F74"/>
    <w:rsid w:val="00CA11FD"/>
    <w:rsid w:val="00CB66A4"/>
    <w:rsid w:val="00CB699A"/>
    <w:rsid w:val="00CC0EBC"/>
    <w:rsid w:val="00CC3F34"/>
    <w:rsid w:val="00CC77E1"/>
    <w:rsid w:val="00CC7F9C"/>
    <w:rsid w:val="00CD5A4F"/>
    <w:rsid w:val="00CD674F"/>
    <w:rsid w:val="00CD7836"/>
    <w:rsid w:val="00CE17DF"/>
    <w:rsid w:val="00CF06B0"/>
    <w:rsid w:val="00CF4023"/>
    <w:rsid w:val="00CF4931"/>
    <w:rsid w:val="00D0038A"/>
    <w:rsid w:val="00D02C58"/>
    <w:rsid w:val="00D15B87"/>
    <w:rsid w:val="00D24C86"/>
    <w:rsid w:val="00D36A64"/>
    <w:rsid w:val="00D5093B"/>
    <w:rsid w:val="00D50EE0"/>
    <w:rsid w:val="00D51E9E"/>
    <w:rsid w:val="00D622D2"/>
    <w:rsid w:val="00D73B5B"/>
    <w:rsid w:val="00D73E50"/>
    <w:rsid w:val="00D75BBD"/>
    <w:rsid w:val="00D87F07"/>
    <w:rsid w:val="00D9626F"/>
    <w:rsid w:val="00DA4D24"/>
    <w:rsid w:val="00DA67A6"/>
    <w:rsid w:val="00DA6C2E"/>
    <w:rsid w:val="00DB1F79"/>
    <w:rsid w:val="00DB3719"/>
    <w:rsid w:val="00DB7401"/>
    <w:rsid w:val="00DB749D"/>
    <w:rsid w:val="00DC228A"/>
    <w:rsid w:val="00DC419C"/>
    <w:rsid w:val="00DD43F7"/>
    <w:rsid w:val="00DD6F3F"/>
    <w:rsid w:val="00DE0A4E"/>
    <w:rsid w:val="00DE3D14"/>
    <w:rsid w:val="00DF00C8"/>
    <w:rsid w:val="00DF40EE"/>
    <w:rsid w:val="00E066CF"/>
    <w:rsid w:val="00E0729F"/>
    <w:rsid w:val="00E142A1"/>
    <w:rsid w:val="00E148F8"/>
    <w:rsid w:val="00E2366E"/>
    <w:rsid w:val="00E27500"/>
    <w:rsid w:val="00E3701C"/>
    <w:rsid w:val="00E41A7E"/>
    <w:rsid w:val="00E42B44"/>
    <w:rsid w:val="00E4484E"/>
    <w:rsid w:val="00E456B3"/>
    <w:rsid w:val="00E46DBD"/>
    <w:rsid w:val="00E5066A"/>
    <w:rsid w:val="00E56FB7"/>
    <w:rsid w:val="00E615A3"/>
    <w:rsid w:val="00E62CE3"/>
    <w:rsid w:val="00E63E82"/>
    <w:rsid w:val="00E710C8"/>
    <w:rsid w:val="00E71773"/>
    <w:rsid w:val="00E8000A"/>
    <w:rsid w:val="00E821B7"/>
    <w:rsid w:val="00E82AF9"/>
    <w:rsid w:val="00E90D46"/>
    <w:rsid w:val="00E93479"/>
    <w:rsid w:val="00E93B78"/>
    <w:rsid w:val="00E957BE"/>
    <w:rsid w:val="00E959BC"/>
    <w:rsid w:val="00EA20A6"/>
    <w:rsid w:val="00EA5C10"/>
    <w:rsid w:val="00EB1CBE"/>
    <w:rsid w:val="00EB4437"/>
    <w:rsid w:val="00EC0B37"/>
    <w:rsid w:val="00EC171D"/>
    <w:rsid w:val="00EC445F"/>
    <w:rsid w:val="00ED2630"/>
    <w:rsid w:val="00ED6934"/>
    <w:rsid w:val="00ED713D"/>
    <w:rsid w:val="00EE6126"/>
    <w:rsid w:val="00EF3E42"/>
    <w:rsid w:val="00EF7C19"/>
    <w:rsid w:val="00F23DC2"/>
    <w:rsid w:val="00F246B8"/>
    <w:rsid w:val="00F32833"/>
    <w:rsid w:val="00F43F01"/>
    <w:rsid w:val="00F46118"/>
    <w:rsid w:val="00F51ED4"/>
    <w:rsid w:val="00F577E7"/>
    <w:rsid w:val="00F63D7F"/>
    <w:rsid w:val="00F749CC"/>
    <w:rsid w:val="00F83AE8"/>
    <w:rsid w:val="00F95074"/>
    <w:rsid w:val="00FA1843"/>
    <w:rsid w:val="00FA1B2C"/>
    <w:rsid w:val="00FA40BD"/>
    <w:rsid w:val="00FB1351"/>
    <w:rsid w:val="00FB3F0A"/>
    <w:rsid w:val="00FB5044"/>
    <w:rsid w:val="00FB6B51"/>
    <w:rsid w:val="00FC1BB1"/>
    <w:rsid w:val="00FC57C9"/>
    <w:rsid w:val="00FD16C7"/>
    <w:rsid w:val="00FE762E"/>
    <w:rsid w:val="00FF1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26AE8"/>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C7ABD"/>
    <w:rPr>
      <w:rFonts w:ascii="Times New Roman" w:hAnsi="Times New Roman" w:cs="Times New Roman"/>
      <w:lang w:eastAsia="en-GB"/>
    </w:rPr>
  </w:style>
  <w:style w:type="paragraph" w:styleId="Heading1">
    <w:name w:val="heading 1"/>
    <w:basedOn w:val="Normal"/>
    <w:next w:val="Normal"/>
    <w:link w:val="Heading1Char"/>
    <w:qFormat/>
    <w:rsid w:val="00684AD6"/>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684AD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335F"/>
    <w:pPr>
      <w:ind w:left="720"/>
      <w:contextualSpacing/>
    </w:pPr>
    <w:rPr>
      <w:rFonts w:asciiTheme="minorHAnsi" w:hAnsiTheme="minorHAnsi" w:cstheme="minorBidi"/>
      <w:lang w:eastAsia="en-US"/>
    </w:rPr>
  </w:style>
  <w:style w:type="paragraph" w:styleId="FootnoteText">
    <w:name w:val="footnote text"/>
    <w:basedOn w:val="Normal"/>
    <w:link w:val="FootnoteTextChar"/>
    <w:uiPriority w:val="99"/>
    <w:unhideWhenUsed/>
    <w:rsid w:val="004A27EF"/>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4A27EF"/>
  </w:style>
  <w:style w:type="character" w:styleId="FootnoteReference">
    <w:name w:val="footnote reference"/>
    <w:basedOn w:val="DefaultParagraphFont"/>
    <w:uiPriority w:val="99"/>
    <w:unhideWhenUsed/>
    <w:rsid w:val="004A27EF"/>
    <w:rPr>
      <w:vertAlign w:val="superscript"/>
    </w:rPr>
  </w:style>
  <w:style w:type="paragraph" w:styleId="Header">
    <w:name w:val="header"/>
    <w:basedOn w:val="Normal"/>
    <w:link w:val="HeaderChar"/>
    <w:uiPriority w:val="99"/>
    <w:unhideWhenUsed/>
    <w:rsid w:val="00C44C49"/>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C44C49"/>
  </w:style>
  <w:style w:type="paragraph" w:styleId="Footer">
    <w:name w:val="footer"/>
    <w:basedOn w:val="Normal"/>
    <w:link w:val="FooterChar"/>
    <w:uiPriority w:val="99"/>
    <w:unhideWhenUsed/>
    <w:rsid w:val="00C44C49"/>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C44C49"/>
  </w:style>
  <w:style w:type="character" w:customStyle="1" w:styleId="Heading1Char">
    <w:name w:val="Heading 1 Char"/>
    <w:basedOn w:val="DefaultParagraphFont"/>
    <w:link w:val="Heading1"/>
    <w:rsid w:val="00684AD6"/>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684AD6"/>
    <w:rPr>
      <w:rFonts w:ascii="Tahoma" w:eastAsia="SimSun" w:hAnsi="Tahoma" w:cs="Tahoma"/>
      <w:b/>
      <w:bCs/>
      <w:sz w:val="20"/>
      <w:szCs w:val="20"/>
      <w:lang w:eastAsia="zh-CN"/>
    </w:rPr>
  </w:style>
  <w:style w:type="paragraph" w:styleId="NormalWeb">
    <w:name w:val="Normal (Web)"/>
    <w:basedOn w:val="Normal"/>
    <w:rsid w:val="00684AD6"/>
    <w:pPr>
      <w:spacing w:before="100" w:beforeAutospacing="1" w:after="100" w:afterAutospacing="1"/>
    </w:pPr>
    <w:rPr>
      <w:rFonts w:ascii="Georgia" w:eastAsia="SimSun" w:hAnsi="Georgia"/>
      <w:color w:val="000000"/>
      <w:sz w:val="21"/>
      <w:szCs w:val="21"/>
      <w:lang w:eastAsia="zh-CN"/>
    </w:rPr>
  </w:style>
  <w:style w:type="character" w:customStyle="1" w:styleId="badge">
    <w:name w:val="badge"/>
    <w:basedOn w:val="DefaultParagraphFont"/>
    <w:rsid w:val="00A5228F"/>
  </w:style>
  <w:style w:type="character" w:styleId="HTMLCite">
    <w:name w:val="HTML Cite"/>
    <w:basedOn w:val="DefaultParagraphFont"/>
    <w:uiPriority w:val="99"/>
    <w:semiHidden/>
    <w:unhideWhenUsed/>
    <w:rsid w:val="00A5228F"/>
    <w:rPr>
      <w:i/>
      <w:iCs/>
    </w:rPr>
  </w:style>
  <w:style w:type="character" w:customStyle="1" w:styleId="gsct1">
    <w:name w:val="gs_ct1"/>
    <w:basedOn w:val="DefaultParagraphFont"/>
    <w:rsid w:val="00C41CB7"/>
  </w:style>
  <w:style w:type="character" w:styleId="Hyperlink">
    <w:name w:val="Hyperlink"/>
    <w:basedOn w:val="DefaultParagraphFont"/>
    <w:uiPriority w:val="99"/>
    <w:semiHidden/>
    <w:unhideWhenUsed/>
    <w:rsid w:val="00C9047E"/>
    <w:rPr>
      <w:color w:val="0000FF"/>
      <w:u w:val="single"/>
    </w:rPr>
  </w:style>
  <w:style w:type="character" w:customStyle="1" w:styleId="bibliographicauthorname">
    <w:name w:val="bibliographicauthorname"/>
    <w:basedOn w:val="DefaultParagraphFont"/>
    <w:rsid w:val="00C87F90"/>
  </w:style>
  <w:style w:type="character" w:customStyle="1" w:styleId="translators">
    <w:name w:val="translators"/>
    <w:basedOn w:val="DefaultParagraphFont"/>
    <w:rsid w:val="00C87F90"/>
  </w:style>
  <w:style w:type="character" w:customStyle="1" w:styleId="contributorname">
    <w:name w:val="contributorname"/>
    <w:basedOn w:val="DefaultParagraphFont"/>
    <w:rsid w:val="00C87F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94242">
      <w:bodyDiv w:val="1"/>
      <w:marLeft w:val="0"/>
      <w:marRight w:val="0"/>
      <w:marTop w:val="0"/>
      <w:marBottom w:val="0"/>
      <w:divBdr>
        <w:top w:val="none" w:sz="0" w:space="0" w:color="auto"/>
        <w:left w:val="none" w:sz="0" w:space="0" w:color="auto"/>
        <w:bottom w:val="none" w:sz="0" w:space="0" w:color="auto"/>
        <w:right w:val="none" w:sz="0" w:space="0" w:color="auto"/>
      </w:divBdr>
    </w:div>
    <w:div w:id="143284621">
      <w:bodyDiv w:val="1"/>
      <w:marLeft w:val="0"/>
      <w:marRight w:val="0"/>
      <w:marTop w:val="0"/>
      <w:marBottom w:val="0"/>
      <w:divBdr>
        <w:top w:val="none" w:sz="0" w:space="0" w:color="auto"/>
        <w:left w:val="none" w:sz="0" w:space="0" w:color="auto"/>
        <w:bottom w:val="none" w:sz="0" w:space="0" w:color="auto"/>
        <w:right w:val="none" w:sz="0" w:space="0" w:color="auto"/>
      </w:divBdr>
    </w:div>
    <w:div w:id="289824401">
      <w:bodyDiv w:val="1"/>
      <w:marLeft w:val="0"/>
      <w:marRight w:val="0"/>
      <w:marTop w:val="0"/>
      <w:marBottom w:val="0"/>
      <w:divBdr>
        <w:top w:val="none" w:sz="0" w:space="0" w:color="auto"/>
        <w:left w:val="none" w:sz="0" w:space="0" w:color="auto"/>
        <w:bottom w:val="none" w:sz="0" w:space="0" w:color="auto"/>
        <w:right w:val="none" w:sz="0" w:space="0" w:color="auto"/>
      </w:divBdr>
    </w:div>
    <w:div w:id="421265988">
      <w:bodyDiv w:val="1"/>
      <w:marLeft w:val="0"/>
      <w:marRight w:val="0"/>
      <w:marTop w:val="0"/>
      <w:marBottom w:val="0"/>
      <w:divBdr>
        <w:top w:val="none" w:sz="0" w:space="0" w:color="auto"/>
        <w:left w:val="none" w:sz="0" w:space="0" w:color="auto"/>
        <w:bottom w:val="none" w:sz="0" w:space="0" w:color="auto"/>
        <w:right w:val="none" w:sz="0" w:space="0" w:color="auto"/>
      </w:divBdr>
    </w:div>
    <w:div w:id="600572647">
      <w:bodyDiv w:val="1"/>
      <w:marLeft w:val="0"/>
      <w:marRight w:val="0"/>
      <w:marTop w:val="0"/>
      <w:marBottom w:val="0"/>
      <w:divBdr>
        <w:top w:val="none" w:sz="0" w:space="0" w:color="auto"/>
        <w:left w:val="none" w:sz="0" w:space="0" w:color="auto"/>
        <w:bottom w:val="none" w:sz="0" w:space="0" w:color="auto"/>
        <w:right w:val="none" w:sz="0" w:space="0" w:color="auto"/>
      </w:divBdr>
    </w:div>
    <w:div w:id="889148278">
      <w:bodyDiv w:val="1"/>
      <w:marLeft w:val="0"/>
      <w:marRight w:val="0"/>
      <w:marTop w:val="0"/>
      <w:marBottom w:val="0"/>
      <w:divBdr>
        <w:top w:val="none" w:sz="0" w:space="0" w:color="auto"/>
        <w:left w:val="none" w:sz="0" w:space="0" w:color="auto"/>
        <w:bottom w:val="none" w:sz="0" w:space="0" w:color="auto"/>
        <w:right w:val="none" w:sz="0" w:space="0" w:color="auto"/>
      </w:divBdr>
      <w:divsChild>
        <w:div w:id="1334140901">
          <w:marLeft w:val="0"/>
          <w:marRight w:val="0"/>
          <w:marTop w:val="0"/>
          <w:marBottom w:val="0"/>
          <w:divBdr>
            <w:top w:val="none" w:sz="0" w:space="0" w:color="auto"/>
            <w:left w:val="none" w:sz="0" w:space="0" w:color="auto"/>
            <w:bottom w:val="none" w:sz="0" w:space="0" w:color="auto"/>
            <w:right w:val="none" w:sz="0" w:space="0" w:color="auto"/>
          </w:divBdr>
        </w:div>
        <w:div w:id="49040244">
          <w:marLeft w:val="0"/>
          <w:marRight w:val="0"/>
          <w:marTop w:val="0"/>
          <w:marBottom w:val="0"/>
          <w:divBdr>
            <w:top w:val="none" w:sz="0" w:space="0" w:color="auto"/>
            <w:left w:val="none" w:sz="0" w:space="0" w:color="auto"/>
            <w:bottom w:val="none" w:sz="0" w:space="0" w:color="auto"/>
            <w:right w:val="none" w:sz="0" w:space="0" w:color="auto"/>
          </w:divBdr>
          <w:divsChild>
            <w:div w:id="995649920">
              <w:marLeft w:val="0"/>
              <w:marRight w:val="0"/>
              <w:marTop w:val="0"/>
              <w:marBottom w:val="0"/>
              <w:divBdr>
                <w:top w:val="none" w:sz="0" w:space="0" w:color="auto"/>
                <w:left w:val="single" w:sz="2" w:space="0" w:color="CCCCCC"/>
                <w:bottom w:val="single" w:sz="2" w:space="0" w:color="CCCCCC"/>
                <w:right w:val="single" w:sz="2" w:space="0" w:color="CCCCCC"/>
              </w:divBdr>
              <w:divsChild>
                <w:div w:id="480772394">
                  <w:marLeft w:val="0"/>
                  <w:marRight w:val="0"/>
                  <w:marTop w:val="0"/>
                  <w:marBottom w:val="0"/>
                  <w:divBdr>
                    <w:top w:val="none" w:sz="0" w:space="0" w:color="auto"/>
                    <w:left w:val="none" w:sz="0" w:space="0" w:color="auto"/>
                    <w:bottom w:val="none" w:sz="0" w:space="0" w:color="auto"/>
                    <w:right w:val="none" w:sz="0" w:space="0" w:color="auto"/>
                  </w:divBdr>
                  <w:divsChild>
                    <w:div w:id="36661466">
                      <w:marLeft w:val="0"/>
                      <w:marRight w:val="0"/>
                      <w:marTop w:val="0"/>
                      <w:marBottom w:val="0"/>
                      <w:divBdr>
                        <w:top w:val="none" w:sz="0" w:space="0" w:color="auto"/>
                        <w:left w:val="none" w:sz="0" w:space="0" w:color="auto"/>
                        <w:bottom w:val="none" w:sz="0" w:space="0" w:color="auto"/>
                        <w:right w:val="none" w:sz="0" w:space="0" w:color="auto"/>
                      </w:divBdr>
                      <w:divsChild>
                        <w:div w:id="1844542403">
                          <w:marLeft w:val="0"/>
                          <w:marRight w:val="0"/>
                          <w:marTop w:val="0"/>
                          <w:marBottom w:val="0"/>
                          <w:divBdr>
                            <w:top w:val="none" w:sz="0" w:space="0" w:color="auto"/>
                            <w:left w:val="none" w:sz="0" w:space="0" w:color="auto"/>
                            <w:bottom w:val="none" w:sz="0" w:space="0" w:color="auto"/>
                            <w:right w:val="none" w:sz="0" w:space="0" w:color="auto"/>
                          </w:divBdr>
                          <w:divsChild>
                            <w:div w:id="1268268493">
                              <w:marLeft w:val="0"/>
                              <w:marRight w:val="0"/>
                              <w:marTop w:val="0"/>
                              <w:marBottom w:val="0"/>
                              <w:divBdr>
                                <w:top w:val="none" w:sz="0" w:space="0" w:color="auto"/>
                                <w:left w:val="none" w:sz="0" w:space="0" w:color="auto"/>
                                <w:bottom w:val="none" w:sz="0" w:space="0" w:color="auto"/>
                                <w:right w:val="none" w:sz="0" w:space="0" w:color="auto"/>
                              </w:divBdr>
                              <w:divsChild>
                                <w:div w:id="1345136544">
                                  <w:marLeft w:val="0"/>
                                  <w:marRight w:val="0"/>
                                  <w:marTop w:val="0"/>
                                  <w:marBottom w:val="0"/>
                                  <w:divBdr>
                                    <w:top w:val="none" w:sz="0" w:space="0" w:color="auto"/>
                                    <w:left w:val="none" w:sz="0" w:space="0" w:color="auto"/>
                                    <w:bottom w:val="none" w:sz="0" w:space="0" w:color="auto"/>
                                    <w:right w:val="none" w:sz="0" w:space="0" w:color="auto"/>
                                  </w:divBdr>
                                  <w:divsChild>
                                    <w:div w:id="1287733411">
                                      <w:marLeft w:val="0"/>
                                      <w:marRight w:val="0"/>
                                      <w:marTop w:val="0"/>
                                      <w:marBottom w:val="0"/>
                                      <w:divBdr>
                                        <w:top w:val="none" w:sz="0" w:space="0" w:color="auto"/>
                                        <w:left w:val="none" w:sz="0" w:space="0" w:color="auto"/>
                                        <w:bottom w:val="none" w:sz="0" w:space="0" w:color="auto"/>
                                        <w:right w:val="none" w:sz="0" w:space="0" w:color="auto"/>
                                      </w:divBdr>
                                      <w:divsChild>
                                        <w:div w:id="370227918">
                                          <w:marLeft w:val="0"/>
                                          <w:marRight w:val="0"/>
                                          <w:marTop w:val="0"/>
                                          <w:marBottom w:val="0"/>
                                          <w:divBdr>
                                            <w:top w:val="none" w:sz="0" w:space="0" w:color="auto"/>
                                            <w:left w:val="none" w:sz="0" w:space="0" w:color="auto"/>
                                            <w:bottom w:val="none" w:sz="0" w:space="0" w:color="auto"/>
                                            <w:right w:val="none" w:sz="0" w:space="0" w:color="auto"/>
                                          </w:divBdr>
                                          <w:divsChild>
                                            <w:div w:id="1888644931">
                                              <w:marLeft w:val="0"/>
                                              <w:marRight w:val="0"/>
                                              <w:marTop w:val="0"/>
                                              <w:marBottom w:val="0"/>
                                              <w:divBdr>
                                                <w:top w:val="none" w:sz="0" w:space="0" w:color="auto"/>
                                                <w:left w:val="none" w:sz="0" w:space="0" w:color="auto"/>
                                                <w:bottom w:val="none" w:sz="0" w:space="0" w:color="auto"/>
                                                <w:right w:val="none" w:sz="0" w:space="0" w:color="auto"/>
                                              </w:divBdr>
                                              <w:divsChild>
                                                <w:div w:id="175901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89076">
                                          <w:marLeft w:val="0"/>
                                          <w:marRight w:val="0"/>
                                          <w:marTop w:val="0"/>
                                          <w:marBottom w:val="0"/>
                                          <w:divBdr>
                                            <w:top w:val="none" w:sz="0" w:space="0" w:color="auto"/>
                                            <w:left w:val="none" w:sz="0" w:space="0" w:color="auto"/>
                                            <w:bottom w:val="none" w:sz="0" w:space="0" w:color="auto"/>
                                            <w:right w:val="none" w:sz="0" w:space="0" w:color="auto"/>
                                          </w:divBdr>
                                          <w:divsChild>
                                            <w:div w:id="1302004844">
                                              <w:marLeft w:val="0"/>
                                              <w:marRight w:val="0"/>
                                              <w:marTop w:val="0"/>
                                              <w:marBottom w:val="0"/>
                                              <w:divBdr>
                                                <w:top w:val="none" w:sz="0" w:space="0" w:color="auto"/>
                                                <w:left w:val="none" w:sz="0" w:space="0" w:color="auto"/>
                                                <w:bottom w:val="none" w:sz="0" w:space="0" w:color="auto"/>
                                                <w:right w:val="none" w:sz="0" w:space="0" w:color="auto"/>
                                              </w:divBdr>
                                              <w:divsChild>
                                                <w:div w:id="364134379">
                                                  <w:marLeft w:val="0"/>
                                                  <w:marRight w:val="0"/>
                                                  <w:marTop w:val="0"/>
                                                  <w:marBottom w:val="0"/>
                                                  <w:divBdr>
                                                    <w:top w:val="none" w:sz="0" w:space="0" w:color="auto"/>
                                                    <w:left w:val="none" w:sz="0" w:space="0" w:color="auto"/>
                                                    <w:bottom w:val="none" w:sz="0" w:space="0" w:color="auto"/>
                                                    <w:right w:val="none" w:sz="0" w:space="0" w:color="auto"/>
                                                  </w:divBdr>
                                                </w:div>
                                                <w:div w:id="441346628">
                                                  <w:marLeft w:val="0"/>
                                                  <w:marRight w:val="0"/>
                                                  <w:marTop w:val="0"/>
                                                  <w:marBottom w:val="0"/>
                                                  <w:divBdr>
                                                    <w:top w:val="none" w:sz="0" w:space="0" w:color="auto"/>
                                                    <w:left w:val="none" w:sz="0" w:space="0" w:color="auto"/>
                                                    <w:bottom w:val="none" w:sz="0" w:space="0" w:color="auto"/>
                                                    <w:right w:val="none" w:sz="0" w:space="0" w:color="auto"/>
                                                  </w:divBdr>
                                                  <w:divsChild>
                                                    <w:div w:id="79344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6104318">
      <w:bodyDiv w:val="1"/>
      <w:marLeft w:val="0"/>
      <w:marRight w:val="0"/>
      <w:marTop w:val="0"/>
      <w:marBottom w:val="0"/>
      <w:divBdr>
        <w:top w:val="none" w:sz="0" w:space="0" w:color="auto"/>
        <w:left w:val="none" w:sz="0" w:space="0" w:color="auto"/>
        <w:bottom w:val="none" w:sz="0" w:space="0" w:color="auto"/>
        <w:right w:val="none" w:sz="0" w:space="0" w:color="auto"/>
      </w:divBdr>
      <w:divsChild>
        <w:div w:id="1138183647">
          <w:marLeft w:val="0"/>
          <w:marRight w:val="0"/>
          <w:marTop w:val="0"/>
          <w:marBottom w:val="0"/>
          <w:divBdr>
            <w:top w:val="none" w:sz="0" w:space="0" w:color="auto"/>
            <w:left w:val="none" w:sz="0" w:space="0" w:color="auto"/>
            <w:bottom w:val="none" w:sz="0" w:space="0" w:color="auto"/>
            <w:right w:val="none" w:sz="0" w:space="0" w:color="auto"/>
          </w:divBdr>
        </w:div>
        <w:div w:id="1442650373">
          <w:marLeft w:val="0"/>
          <w:marRight w:val="0"/>
          <w:marTop w:val="0"/>
          <w:marBottom w:val="0"/>
          <w:divBdr>
            <w:top w:val="none" w:sz="0" w:space="0" w:color="auto"/>
            <w:left w:val="none" w:sz="0" w:space="0" w:color="auto"/>
            <w:bottom w:val="none" w:sz="0" w:space="0" w:color="auto"/>
            <w:right w:val="none" w:sz="0" w:space="0" w:color="auto"/>
          </w:divBdr>
          <w:divsChild>
            <w:div w:id="68891127">
              <w:marLeft w:val="0"/>
              <w:marRight w:val="0"/>
              <w:marTop w:val="0"/>
              <w:marBottom w:val="0"/>
              <w:divBdr>
                <w:top w:val="none" w:sz="0" w:space="0" w:color="auto"/>
                <w:left w:val="single" w:sz="2" w:space="0" w:color="CCCCCC"/>
                <w:bottom w:val="single" w:sz="2" w:space="0" w:color="CCCCCC"/>
                <w:right w:val="single" w:sz="2" w:space="0" w:color="CCCCCC"/>
              </w:divBdr>
              <w:divsChild>
                <w:div w:id="1238638928">
                  <w:marLeft w:val="0"/>
                  <w:marRight w:val="0"/>
                  <w:marTop w:val="0"/>
                  <w:marBottom w:val="0"/>
                  <w:divBdr>
                    <w:top w:val="none" w:sz="0" w:space="0" w:color="auto"/>
                    <w:left w:val="none" w:sz="0" w:space="0" w:color="auto"/>
                    <w:bottom w:val="none" w:sz="0" w:space="0" w:color="auto"/>
                    <w:right w:val="none" w:sz="0" w:space="0" w:color="auto"/>
                  </w:divBdr>
                  <w:divsChild>
                    <w:div w:id="1546940676">
                      <w:marLeft w:val="0"/>
                      <w:marRight w:val="0"/>
                      <w:marTop w:val="0"/>
                      <w:marBottom w:val="0"/>
                      <w:divBdr>
                        <w:top w:val="none" w:sz="0" w:space="0" w:color="auto"/>
                        <w:left w:val="none" w:sz="0" w:space="0" w:color="auto"/>
                        <w:bottom w:val="none" w:sz="0" w:space="0" w:color="auto"/>
                        <w:right w:val="none" w:sz="0" w:space="0" w:color="auto"/>
                      </w:divBdr>
                      <w:divsChild>
                        <w:div w:id="1791896004">
                          <w:marLeft w:val="0"/>
                          <w:marRight w:val="0"/>
                          <w:marTop w:val="0"/>
                          <w:marBottom w:val="0"/>
                          <w:divBdr>
                            <w:top w:val="none" w:sz="0" w:space="0" w:color="auto"/>
                            <w:left w:val="none" w:sz="0" w:space="0" w:color="auto"/>
                            <w:bottom w:val="none" w:sz="0" w:space="0" w:color="auto"/>
                            <w:right w:val="none" w:sz="0" w:space="0" w:color="auto"/>
                          </w:divBdr>
                          <w:divsChild>
                            <w:div w:id="580409253">
                              <w:marLeft w:val="0"/>
                              <w:marRight w:val="0"/>
                              <w:marTop w:val="0"/>
                              <w:marBottom w:val="0"/>
                              <w:divBdr>
                                <w:top w:val="none" w:sz="0" w:space="0" w:color="auto"/>
                                <w:left w:val="none" w:sz="0" w:space="0" w:color="auto"/>
                                <w:bottom w:val="none" w:sz="0" w:space="0" w:color="auto"/>
                                <w:right w:val="none" w:sz="0" w:space="0" w:color="auto"/>
                              </w:divBdr>
                              <w:divsChild>
                                <w:div w:id="2034964109">
                                  <w:marLeft w:val="0"/>
                                  <w:marRight w:val="0"/>
                                  <w:marTop w:val="0"/>
                                  <w:marBottom w:val="0"/>
                                  <w:divBdr>
                                    <w:top w:val="none" w:sz="0" w:space="0" w:color="auto"/>
                                    <w:left w:val="none" w:sz="0" w:space="0" w:color="auto"/>
                                    <w:bottom w:val="none" w:sz="0" w:space="0" w:color="auto"/>
                                    <w:right w:val="none" w:sz="0" w:space="0" w:color="auto"/>
                                  </w:divBdr>
                                  <w:divsChild>
                                    <w:div w:id="373039870">
                                      <w:marLeft w:val="0"/>
                                      <w:marRight w:val="0"/>
                                      <w:marTop w:val="0"/>
                                      <w:marBottom w:val="0"/>
                                      <w:divBdr>
                                        <w:top w:val="none" w:sz="0" w:space="0" w:color="auto"/>
                                        <w:left w:val="none" w:sz="0" w:space="0" w:color="auto"/>
                                        <w:bottom w:val="none" w:sz="0" w:space="0" w:color="auto"/>
                                        <w:right w:val="none" w:sz="0" w:space="0" w:color="auto"/>
                                      </w:divBdr>
                                      <w:divsChild>
                                        <w:div w:id="1680348732">
                                          <w:marLeft w:val="0"/>
                                          <w:marRight w:val="0"/>
                                          <w:marTop w:val="0"/>
                                          <w:marBottom w:val="0"/>
                                          <w:divBdr>
                                            <w:top w:val="none" w:sz="0" w:space="0" w:color="auto"/>
                                            <w:left w:val="none" w:sz="0" w:space="0" w:color="auto"/>
                                            <w:bottom w:val="none" w:sz="0" w:space="0" w:color="auto"/>
                                            <w:right w:val="none" w:sz="0" w:space="0" w:color="auto"/>
                                          </w:divBdr>
                                          <w:divsChild>
                                            <w:div w:id="1093670622">
                                              <w:marLeft w:val="0"/>
                                              <w:marRight w:val="0"/>
                                              <w:marTop w:val="0"/>
                                              <w:marBottom w:val="0"/>
                                              <w:divBdr>
                                                <w:top w:val="none" w:sz="0" w:space="0" w:color="auto"/>
                                                <w:left w:val="none" w:sz="0" w:space="0" w:color="auto"/>
                                                <w:bottom w:val="none" w:sz="0" w:space="0" w:color="auto"/>
                                                <w:right w:val="none" w:sz="0" w:space="0" w:color="auto"/>
                                              </w:divBdr>
                                              <w:divsChild>
                                                <w:div w:id="198862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415775">
                                          <w:marLeft w:val="0"/>
                                          <w:marRight w:val="0"/>
                                          <w:marTop w:val="0"/>
                                          <w:marBottom w:val="0"/>
                                          <w:divBdr>
                                            <w:top w:val="none" w:sz="0" w:space="0" w:color="auto"/>
                                            <w:left w:val="none" w:sz="0" w:space="0" w:color="auto"/>
                                            <w:bottom w:val="none" w:sz="0" w:space="0" w:color="auto"/>
                                            <w:right w:val="none" w:sz="0" w:space="0" w:color="auto"/>
                                          </w:divBdr>
                                          <w:divsChild>
                                            <w:div w:id="1459642257">
                                              <w:marLeft w:val="0"/>
                                              <w:marRight w:val="0"/>
                                              <w:marTop w:val="0"/>
                                              <w:marBottom w:val="0"/>
                                              <w:divBdr>
                                                <w:top w:val="none" w:sz="0" w:space="0" w:color="auto"/>
                                                <w:left w:val="none" w:sz="0" w:space="0" w:color="auto"/>
                                                <w:bottom w:val="none" w:sz="0" w:space="0" w:color="auto"/>
                                                <w:right w:val="none" w:sz="0" w:space="0" w:color="auto"/>
                                              </w:divBdr>
                                              <w:divsChild>
                                                <w:div w:id="38167783">
                                                  <w:marLeft w:val="0"/>
                                                  <w:marRight w:val="0"/>
                                                  <w:marTop w:val="0"/>
                                                  <w:marBottom w:val="0"/>
                                                  <w:divBdr>
                                                    <w:top w:val="none" w:sz="0" w:space="0" w:color="auto"/>
                                                    <w:left w:val="none" w:sz="0" w:space="0" w:color="auto"/>
                                                    <w:bottom w:val="none" w:sz="0" w:space="0" w:color="auto"/>
                                                    <w:right w:val="none" w:sz="0" w:space="0" w:color="auto"/>
                                                  </w:divBdr>
                                                </w:div>
                                                <w:div w:id="154347755">
                                                  <w:marLeft w:val="0"/>
                                                  <w:marRight w:val="0"/>
                                                  <w:marTop w:val="0"/>
                                                  <w:marBottom w:val="0"/>
                                                  <w:divBdr>
                                                    <w:top w:val="none" w:sz="0" w:space="0" w:color="auto"/>
                                                    <w:left w:val="none" w:sz="0" w:space="0" w:color="auto"/>
                                                    <w:bottom w:val="none" w:sz="0" w:space="0" w:color="auto"/>
                                                    <w:right w:val="none" w:sz="0" w:space="0" w:color="auto"/>
                                                  </w:divBdr>
                                                  <w:divsChild>
                                                    <w:div w:id="28281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9620481">
      <w:bodyDiv w:val="1"/>
      <w:marLeft w:val="0"/>
      <w:marRight w:val="0"/>
      <w:marTop w:val="0"/>
      <w:marBottom w:val="0"/>
      <w:divBdr>
        <w:top w:val="none" w:sz="0" w:space="0" w:color="auto"/>
        <w:left w:val="none" w:sz="0" w:space="0" w:color="auto"/>
        <w:bottom w:val="none" w:sz="0" w:space="0" w:color="auto"/>
        <w:right w:val="none" w:sz="0" w:space="0" w:color="auto"/>
      </w:divBdr>
    </w:div>
    <w:div w:id="1576354124">
      <w:bodyDiv w:val="1"/>
      <w:marLeft w:val="0"/>
      <w:marRight w:val="0"/>
      <w:marTop w:val="0"/>
      <w:marBottom w:val="0"/>
      <w:divBdr>
        <w:top w:val="none" w:sz="0" w:space="0" w:color="auto"/>
        <w:left w:val="none" w:sz="0" w:space="0" w:color="auto"/>
        <w:bottom w:val="none" w:sz="0" w:space="0" w:color="auto"/>
        <w:right w:val="none" w:sz="0" w:space="0" w:color="auto"/>
      </w:divBdr>
    </w:div>
    <w:div w:id="1608153443">
      <w:bodyDiv w:val="1"/>
      <w:marLeft w:val="0"/>
      <w:marRight w:val="0"/>
      <w:marTop w:val="0"/>
      <w:marBottom w:val="0"/>
      <w:divBdr>
        <w:top w:val="none" w:sz="0" w:space="0" w:color="auto"/>
        <w:left w:val="none" w:sz="0" w:space="0" w:color="auto"/>
        <w:bottom w:val="none" w:sz="0" w:space="0" w:color="auto"/>
        <w:right w:val="none" w:sz="0" w:space="0" w:color="auto"/>
      </w:divBdr>
    </w:div>
    <w:div w:id="1730223795">
      <w:bodyDiv w:val="1"/>
      <w:marLeft w:val="0"/>
      <w:marRight w:val="0"/>
      <w:marTop w:val="0"/>
      <w:marBottom w:val="0"/>
      <w:divBdr>
        <w:top w:val="none" w:sz="0" w:space="0" w:color="auto"/>
        <w:left w:val="none" w:sz="0" w:space="0" w:color="auto"/>
        <w:bottom w:val="none" w:sz="0" w:space="0" w:color="auto"/>
        <w:right w:val="none" w:sz="0" w:space="0" w:color="auto"/>
      </w:divBdr>
    </w:div>
    <w:div w:id="1794903693">
      <w:bodyDiv w:val="1"/>
      <w:marLeft w:val="0"/>
      <w:marRight w:val="0"/>
      <w:marTop w:val="0"/>
      <w:marBottom w:val="0"/>
      <w:divBdr>
        <w:top w:val="none" w:sz="0" w:space="0" w:color="auto"/>
        <w:left w:val="none" w:sz="0" w:space="0" w:color="auto"/>
        <w:bottom w:val="none" w:sz="0" w:space="0" w:color="auto"/>
        <w:right w:val="none" w:sz="0" w:space="0" w:color="auto"/>
      </w:divBdr>
    </w:div>
    <w:div w:id="2000574135">
      <w:bodyDiv w:val="1"/>
      <w:marLeft w:val="0"/>
      <w:marRight w:val="0"/>
      <w:marTop w:val="0"/>
      <w:marBottom w:val="0"/>
      <w:divBdr>
        <w:top w:val="none" w:sz="0" w:space="0" w:color="auto"/>
        <w:left w:val="none" w:sz="0" w:space="0" w:color="auto"/>
        <w:bottom w:val="none" w:sz="0" w:space="0" w:color="auto"/>
        <w:right w:val="none" w:sz="0" w:space="0" w:color="auto"/>
      </w:divBdr>
    </w:div>
    <w:div w:id="20553445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8D6E1C6-2A7B-5448-A83E-8C825AF08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14</Pages>
  <Words>2613</Words>
  <Characters>14898</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128</cp:revision>
  <cp:lastPrinted>2019-03-25T11:04:00Z</cp:lastPrinted>
  <dcterms:created xsi:type="dcterms:W3CDTF">2019-03-31T11:32:00Z</dcterms:created>
  <dcterms:modified xsi:type="dcterms:W3CDTF">2019-04-01T20:46:00Z</dcterms:modified>
</cp:coreProperties>
</file>