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8A579E8" w14:textId="77777777" w:rsidR="00BF09CF" w:rsidRDefault="00BF09CF" w:rsidP="00BF09CF">
      <w:r w:rsidRPr="000E4468">
        <w:rPr>
          <w:rFonts w:ascii="Arial" w:eastAsia="Times New Roman" w:hAnsi="Arial" w:cs="Arial"/>
          <w:b/>
          <w:bCs/>
          <w:noProof/>
          <w:kern w:val="36"/>
          <w:sz w:val="32"/>
          <w:szCs w:val="32"/>
          <w:lang w:val="en-US" w:eastAsia="en-GB"/>
          <w14:ligatures w14:val="none"/>
        </w:rPr>
        <w:drawing>
          <wp:anchor distT="0" distB="0" distL="114300" distR="114300" simplePos="0" relativeHeight="251659264" behindDoc="0" locked="0" layoutInCell="1" allowOverlap="1" wp14:anchorId="18A55C8B" wp14:editId="1ADBF5C6">
            <wp:simplePos x="0" y="0"/>
            <wp:positionH relativeFrom="column">
              <wp:posOffset>1936750</wp:posOffset>
            </wp:positionH>
            <wp:positionV relativeFrom="paragraph">
              <wp:posOffset>0</wp:posOffset>
            </wp:positionV>
            <wp:extent cx="2063856" cy="787440"/>
            <wp:effectExtent l="0" t="0" r="0" b="0"/>
            <wp:wrapSquare wrapText="bothSides"/>
            <wp:docPr id="184976147" name="Picture 1" descr="A close-up of a sig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4976147" name="Picture 1" descr="A close-up of a sign&#10;&#10;Description automatically generated"/>
                    <pic:cNvPicPr/>
                  </pic:nvPicPr>
                  <pic:blipFill>
                    <a:blip r:embed="rId7">
                      <a:extLst>
                        <a:ext uri="{28A0092B-C50C-407E-A947-70E740481C1C}">
                          <a14:useLocalDpi xmlns:a14="http://schemas.microsoft.com/office/drawing/2010/main" val="0"/>
                        </a:ext>
                      </a:extLst>
                    </a:blip>
                    <a:stretch>
                      <a:fillRect/>
                    </a:stretch>
                  </pic:blipFill>
                  <pic:spPr>
                    <a:xfrm>
                      <a:off x="0" y="0"/>
                      <a:ext cx="2063856" cy="787440"/>
                    </a:xfrm>
                    <a:prstGeom prst="rect">
                      <a:avLst/>
                    </a:prstGeom>
                  </pic:spPr>
                </pic:pic>
              </a:graphicData>
            </a:graphic>
            <wp14:sizeRelH relativeFrom="page">
              <wp14:pctWidth>0</wp14:pctWidth>
            </wp14:sizeRelH>
            <wp14:sizeRelV relativeFrom="page">
              <wp14:pctHeight>0</wp14:pctHeight>
            </wp14:sizeRelV>
          </wp:anchor>
        </w:drawing>
      </w:r>
    </w:p>
    <w:p w14:paraId="0F429F69" w14:textId="77777777" w:rsidR="00BF09CF" w:rsidRPr="00B11142" w:rsidRDefault="00BF09CF" w:rsidP="00BF09CF"/>
    <w:p w14:paraId="09EA48BA" w14:textId="77777777" w:rsidR="00BF09CF" w:rsidRPr="00B11142" w:rsidRDefault="00BF09CF" w:rsidP="00BF09CF"/>
    <w:p w14:paraId="7BF4C947" w14:textId="77777777" w:rsidR="00BF09CF" w:rsidRPr="00B11142" w:rsidRDefault="00BF09CF" w:rsidP="00BF09CF"/>
    <w:p w14:paraId="78DAB475" w14:textId="77777777" w:rsidR="00BF09CF" w:rsidRDefault="00BF09CF" w:rsidP="00BF09CF"/>
    <w:p w14:paraId="513CB87B" w14:textId="77777777" w:rsidR="00BF09CF" w:rsidRDefault="00BF09CF" w:rsidP="00BF09CF"/>
    <w:p w14:paraId="7F116215" w14:textId="77777777" w:rsidR="00BF09CF" w:rsidRPr="00B11142" w:rsidRDefault="00BF09CF" w:rsidP="00BF09CF"/>
    <w:p w14:paraId="7949DC85" w14:textId="77777777" w:rsidR="00BF09CF" w:rsidRDefault="00BF09CF" w:rsidP="00BF09CF">
      <w:pPr>
        <w:pStyle w:val="Quote"/>
      </w:pPr>
    </w:p>
    <w:p w14:paraId="219DC970" w14:textId="2F1E7614" w:rsidR="00BF09CF" w:rsidRPr="00BF09CF" w:rsidRDefault="00BF09CF" w:rsidP="00BF09CF">
      <w:pPr>
        <w:pStyle w:val="Quote"/>
        <w:rPr>
          <w:sz w:val="36"/>
          <w:szCs w:val="36"/>
        </w:rPr>
      </w:pPr>
      <w:r w:rsidRPr="00BF09CF">
        <w:rPr>
          <w:sz w:val="36"/>
          <w:szCs w:val="36"/>
        </w:rPr>
        <w:t>Name: Laris Zamfir</w:t>
      </w:r>
    </w:p>
    <w:p w14:paraId="3D458F8D" w14:textId="77777777" w:rsidR="00BF09CF" w:rsidRPr="00BF09CF" w:rsidRDefault="00BF09CF" w:rsidP="00BF09CF">
      <w:pPr>
        <w:pStyle w:val="Quote"/>
        <w:rPr>
          <w:sz w:val="36"/>
          <w:szCs w:val="36"/>
        </w:rPr>
      </w:pPr>
    </w:p>
    <w:p w14:paraId="30A0E11A" w14:textId="30496318" w:rsidR="00BF09CF" w:rsidRPr="00BF09CF" w:rsidRDefault="00BF09CF" w:rsidP="00BF09CF">
      <w:pPr>
        <w:pStyle w:val="Quote"/>
        <w:rPr>
          <w:sz w:val="36"/>
          <w:szCs w:val="36"/>
        </w:rPr>
      </w:pPr>
      <w:r w:rsidRPr="00BF09CF">
        <w:rPr>
          <w:sz w:val="36"/>
          <w:szCs w:val="36"/>
        </w:rPr>
        <w:t>ID Number: 2213788</w:t>
      </w:r>
    </w:p>
    <w:p w14:paraId="26E863DC" w14:textId="77777777" w:rsidR="00BF09CF" w:rsidRPr="00BF09CF" w:rsidRDefault="00BF09CF" w:rsidP="00BF09CF">
      <w:pPr>
        <w:pStyle w:val="Quote"/>
        <w:rPr>
          <w:sz w:val="36"/>
          <w:szCs w:val="36"/>
        </w:rPr>
      </w:pPr>
    </w:p>
    <w:p w14:paraId="3C4BB85A" w14:textId="77777777" w:rsidR="00BF09CF" w:rsidRPr="00BF09CF" w:rsidRDefault="00BF09CF" w:rsidP="00BF09CF">
      <w:pPr>
        <w:pStyle w:val="Quote"/>
        <w:rPr>
          <w:sz w:val="36"/>
          <w:szCs w:val="36"/>
        </w:rPr>
      </w:pPr>
      <w:r w:rsidRPr="00BF09CF">
        <w:rPr>
          <w:sz w:val="36"/>
          <w:szCs w:val="36"/>
        </w:rPr>
        <w:t>Module: Stakeholder Engagement</w:t>
      </w:r>
    </w:p>
    <w:p w14:paraId="3FEC2ED6" w14:textId="77777777" w:rsidR="00BF09CF" w:rsidRPr="00BF09CF" w:rsidRDefault="00BF09CF" w:rsidP="00BF09CF">
      <w:pPr>
        <w:pStyle w:val="Quote"/>
        <w:rPr>
          <w:sz w:val="36"/>
          <w:szCs w:val="36"/>
        </w:rPr>
      </w:pPr>
    </w:p>
    <w:p w14:paraId="62CD8EEC" w14:textId="77777777" w:rsidR="00BF09CF" w:rsidRPr="00BF09CF" w:rsidRDefault="00BF09CF" w:rsidP="00BF09CF">
      <w:pPr>
        <w:pStyle w:val="Quote"/>
        <w:rPr>
          <w:sz w:val="36"/>
          <w:szCs w:val="36"/>
        </w:rPr>
      </w:pPr>
      <w:r w:rsidRPr="00BF09CF">
        <w:rPr>
          <w:sz w:val="36"/>
          <w:szCs w:val="36"/>
        </w:rPr>
        <w:t>Module code: LCBB4013</w:t>
      </w:r>
    </w:p>
    <w:p w14:paraId="02F0E302" w14:textId="77777777" w:rsidR="00BF09CF" w:rsidRPr="00BF09CF" w:rsidRDefault="00BF09CF" w:rsidP="00BF09CF">
      <w:pPr>
        <w:pStyle w:val="Quote"/>
        <w:rPr>
          <w:sz w:val="36"/>
          <w:szCs w:val="36"/>
        </w:rPr>
      </w:pPr>
    </w:p>
    <w:p w14:paraId="6E416D16" w14:textId="77777777" w:rsidR="00BF09CF" w:rsidRPr="00BF09CF" w:rsidRDefault="00BF09CF" w:rsidP="00BF09CF">
      <w:pPr>
        <w:pStyle w:val="Quote"/>
        <w:rPr>
          <w:sz w:val="36"/>
          <w:szCs w:val="36"/>
        </w:rPr>
      </w:pPr>
      <w:r w:rsidRPr="00BF09CF">
        <w:rPr>
          <w:sz w:val="36"/>
          <w:szCs w:val="36"/>
        </w:rPr>
        <w:t>Assignment Title: Coursework – Portfolio -Component 1</w:t>
      </w:r>
    </w:p>
    <w:p w14:paraId="5F02C906" w14:textId="77777777" w:rsidR="00BF09CF" w:rsidRPr="00BF09CF" w:rsidRDefault="00BF09CF" w:rsidP="00BF09CF">
      <w:pPr>
        <w:pStyle w:val="Quote"/>
        <w:rPr>
          <w:sz w:val="36"/>
          <w:szCs w:val="36"/>
        </w:rPr>
      </w:pPr>
    </w:p>
    <w:p w14:paraId="08E6C878" w14:textId="672D2F7B" w:rsidR="00BF09CF" w:rsidRPr="00BF09CF" w:rsidRDefault="00BF09CF" w:rsidP="00BF09CF">
      <w:pPr>
        <w:pStyle w:val="Quote"/>
        <w:rPr>
          <w:sz w:val="36"/>
          <w:szCs w:val="36"/>
        </w:rPr>
      </w:pPr>
      <w:r w:rsidRPr="00BF09CF">
        <w:rPr>
          <w:sz w:val="36"/>
          <w:szCs w:val="36"/>
        </w:rPr>
        <w:t>Lecturer Name:</w:t>
      </w:r>
      <w:r w:rsidR="004D39A2" w:rsidRPr="004D39A2">
        <w:t xml:space="preserve"> </w:t>
      </w:r>
      <w:r w:rsidR="004D39A2" w:rsidRPr="004D39A2">
        <w:rPr>
          <w:sz w:val="36"/>
          <w:szCs w:val="36"/>
        </w:rPr>
        <w:t>Dennis Pepple</w:t>
      </w:r>
    </w:p>
    <w:p w14:paraId="5984D2DD" w14:textId="77777777" w:rsidR="0097371B" w:rsidRDefault="0097371B">
      <w:pPr>
        <w:rPr>
          <w:sz w:val="36"/>
          <w:szCs w:val="36"/>
        </w:rPr>
      </w:pPr>
    </w:p>
    <w:p w14:paraId="0A54E510" w14:textId="77777777" w:rsidR="00BF09CF" w:rsidRPr="00BF09CF" w:rsidRDefault="00BF09CF" w:rsidP="00BF09CF">
      <w:pPr>
        <w:rPr>
          <w:sz w:val="36"/>
          <w:szCs w:val="36"/>
        </w:rPr>
      </w:pPr>
    </w:p>
    <w:p w14:paraId="51D1ECC1" w14:textId="77777777" w:rsidR="00BF09CF" w:rsidRPr="00BF09CF" w:rsidRDefault="00BF09CF" w:rsidP="00BF09CF">
      <w:pPr>
        <w:rPr>
          <w:sz w:val="36"/>
          <w:szCs w:val="36"/>
        </w:rPr>
      </w:pPr>
    </w:p>
    <w:p w14:paraId="789C0B77" w14:textId="77777777" w:rsidR="00BF09CF" w:rsidRDefault="00BF09CF" w:rsidP="00BF09CF">
      <w:pPr>
        <w:rPr>
          <w:sz w:val="36"/>
          <w:szCs w:val="36"/>
        </w:rPr>
      </w:pPr>
    </w:p>
    <w:p w14:paraId="2510F262" w14:textId="77777777" w:rsidR="00BF09CF" w:rsidRDefault="00BF09CF" w:rsidP="00BF09CF">
      <w:pPr>
        <w:rPr>
          <w:sz w:val="36"/>
          <w:szCs w:val="36"/>
        </w:rPr>
      </w:pPr>
    </w:p>
    <w:p w14:paraId="113D7E7F" w14:textId="77777777" w:rsidR="00BF09CF" w:rsidRPr="00BF09CF" w:rsidRDefault="00BF09CF" w:rsidP="00BF09CF">
      <w:pPr>
        <w:pStyle w:val="Heading1"/>
        <w:jc w:val="center"/>
      </w:pPr>
      <w:r w:rsidRPr="00BF09CF">
        <w:lastRenderedPageBreak/>
        <w:t>Table of Contents</w:t>
      </w:r>
    </w:p>
    <w:p w14:paraId="7F2A81E9" w14:textId="77777777" w:rsidR="00BF09CF" w:rsidRPr="00BF09CF" w:rsidRDefault="00BF09CF" w:rsidP="00BF09CF"/>
    <w:p w14:paraId="1CC6B531" w14:textId="218321C9" w:rsidR="00BF09CF" w:rsidRPr="00BF09CF" w:rsidRDefault="00BF09CF" w:rsidP="00BF09CF">
      <w:r w:rsidRPr="00BF09CF">
        <w:t xml:space="preserve">Introduction .................................................................................. </w:t>
      </w:r>
      <w:r w:rsidR="00A36767">
        <w:t>3</w:t>
      </w:r>
    </w:p>
    <w:p w14:paraId="0E21E1DC" w14:textId="532730AC" w:rsidR="00BF09CF" w:rsidRPr="00BF09CF" w:rsidRDefault="00BF09CF" w:rsidP="00BF09CF">
      <w:r w:rsidRPr="00BF09CF">
        <w:t>Background of the Project</w:t>
      </w:r>
      <w:r w:rsidR="00A36767">
        <w:t>………………………………………………………3</w:t>
      </w:r>
    </w:p>
    <w:p w14:paraId="44E26C38" w14:textId="7EE36622" w:rsidR="00BF09CF" w:rsidRPr="00BF09CF" w:rsidRDefault="00BF09CF" w:rsidP="00BF09CF">
      <w:r w:rsidRPr="00BF09CF">
        <w:t>Relevance of the Light Rail Development</w:t>
      </w:r>
      <w:r w:rsidR="00D005B0">
        <w:t>……………………………….3</w:t>
      </w:r>
    </w:p>
    <w:p w14:paraId="3D5E7C22" w14:textId="3467D408" w:rsidR="00BF09CF" w:rsidRPr="00BF09CF" w:rsidRDefault="00BF09CF" w:rsidP="00BF09CF">
      <w:r w:rsidRPr="00BF09CF">
        <w:t>Key Stakeholders and Their Benefits</w:t>
      </w:r>
      <w:r w:rsidR="00D005B0">
        <w:t>………………………………………</w:t>
      </w:r>
      <w:proofErr w:type="gramStart"/>
      <w:r w:rsidR="00D005B0">
        <w:t>…..</w:t>
      </w:r>
      <w:proofErr w:type="gramEnd"/>
      <w:r w:rsidR="00D005B0">
        <w:t>4</w:t>
      </w:r>
    </w:p>
    <w:p w14:paraId="6CCCEB62" w14:textId="77777777" w:rsidR="00BF09CF" w:rsidRPr="00BF09CF" w:rsidRDefault="00BF09CF" w:rsidP="00BF09CF"/>
    <w:p w14:paraId="0C6EEFF0" w14:textId="77777777" w:rsidR="00BF09CF" w:rsidRPr="00BF09CF" w:rsidRDefault="00BF09CF" w:rsidP="00BF09CF">
      <w:r w:rsidRPr="00BF09CF">
        <w:t>Stakeholder Engagement Strategies ........................................... 5</w:t>
      </w:r>
    </w:p>
    <w:p w14:paraId="16F77BDE" w14:textId="1852B56D" w:rsidR="00BF09CF" w:rsidRPr="00BF09CF" w:rsidRDefault="00BF09CF" w:rsidP="00BF09CF">
      <w:r w:rsidRPr="00BF09CF">
        <w:t>Stakeholder Power, Influence, and Interest Analysis</w:t>
      </w:r>
      <w:r w:rsidR="00D005B0">
        <w:t>……………….5</w:t>
      </w:r>
    </w:p>
    <w:p w14:paraId="2F57B789" w14:textId="56D9904B" w:rsidR="00BF09CF" w:rsidRPr="00BF09CF" w:rsidRDefault="00BF09CF" w:rsidP="00BF09CF">
      <w:r w:rsidRPr="00BF09CF">
        <w:t>Stakeholder Map and Quadrant Justification</w:t>
      </w:r>
      <w:r w:rsidR="00D005B0">
        <w:t>……………………….6</w:t>
      </w:r>
    </w:p>
    <w:p w14:paraId="5328CBF9" w14:textId="48274297" w:rsidR="00BF09CF" w:rsidRPr="00BF09CF" w:rsidRDefault="00BF09CF" w:rsidP="00BF09CF">
      <w:r w:rsidRPr="00BF09CF">
        <w:t>Communication and Consultation Strategy</w:t>
      </w:r>
      <w:r w:rsidR="00D005B0">
        <w:t>………………………….7</w:t>
      </w:r>
    </w:p>
    <w:p w14:paraId="5F25FB0D" w14:textId="77777777" w:rsidR="00BF09CF" w:rsidRPr="00BF09CF" w:rsidRDefault="00BF09CF" w:rsidP="00BF09CF"/>
    <w:p w14:paraId="4F1D1BA1" w14:textId="1E2C05E3" w:rsidR="00BF09CF" w:rsidRPr="00BF09CF" w:rsidRDefault="00BF09CF" w:rsidP="00BF09CF">
      <w:r w:rsidRPr="00BF09CF">
        <w:t xml:space="preserve">Ethical Considerations in Stakeholder Engagement ................... </w:t>
      </w:r>
      <w:r w:rsidR="00D005B0">
        <w:t>8</w:t>
      </w:r>
    </w:p>
    <w:p w14:paraId="2AB9DDA2" w14:textId="004AEDE1" w:rsidR="00BF09CF" w:rsidRPr="00BF09CF" w:rsidRDefault="00BF09CF" w:rsidP="00BF09CF">
      <w:r w:rsidRPr="00BF09CF">
        <w:t>Methods of Consultation</w:t>
      </w:r>
      <w:r w:rsidR="00D005B0">
        <w:t>……………………………………………………9</w:t>
      </w:r>
    </w:p>
    <w:p w14:paraId="37786A24" w14:textId="3049C607" w:rsidR="00BF09CF" w:rsidRPr="00BF09CF" w:rsidRDefault="00BF09CF" w:rsidP="00BF09CF">
      <w:r w:rsidRPr="00BF09CF">
        <w:t>Ethical Issues in Data Collection and Participation</w:t>
      </w:r>
      <w:r w:rsidR="00D005B0">
        <w:t>………………………10</w:t>
      </w:r>
    </w:p>
    <w:p w14:paraId="218CBC33" w14:textId="0286DD77" w:rsidR="00BF09CF" w:rsidRPr="00BF09CF" w:rsidRDefault="00BF09CF" w:rsidP="00BF09CF">
      <w:r w:rsidRPr="00BF09CF">
        <w:t>Diversity, Equity, and Inclusion (DEI) in Engagement</w:t>
      </w:r>
      <w:r w:rsidR="00BE17ED">
        <w:t>……………………..11</w:t>
      </w:r>
    </w:p>
    <w:p w14:paraId="2F1CB131" w14:textId="690EDF0C" w:rsidR="00BF09CF" w:rsidRPr="00BF09CF" w:rsidRDefault="00BF09CF" w:rsidP="00BF09CF">
      <w:r w:rsidRPr="00BF09CF">
        <w:t>Mechanisms for Feedback Collection and Review</w:t>
      </w:r>
      <w:r w:rsidR="00BE17ED">
        <w:t>……………………….11</w:t>
      </w:r>
    </w:p>
    <w:p w14:paraId="7AC67545" w14:textId="77777777" w:rsidR="00BF09CF" w:rsidRPr="00BF09CF" w:rsidRDefault="00BF09CF" w:rsidP="00BF09CF"/>
    <w:p w14:paraId="2A8DDB6B" w14:textId="0CFE1E57" w:rsidR="00BF09CF" w:rsidRPr="00BF09CF" w:rsidRDefault="00BF09CF" w:rsidP="00BF09CF">
      <w:r w:rsidRPr="00BF09CF">
        <w:t xml:space="preserve">Conclusion and Reflection ........................................................ </w:t>
      </w:r>
      <w:r w:rsidR="00BE17ED">
        <w:t>12</w:t>
      </w:r>
    </w:p>
    <w:p w14:paraId="1F275B62" w14:textId="40C8EBAD" w:rsidR="00BF09CF" w:rsidRPr="00BF09CF" w:rsidRDefault="00BF09CF" w:rsidP="00BF09CF">
      <w:r w:rsidRPr="00BF09CF">
        <w:t>Conclusion: The Importance of Stakeholder Engagement</w:t>
      </w:r>
      <w:r w:rsidR="00BE17ED">
        <w:t>…………………12,13</w:t>
      </w:r>
    </w:p>
    <w:p w14:paraId="43E98B54" w14:textId="26CFFBBE" w:rsidR="00BF09CF" w:rsidRPr="00BF09CF" w:rsidRDefault="00BF09CF" w:rsidP="00BF09CF">
      <w:r w:rsidRPr="00BF09CF">
        <w:t>Reflective Account: Lessons for Junior Stakeholder Managers</w:t>
      </w:r>
      <w:r w:rsidR="00BE17ED">
        <w:t>………………14</w:t>
      </w:r>
    </w:p>
    <w:p w14:paraId="7192EF5A" w14:textId="77777777" w:rsidR="00BF09CF" w:rsidRPr="00BF09CF" w:rsidRDefault="00BF09CF" w:rsidP="00BF09CF"/>
    <w:p w14:paraId="2CF547BB" w14:textId="06DB3D16" w:rsidR="00BF09CF" w:rsidRPr="00BF09CF" w:rsidRDefault="00BF09CF" w:rsidP="00BF09CF">
      <w:r w:rsidRPr="00BF09CF">
        <w:t xml:space="preserve">References ................................................................................... </w:t>
      </w:r>
      <w:r w:rsidR="00BE17ED">
        <w:t>15</w:t>
      </w:r>
    </w:p>
    <w:p w14:paraId="58CDAA79" w14:textId="77777777" w:rsidR="00BF09CF" w:rsidRPr="00BF09CF" w:rsidRDefault="00BF09CF" w:rsidP="00BF09CF"/>
    <w:p w14:paraId="750428C5" w14:textId="77777777" w:rsidR="00BF09CF" w:rsidRPr="00BF09CF" w:rsidRDefault="00BF09CF" w:rsidP="00BF09CF"/>
    <w:p w14:paraId="112F06E0" w14:textId="77777777" w:rsidR="00BF09CF" w:rsidRPr="00BF09CF" w:rsidRDefault="00BF09CF" w:rsidP="00BF09CF"/>
    <w:p w14:paraId="073494F8" w14:textId="77777777" w:rsidR="00BF09CF" w:rsidRDefault="00BF09CF" w:rsidP="00BF09CF"/>
    <w:p w14:paraId="3B4FF293" w14:textId="77777777" w:rsidR="00BE4DCF" w:rsidRDefault="00BE4DCF" w:rsidP="00BF09CF"/>
    <w:p w14:paraId="4B8544F3" w14:textId="77777777" w:rsidR="00BE4DCF" w:rsidRDefault="00BE4DCF" w:rsidP="00BF09CF"/>
    <w:p w14:paraId="39D686B0" w14:textId="77777777" w:rsidR="00BE4DCF" w:rsidRDefault="00BE4DCF" w:rsidP="00BF09CF"/>
    <w:p w14:paraId="0E579950" w14:textId="77777777" w:rsidR="00BE4DCF" w:rsidRPr="00BF09CF" w:rsidRDefault="00BE4DCF" w:rsidP="00BF09CF"/>
    <w:p w14:paraId="5D193BA6" w14:textId="4C451F6D" w:rsidR="00BF09CF" w:rsidRDefault="00BF09CF" w:rsidP="00BF09CF">
      <w:pPr>
        <w:rPr>
          <w:b/>
          <w:bCs/>
          <w:i/>
          <w:iCs/>
          <w:sz w:val="24"/>
          <w:szCs w:val="24"/>
        </w:rPr>
      </w:pPr>
      <w:r w:rsidRPr="00BF09CF">
        <w:rPr>
          <w:b/>
          <w:bCs/>
          <w:i/>
          <w:iCs/>
          <w:sz w:val="24"/>
          <w:szCs w:val="24"/>
        </w:rPr>
        <w:lastRenderedPageBreak/>
        <w:t>Element 1: Introduction</w:t>
      </w:r>
    </w:p>
    <w:p w14:paraId="1AA0D702" w14:textId="77777777" w:rsidR="00FC6402" w:rsidRDefault="00BF09CF" w:rsidP="00FC6402">
      <w:r w:rsidRPr="00BF09CF">
        <w:t>Bristol, a lively city located in the Southwest of England, encounters considerable challenges concerning traffic congestion, air pollution, and the necessity for sustainable urban development.</w:t>
      </w:r>
      <w:r>
        <w:t xml:space="preserve"> </w:t>
      </w:r>
      <w:r w:rsidRPr="00BF09CF">
        <w:t>In addressing these concerns, the proposed MetroWest Phase 2 light rail extension intends to improve public transportation infrastructure, lessen dependence on private vehicles, and encourage environmental sustainability.</w:t>
      </w:r>
      <w:r>
        <w:t xml:space="preserve"> </w:t>
      </w:r>
      <w:r w:rsidRPr="00BF09CF">
        <w:t>This initiative is especially relevant as it aims to link important areas within the city, such as the vibrant City Centre, the residential and commercial districts of Bedminster, and the growing developments in Brislington.</w:t>
      </w:r>
    </w:p>
    <w:p w14:paraId="61300159" w14:textId="77777777" w:rsidR="00FC6402" w:rsidRDefault="00FC6402" w:rsidP="00FC6402">
      <w:pPr>
        <w:rPr>
          <w:b/>
          <w:bCs/>
        </w:rPr>
      </w:pPr>
    </w:p>
    <w:p w14:paraId="0E23C50B" w14:textId="5A71F77B" w:rsidR="00FC6402" w:rsidRPr="00FC6402" w:rsidRDefault="00BF09CF" w:rsidP="00FC6402">
      <w:r w:rsidRPr="00FC6402">
        <w:rPr>
          <w:b/>
          <w:bCs/>
        </w:rPr>
        <w:t>Project Relevance</w:t>
      </w:r>
      <w:r>
        <w:rPr>
          <w:b/>
          <w:bCs/>
          <w:i/>
          <w:iCs/>
        </w:rPr>
        <w:t xml:space="preserve"> </w:t>
      </w:r>
      <w:r w:rsidR="00FC6402">
        <w:rPr>
          <w:b/>
          <w:bCs/>
          <w:i/>
          <w:iCs/>
        </w:rPr>
        <w:t>-</w:t>
      </w:r>
      <w:r>
        <w:rPr>
          <w:b/>
          <w:bCs/>
          <w:i/>
          <w:iCs/>
        </w:rPr>
        <w:t xml:space="preserve"> </w:t>
      </w:r>
      <w:r w:rsidR="00FC6402" w:rsidRPr="00FC6402">
        <w:rPr>
          <w:b/>
          <w:bCs/>
          <w:i/>
          <w:iCs/>
        </w:rPr>
        <w:t>The MetroWest Phase 2 extension aims to tackle several urgent issues:</w:t>
      </w:r>
    </w:p>
    <w:p w14:paraId="0C1AEC44" w14:textId="59FED7D0" w:rsidR="00FC6402" w:rsidRPr="00FC6402" w:rsidRDefault="00FC6402" w:rsidP="00FC6402">
      <w:pPr>
        <w:pStyle w:val="ListParagraph"/>
        <w:numPr>
          <w:ilvl w:val="0"/>
          <w:numId w:val="1"/>
        </w:numPr>
      </w:pPr>
      <w:r w:rsidRPr="00FC6402">
        <w:rPr>
          <w:b/>
          <w:bCs/>
        </w:rPr>
        <w:t>Traffic Congestion</w:t>
      </w:r>
      <w:r w:rsidRPr="00FC6402">
        <w:t>: The rising number of vehicles on Bristol's roads has resulted in considerable traffic jams, especially during peak hours. The implementation of a light rail system is anticipated to ease congestion by offering an efficient alternative mode of transportation.</w:t>
      </w:r>
    </w:p>
    <w:p w14:paraId="4C62847B" w14:textId="7DD9AE0D" w:rsidR="00FC6402" w:rsidRPr="00FC6402" w:rsidRDefault="00FC6402" w:rsidP="00FC6402">
      <w:pPr>
        <w:pStyle w:val="ListParagraph"/>
        <w:numPr>
          <w:ilvl w:val="0"/>
          <w:numId w:val="1"/>
        </w:numPr>
      </w:pPr>
      <w:r w:rsidRPr="00FC6402">
        <w:rPr>
          <w:b/>
          <w:bCs/>
        </w:rPr>
        <w:t>Environmental Impact</w:t>
      </w:r>
      <w:r w:rsidRPr="00FC6402">
        <w:t>: In line with the city's dedication to lowering carbon emissions, the light rail system provides a more environmentally friendly option compared to fossil fuel-dependent vehicles, aiding Bristol's sustainability objectives.</w:t>
      </w:r>
    </w:p>
    <w:p w14:paraId="3CE73852" w14:textId="009CC8F7" w:rsidR="00BF09CF" w:rsidRDefault="00FC6402" w:rsidP="00FC6402">
      <w:pPr>
        <w:pStyle w:val="ListParagraph"/>
        <w:numPr>
          <w:ilvl w:val="0"/>
          <w:numId w:val="1"/>
        </w:numPr>
      </w:pPr>
      <w:r w:rsidRPr="00FC6402">
        <w:rPr>
          <w:b/>
          <w:bCs/>
        </w:rPr>
        <w:t>Urban Development</w:t>
      </w:r>
      <w:r w:rsidRPr="00FC6402">
        <w:t>: The extension will enhance the city's expansion by improving connectivity between residential neighbourhoods and commercial areas, thus promoting economic growth.</w:t>
      </w:r>
    </w:p>
    <w:p w14:paraId="51AA536F" w14:textId="77777777" w:rsidR="00FC6402" w:rsidRDefault="00FC6402" w:rsidP="00FC6402"/>
    <w:p w14:paraId="2C9B3CA3" w14:textId="77777777" w:rsidR="00FC6402" w:rsidRDefault="00FC6402" w:rsidP="00FC6402">
      <w:pPr>
        <w:rPr>
          <w:b/>
          <w:bCs/>
        </w:rPr>
      </w:pPr>
    </w:p>
    <w:p w14:paraId="6459729C" w14:textId="70CB6E93" w:rsidR="00FC6402" w:rsidRPr="00FC6402" w:rsidRDefault="00FC6402" w:rsidP="00FC6402">
      <w:pPr>
        <w:rPr>
          <w:b/>
          <w:bCs/>
          <w:i/>
          <w:iCs/>
        </w:rPr>
      </w:pPr>
      <w:r w:rsidRPr="00FC6402">
        <w:rPr>
          <w:b/>
          <w:bCs/>
        </w:rPr>
        <w:t>Stakeholder Identification</w:t>
      </w:r>
      <w:r>
        <w:t xml:space="preserve"> - </w:t>
      </w:r>
      <w:r w:rsidRPr="00FC6402">
        <w:rPr>
          <w:b/>
          <w:bCs/>
          <w:i/>
          <w:iCs/>
        </w:rPr>
        <w:t xml:space="preserve">Several key stakeholders are integral to the success of the MetroWest Phase 2 </w:t>
      </w:r>
      <w:r w:rsidR="00BE17ED" w:rsidRPr="00FC6402">
        <w:rPr>
          <w:b/>
          <w:bCs/>
          <w:i/>
          <w:iCs/>
        </w:rPr>
        <w:t>project,</w:t>
      </w:r>
      <w:r w:rsidR="003108F3">
        <w:rPr>
          <w:b/>
          <w:bCs/>
          <w:i/>
          <w:iCs/>
        </w:rPr>
        <w:t xml:space="preserve"> and these are </w:t>
      </w:r>
    </w:p>
    <w:p w14:paraId="40AE6C87" w14:textId="408A8E2E" w:rsidR="00FC6402" w:rsidRDefault="00FC6402" w:rsidP="00FC6402">
      <w:pPr>
        <w:pStyle w:val="ListParagraph"/>
        <w:numPr>
          <w:ilvl w:val="0"/>
          <w:numId w:val="2"/>
        </w:numPr>
      </w:pPr>
      <w:r w:rsidRPr="00FC6402">
        <w:rPr>
          <w:b/>
          <w:bCs/>
        </w:rPr>
        <w:t>Local Government Authorities</w:t>
      </w:r>
      <w:r>
        <w:t>: Tasked with planning, funding, and granting regulatory approvals, they are essential to the initiation and execution of the project.</w:t>
      </w:r>
    </w:p>
    <w:p w14:paraId="7F5E7C5A" w14:textId="035C29B8" w:rsidR="00FC6402" w:rsidRDefault="00FC6402" w:rsidP="00FC6402">
      <w:pPr>
        <w:pStyle w:val="ListParagraph"/>
        <w:numPr>
          <w:ilvl w:val="0"/>
          <w:numId w:val="2"/>
        </w:numPr>
      </w:pPr>
      <w:r w:rsidRPr="00FC6402">
        <w:rPr>
          <w:b/>
          <w:bCs/>
        </w:rPr>
        <w:t>Residents and Commuters</w:t>
      </w:r>
      <w:r>
        <w:t>: As the main users of the transport system, it is imperative to address their needs and concerns to guarantee the project's success.</w:t>
      </w:r>
    </w:p>
    <w:p w14:paraId="27650326" w14:textId="6F66E96A" w:rsidR="00FC6402" w:rsidRDefault="00FC6402" w:rsidP="00FC6402">
      <w:pPr>
        <w:pStyle w:val="ListParagraph"/>
        <w:numPr>
          <w:ilvl w:val="0"/>
          <w:numId w:val="2"/>
        </w:numPr>
      </w:pPr>
      <w:r w:rsidRPr="00FC6402">
        <w:rPr>
          <w:b/>
          <w:bCs/>
        </w:rPr>
        <w:t>Environmental Groups</w:t>
      </w:r>
      <w:r>
        <w:t>: Organisations that advocate for sustainable development will have a vested interest in the environmental implications of the project.</w:t>
      </w:r>
    </w:p>
    <w:p w14:paraId="7001C600" w14:textId="262CEE29" w:rsidR="00FC6402" w:rsidRDefault="00FC6402" w:rsidP="00FC6402">
      <w:pPr>
        <w:pStyle w:val="ListParagraph"/>
        <w:numPr>
          <w:ilvl w:val="0"/>
          <w:numId w:val="2"/>
        </w:numPr>
      </w:pPr>
      <w:r w:rsidRPr="00FC6402">
        <w:rPr>
          <w:b/>
          <w:bCs/>
        </w:rPr>
        <w:t>Local Businesses</w:t>
      </w:r>
      <w:r>
        <w:t>: Enterprises situated along the proposed route may witness alterations in customer traffic and accessibility.</w:t>
      </w:r>
    </w:p>
    <w:p w14:paraId="5369605D" w14:textId="4C8D6E43" w:rsidR="00FC6402" w:rsidRDefault="00FC6402" w:rsidP="00FC6402">
      <w:pPr>
        <w:pStyle w:val="ListParagraph"/>
        <w:numPr>
          <w:ilvl w:val="0"/>
          <w:numId w:val="2"/>
        </w:numPr>
      </w:pPr>
      <w:r w:rsidRPr="00FC6402">
        <w:rPr>
          <w:b/>
          <w:bCs/>
        </w:rPr>
        <w:t>Transport Unions</w:t>
      </w:r>
      <w:r>
        <w:t>: Representing the workforce responsible for the operation and maintenance of the light rail system, their contributions are crucial for effective operational planning.</w:t>
      </w:r>
    </w:p>
    <w:p w14:paraId="39C5A1B4" w14:textId="0CA2B40B" w:rsidR="00FC6402" w:rsidRDefault="00FC6402" w:rsidP="00FC6402">
      <w:pPr>
        <w:pStyle w:val="ListParagraph"/>
        <w:numPr>
          <w:ilvl w:val="0"/>
          <w:numId w:val="2"/>
        </w:numPr>
      </w:pPr>
      <w:r w:rsidRPr="00FC6402">
        <w:rPr>
          <w:b/>
          <w:bCs/>
        </w:rPr>
        <w:t>Developers and Investors</w:t>
      </w:r>
      <w:r>
        <w:t>: Stakeholders who are keen on the economic prospects that arise from enhanced infrastructure and improved accessibility.</w:t>
      </w:r>
    </w:p>
    <w:p w14:paraId="0C7307FE" w14:textId="77777777" w:rsidR="00FC6402" w:rsidRDefault="00FC6402" w:rsidP="00FC6402"/>
    <w:p w14:paraId="7332B476" w14:textId="77777777" w:rsidR="00FC6402" w:rsidRDefault="00FC6402" w:rsidP="00FC6402"/>
    <w:p w14:paraId="0623ECF5" w14:textId="34065D36" w:rsidR="00FC6402" w:rsidRPr="00FC6402" w:rsidRDefault="00FC6402" w:rsidP="00FC6402">
      <w:pPr>
        <w:rPr>
          <w:b/>
          <w:bCs/>
          <w:i/>
          <w:iCs/>
        </w:rPr>
      </w:pPr>
      <w:r w:rsidRPr="00FC6402">
        <w:rPr>
          <w:b/>
          <w:bCs/>
        </w:rPr>
        <w:lastRenderedPageBreak/>
        <w:t xml:space="preserve">Social Media Analysis - </w:t>
      </w:r>
      <w:r w:rsidRPr="00FC6402">
        <w:rPr>
          <w:b/>
          <w:bCs/>
          <w:i/>
          <w:iCs/>
        </w:rPr>
        <w:t>An analysis of local social media platforms reveals a mix of support and scepticism regarding the proposed light rail extension:</w:t>
      </w:r>
    </w:p>
    <w:p w14:paraId="1ABE6B19" w14:textId="630788A6" w:rsidR="00FC6402" w:rsidRDefault="00FC6402" w:rsidP="00FC6402">
      <w:pPr>
        <w:pStyle w:val="ListParagraph"/>
        <w:numPr>
          <w:ilvl w:val="0"/>
          <w:numId w:val="3"/>
        </w:numPr>
      </w:pPr>
      <w:r w:rsidRPr="00FC6402">
        <w:rPr>
          <w:b/>
          <w:bCs/>
        </w:rPr>
        <w:t>Supportive Voices</w:t>
      </w:r>
      <w:r>
        <w:t xml:space="preserve">: Numerous residents convey their excitement regarding the prospective advantages of the light rail system, </w:t>
      </w:r>
      <w:r w:rsidR="007867B0">
        <w:t>accenting</w:t>
      </w:r>
      <w:r>
        <w:t xml:space="preserve"> diminished traffic congestion and enhanced air quality as primary benefits. Conversations on platforms such as Reddit and Facebook groups focused on Bristol's urban development showcase an optimistic perspective on the project's ability to improve mobility and aid the city's sustainability initiatives.</w:t>
      </w:r>
    </w:p>
    <w:p w14:paraId="4AEA6839" w14:textId="39589B7B" w:rsidR="00FC6402" w:rsidRDefault="00FC6402" w:rsidP="00FC6402">
      <w:pPr>
        <w:pStyle w:val="ListParagraph"/>
        <w:numPr>
          <w:ilvl w:val="0"/>
          <w:numId w:val="3"/>
        </w:numPr>
      </w:pPr>
      <w:r w:rsidRPr="00FC6402">
        <w:rPr>
          <w:b/>
          <w:bCs/>
        </w:rPr>
        <w:t>Concerns and Criticisms</w:t>
      </w:r>
      <w:r>
        <w:t>: In contrast, certain community members articulate apprehensions about the project's effects on existing infrastructure and possible disturbances during the construction phase. Critiques frequently centre on the sufficiency of current public transport options and the practicality of incorporating a new system into the city's framework without causing considerable disruption.</w:t>
      </w:r>
    </w:p>
    <w:p w14:paraId="044CD9D4" w14:textId="0568905D" w:rsidR="00FC6402" w:rsidRDefault="00FC6402" w:rsidP="00FC6402">
      <w:r>
        <w:rPr>
          <w:noProof/>
        </w:rPr>
        <w:drawing>
          <wp:anchor distT="0" distB="0" distL="114300" distR="114300" simplePos="0" relativeHeight="251660288" behindDoc="0" locked="0" layoutInCell="1" allowOverlap="1" wp14:anchorId="2AEF3551" wp14:editId="0167615E">
            <wp:simplePos x="0" y="0"/>
            <wp:positionH relativeFrom="margin">
              <wp:align>center</wp:align>
            </wp:positionH>
            <wp:positionV relativeFrom="paragraph">
              <wp:posOffset>1214755</wp:posOffset>
            </wp:positionV>
            <wp:extent cx="6610350" cy="2536190"/>
            <wp:effectExtent l="0" t="0" r="0" b="0"/>
            <wp:wrapSquare wrapText="bothSides"/>
            <wp:docPr id="39111535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6610350" cy="2536190"/>
                    </a:xfrm>
                    <a:prstGeom prst="rect">
                      <a:avLst/>
                    </a:prstGeom>
                    <a:noFill/>
                  </pic:spPr>
                </pic:pic>
              </a:graphicData>
            </a:graphic>
            <wp14:sizeRelH relativeFrom="page">
              <wp14:pctWidth>0</wp14:pctWidth>
            </wp14:sizeRelH>
            <wp14:sizeRelV relativeFrom="page">
              <wp14:pctHeight>0</wp14:pctHeight>
            </wp14:sizeRelV>
          </wp:anchor>
        </w:drawing>
      </w:r>
      <w:r>
        <w:t xml:space="preserve">In conclusion, the suggested MetroWest Phase 2 light rail extension in Bristol signifies a crucial advancement in updating the city's transportation infrastructure. By addressing the requirements of diverse stakeholders and considering public sentiment expressed through social media, the project can be </w:t>
      </w:r>
      <w:r w:rsidR="00504EA5">
        <w:t>modified</w:t>
      </w:r>
      <w:r>
        <w:t xml:space="preserve"> to </w:t>
      </w:r>
      <w:r w:rsidR="00504EA5">
        <w:t>enhance</w:t>
      </w:r>
      <w:r>
        <w:t xml:space="preserve"> benefits and reduce potential disadvantages, thereby ensuring its success and alignment with Bristol's long-term urban development objectives.</w:t>
      </w:r>
    </w:p>
    <w:p w14:paraId="6F0A010D" w14:textId="766153A8" w:rsidR="00FC6402" w:rsidRPr="00CF415F" w:rsidRDefault="00CF415F" w:rsidP="00FC6402">
      <w:pPr>
        <w:rPr>
          <w:b/>
          <w:bCs/>
        </w:rPr>
      </w:pPr>
      <w:r w:rsidRPr="00CF415F">
        <w:rPr>
          <w:b/>
          <w:bCs/>
        </w:rPr>
        <w:t xml:space="preserve">                    Figure 1: Map of MetroWest Phase 2 Proposed Rail Network</w:t>
      </w:r>
    </w:p>
    <w:p w14:paraId="76C9185C" w14:textId="3B3422AB" w:rsidR="00FC6402" w:rsidRDefault="00FC6402" w:rsidP="00FC6402"/>
    <w:p w14:paraId="5D1F6A6F" w14:textId="77777777" w:rsidR="00CF415F" w:rsidRPr="00CF415F" w:rsidRDefault="00CF415F" w:rsidP="00CF415F"/>
    <w:p w14:paraId="3E47D2F3" w14:textId="77777777" w:rsidR="00CF415F" w:rsidRDefault="00CF415F" w:rsidP="00CF415F"/>
    <w:p w14:paraId="1134FBDD" w14:textId="77777777" w:rsidR="00CF415F" w:rsidRDefault="00CF415F" w:rsidP="00CF415F"/>
    <w:p w14:paraId="2C0DB267" w14:textId="77777777" w:rsidR="00CF415F" w:rsidRDefault="00CF415F" w:rsidP="00CF415F"/>
    <w:p w14:paraId="25BA7B0B" w14:textId="77777777" w:rsidR="00CF415F" w:rsidRDefault="00CF415F" w:rsidP="00CF415F"/>
    <w:p w14:paraId="231AEC3E" w14:textId="77777777" w:rsidR="00CF415F" w:rsidRDefault="00CF415F" w:rsidP="00CF415F"/>
    <w:p w14:paraId="4A373430" w14:textId="77777777" w:rsidR="001134D3" w:rsidRDefault="001134D3" w:rsidP="00CF415F"/>
    <w:p w14:paraId="3B0A7ACB" w14:textId="1DF2A655" w:rsidR="002C52AF" w:rsidRDefault="00CF415F" w:rsidP="002C52AF">
      <w:pPr>
        <w:rPr>
          <w:b/>
          <w:bCs/>
          <w:i/>
          <w:iCs/>
          <w:sz w:val="24"/>
          <w:szCs w:val="24"/>
        </w:rPr>
      </w:pPr>
      <w:r w:rsidRPr="00CF415F">
        <w:rPr>
          <w:b/>
          <w:bCs/>
          <w:i/>
          <w:iCs/>
          <w:sz w:val="24"/>
          <w:szCs w:val="24"/>
        </w:rPr>
        <w:lastRenderedPageBreak/>
        <w:t>Element 2: Stakeholder Engagement Strategies</w:t>
      </w:r>
      <w:r>
        <w:rPr>
          <w:b/>
          <w:bCs/>
          <w:i/>
          <w:iCs/>
          <w:sz w:val="24"/>
          <w:szCs w:val="24"/>
        </w:rPr>
        <w:t xml:space="preserve"> </w:t>
      </w:r>
    </w:p>
    <w:p w14:paraId="385879D5" w14:textId="68863380" w:rsidR="002C52AF" w:rsidRPr="00A33BE9" w:rsidRDefault="002C52AF" w:rsidP="002C52AF">
      <w:r w:rsidRPr="00A33BE9">
        <w:t>Engaging stakeholders is crucial for the success of projects, especially in public infrastructure activities that have a direct impact on communities. In the case of the MetroWest Phase 2 Light Rail Project in Bristol, effective stakeholder management guarantees that the concerns of residents, local authorities, environmental organi</w:t>
      </w:r>
      <w:r w:rsidR="00E82835">
        <w:t>s</w:t>
      </w:r>
      <w:r w:rsidRPr="00A33BE9">
        <w:t xml:space="preserve">ations, and contractors are acknowledged and integrated into the decision-making process. As outlined in Freeman's (1984) stakeholder theory, projects that </w:t>
      </w:r>
      <w:r w:rsidR="001134D3" w:rsidRPr="00A33BE9">
        <w:t>consider</w:t>
      </w:r>
      <w:r w:rsidRPr="00A33BE9">
        <w:t xml:space="preserve"> and balance the needs of stakeholders are more likely to achieve success and maintain sustainability over the long term.</w:t>
      </w:r>
    </w:p>
    <w:p w14:paraId="53A96FBB" w14:textId="3BC7DC8F" w:rsidR="00741D36" w:rsidRPr="00A33BE9" w:rsidRDefault="00741D36" w:rsidP="002C52AF">
      <w:pPr>
        <w:rPr>
          <w:b/>
          <w:bCs/>
          <w:i/>
          <w:iCs/>
          <w:sz w:val="24"/>
          <w:szCs w:val="24"/>
        </w:rPr>
      </w:pPr>
      <w:r w:rsidRPr="00A33BE9">
        <w:rPr>
          <w:b/>
          <w:bCs/>
          <w:i/>
          <w:iCs/>
          <w:sz w:val="24"/>
          <w:szCs w:val="24"/>
        </w:rPr>
        <w:t>Power, Influence, and Interest Analysis</w:t>
      </w:r>
    </w:p>
    <w:p w14:paraId="79A81D81" w14:textId="1A64FD73" w:rsidR="00E22AC7" w:rsidRDefault="00E22AC7" w:rsidP="00E22AC7">
      <w:r w:rsidRPr="00A33BE9">
        <w:t>In stakeholder management, power refers to the ability of a stakeholder to influence project outcomes, while interest refers to their concern about the project’s success. Influence measures the stakeholder’s capacity to shape public or institutional opinion. Table 1 below outlines the categorisation of stakeholders for the MetroWest Phase 2 project.</w:t>
      </w:r>
    </w:p>
    <w:p w14:paraId="19351E5A" w14:textId="77777777" w:rsidR="00A6026B" w:rsidRPr="00A6026B" w:rsidRDefault="00A6026B" w:rsidP="00A6026B">
      <w:pPr>
        <w:rPr>
          <w:b/>
          <w:bCs/>
        </w:rPr>
      </w:pPr>
      <w:r w:rsidRPr="00A6026B">
        <w:rPr>
          <w:b/>
          <w:bCs/>
        </w:rPr>
        <w:t>Table 1: Stakeholder Power, Influence, and Interest Analysis</w:t>
      </w:r>
    </w:p>
    <w:tbl>
      <w:tblPr>
        <w:tblW w:w="0" w:type="auto"/>
        <w:tblCellSpacing w:w="1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15" w:type="dxa"/>
          <w:left w:w="15" w:type="dxa"/>
          <w:bottom w:w="15" w:type="dxa"/>
          <w:right w:w="15" w:type="dxa"/>
        </w:tblCellMar>
        <w:tblLook w:val="04A0" w:firstRow="1" w:lastRow="0" w:firstColumn="1" w:lastColumn="0" w:noHBand="0" w:noVBand="1"/>
      </w:tblPr>
      <w:tblGrid>
        <w:gridCol w:w="2519"/>
        <w:gridCol w:w="716"/>
        <w:gridCol w:w="859"/>
        <w:gridCol w:w="720"/>
        <w:gridCol w:w="4202"/>
      </w:tblGrid>
      <w:tr w:rsidR="00702730" w:rsidRPr="00702730" w14:paraId="00D85D2F" w14:textId="77777777" w:rsidTr="00E97A1A">
        <w:trPr>
          <w:tblHeader/>
          <w:tblCellSpacing w:w="15" w:type="dxa"/>
        </w:trPr>
        <w:tc>
          <w:tcPr>
            <w:tcW w:w="0" w:type="auto"/>
            <w:vAlign w:val="center"/>
            <w:hideMark/>
          </w:tcPr>
          <w:p w14:paraId="25DA169F" w14:textId="77777777" w:rsidR="00A6026B" w:rsidRPr="00A6026B" w:rsidRDefault="00A6026B" w:rsidP="00A6026B">
            <w:pPr>
              <w:rPr>
                <w:b/>
                <w:bCs/>
                <w:sz w:val="18"/>
                <w:szCs w:val="18"/>
              </w:rPr>
            </w:pPr>
            <w:r w:rsidRPr="00A6026B">
              <w:rPr>
                <w:b/>
                <w:bCs/>
                <w:sz w:val="18"/>
                <w:szCs w:val="18"/>
              </w:rPr>
              <w:t>Stakeholder</w:t>
            </w:r>
          </w:p>
        </w:tc>
        <w:tc>
          <w:tcPr>
            <w:tcW w:w="0" w:type="auto"/>
            <w:vAlign w:val="center"/>
            <w:hideMark/>
          </w:tcPr>
          <w:p w14:paraId="3AA2A6E2" w14:textId="77777777" w:rsidR="00A6026B" w:rsidRPr="00A6026B" w:rsidRDefault="00A6026B" w:rsidP="00A6026B">
            <w:pPr>
              <w:rPr>
                <w:b/>
                <w:bCs/>
                <w:sz w:val="18"/>
                <w:szCs w:val="18"/>
              </w:rPr>
            </w:pPr>
            <w:r w:rsidRPr="00A6026B">
              <w:rPr>
                <w:b/>
                <w:bCs/>
                <w:sz w:val="18"/>
                <w:szCs w:val="18"/>
              </w:rPr>
              <w:t>Power</w:t>
            </w:r>
          </w:p>
        </w:tc>
        <w:tc>
          <w:tcPr>
            <w:tcW w:w="0" w:type="auto"/>
            <w:vAlign w:val="center"/>
            <w:hideMark/>
          </w:tcPr>
          <w:p w14:paraId="0CE8ECC5" w14:textId="77777777" w:rsidR="00A6026B" w:rsidRPr="00A6026B" w:rsidRDefault="00A6026B" w:rsidP="00A6026B">
            <w:pPr>
              <w:rPr>
                <w:b/>
                <w:bCs/>
                <w:sz w:val="18"/>
                <w:szCs w:val="18"/>
              </w:rPr>
            </w:pPr>
            <w:r w:rsidRPr="00A6026B">
              <w:rPr>
                <w:b/>
                <w:bCs/>
                <w:sz w:val="18"/>
                <w:szCs w:val="18"/>
              </w:rPr>
              <w:t>Influence</w:t>
            </w:r>
          </w:p>
        </w:tc>
        <w:tc>
          <w:tcPr>
            <w:tcW w:w="0" w:type="auto"/>
            <w:vAlign w:val="center"/>
            <w:hideMark/>
          </w:tcPr>
          <w:p w14:paraId="5ECFEBAD" w14:textId="77777777" w:rsidR="00A6026B" w:rsidRPr="00A6026B" w:rsidRDefault="00A6026B" w:rsidP="00A6026B">
            <w:pPr>
              <w:rPr>
                <w:b/>
                <w:bCs/>
                <w:sz w:val="18"/>
                <w:szCs w:val="18"/>
              </w:rPr>
            </w:pPr>
            <w:r w:rsidRPr="00A6026B">
              <w:rPr>
                <w:b/>
                <w:bCs/>
                <w:sz w:val="18"/>
                <w:szCs w:val="18"/>
              </w:rPr>
              <w:t>Interest</w:t>
            </w:r>
          </w:p>
        </w:tc>
        <w:tc>
          <w:tcPr>
            <w:tcW w:w="0" w:type="auto"/>
            <w:vAlign w:val="center"/>
            <w:hideMark/>
          </w:tcPr>
          <w:p w14:paraId="699128D5" w14:textId="77777777" w:rsidR="00A6026B" w:rsidRPr="00A6026B" w:rsidRDefault="00A6026B" w:rsidP="00A6026B">
            <w:pPr>
              <w:rPr>
                <w:b/>
                <w:bCs/>
                <w:sz w:val="18"/>
                <w:szCs w:val="18"/>
              </w:rPr>
            </w:pPr>
            <w:r w:rsidRPr="00A6026B">
              <w:rPr>
                <w:b/>
                <w:bCs/>
                <w:sz w:val="18"/>
                <w:szCs w:val="18"/>
              </w:rPr>
              <w:t>Justification</w:t>
            </w:r>
          </w:p>
        </w:tc>
      </w:tr>
      <w:tr w:rsidR="00702730" w:rsidRPr="00702730" w14:paraId="604C9ACD" w14:textId="77777777" w:rsidTr="00E97A1A">
        <w:trPr>
          <w:tblCellSpacing w:w="15" w:type="dxa"/>
        </w:trPr>
        <w:tc>
          <w:tcPr>
            <w:tcW w:w="0" w:type="auto"/>
            <w:vAlign w:val="center"/>
            <w:hideMark/>
          </w:tcPr>
          <w:p w14:paraId="077B7379" w14:textId="77777777" w:rsidR="00A6026B" w:rsidRPr="00A6026B" w:rsidRDefault="00A6026B" w:rsidP="00A6026B">
            <w:pPr>
              <w:rPr>
                <w:sz w:val="18"/>
                <w:szCs w:val="18"/>
              </w:rPr>
            </w:pPr>
            <w:r w:rsidRPr="00A6026B">
              <w:rPr>
                <w:b/>
                <w:bCs/>
                <w:sz w:val="18"/>
                <w:szCs w:val="18"/>
              </w:rPr>
              <w:t>Local Government Authorities (Bristol City Council &amp; West of England Combined Authority)</w:t>
            </w:r>
          </w:p>
        </w:tc>
        <w:tc>
          <w:tcPr>
            <w:tcW w:w="0" w:type="auto"/>
            <w:vAlign w:val="center"/>
            <w:hideMark/>
          </w:tcPr>
          <w:p w14:paraId="2609A08F" w14:textId="77777777" w:rsidR="00A6026B" w:rsidRPr="00A6026B" w:rsidRDefault="00A6026B" w:rsidP="00A6026B">
            <w:pPr>
              <w:rPr>
                <w:sz w:val="18"/>
                <w:szCs w:val="18"/>
              </w:rPr>
            </w:pPr>
            <w:r w:rsidRPr="00A6026B">
              <w:rPr>
                <w:sz w:val="18"/>
                <w:szCs w:val="18"/>
              </w:rPr>
              <w:t>High</w:t>
            </w:r>
          </w:p>
        </w:tc>
        <w:tc>
          <w:tcPr>
            <w:tcW w:w="0" w:type="auto"/>
            <w:vAlign w:val="center"/>
            <w:hideMark/>
          </w:tcPr>
          <w:p w14:paraId="5A614462" w14:textId="77777777" w:rsidR="00A6026B" w:rsidRPr="00A6026B" w:rsidRDefault="00A6026B" w:rsidP="00A6026B">
            <w:pPr>
              <w:rPr>
                <w:sz w:val="18"/>
                <w:szCs w:val="18"/>
              </w:rPr>
            </w:pPr>
            <w:r w:rsidRPr="00A6026B">
              <w:rPr>
                <w:sz w:val="18"/>
                <w:szCs w:val="18"/>
              </w:rPr>
              <w:t>High</w:t>
            </w:r>
          </w:p>
        </w:tc>
        <w:tc>
          <w:tcPr>
            <w:tcW w:w="0" w:type="auto"/>
            <w:vAlign w:val="center"/>
            <w:hideMark/>
          </w:tcPr>
          <w:p w14:paraId="60894F29" w14:textId="77777777" w:rsidR="00A6026B" w:rsidRPr="00A6026B" w:rsidRDefault="00A6026B" w:rsidP="00A6026B">
            <w:pPr>
              <w:rPr>
                <w:sz w:val="18"/>
                <w:szCs w:val="18"/>
              </w:rPr>
            </w:pPr>
            <w:r w:rsidRPr="00A6026B">
              <w:rPr>
                <w:sz w:val="18"/>
                <w:szCs w:val="18"/>
              </w:rPr>
              <w:t>High</w:t>
            </w:r>
          </w:p>
        </w:tc>
        <w:tc>
          <w:tcPr>
            <w:tcW w:w="0" w:type="auto"/>
            <w:vAlign w:val="center"/>
            <w:hideMark/>
          </w:tcPr>
          <w:p w14:paraId="0EAEBB1A" w14:textId="77777777" w:rsidR="00A6026B" w:rsidRPr="00A6026B" w:rsidRDefault="00A6026B" w:rsidP="00A6026B">
            <w:pPr>
              <w:rPr>
                <w:sz w:val="18"/>
                <w:szCs w:val="18"/>
              </w:rPr>
            </w:pPr>
            <w:r w:rsidRPr="00A6026B">
              <w:rPr>
                <w:sz w:val="18"/>
                <w:szCs w:val="18"/>
              </w:rPr>
              <w:t>They oversee the project, provide regulatory approvals, and manage funding allocations. Their decisions determine project feasibility and policy alignment (Ngampravatdee, Njoya and Graham, 2023).</w:t>
            </w:r>
          </w:p>
        </w:tc>
      </w:tr>
      <w:tr w:rsidR="00702730" w:rsidRPr="00702730" w14:paraId="1B11856C" w14:textId="77777777" w:rsidTr="00E97A1A">
        <w:trPr>
          <w:tblCellSpacing w:w="15" w:type="dxa"/>
        </w:trPr>
        <w:tc>
          <w:tcPr>
            <w:tcW w:w="0" w:type="auto"/>
            <w:vAlign w:val="center"/>
            <w:hideMark/>
          </w:tcPr>
          <w:p w14:paraId="75DB99D0" w14:textId="77777777" w:rsidR="00A6026B" w:rsidRPr="00A6026B" w:rsidRDefault="00A6026B" w:rsidP="00A6026B">
            <w:pPr>
              <w:rPr>
                <w:sz w:val="18"/>
                <w:szCs w:val="18"/>
              </w:rPr>
            </w:pPr>
            <w:r w:rsidRPr="00A6026B">
              <w:rPr>
                <w:b/>
                <w:bCs/>
                <w:sz w:val="18"/>
                <w:szCs w:val="18"/>
              </w:rPr>
              <w:t>Residents &amp; Commuters</w:t>
            </w:r>
          </w:p>
        </w:tc>
        <w:tc>
          <w:tcPr>
            <w:tcW w:w="0" w:type="auto"/>
            <w:vAlign w:val="center"/>
            <w:hideMark/>
          </w:tcPr>
          <w:p w14:paraId="04A8BD9F" w14:textId="77777777" w:rsidR="00A6026B" w:rsidRPr="00A6026B" w:rsidRDefault="00A6026B" w:rsidP="00A6026B">
            <w:pPr>
              <w:rPr>
                <w:sz w:val="18"/>
                <w:szCs w:val="18"/>
              </w:rPr>
            </w:pPr>
            <w:r w:rsidRPr="00A6026B">
              <w:rPr>
                <w:sz w:val="18"/>
                <w:szCs w:val="18"/>
              </w:rPr>
              <w:t>Medium</w:t>
            </w:r>
          </w:p>
        </w:tc>
        <w:tc>
          <w:tcPr>
            <w:tcW w:w="0" w:type="auto"/>
            <w:vAlign w:val="center"/>
            <w:hideMark/>
          </w:tcPr>
          <w:p w14:paraId="587F3661" w14:textId="77777777" w:rsidR="00A6026B" w:rsidRPr="00A6026B" w:rsidRDefault="00A6026B" w:rsidP="00A6026B">
            <w:pPr>
              <w:rPr>
                <w:sz w:val="18"/>
                <w:szCs w:val="18"/>
              </w:rPr>
            </w:pPr>
            <w:r w:rsidRPr="00A6026B">
              <w:rPr>
                <w:sz w:val="18"/>
                <w:szCs w:val="18"/>
              </w:rPr>
              <w:t>Medium</w:t>
            </w:r>
          </w:p>
        </w:tc>
        <w:tc>
          <w:tcPr>
            <w:tcW w:w="0" w:type="auto"/>
            <w:vAlign w:val="center"/>
            <w:hideMark/>
          </w:tcPr>
          <w:p w14:paraId="23561B3B" w14:textId="77777777" w:rsidR="00A6026B" w:rsidRPr="00A6026B" w:rsidRDefault="00A6026B" w:rsidP="00A6026B">
            <w:pPr>
              <w:rPr>
                <w:sz w:val="18"/>
                <w:szCs w:val="18"/>
              </w:rPr>
            </w:pPr>
            <w:r w:rsidRPr="00A6026B">
              <w:rPr>
                <w:sz w:val="18"/>
                <w:szCs w:val="18"/>
              </w:rPr>
              <w:t>High</w:t>
            </w:r>
          </w:p>
        </w:tc>
        <w:tc>
          <w:tcPr>
            <w:tcW w:w="0" w:type="auto"/>
            <w:vAlign w:val="center"/>
            <w:hideMark/>
          </w:tcPr>
          <w:p w14:paraId="395F60CE" w14:textId="77777777" w:rsidR="00A6026B" w:rsidRPr="00A6026B" w:rsidRDefault="00A6026B" w:rsidP="00A6026B">
            <w:pPr>
              <w:rPr>
                <w:sz w:val="18"/>
                <w:szCs w:val="18"/>
              </w:rPr>
            </w:pPr>
            <w:r w:rsidRPr="00A6026B">
              <w:rPr>
                <w:sz w:val="18"/>
                <w:szCs w:val="18"/>
              </w:rPr>
              <w:t>As primary users, they influence project reputation through support or opposition expressed via community feedback and social media (Prebanic, Kumardinkar and Erkul, 2023).</w:t>
            </w:r>
          </w:p>
        </w:tc>
      </w:tr>
      <w:tr w:rsidR="00702730" w:rsidRPr="00702730" w14:paraId="3AA39972" w14:textId="77777777" w:rsidTr="00E97A1A">
        <w:trPr>
          <w:tblCellSpacing w:w="15" w:type="dxa"/>
        </w:trPr>
        <w:tc>
          <w:tcPr>
            <w:tcW w:w="0" w:type="auto"/>
            <w:vAlign w:val="center"/>
            <w:hideMark/>
          </w:tcPr>
          <w:p w14:paraId="0A3837C3" w14:textId="77777777" w:rsidR="00A6026B" w:rsidRPr="00A6026B" w:rsidRDefault="00A6026B" w:rsidP="00A6026B">
            <w:pPr>
              <w:rPr>
                <w:sz w:val="18"/>
                <w:szCs w:val="18"/>
              </w:rPr>
            </w:pPr>
            <w:r w:rsidRPr="00A6026B">
              <w:rPr>
                <w:b/>
                <w:bCs/>
                <w:sz w:val="18"/>
                <w:szCs w:val="18"/>
              </w:rPr>
              <w:t>Environmental NGOs (e.g., Friends of the Earth Bristol)</w:t>
            </w:r>
          </w:p>
        </w:tc>
        <w:tc>
          <w:tcPr>
            <w:tcW w:w="0" w:type="auto"/>
            <w:vAlign w:val="center"/>
            <w:hideMark/>
          </w:tcPr>
          <w:p w14:paraId="29BFD7CF" w14:textId="77777777" w:rsidR="00A6026B" w:rsidRPr="00A6026B" w:rsidRDefault="00A6026B" w:rsidP="00A6026B">
            <w:pPr>
              <w:rPr>
                <w:sz w:val="18"/>
                <w:szCs w:val="18"/>
              </w:rPr>
            </w:pPr>
            <w:r w:rsidRPr="00A6026B">
              <w:rPr>
                <w:sz w:val="18"/>
                <w:szCs w:val="18"/>
              </w:rPr>
              <w:t>Low</w:t>
            </w:r>
          </w:p>
        </w:tc>
        <w:tc>
          <w:tcPr>
            <w:tcW w:w="0" w:type="auto"/>
            <w:vAlign w:val="center"/>
            <w:hideMark/>
          </w:tcPr>
          <w:p w14:paraId="3FC6DADE" w14:textId="77777777" w:rsidR="00A6026B" w:rsidRPr="00A6026B" w:rsidRDefault="00A6026B" w:rsidP="00A6026B">
            <w:pPr>
              <w:rPr>
                <w:sz w:val="18"/>
                <w:szCs w:val="18"/>
              </w:rPr>
            </w:pPr>
            <w:r w:rsidRPr="00A6026B">
              <w:rPr>
                <w:sz w:val="18"/>
                <w:szCs w:val="18"/>
              </w:rPr>
              <w:t>Medium</w:t>
            </w:r>
          </w:p>
        </w:tc>
        <w:tc>
          <w:tcPr>
            <w:tcW w:w="0" w:type="auto"/>
            <w:vAlign w:val="center"/>
            <w:hideMark/>
          </w:tcPr>
          <w:p w14:paraId="4AC7591B" w14:textId="77777777" w:rsidR="00A6026B" w:rsidRPr="00A6026B" w:rsidRDefault="00A6026B" w:rsidP="00A6026B">
            <w:pPr>
              <w:rPr>
                <w:sz w:val="18"/>
                <w:szCs w:val="18"/>
              </w:rPr>
            </w:pPr>
            <w:r w:rsidRPr="00A6026B">
              <w:rPr>
                <w:sz w:val="18"/>
                <w:szCs w:val="18"/>
              </w:rPr>
              <w:t>High</w:t>
            </w:r>
          </w:p>
        </w:tc>
        <w:tc>
          <w:tcPr>
            <w:tcW w:w="0" w:type="auto"/>
            <w:vAlign w:val="center"/>
            <w:hideMark/>
          </w:tcPr>
          <w:p w14:paraId="5CB22E35" w14:textId="77777777" w:rsidR="00A6026B" w:rsidRPr="00A6026B" w:rsidRDefault="00A6026B" w:rsidP="00A6026B">
            <w:pPr>
              <w:rPr>
                <w:sz w:val="18"/>
                <w:szCs w:val="18"/>
              </w:rPr>
            </w:pPr>
            <w:r w:rsidRPr="00A6026B">
              <w:rPr>
                <w:sz w:val="18"/>
                <w:szCs w:val="18"/>
              </w:rPr>
              <w:t>They monitor sustainability standards, influence environmental compliance, and advocate for low-emission solutions (Erkul, Prebanic and Kumardinkar, 2016).</w:t>
            </w:r>
          </w:p>
        </w:tc>
      </w:tr>
      <w:tr w:rsidR="00702730" w:rsidRPr="00702730" w14:paraId="317E15CA" w14:textId="77777777" w:rsidTr="00E97A1A">
        <w:trPr>
          <w:tblCellSpacing w:w="15" w:type="dxa"/>
        </w:trPr>
        <w:tc>
          <w:tcPr>
            <w:tcW w:w="0" w:type="auto"/>
            <w:vAlign w:val="center"/>
            <w:hideMark/>
          </w:tcPr>
          <w:p w14:paraId="31427D5C" w14:textId="77777777" w:rsidR="00A6026B" w:rsidRPr="00A6026B" w:rsidRDefault="00A6026B" w:rsidP="00A6026B">
            <w:pPr>
              <w:rPr>
                <w:sz w:val="18"/>
                <w:szCs w:val="18"/>
              </w:rPr>
            </w:pPr>
            <w:r w:rsidRPr="00A6026B">
              <w:rPr>
                <w:b/>
                <w:bCs/>
                <w:sz w:val="18"/>
                <w:szCs w:val="18"/>
              </w:rPr>
              <w:t>Local Businesses (especially near Henbury and Filton)</w:t>
            </w:r>
          </w:p>
        </w:tc>
        <w:tc>
          <w:tcPr>
            <w:tcW w:w="0" w:type="auto"/>
            <w:vAlign w:val="center"/>
            <w:hideMark/>
          </w:tcPr>
          <w:p w14:paraId="5ED00F2E" w14:textId="77777777" w:rsidR="00A6026B" w:rsidRPr="00A6026B" w:rsidRDefault="00A6026B" w:rsidP="00A6026B">
            <w:pPr>
              <w:rPr>
                <w:sz w:val="18"/>
                <w:szCs w:val="18"/>
              </w:rPr>
            </w:pPr>
            <w:r w:rsidRPr="00A6026B">
              <w:rPr>
                <w:sz w:val="18"/>
                <w:szCs w:val="18"/>
              </w:rPr>
              <w:t>Medium</w:t>
            </w:r>
          </w:p>
        </w:tc>
        <w:tc>
          <w:tcPr>
            <w:tcW w:w="0" w:type="auto"/>
            <w:vAlign w:val="center"/>
            <w:hideMark/>
          </w:tcPr>
          <w:p w14:paraId="6EE352F7" w14:textId="77777777" w:rsidR="00A6026B" w:rsidRPr="00A6026B" w:rsidRDefault="00A6026B" w:rsidP="00A6026B">
            <w:pPr>
              <w:rPr>
                <w:sz w:val="18"/>
                <w:szCs w:val="18"/>
              </w:rPr>
            </w:pPr>
            <w:r w:rsidRPr="00A6026B">
              <w:rPr>
                <w:sz w:val="18"/>
                <w:szCs w:val="18"/>
              </w:rPr>
              <w:t>Medium</w:t>
            </w:r>
          </w:p>
        </w:tc>
        <w:tc>
          <w:tcPr>
            <w:tcW w:w="0" w:type="auto"/>
            <w:vAlign w:val="center"/>
            <w:hideMark/>
          </w:tcPr>
          <w:p w14:paraId="21F2C638" w14:textId="77777777" w:rsidR="00A6026B" w:rsidRPr="00A6026B" w:rsidRDefault="00A6026B" w:rsidP="00A6026B">
            <w:pPr>
              <w:rPr>
                <w:sz w:val="18"/>
                <w:szCs w:val="18"/>
              </w:rPr>
            </w:pPr>
            <w:r w:rsidRPr="00A6026B">
              <w:rPr>
                <w:sz w:val="18"/>
                <w:szCs w:val="18"/>
              </w:rPr>
              <w:t>Medium</w:t>
            </w:r>
          </w:p>
        </w:tc>
        <w:tc>
          <w:tcPr>
            <w:tcW w:w="0" w:type="auto"/>
            <w:vAlign w:val="center"/>
            <w:hideMark/>
          </w:tcPr>
          <w:p w14:paraId="79AB08D0" w14:textId="77777777" w:rsidR="00A6026B" w:rsidRPr="00A6026B" w:rsidRDefault="00A6026B" w:rsidP="00A6026B">
            <w:pPr>
              <w:rPr>
                <w:sz w:val="18"/>
                <w:szCs w:val="18"/>
              </w:rPr>
            </w:pPr>
            <w:r w:rsidRPr="00A6026B">
              <w:rPr>
                <w:sz w:val="18"/>
                <w:szCs w:val="18"/>
              </w:rPr>
              <w:t>The project will improve access and trade opportunities but may cause short-term disruption; their influence stems from economic participation (Grossi, Tavares and Tavares, 2020).</w:t>
            </w:r>
          </w:p>
        </w:tc>
      </w:tr>
      <w:tr w:rsidR="00702730" w:rsidRPr="00702730" w14:paraId="604C4A21" w14:textId="77777777" w:rsidTr="00E97A1A">
        <w:trPr>
          <w:tblCellSpacing w:w="15" w:type="dxa"/>
        </w:trPr>
        <w:tc>
          <w:tcPr>
            <w:tcW w:w="0" w:type="auto"/>
            <w:vAlign w:val="center"/>
            <w:hideMark/>
          </w:tcPr>
          <w:p w14:paraId="4D16B488" w14:textId="77777777" w:rsidR="00A6026B" w:rsidRPr="00A6026B" w:rsidRDefault="00A6026B" w:rsidP="00A6026B">
            <w:pPr>
              <w:rPr>
                <w:sz w:val="18"/>
                <w:szCs w:val="18"/>
              </w:rPr>
            </w:pPr>
            <w:r w:rsidRPr="00A6026B">
              <w:rPr>
                <w:b/>
                <w:bCs/>
                <w:sz w:val="18"/>
                <w:szCs w:val="18"/>
              </w:rPr>
              <w:t>Transport Workers’ Union</w:t>
            </w:r>
          </w:p>
        </w:tc>
        <w:tc>
          <w:tcPr>
            <w:tcW w:w="0" w:type="auto"/>
            <w:vAlign w:val="center"/>
            <w:hideMark/>
          </w:tcPr>
          <w:p w14:paraId="7B18B08D" w14:textId="77777777" w:rsidR="00A6026B" w:rsidRPr="00A6026B" w:rsidRDefault="00A6026B" w:rsidP="00A6026B">
            <w:pPr>
              <w:rPr>
                <w:sz w:val="18"/>
                <w:szCs w:val="18"/>
              </w:rPr>
            </w:pPr>
            <w:r w:rsidRPr="00A6026B">
              <w:rPr>
                <w:sz w:val="18"/>
                <w:szCs w:val="18"/>
              </w:rPr>
              <w:t>Medium</w:t>
            </w:r>
          </w:p>
        </w:tc>
        <w:tc>
          <w:tcPr>
            <w:tcW w:w="0" w:type="auto"/>
            <w:vAlign w:val="center"/>
            <w:hideMark/>
          </w:tcPr>
          <w:p w14:paraId="7D3A07AE" w14:textId="77777777" w:rsidR="00A6026B" w:rsidRPr="00A6026B" w:rsidRDefault="00A6026B" w:rsidP="00A6026B">
            <w:pPr>
              <w:rPr>
                <w:sz w:val="18"/>
                <w:szCs w:val="18"/>
              </w:rPr>
            </w:pPr>
            <w:r w:rsidRPr="00A6026B">
              <w:rPr>
                <w:sz w:val="18"/>
                <w:szCs w:val="18"/>
              </w:rPr>
              <w:t>Medium</w:t>
            </w:r>
          </w:p>
        </w:tc>
        <w:tc>
          <w:tcPr>
            <w:tcW w:w="0" w:type="auto"/>
            <w:vAlign w:val="center"/>
            <w:hideMark/>
          </w:tcPr>
          <w:p w14:paraId="3645A528" w14:textId="77777777" w:rsidR="00A6026B" w:rsidRPr="00A6026B" w:rsidRDefault="00A6026B" w:rsidP="00A6026B">
            <w:pPr>
              <w:rPr>
                <w:sz w:val="18"/>
                <w:szCs w:val="18"/>
              </w:rPr>
            </w:pPr>
            <w:r w:rsidRPr="00A6026B">
              <w:rPr>
                <w:sz w:val="18"/>
                <w:szCs w:val="18"/>
              </w:rPr>
              <w:t>High</w:t>
            </w:r>
          </w:p>
        </w:tc>
        <w:tc>
          <w:tcPr>
            <w:tcW w:w="0" w:type="auto"/>
            <w:vAlign w:val="center"/>
            <w:hideMark/>
          </w:tcPr>
          <w:p w14:paraId="28DDCE9E" w14:textId="77777777" w:rsidR="00A6026B" w:rsidRPr="00A6026B" w:rsidRDefault="00A6026B" w:rsidP="00A6026B">
            <w:pPr>
              <w:rPr>
                <w:sz w:val="18"/>
                <w:szCs w:val="18"/>
              </w:rPr>
            </w:pPr>
            <w:r w:rsidRPr="00A6026B">
              <w:rPr>
                <w:sz w:val="18"/>
                <w:szCs w:val="18"/>
              </w:rPr>
              <w:t>Represents operational staff and affects project stability through collective bargaining and workforce advocacy (Wolfe and Mahon, 2019).</w:t>
            </w:r>
          </w:p>
        </w:tc>
      </w:tr>
      <w:tr w:rsidR="00702730" w:rsidRPr="00702730" w14:paraId="120F4BD2" w14:textId="77777777" w:rsidTr="00E97A1A">
        <w:trPr>
          <w:tblCellSpacing w:w="15" w:type="dxa"/>
        </w:trPr>
        <w:tc>
          <w:tcPr>
            <w:tcW w:w="0" w:type="auto"/>
            <w:vAlign w:val="center"/>
            <w:hideMark/>
          </w:tcPr>
          <w:p w14:paraId="69C4BFCF" w14:textId="77777777" w:rsidR="00A6026B" w:rsidRPr="00A6026B" w:rsidRDefault="00A6026B" w:rsidP="00A6026B">
            <w:pPr>
              <w:rPr>
                <w:sz w:val="18"/>
                <w:szCs w:val="18"/>
              </w:rPr>
            </w:pPr>
            <w:r w:rsidRPr="00A6026B">
              <w:rPr>
                <w:b/>
                <w:bCs/>
                <w:sz w:val="18"/>
                <w:szCs w:val="18"/>
              </w:rPr>
              <w:t>Construction Contractors &amp; Suppliers</w:t>
            </w:r>
          </w:p>
        </w:tc>
        <w:tc>
          <w:tcPr>
            <w:tcW w:w="0" w:type="auto"/>
            <w:vAlign w:val="center"/>
            <w:hideMark/>
          </w:tcPr>
          <w:p w14:paraId="3BFF50A6" w14:textId="77777777" w:rsidR="00A6026B" w:rsidRPr="00A6026B" w:rsidRDefault="00A6026B" w:rsidP="00A6026B">
            <w:pPr>
              <w:rPr>
                <w:sz w:val="18"/>
                <w:szCs w:val="18"/>
              </w:rPr>
            </w:pPr>
            <w:r w:rsidRPr="00A6026B">
              <w:rPr>
                <w:sz w:val="18"/>
                <w:szCs w:val="18"/>
              </w:rPr>
              <w:t>High</w:t>
            </w:r>
          </w:p>
        </w:tc>
        <w:tc>
          <w:tcPr>
            <w:tcW w:w="0" w:type="auto"/>
            <w:vAlign w:val="center"/>
            <w:hideMark/>
          </w:tcPr>
          <w:p w14:paraId="4CC5D216" w14:textId="77777777" w:rsidR="00A6026B" w:rsidRPr="00A6026B" w:rsidRDefault="00A6026B" w:rsidP="00A6026B">
            <w:pPr>
              <w:rPr>
                <w:sz w:val="18"/>
                <w:szCs w:val="18"/>
              </w:rPr>
            </w:pPr>
            <w:r w:rsidRPr="00A6026B">
              <w:rPr>
                <w:sz w:val="18"/>
                <w:szCs w:val="18"/>
              </w:rPr>
              <w:t>Medium</w:t>
            </w:r>
          </w:p>
        </w:tc>
        <w:tc>
          <w:tcPr>
            <w:tcW w:w="0" w:type="auto"/>
            <w:vAlign w:val="center"/>
            <w:hideMark/>
          </w:tcPr>
          <w:p w14:paraId="5C197167" w14:textId="77777777" w:rsidR="00A6026B" w:rsidRPr="00A6026B" w:rsidRDefault="00A6026B" w:rsidP="00A6026B">
            <w:pPr>
              <w:rPr>
                <w:sz w:val="18"/>
                <w:szCs w:val="18"/>
              </w:rPr>
            </w:pPr>
            <w:r w:rsidRPr="00A6026B">
              <w:rPr>
                <w:sz w:val="18"/>
                <w:szCs w:val="18"/>
              </w:rPr>
              <w:t>Medium</w:t>
            </w:r>
          </w:p>
        </w:tc>
        <w:tc>
          <w:tcPr>
            <w:tcW w:w="0" w:type="auto"/>
            <w:vAlign w:val="center"/>
            <w:hideMark/>
          </w:tcPr>
          <w:p w14:paraId="57206D55" w14:textId="77777777" w:rsidR="00A6026B" w:rsidRPr="00A6026B" w:rsidRDefault="00A6026B" w:rsidP="00A6026B">
            <w:pPr>
              <w:rPr>
                <w:sz w:val="18"/>
                <w:szCs w:val="18"/>
              </w:rPr>
            </w:pPr>
            <w:r w:rsidRPr="00A6026B">
              <w:rPr>
                <w:sz w:val="18"/>
                <w:szCs w:val="18"/>
              </w:rPr>
              <w:t>Directly responsible for project delivery; they hold operational power affecting timelines, quality, and cost management (Yudi, Yuliastuti and Soemardi, 2017).</w:t>
            </w:r>
          </w:p>
        </w:tc>
      </w:tr>
    </w:tbl>
    <w:p w14:paraId="6556D7B5" w14:textId="77777777" w:rsidR="00A6026B" w:rsidRDefault="00A6026B" w:rsidP="00A6026B"/>
    <w:p w14:paraId="6DDFF3ED" w14:textId="77777777" w:rsidR="00702730" w:rsidRDefault="00702730" w:rsidP="00E97A1A">
      <w:pPr>
        <w:rPr>
          <w:b/>
          <w:bCs/>
          <w:i/>
          <w:iCs/>
        </w:rPr>
      </w:pPr>
    </w:p>
    <w:p w14:paraId="5ECD2CDA" w14:textId="77777777" w:rsidR="00702730" w:rsidRDefault="00702730" w:rsidP="00E97A1A">
      <w:pPr>
        <w:rPr>
          <w:b/>
          <w:bCs/>
          <w:i/>
          <w:iCs/>
        </w:rPr>
      </w:pPr>
    </w:p>
    <w:p w14:paraId="551FF805" w14:textId="5DE61554" w:rsidR="00E97A1A" w:rsidRPr="000F36E7" w:rsidRDefault="00E97A1A" w:rsidP="00E97A1A">
      <w:pPr>
        <w:rPr>
          <w:b/>
          <w:bCs/>
          <w:i/>
          <w:iCs/>
        </w:rPr>
      </w:pPr>
      <w:r w:rsidRPr="000F36E7">
        <w:rPr>
          <w:b/>
          <w:bCs/>
          <w:i/>
          <w:iCs/>
        </w:rPr>
        <w:lastRenderedPageBreak/>
        <w:t>Stakeholder Mapping</w:t>
      </w:r>
    </w:p>
    <w:p w14:paraId="7311C528" w14:textId="72C5E10C" w:rsidR="000F36E7" w:rsidRDefault="00F5324E" w:rsidP="000F36E7">
      <w:r>
        <w:rPr>
          <w:noProof/>
        </w:rPr>
        <w:drawing>
          <wp:anchor distT="0" distB="0" distL="114300" distR="114300" simplePos="0" relativeHeight="251661312" behindDoc="0" locked="0" layoutInCell="1" allowOverlap="1" wp14:anchorId="0E3CD06B" wp14:editId="559ED2CB">
            <wp:simplePos x="0" y="0"/>
            <wp:positionH relativeFrom="margin">
              <wp:posOffset>755650</wp:posOffset>
            </wp:positionH>
            <wp:positionV relativeFrom="paragraph">
              <wp:posOffset>603250</wp:posOffset>
            </wp:positionV>
            <wp:extent cx="4419600" cy="2946400"/>
            <wp:effectExtent l="0" t="0" r="0" b="6350"/>
            <wp:wrapSquare wrapText="bothSides"/>
            <wp:docPr id="891664401"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4419600" cy="2946400"/>
                    </a:xfrm>
                    <a:prstGeom prst="rect">
                      <a:avLst/>
                    </a:prstGeom>
                    <a:noFill/>
                  </pic:spPr>
                </pic:pic>
              </a:graphicData>
            </a:graphic>
            <wp14:sizeRelH relativeFrom="page">
              <wp14:pctWidth>0</wp14:pctWidth>
            </wp14:sizeRelH>
            <wp14:sizeRelV relativeFrom="page">
              <wp14:pctHeight>0</wp14:pctHeight>
            </wp14:sizeRelV>
          </wp:anchor>
        </w:drawing>
      </w:r>
      <w:r w:rsidR="000F36E7" w:rsidRPr="000F36E7">
        <w:t>Stakeholder mapping assists in visuali</w:t>
      </w:r>
      <w:r w:rsidR="00A254BB">
        <w:t>s</w:t>
      </w:r>
      <w:r w:rsidR="000F36E7" w:rsidRPr="000F36E7">
        <w:t>ing the position of each stakeholder according to their power and interest. This information informs engagement strategies and the distribution of resources. The subsequent figure depicts the Power vs. Interest Grid for the MetroWest Phase 2 project.</w:t>
      </w:r>
    </w:p>
    <w:p w14:paraId="5BF6618A" w14:textId="753CE5FD" w:rsidR="00702730" w:rsidRDefault="00702730" w:rsidP="000F36E7"/>
    <w:p w14:paraId="6B7BDEFA" w14:textId="3C682537" w:rsidR="00702730" w:rsidRDefault="00702730" w:rsidP="000F36E7"/>
    <w:p w14:paraId="71D2B0C2" w14:textId="75EFA13D" w:rsidR="00702730" w:rsidRDefault="00702730" w:rsidP="000F36E7"/>
    <w:p w14:paraId="2CF31FBD" w14:textId="7B28FE31" w:rsidR="000F36E7" w:rsidRDefault="000F36E7" w:rsidP="000F36E7"/>
    <w:p w14:paraId="121CF02A" w14:textId="77777777" w:rsidR="007B47D1" w:rsidRPr="007B47D1" w:rsidRDefault="007B47D1" w:rsidP="007B47D1"/>
    <w:p w14:paraId="6AE7BA3B" w14:textId="77777777" w:rsidR="007B47D1" w:rsidRPr="007B47D1" w:rsidRDefault="007B47D1" w:rsidP="007B47D1"/>
    <w:p w14:paraId="78083D91" w14:textId="77777777" w:rsidR="007B47D1" w:rsidRPr="007B47D1" w:rsidRDefault="007B47D1" w:rsidP="007B47D1"/>
    <w:p w14:paraId="71B00586" w14:textId="77777777" w:rsidR="007B47D1" w:rsidRPr="007B47D1" w:rsidRDefault="007B47D1" w:rsidP="007B47D1"/>
    <w:p w14:paraId="50076CBF" w14:textId="77777777" w:rsidR="007B47D1" w:rsidRPr="007B47D1" w:rsidRDefault="007B47D1" w:rsidP="007B47D1"/>
    <w:p w14:paraId="05F9E041" w14:textId="18425C73" w:rsidR="007B47D1" w:rsidRDefault="00F5324E" w:rsidP="007B47D1">
      <w:r>
        <w:rPr>
          <w:noProof/>
        </w:rPr>
        <mc:AlternateContent>
          <mc:Choice Requires="wps">
            <w:drawing>
              <wp:anchor distT="0" distB="0" distL="114300" distR="114300" simplePos="0" relativeHeight="251662336" behindDoc="0" locked="0" layoutInCell="1" allowOverlap="1" wp14:anchorId="02FE188D" wp14:editId="7057C246">
                <wp:simplePos x="0" y="0"/>
                <wp:positionH relativeFrom="column">
                  <wp:posOffset>1885950</wp:posOffset>
                </wp:positionH>
                <wp:positionV relativeFrom="paragraph">
                  <wp:posOffset>8255</wp:posOffset>
                </wp:positionV>
                <wp:extent cx="2540000" cy="266700"/>
                <wp:effectExtent l="0" t="0" r="0" b="0"/>
                <wp:wrapNone/>
                <wp:docPr id="1141512300" name="Text Box 11"/>
                <wp:cNvGraphicFramePr/>
                <a:graphic xmlns:a="http://schemas.openxmlformats.org/drawingml/2006/main">
                  <a:graphicData uri="http://schemas.microsoft.com/office/word/2010/wordprocessingShape">
                    <wps:wsp>
                      <wps:cNvSpPr txBox="1"/>
                      <wps:spPr>
                        <a:xfrm>
                          <a:off x="0" y="0"/>
                          <a:ext cx="2540000" cy="266700"/>
                        </a:xfrm>
                        <a:prstGeom prst="rect">
                          <a:avLst/>
                        </a:prstGeom>
                        <a:noFill/>
                        <a:ln>
                          <a:noFill/>
                        </a:ln>
                      </wps:spPr>
                      <wps:style>
                        <a:lnRef idx="0">
                          <a:scrgbClr r="0" g="0" b="0"/>
                        </a:lnRef>
                        <a:fillRef idx="0">
                          <a:scrgbClr r="0" g="0" b="0"/>
                        </a:fillRef>
                        <a:effectRef idx="0">
                          <a:scrgbClr r="0" g="0" b="0"/>
                        </a:effectRef>
                        <a:fontRef idx="minor">
                          <a:schemeClr val="dk1"/>
                        </a:fontRef>
                      </wps:style>
                      <wps:txbx>
                        <w:txbxContent>
                          <w:p w14:paraId="52FD7967" w14:textId="43319C46" w:rsidR="00886679" w:rsidRDefault="00886679">
                            <w:r w:rsidRPr="00886679">
                              <w:t>Figure 1: Stakeholder Map</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02FE188D" id="_x0000_t202" coordsize="21600,21600" o:spt="202" path="m,l,21600r21600,l21600,xe">
                <v:stroke joinstyle="miter"/>
                <v:path gradientshapeok="t" o:connecttype="rect"/>
              </v:shapetype>
              <v:shape id="Text Box 11" o:spid="_x0000_s1026" type="#_x0000_t202" style="position:absolute;margin-left:148.5pt;margin-top:.65pt;width:200pt;height:21pt;z-index:2516623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" filled="f" stroked="f">
                <v:textbox>
                  <w:txbxContent>
                    <w:p w14:paraId="52FD7967" w14:textId="43319C46" w:rsidR="00886679" w:rsidRDefault="00886679">
                      <w:r w:rsidRPr="00886679">
                        <w:t>Figure 1: Stakeholder Map</w:t>
                      </w:r>
                    </w:p>
                  </w:txbxContent>
                </v:textbox>
              </v:shape>
            </w:pict>
          </mc:Fallback>
        </mc:AlternateContent>
      </w:r>
    </w:p>
    <w:p w14:paraId="02D7E01E" w14:textId="5B1E06F6" w:rsidR="00F5324E" w:rsidRDefault="00886679" w:rsidP="00F5324E">
      <w:r>
        <w:t xml:space="preserve">                     </w:t>
      </w:r>
    </w:p>
    <w:p w14:paraId="45EB7A11" w14:textId="79AB9D54" w:rsidR="00F5324E" w:rsidRPr="00F5324E" w:rsidRDefault="00F5324E" w:rsidP="00F5324E">
      <w:pPr>
        <w:rPr>
          <w:b/>
          <w:bCs/>
        </w:rPr>
      </w:pPr>
      <w:r w:rsidRPr="00F5324E">
        <w:rPr>
          <w:b/>
          <w:bCs/>
        </w:rPr>
        <w:t>Quadrant 1 – Manage Closely (High Power, High Interest):</w:t>
      </w:r>
    </w:p>
    <w:p w14:paraId="7E0BDFA1" w14:textId="42D71720" w:rsidR="00F5324E" w:rsidRDefault="00F5324E" w:rsidP="00F5324E">
      <w:pPr>
        <w:pStyle w:val="ListParagraph"/>
        <w:numPr>
          <w:ilvl w:val="0"/>
          <w:numId w:val="5"/>
        </w:numPr>
      </w:pPr>
      <w:r>
        <w:t>Local Government Authorities</w:t>
      </w:r>
    </w:p>
    <w:p w14:paraId="288F2724" w14:textId="77777777" w:rsidR="00F5324E" w:rsidRDefault="00F5324E" w:rsidP="00F5324E">
      <w:pPr>
        <w:pStyle w:val="ListParagraph"/>
        <w:numPr>
          <w:ilvl w:val="0"/>
          <w:numId w:val="5"/>
        </w:numPr>
      </w:pPr>
      <w:r>
        <w:t>Construction Contractors</w:t>
      </w:r>
    </w:p>
    <w:p w14:paraId="424A26B0" w14:textId="766E4E8A" w:rsidR="00F5324E" w:rsidRDefault="00F5324E" w:rsidP="00F5324E">
      <w:pPr>
        <w:pStyle w:val="ListParagraph"/>
        <w:numPr>
          <w:ilvl w:val="0"/>
          <w:numId w:val="5"/>
        </w:numPr>
      </w:pPr>
      <w:r>
        <w:t>These stakeholders are essential decision-makers and require active management through regular engagement, collaborative decision-making, and clear communication.</w:t>
      </w:r>
    </w:p>
    <w:p w14:paraId="6F5FAC60" w14:textId="6B0CB46C" w:rsidR="00F5324E" w:rsidRPr="00F5324E" w:rsidRDefault="00F5324E" w:rsidP="00F5324E">
      <w:pPr>
        <w:rPr>
          <w:b/>
          <w:bCs/>
        </w:rPr>
      </w:pPr>
      <w:r w:rsidRPr="00F5324E">
        <w:rPr>
          <w:b/>
          <w:bCs/>
        </w:rPr>
        <w:t>Quadrant 2 – Keep Satisfied (High Power, Low Interest):</w:t>
      </w:r>
    </w:p>
    <w:p w14:paraId="4464D8EF" w14:textId="77777777" w:rsidR="00F5324E" w:rsidRDefault="00F5324E" w:rsidP="00F5324E">
      <w:pPr>
        <w:pStyle w:val="ListParagraph"/>
        <w:numPr>
          <w:ilvl w:val="0"/>
          <w:numId w:val="6"/>
        </w:numPr>
      </w:pPr>
      <w:r>
        <w:t>Investors / Funding Bodies</w:t>
      </w:r>
    </w:p>
    <w:p w14:paraId="031A6C6B" w14:textId="4A428D61" w:rsidR="00F5324E" w:rsidRDefault="00F5324E" w:rsidP="00F5324E">
      <w:pPr>
        <w:pStyle w:val="ListParagraph"/>
        <w:numPr>
          <w:ilvl w:val="0"/>
          <w:numId w:val="6"/>
        </w:numPr>
      </w:pPr>
      <w:r>
        <w:t>They possess significant financial power but have minimal daily involvement; periodic high-level progress updates are adequate.</w:t>
      </w:r>
    </w:p>
    <w:p w14:paraId="3CB6CDF9" w14:textId="1ED41331" w:rsidR="00F5324E" w:rsidRPr="00F5324E" w:rsidRDefault="00F5324E" w:rsidP="00F5324E">
      <w:pPr>
        <w:rPr>
          <w:b/>
          <w:bCs/>
        </w:rPr>
      </w:pPr>
      <w:r w:rsidRPr="00F5324E">
        <w:rPr>
          <w:b/>
          <w:bCs/>
        </w:rPr>
        <w:t>Quadrant 3 – Keep Informed (Low Power, High Interest):</w:t>
      </w:r>
    </w:p>
    <w:p w14:paraId="03843FBE" w14:textId="4C877BE9" w:rsidR="00F5324E" w:rsidRDefault="00F5324E" w:rsidP="00F5324E">
      <w:pPr>
        <w:pStyle w:val="ListParagraph"/>
        <w:numPr>
          <w:ilvl w:val="0"/>
          <w:numId w:val="7"/>
        </w:numPr>
      </w:pPr>
      <w:r>
        <w:t>Residents &amp; Commuters</w:t>
      </w:r>
    </w:p>
    <w:p w14:paraId="797A2FC0" w14:textId="4DC042A5" w:rsidR="00F5324E" w:rsidRDefault="00F5324E" w:rsidP="00F5324E">
      <w:pPr>
        <w:pStyle w:val="ListParagraph"/>
        <w:numPr>
          <w:ilvl w:val="0"/>
          <w:numId w:val="7"/>
        </w:numPr>
      </w:pPr>
      <w:r>
        <w:t>Environmental NGOs</w:t>
      </w:r>
    </w:p>
    <w:p w14:paraId="5F86CE89" w14:textId="77777777" w:rsidR="00F5324E" w:rsidRDefault="00F5324E" w:rsidP="00F5324E">
      <w:pPr>
        <w:pStyle w:val="ListParagraph"/>
        <w:numPr>
          <w:ilvl w:val="0"/>
          <w:numId w:val="7"/>
        </w:numPr>
      </w:pPr>
      <w:r>
        <w:t>Transport Workers’ Union</w:t>
      </w:r>
    </w:p>
    <w:p w14:paraId="5EE75B53" w14:textId="3A1EFAFA" w:rsidR="00F5324E" w:rsidRDefault="00F5324E" w:rsidP="00F5324E">
      <w:pPr>
        <w:pStyle w:val="ListParagraph"/>
        <w:numPr>
          <w:ilvl w:val="0"/>
          <w:numId w:val="7"/>
        </w:numPr>
      </w:pPr>
      <w:r>
        <w:t>These groups have a vested interest but hold less formal power. Active consultation, surveys, and transparent updates are vital for maintaining public trust.</w:t>
      </w:r>
    </w:p>
    <w:p w14:paraId="3DE0A99C" w14:textId="0A3E0DA8" w:rsidR="00F5324E" w:rsidRPr="00F5324E" w:rsidRDefault="00F5324E" w:rsidP="00F5324E">
      <w:pPr>
        <w:rPr>
          <w:b/>
          <w:bCs/>
        </w:rPr>
      </w:pPr>
      <w:r w:rsidRPr="00F5324E">
        <w:rPr>
          <w:b/>
          <w:bCs/>
        </w:rPr>
        <w:t>Quadrant 4 – Monitor (Low Power, Low Interest):</w:t>
      </w:r>
    </w:p>
    <w:p w14:paraId="6ED7AAE6" w14:textId="77777777" w:rsidR="00F5324E" w:rsidRDefault="00F5324E" w:rsidP="00F5324E">
      <w:pPr>
        <w:pStyle w:val="ListParagraph"/>
        <w:numPr>
          <w:ilvl w:val="0"/>
          <w:numId w:val="8"/>
        </w:numPr>
      </w:pPr>
      <w:r>
        <w:t>Wider Public</w:t>
      </w:r>
    </w:p>
    <w:p w14:paraId="19706143" w14:textId="68F2F637" w:rsidR="00F5324E" w:rsidRDefault="00F5324E" w:rsidP="00F5324E">
      <w:pPr>
        <w:pStyle w:val="ListParagraph"/>
        <w:numPr>
          <w:ilvl w:val="0"/>
          <w:numId w:val="8"/>
        </w:numPr>
      </w:pPr>
      <w:r>
        <w:t>The general population of Bristol, who are not directly impacted by the line, should be kept informed through press releases and media communications.</w:t>
      </w:r>
    </w:p>
    <w:p w14:paraId="4C0ED996" w14:textId="07500FB9" w:rsidR="00F5324E" w:rsidRDefault="00F5324E" w:rsidP="00F5324E">
      <w:r>
        <w:lastRenderedPageBreak/>
        <w:t>This mapping is consistent with the guidance provided by Freeman (1984) and Dolan (2025), ensuring that each group receives engagement that is proportional to their power and interest levels.</w:t>
      </w:r>
    </w:p>
    <w:p w14:paraId="7BCF97F3" w14:textId="77777777" w:rsidR="00F5324E" w:rsidRDefault="00F5324E" w:rsidP="00F5324E"/>
    <w:p w14:paraId="32C3655A" w14:textId="04FA6D6C" w:rsidR="00042D3B" w:rsidRDefault="00042D3B" w:rsidP="00F5324E">
      <w:pPr>
        <w:rPr>
          <w:b/>
          <w:bCs/>
        </w:rPr>
      </w:pPr>
      <w:r w:rsidRPr="00042D3B">
        <w:rPr>
          <w:b/>
          <w:bCs/>
        </w:rPr>
        <w:t>Communication and Consultation Strategy</w:t>
      </w:r>
    </w:p>
    <w:p w14:paraId="3DFF85F6" w14:textId="67F5D584" w:rsidR="003B53D5" w:rsidRDefault="003B53D5" w:rsidP="003B53D5">
      <w:r w:rsidRPr="003B53D5">
        <w:t>Communication planning entails determining the recipients of information, the type of information required, the frequency of sharing, and the most suitable channels for dissemination (Ngampravatdee, Njoya and Graham, 2023). The communication strategy promotes transparency, inclusivity, and accountability during the entire lifecycle of the project.</w:t>
      </w:r>
    </w:p>
    <w:p w14:paraId="564487DE" w14:textId="1E2FDC19" w:rsidR="00050419" w:rsidRDefault="00050419" w:rsidP="00050419">
      <w:pPr>
        <w:rPr>
          <w:b/>
          <w:bCs/>
          <w:i/>
          <w:iCs/>
        </w:rPr>
      </w:pPr>
      <w:r w:rsidRPr="00050419">
        <w:rPr>
          <w:b/>
          <w:bCs/>
          <w:i/>
          <w:iCs/>
        </w:rPr>
        <w:t>Table 2: Communication and Consultation Plan</w:t>
      </w:r>
    </w:p>
    <w:tbl>
      <w:tblPr>
        <w:tblW w:w="0" w:type="auto"/>
        <w:tblCellSpacing w:w="1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15" w:type="dxa"/>
          <w:left w:w="15" w:type="dxa"/>
          <w:bottom w:w="15" w:type="dxa"/>
          <w:right w:w="15" w:type="dxa"/>
        </w:tblCellMar>
        <w:tblLook w:val="04A0" w:firstRow="1" w:lastRow="0" w:firstColumn="1" w:lastColumn="0" w:noHBand="0" w:noVBand="1"/>
      </w:tblPr>
      <w:tblGrid>
        <w:gridCol w:w="1805"/>
        <w:gridCol w:w="1889"/>
        <w:gridCol w:w="1133"/>
        <w:gridCol w:w="2218"/>
        <w:gridCol w:w="1971"/>
      </w:tblGrid>
      <w:tr w:rsidR="0092633B" w:rsidRPr="0092633B" w14:paraId="207AC76E" w14:textId="77777777" w:rsidTr="00AE6A9F">
        <w:trPr>
          <w:tblHeader/>
          <w:tblCellSpacing w:w="15" w:type="dxa"/>
        </w:trPr>
        <w:tc>
          <w:tcPr>
            <w:tcW w:w="0" w:type="auto"/>
            <w:vAlign w:val="center"/>
            <w:hideMark/>
          </w:tcPr>
          <w:p w14:paraId="429C3D79" w14:textId="77777777" w:rsidR="0092633B" w:rsidRPr="0092633B" w:rsidRDefault="0092633B" w:rsidP="0092633B">
            <w:pPr>
              <w:rPr>
                <w:b/>
                <w:bCs/>
              </w:rPr>
            </w:pPr>
            <w:r w:rsidRPr="0092633B">
              <w:rPr>
                <w:b/>
                <w:bCs/>
              </w:rPr>
              <w:t>Stakeholder</w:t>
            </w:r>
          </w:p>
        </w:tc>
        <w:tc>
          <w:tcPr>
            <w:tcW w:w="0" w:type="auto"/>
            <w:vAlign w:val="center"/>
            <w:hideMark/>
          </w:tcPr>
          <w:p w14:paraId="7EEF2F35" w14:textId="77777777" w:rsidR="0092633B" w:rsidRPr="0092633B" w:rsidRDefault="0092633B" w:rsidP="0092633B">
            <w:pPr>
              <w:rPr>
                <w:b/>
                <w:bCs/>
              </w:rPr>
            </w:pPr>
            <w:r w:rsidRPr="0092633B">
              <w:rPr>
                <w:b/>
                <w:bCs/>
              </w:rPr>
              <w:t>Type of Information</w:t>
            </w:r>
          </w:p>
        </w:tc>
        <w:tc>
          <w:tcPr>
            <w:tcW w:w="0" w:type="auto"/>
            <w:vAlign w:val="center"/>
            <w:hideMark/>
          </w:tcPr>
          <w:p w14:paraId="38F305CE" w14:textId="77777777" w:rsidR="0092633B" w:rsidRPr="0092633B" w:rsidRDefault="0092633B" w:rsidP="0092633B">
            <w:pPr>
              <w:rPr>
                <w:b/>
                <w:bCs/>
              </w:rPr>
            </w:pPr>
            <w:r w:rsidRPr="0092633B">
              <w:rPr>
                <w:b/>
                <w:bCs/>
              </w:rPr>
              <w:t>Frequency</w:t>
            </w:r>
          </w:p>
        </w:tc>
        <w:tc>
          <w:tcPr>
            <w:tcW w:w="0" w:type="auto"/>
            <w:vAlign w:val="center"/>
            <w:hideMark/>
          </w:tcPr>
          <w:p w14:paraId="5E328BEC" w14:textId="77777777" w:rsidR="0092633B" w:rsidRPr="0092633B" w:rsidRDefault="0092633B" w:rsidP="0092633B">
            <w:pPr>
              <w:rPr>
                <w:b/>
                <w:bCs/>
              </w:rPr>
            </w:pPr>
            <w:r w:rsidRPr="0092633B">
              <w:rPr>
                <w:b/>
                <w:bCs/>
              </w:rPr>
              <w:t>Communication Channel</w:t>
            </w:r>
          </w:p>
        </w:tc>
        <w:tc>
          <w:tcPr>
            <w:tcW w:w="0" w:type="auto"/>
            <w:vAlign w:val="center"/>
            <w:hideMark/>
          </w:tcPr>
          <w:p w14:paraId="542EBFA4" w14:textId="77777777" w:rsidR="0092633B" w:rsidRPr="0092633B" w:rsidRDefault="0092633B" w:rsidP="0092633B">
            <w:pPr>
              <w:rPr>
                <w:b/>
                <w:bCs/>
              </w:rPr>
            </w:pPr>
            <w:r w:rsidRPr="0092633B">
              <w:rPr>
                <w:b/>
                <w:bCs/>
              </w:rPr>
              <w:t>Engagement Purpose</w:t>
            </w:r>
          </w:p>
        </w:tc>
      </w:tr>
      <w:tr w:rsidR="0092633B" w:rsidRPr="0092633B" w14:paraId="7B054028" w14:textId="77777777" w:rsidTr="00AE6A9F">
        <w:trPr>
          <w:tblCellSpacing w:w="15" w:type="dxa"/>
        </w:trPr>
        <w:tc>
          <w:tcPr>
            <w:tcW w:w="0" w:type="auto"/>
            <w:vAlign w:val="center"/>
            <w:hideMark/>
          </w:tcPr>
          <w:p w14:paraId="21417A10" w14:textId="77777777" w:rsidR="0092633B" w:rsidRPr="0092633B" w:rsidRDefault="0092633B" w:rsidP="0092633B">
            <w:r w:rsidRPr="0092633B">
              <w:rPr>
                <w:b/>
                <w:bCs/>
              </w:rPr>
              <w:t>Local Government Authorities</w:t>
            </w:r>
          </w:p>
        </w:tc>
        <w:tc>
          <w:tcPr>
            <w:tcW w:w="0" w:type="auto"/>
            <w:vAlign w:val="center"/>
            <w:hideMark/>
          </w:tcPr>
          <w:p w14:paraId="67F48D01" w14:textId="77777777" w:rsidR="0092633B" w:rsidRPr="0092633B" w:rsidRDefault="0092633B" w:rsidP="0092633B">
            <w:r w:rsidRPr="0092633B">
              <w:t>Financial updates, risk assessments, compliance reports</w:t>
            </w:r>
          </w:p>
        </w:tc>
        <w:tc>
          <w:tcPr>
            <w:tcW w:w="0" w:type="auto"/>
            <w:vAlign w:val="center"/>
            <w:hideMark/>
          </w:tcPr>
          <w:p w14:paraId="2BD24D5C" w14:textId="77777777" w:rsidR="0092633B" w:rsidRPr="0092633B" w:rsidRDefault="0092633B" w:rsidP="0092633B">
            <w:r w:rsidRPr="0092633B">
              <w:t>Monthly</w:t>
            </w:r>
          </w:p>
        </w:tc>
        <w:tc>
          <w:tcPr>
            <w:tcW w:w="0" w:type="auto"/>
            <w:vAlign w:val="center"/>
            <w:hideMark/>
          </w:tcPr>
          <w:p w14:paraId="3DEE8EC6" w14:textId="77777777" w:rsidR="0092633B" w:rsidRPr="0092633B" w:rsidRDefault="0092633B" w:rsidP="0092633B">
            <w:r w:rsidRPr="0092633B">
              <w:t>Official reports, in-person meetings</w:t>
            </w:r>
          </w:p>
        </w:tc>
        <w:tc>
          <w:tcPr>
            <w:tcW w:w="0" w:type="auto"/>
            <w:vAlign w:val="center"/>
            <w:hideMark/>
          </w:tcPr>
          <w:p w14:paraId="03E81F4B" w14:textId="77777777" w:rsidR="0092633B" w:rsidRPr="0092633B" w:rsidRDefault="0092633B" w:rsidP="0092633B">
            <w:r w:rsidRPr="0092633B">
              <w:t>Maintain transparency, secure continued political and financial support</w:t>
            </w:r>
          </w:p>
        </w:tc>
      </w:tr>
      <w:tr w:rsidR="0092633B" w:rsidRPr="0092633B" w14:paraId="6079D2BB" w14:textId="77777777" w:rsidTr="00AE6A9F">
        <w:trPr>
          <w:tblCellSpacing w:w="15" w:type="dxa"/>
        </w:trPr>
        <w:tc>
          <w:tcPr>
            <w:tcW w:w="0" w:type="auto"/>
            <w:vAlign w:val="center"/>
            <w:hideMark/>
          </w:tcPr>
          <w:p w14:paraId="137B3C6A" w14:textId="77777777" w:rsidR="0092633B" w:rsidRPr="0092633B" w:rsidRDefault="0092633B" w:rsidP="0092633B">
            <w:r w:rsidRPr="0092633B">
              <w:rPr>
                <w:b/>
                <w:bCs/>
              </w:rPr>
              <w:t>Residents &amp; Commuters</w:t>
            </w:r>
          </w:p>
        </w:tc>
        <w:tc>
          <w:tcPr>
            <w:tcW w:w="0" w:type="auto"/>
            <w:vAlign w:val="center"/>
            <w:hideMark/>
          </w:tcPr>
          <w:p w14:paraId="79C967FA" w14:textId="77777777" w:rsidR="0092633B" w:rsidRPr="0092633B" w:rsidRDefault="0092633B" w:rsidP="0092633B">
            <w:r w:rsidRPr="0092633B">
              <w:t>Route plans, disruptions, environmental benefits</w:t>
            </w:r>
          </w:p>
        </w:tc>
        <w:tc>
          <w:tcPr>
            <w:tcW w:w="0" w:type="auto"/>
            <w:vAlign w:val="center"/>
            <w:hideMark/>
          </w:tcPr>
          <w:p w14:paraId="3EA6C7E0" w14:textId="77777777" w:rsidR="0092633B" w:rsidRPr="0092633B" w:rsidRDefault="0092633B" w:rsidP="0092633B">
            <w:r w:rsidRPr="0092633B">
              <w:t>Bi-monthly</w:t>
            </w:r>
          </w:p>
        </w:tc>
        <w:tc>
          <w:tcPr>
            <w:tcW w:w="0" w:type="auto"/>
            <w:vAlign w:val="center"/>
            <w:hideMark/>
          </w:tcPr>
          <w:p w14:paraId="1F4E9F23" w14:textId="77777777" w:rsidR="0092633B" w:rsidRPr="0092633B" w:rsidRDefault="0092633B" w:rsidP="0092633B">
            <w:r w:rsidRPr="0092633B">
              <w:t>Community meetings, social media (Facebook, X), local newspapers</w:t>
            </w:r>
          </w:p>
        </w:tc>
        <w:tc>
          <w:tcPr>
            <w:tcW w:w="0" w:type="auto"/>
            <w:vAlign w:val="center"/>
            <w:hideMark/>
          </w:tcPr>
          <w:p w14:paraId="263BD57D" w14:textId="77777777" w:rsidR="0092633B" w:rsidRPr="0092633B" w:rsidRDefault="0092633B" w:rsidP="0092633B">
            <w:r w:rsidRPr="0092633B">
              <w:t>Promote awareness, manage expectations, gather feedback</w:t>
            </w:r>
          </w:p>
        </w:tc>
      </w:tr>
      <w:tr w:rsidR="0092633B" w:rsidRPr="0092633B" w14:paraId="17311F11" w14:textId="77777777" w:rsidTr="00AE6A9F">
        <w:trPr>
          <w:tblCellSpacing w:w="15" w:type="dxa"/>
        </w:trPr>
        <w:tc>
          <w:tcPr>
            <w:tcW w:w="0" w:type="auto"/>
            <w:vAlign w:val="center"/>
            <w:hideMark/>
          </w:tcPr>
          <w:p w14:paraId="3C964439" w14:textId="77777777" w:rsidR="0092633B" w:rsidRPr="0092633B" w:rsidRDefault="0092633B" w:rsidP="0092633B">
            <w:r w:rsidRPr="0092633B">
              <w:rPr>
                <w:b/>
                <w:bCs/>
              </w:rPr>
              <w:t>Environmental NGOs</w:t>
            </w:r>
          </w:p>
        </w:tc>
        <w:tc>
          <w:tcPr>
            <w:tcW w:w="0" w:type="auto"/>
            <w:vAlign w:val="center"/>
            <w:hideMark/>
          </w:tcPr>
          <w:p w14:paraId="6BC414F2" w14:textId="77777777" w:rsidR="0092633B" w:rsidRPr="0092633B" w:rsidRDefault="0092633B" w:rsidP="0092633B">
            <w:r w:rsidRPr="0092633B">
              <w:t>Environmental assessments, carbon footprint updates</w:t>
            </w:r>
          </w:p>
        </w:tc>
        <w:tc>
          <w:tcPr>
            <w:tcW w:w="0" w:type="auto"/>
            <w:vAlign w:val="center"/>
            <w:hideMark/>
          </w:tcPr>
          <w:p w14:paraId="5C648ABD" w14:textId="77777777" w:rsidR="0092633B" w:rsidRPr="0092633B" w:rsidRDefault="0092633B" w:rsidP="0092633B">
            <w:r w:rsidRPr="0092633B">
              <w:t>Quarterly</w:t>
            </w:r>
          </w:p>
        </w:tc>
        <w:tc>
          <w:tcPr>
            <w:tcW w:w="0" w:type="auto"/>
            <w:vAlign w:val="center"/>
            <w:hideMark/>
          </w:tcPr>
          <w:p w14:paraId="182B5432" w14:textId="77777777" w:rsidR="0092633B" w:rsidRPr="0092633B" w:rsidRDefault="0092633B" w:rsidP="0092633B">
            <w:r w:rsidRPr="0092633B">
              <w:t>Email reports, workshops</w:t>
            </w:r>
          </w:p>
        </w:tc>
        <w:tc>
          <w:tcPr>
            <w:tcW w:w="0" w:type="auto"/>
            <w:vAlign w:val="center"/>
            <w:hideMark/>
          </w:tcPr>
          <w:p w14:paraId="5149CC58" w14:textId="77777777" w:rsidR="0092633B" w:rsidRPr="0092633B" w:rsidRDefault="0092633B" w:rsidP="0092633B">
            <w:r w:rsidRPr="0092633B">
              <w:t>Ensure sustainability standards are upheld</w:t>
            </w:r>
          </w:p>
        </w:tc>
      </w:tr>
      <w:tr w:rsidR="0092633B" w:rsidRPr="0092633B" w14:paraId="31975B8F" w14:textId="77777777" w:rsidTr="00AE6A9F">
        <w:trPr>
          <w:tblCellSpacing w:w="15" w:type="dxa"/>
        </w:trPr>
        <w:tc>
          <w:tcPr>
            <w:tcW w:w="0" w:type="auto"/>
            <w:vAlign w:val="center"/>
            <w:hideMark/>
          </w:tcPr>
          <w:p w14:paraId="52819382" w14:textId="77777777" w:rsidR="0092633B" w:rsidRPr="0092633B" w:rsidRDefault="0092633B" w:rsidP="0092633B">
            <w:r w:rsidRPr="0092633B">
              <w:rPr>
                <w:b/>
                <w:bCs/>
              </w:rPr>
              <w:t>Local Businesses</w:t>
            </w:r>
          </w:p>
        </w:tc>
        <w:tc>
          <w:tcPr>
            <w:tcW w:w="0" w:type="auto"/>
            <w:vAlign w:val="center"/>
            <w:hideMark/>
          </w:tcPr>
          <w:p w14:paraId="5004D53E" w14:textId="77777777" w:rsidR="0092633B" w:rsidRPr="0092633B" w:rsidRDefault="0092633B" w:rsidP="0092633B">
            <w:r w:rsidRPr="0092633B">
              <w:t>Traffic and access changes, project timeline</w:t>
            </w:r>
          </w:p>
        </w:tc>
        <w:tc>
          <w:tcPr>
            <w:tcW w:w="0" w:type="auto"/>
            <w:vAlign w:val="center"/>
            <w:hideMark/>
          </w:tcPr>
          <w:p w14:paraId="64757E64" w14:textId="77777777" w:rsidR="0092633B" w:rsidRPr="0092633B" w:rsidRDefault="0092633B" w:rsidP="0092633B">
            <w:r w:rsidRPr="0092633B">
              <w:t>Monthly</w:t>
            </w:r>
          </w:p>
        </w:tc>
        <w:tc>
          <w:tcPr>
            <w:tcW w:w="0" w:type="auto"/>
            <w:vAlign w:val="center"/>
            <w:hideMark/>
          </w:tcPr>
          <w:p w14:paraId="0A7EBE7D" w14:textId="77777777" w:rsidR="0092633B" w:rsidRPr="0092633B" w:rsidRDefault="0092633B" w:rsidP="0092633B">
            <w:r w:rsidRPr="0092633B">
              <w:t>Business newsletters, stakeholder forums</w:t>
            </w:r>
          </w:p>
        </w:tc>
        <w:tc>
          <w:tcPr>
            <w:tcW w:w="0" w:type="auto"/>
            <w:vAlign w:val="center"/>
            <w:hideMark/>
          </w:tcPr>
          <w:p w14:paraId="3B5E7410" w14:textId="77777777" w:rsidR="0092633B" w:rsidRPr="0092633B" w:rsidRDefault="0092633B" w:rsidP="0092633B">
            <w:r w:rsidRPr="0092633B">
              <w:t>Reduce disruption and improve cooperation</w:t>
            </w:r>
          </w:p>
        </w:tc>
      </w:tr>
      <w:tr w:rsidR="0092633B" w:rsidRPr="0092633B" w14:paraId="719562DF" w14:textId="77777777" w:rsidTr="00AE6A9F">
        <w:trPr>
          <w:tblCellSpacing w:w="15" w:type="dxa"/>
        </w:trPr>
        <w:tc>
          <w:tcPr>
            <w:tcW w:w="0" w:type="auto"/>
            <w:vAlign w:val="center"/>
            <w:hideMark/>
          </w:tcPr>
          <w:p w14:paraId="16A05D4F" w14:textId="77777777" w:rsidR="0092633B" w:rsidRPr="0092633B" w:rsidRDefault="0092633B" w:rsidP="0092633B">
            <w:r w:rsidRPr="0092633B">
              <w:rPr>
                <w:b/>
                <w:bCs/>
              </w:rPr>
              <w:t>Transport Workers’ Union</w:t>
            </w:r>
          </w:p>
        </w:tc>
        <w:tc>
          <w:tcPr>
            <w:tcW w:w="0" w:type="auto"/>
            <w:vAlign w:val="center"/>
            <w:hideMark/>
          </w:tcPr>
          <w:p w14:paraId="212869CE" w14:textId="77777777" w:rsidR="0092633B" w:rsidRPr="0092633B" w:rsidRDefault="0092633B" w:rsidP="0092633B">
            <w:r w:rsidRPr="0092633B">
              <w:t>Workforce planning, safety protocols</w:t>
            </w:r>
          </w:p>
        </w:tc>
        <w:tc>
          <w:tcPr>
            <w:tcW w:w="0" w:type="auto"/>
            <w:vAlign w:val="center"/>
            <w:hideMark/>
          </w:tcPr>
          <w:p w14:paraId="266FCFF7" w14:textId="77777777" w:rsidR="0092633B" w:rsidRPr="0092633B" w:rsidRDefault="0092633B" w:rsidP="0092633B">
            <w:r w:rsidRPr="0092633B">
              <w:t>Monthly</w:t>
            </w:r>
          </w:p>
        </w:tc>
        <w:tc>
          <w:tcPr>
            <w:tcW w:w="0" w:type="auto"/>
            <w:vAlign w:val="center"/>
            <w:hideMark/>
          </w:tcPr>
          <w:p w14:paraId="2A89FF30" w14:textId="77777777" w:rsidR="0092633B" w:rsidRPr="0092633B" w:rsidRDefault="0092633B" w:rsidP="0092633B">
            <w:r w:rsidRPr="0092633B">
              <w:t>Formal meetings, written correspondence</w:t>
            </w:r>
          </w:p>
        </w:tc>
        <w:tc>
          <w:tcPr>
            <w:tcW w:w="0" w:type="auto"/>
            <w:vAlign w:val="center"/>
            <w:hideMark/>
          </w:tcPr>
          <w:p w14:paraId="0B0FA0B8" w14:textId="77777777" w:rsidR="0092633B" w:rsidRPr="0092633B" w:rsidRDefault="0092633B" w:rsidP="0092633B">
            <w:r w:rsidRPr="0092633B">
              <w:t>Maintain good labour relations and prevent industrial disputes</w:t>
            </w:r>
          </w:p>
        </w:tc>
      </w:tr>
      <w:tr w:rsidR="0092633B" w:rsidRPr="0092633B" w14:paraId="65F8F2ED" w14:textId="77777777" w:rsidTr="00AE6A9F">
        <w:trPr>
          <w:tblCellSpacing w:w="15" w:type="dxa"/>
        </w:trPr>
        <w:tc>
          <w:tcPr>
            <w:tcW w:w="0" w:type="auto"/>
            <w:vAlign w:val="center"/>
            <w:hideMark/>
          </w:tcPr>
          <w:p w14:paraId="0AFEEF6A" w14:textId="77777777" w:rsidR="0092633B" w:rsidRPr="0092633B" w:rsidRDefault="0092633B" w:rsidP="0092633B">
            <w:r w:rsidRPr="0092633B">
              <w:rPr>
                <w:b/>
                <w:bCs/>
              </w:rPr>
              <w:t>Construction Contractors &amp; Suppliers</w:t>
            </w:r>
          </w:p>
        </w:tc>
        <w:tc>
          <w:tcPr>
            <w:tcW w:w="0" w:type="auto"/>
            <w:vAlign w:val="center"/>
            <w:hideMark/>
          </w:tcPr>
          <w:p w14:paraId="71336649" w14:textId="77777777" w:rsidR="0092633B" w:rsidRPr="0092633B" w:rsidRDefault="0092633B" w:rsidP="0092633B">
            <w:r w:rsidRPr="0092633B">
              <w:t>Design updates, deadlines, safety standards</w:t>
            </w:r>
          </w:p>
        </w:tc>
        <w:tc>
          <w:tcPr>
            <w:tcW w:w="0" w:type="auto"/>
            <w:vAlign w:val="center"/>
            <w:hideMark/>
          </w:tcPr>
          <w:p w14:paraId="5BE7E1E0" w14:textId="77777777" w:rsidR="0092633B" w:rsidRPr="0092633B" w:rsidRDefault="0092633B" w:rsidP="0092633B">
            <w:r w:rsidRPr="0092633B">
              <w:t>Weekly</w:t>
            </w:r>
          </w:p>
        </w:tc>
        <w:tc>
          <w:tcPr>
            <w:tcW w:w="0" w:type="auto"/>
            <w:vAlign w:val="center"/>
            <w:hideMark/>
          </w:tcPr>
          <w:p w14:paraId="69D122D1" w14:textId="77777777" w:rsidR="0092633B" w:rsidRPr="0092633B" w:rsidRDefault="0092633B" w:rsidP="0092633B">
            <w:r w:rsidRPr="0092633B">
              <w:t>Project management tools (MS Teams, Asana), progress meetings</w:t>
            </w:r>
          </w:p>
        </w:tc>
        <w:tc>
          <w:tcPr>
            <w:tcW w:w="0" w:type="auto"/>
            <w:vAlign w:val="center"/>
            <w:hideMark/>
          </w:tcPr>
          <w:p w14:paraId="1731A0F7" w14:textId="77777777" w:rsidR="0092633B" w:rsidRPr="0092633B" w:rsidRDefault="0092633B" w:rsidP="0092633B">
            <w:r w:rsidRPr="0092633B">
              <w:t>Ensure coordination, mitigate delays</w:t>
            </w:r>
          </w:p>
        </w:tc>
      </w:tr>
    </w:tbl>
    <w:p w14:paraId="330D19F9" w14:textId="77777777" w:rsidR="005D3788" w:rsidRDefault="005D3788" w:rsidP="0092633B"/>
    <w:p w14:paraId="025FA067" w14:textId="7FF841F5" w:rsidR="0065600E" w:rsidRDefault="0065600E" w:rsidP="0065600E">
      <w:pPr>
        <w:rPr>
          <w:b/>
          <w:bCs/>
        </w:rPr>
      </w:pPr>
      <w:r w:rsidRPr="0065600E">
        <w:rPr>
          <w:b/>
          <w:bCs/>
        </w:rPr>
        <w:lastRenderedPageBreak/>
        <w:t>Consultation Methods</w:t>
      </w:r>
    </w:p>
    <w:p w14:paraId="3D1662D3" w14:textId="7EA4A812" w:rsidR="005D3788" w:rsidRDefault="005D3788" w:rsidP="005D3788">
      <w:r>
        <w:t>Stakeholder consultation will be carried out using various participatory formats:</w:t>
      </w:r>
    </w:p>
    <w:p w14:paraId="2D4F511B" w14:textId="7C576591" w:rsidR="005D3788" w:rsidRDefault="005D3788" w:rsidP="005D3788">
      <w:pPr>
        <w:pStyle w:val="ListParagraph"/>
        <w:numPr>
          <w:ilvl w:val="0"/>
          <w:numId w:val="9"/>
        </w:numPr>
      </w:pPr>
      <w:r w:rsidRPr="00C745CE">
        <w:rPr>
          <w:b/>
          <w:bCs/>
        </w:rPr>
        <w:t>Public Meetings and Workshops</w:t>
      </w:r>
      <w:r>
        <w:t>: These will be organi</w:t>
      </w:r>
      <w:r w:rsidR="00963EF7">
        <w:t>s</w:t>
      </w:r>
      <w:r>
        <w:t>ed to directly engage residents, commuters, and NGOs. The focus of these meetings will be on providing updates, addressing inquiries, and collecting local insights.</w:t>
      </w:r>
    </w:p>
    <w:p w14:paraId="7F6C693D" w14:textId="0EB1136F" w:rsidR="005D3788" w:rsidRDefault="005D3788" w:rsidP="005D3788">
      <w:pPr>
        <w:pStyle w:val="ListParagraph"/>
        <w:numPr>
          <w:ilvl w:val="0"/>
          <w:numId w:val="9"/>
        </w:numPr>
      </w:pPr>
      <w:r w:rsidRPr="00C745CE">
        <w:rPr>
          <w:b/>
          <w:bCs/>
        </w:rPr>
        <w:t>Online Consultations and Surveys</w:t>
      </w:r>
      <w:r>
        <w:t>: These will be made available through the Bristol City Council’s engagement portal and the project website, ensuring that those who cannot attend in person are included.</w:t>
      </w:r>
    </w:p>
    <w:p w14:paraId="25BFE1F3" w14:textId="51D3D30D" w:rsidR="005D3788" w:rsidRDefault="005D3788" w:rsidP="005D3788">
      <w:pPr>
        <w:pStyle w:val="ListParagraph"/>
        <w:numPr>
          <w:ilvl w:val="0"/>
          <w:numId w:val="9"/>
        </w:numPr>
      </w:pPr>
      <w:r w:rsidRPr="00C745CE">
        <w:rPr>
          <w:b/>
          <w:bCs/>
        </w:rPr>
        <w:t>Focus Groups</w:t>
      </w:r>
      <w:r>
        <w:t>: These will be designed for specific groups such as local businesses and the Transport Workers’ Union, facilitating in-depth discussions regarding particular concerns.</w:t>
      </w:r>
    </w:p>
    <w:p w14:paraId="77833130" w14:textId="7DB2980F" w:rsidR="005D3788" w:rsidRDefault="005D3788" w:rsidP="005D3788">
      <w:pPr>
        <w:pStyle w:val="ListParagraph"/>
        <w:numPr>
          <w:ilvl w:val="0"/>
          <w:numId w:val="9"/>
        </w:numPr>
      </w:pPr>
      <w:r w:rsidRPr="00C745CE">
        <w:rPr>
          <w:b/>
          <w:bCs/>
        </w:rPr>
        <w:t>Media Engagement</w:t>
      </w:r>
      <w:r>
        <w:t>: This will involve press releases, radio interviews, and articles in local newspapers to reach a broader audience, especially those in the “Monitor” quadrant.</w:t>
      </w:r>
    </w:p>
    <w:p w14:paraId="080C232F" w14:textId="7F02FE7D" w:rsidR="005D3788" w:rsidRDefault="005D3788" w:rsidP="00C745CE">
      <w:r>
        <w:t>According to Grossi, Tavares, and Tavares (2020), a hybrid model that integrates both digital and face-to-face consultation enhances inclusivity and responsiveness.</w:t>
      </w:r>
    </w:p>
    <w:p w14:paraId="70DA5825" w14:textId="77777777" w:rsidR="007F4AF2" w:rsidRDefault="007F4AF2" w:rsidP="00C745CE"/>
    <w:p w14:paraId="5A5F2B28" w14:textId="72F66053" w:rsidR="00C745CE" w:rsidRDefault="007F4AF2" w:rsidP="00C745CE">
      <w:pPr>
        <w:rPr>
          <w:b/>
          <w:bCs/>
        </w:rPr>
      </w:pPr>
      <w:r w:rsidRPr="007F4AF2">
        <w:rPr>
          <w:b/>
          <w:bCs/>
        </w:rPr>
        <w:t>Justification of Communication Channels</w:t>
      </w:r>
    </w:p>
    <w:p w14:paraId="53D6B7B4" w14:textId="3DBC9864" w:rsidR="00CB0F64" w:rsidRDefault="00CB0F64" w:rsidP="00CB0F64">
      <w:pPr>
        <w:pStyle w:val="ListParagraph"/>
        <w:numPr>
          <w:ilvl w:val="0"/>
          <w:numId w:val="10"/>
        </w:numPr>
      </w:pPr>
      <w:r w:rsidRPr="00CB0F64">
        <w:rPr>
          <w:b/>
          <w:bCs/>
        </w:rPr>
        <w:t>Digital Channels</w:t>
      </w:r>
      <w:r>
        <w:t>: Social media platforms and online surveys significantly boost engagement, especially among younger participants, as Bristol’s digital involvement in local initiatives surpasses 70% (Bristol City Council, 2024).</w:t>
      </w:r>
    </w:p>
    <w:p w14:paraId="44BAF1A8" w14:textId="5A038BCA" w:rsidR="00CB0F64" w:rsidRDefault="00CB0F64" w:rsidP="00CB0F64">
      <w:pPr>
        <w:pStyle w:val="ListParagraph"/>
        <w:numPr>
          <w:ilvl w:val="0"/>
          <w:numId w:val="10"/>
        </w:numPr>
      </w:pPr>
      <w:r w:rsidRPr="00CB0F64">
        <w:rPr>
          <w:b/>
          <w:bCs/>
        </w:rPr>
        <w:t>Face-to-Face Meetings</w:t>
      </w:r>
      <w:r>
        <w:t>: These remain crucial for fostering trust and ensuring accessibility for individuals who are less active in the digital realm (Ngampravatdee, Njoya and Graham, 2023).</w:t>
      </w:r>
    </w:p>
    <w:p w14:paraId="658E2F94" w14:textId="122D11B2" w:rsidR="00CB0F64" w:rsidRDefault="00CB0F64" w:rsidP="00CB0F64">
      <w:pPr>
        <w:pStyle w:val="ListParagraph"/>
        <w:numPr>
          <w:ilvl w:val="0"/>
          <w:numId w:val="10"/>
        </w:numPr>
      </w:pPr>
      <w:r w:rsidRPr="00CB0F64">
        <w:rPr>
          <w:b/>
          <w:bCs/>
        </w:rPr>
        <w:t>Formal Reports and Briefings</w:t>
      </w:r>
      <w:r>
        <w:t>: They ensure accountability and traceability in decision-making processes that involve influential stakeholders.</w:t>
      </w:r>
    </w:p>
    <w:p w14:paraId="541AB5EB" w14:textId="1AC43C06" w:rsidR="00CB0F64" w:rsidRDefault="00CB0F64" w:rsidP="00CB0F64">
      <w:r>
        <w:t>The strategy is in accordance with the UK Government’s “Code of Practice on Consultation” (2023), which highlights the importance of transparency, proportionality, and feedback mechanisms.</w:t>
      </w:r>
    </w:p>
    <w:p w14:paraId="4F8E6047" w14:textId="77777777" w:rsidR="00DA1F90" w:rsidRDefault="00DA1F90" w:rsidP="00DA1F90"/>
    <w:p w14:paraId="232F9E2A" w14:textId="0A98EFAD" w:rsidR="00DA1F90" w:rsidRPr="00E54F0F" w:rsidRDefault="00DA1F90" w:rsidP="00DA1F90">
      <w:pPr>
        <w:rPr>
          <w:b/>
          <w:bCs/>
          <w:sz w:val="24"/>
          <w:szCs w:val="24"/>
        </w:rPr>
      </w:pPr>
      <w:r w:rsidRPr="00E54F0F">
        <w:rPr>
          <w:b/>
          <w:bCs/>
          <w:sz w:val="24"/>
          <w:szCs w:val="24"/>
        </w:rPr>
        <w:t>Benefits of Stakeholder Engagement</w:t>
      </w:r>
    </w:p>
    <w:p w14:paraId="53B7C9B0" w14:textId="15377957" w:rsidR="004B213A" w:rsidRDefault="004B213A" w:rsidP="004B213A">
      <w:r>
        <w:t>A well-structured engagement plan improves:</w:t>
      </w:r>
    </w:p>
    <w:p w14:paraId="2FEDB1AF" w14:textId="677FA8AE" w:rsidR="004B213A" w:rsidRDefault="004B213A" w:rsidP="004B213A">
      <w:r w:rsidRPr="004B213A">
        <w:rPr>
          <w:b/>
          <w:bCs/>
        </w:rPr>
        <w:t>Trust and Transparency</w:t>
      </w:r>
      <w:r>
        <w:t>: Fosters community support and minimi</w:t>
      </w:r>
      <w:r w:rsidR="00B30E6D">
        <w:t>s</w:t>
      </w:r>
      <w:r>
        <w:t>es resistance.</w:t>
      </w:r>
    </w:p>
    <w:p w14:paraId="6FF5051E" w14:textId="46DE8400" w:rsidR="004B213A" w:rsidRDefault="004B213A" w:rsidP="004B213A">
      <w:r w:rsidRPr="004B213A">
        <w:rPr>
          <w:b/>
          <w:bCs/>
        </w:rPr>
        <w:t>Sustainability</w:t>
      </w:r>
      <w:r>
        <w:t>: Integrating environmental and social factors through contributions from NGOs (Erkul, Prebanic and Kumardinkar, 2016).</w:t>
      </w:r>
    </w:p>
    <w:p w14:paraId="25D2526D" w14:textId="77777777" w:rsidR="004B213A" w:rsidRDefault="004B213A" w:rsidP="004B213A">
      <w:r w:rsidRPr="004B213A">
        <w:rPr>
          <w:b/>
          <w:bCs/>
        </w:rPr>
        <w:t>Operational Efficiency</w:t>
      </w:r>
      <w:r>
        <w:t>: Prompt recognition of issues mitigates expensive redesigns or delays (Yudi, Yuliastuti and Soemardi, 2017).</w:t>
      </w:r>
    </w:p>
    <w:p w14:paraId="3FCCA44C" w14:textId="6D0B35A3" w:rsidR="00DA1F90" w:rsidRDefault="004B213A" w:rsidP="004B213A">
      <w:r w:rsidRPr="004B213A">
        <w:rPr>
          <w:b/>
          <w:bCs/>
        </w:rPr>
        <w:t>Reputation Management</w:t>
      </w:r>
      <w:r>
        <w:t>: Proactive communication strengthens the project’s social license to operate (Wolfe and Mahon, 2019).</w:t>
      </w:r>
    </w:p>
    <w:p w14:paraId="61AA0CA9" w14:textId="362B142A" w:rsidR="008C3CD8" w:rsidRPr="00F65DD0" w:rsidRDefault="008C3CD8" w:rsidP="004B213A">
      <w:pPr>
        <w:rPr>
          <w:b/>
          <w:bCs/>
        </w:rPr>
      </w:pPr>
      <w:r w:rsidRPr="00F65DD0">
        <w:rPr>
          <w:b/>
          <w:bCs/>
        </w:rPr>
        <w:lastRenderedPageBreak/>
        <w:t>Summary</w:t>
      </w:r>
    </w:p>
    <w:p w14:paraId="09A6BAEE" w14:textId="6E465AB3" w:rsidR="008C3CD8" w:rsidRDefault="00F65DD0" w:rsidP="004B213A">
      <w:r w:rsidRPr="00F65DD0">
        <w:t>The stakeholder engagement strategy for the MetroWest Phase 2 light rail project is crafted to be inclusive, transparent, and adaptable. The integration of structured communication, ongoing consultation, and participatory approaches guarantees that a variety of perspectives are included in the project's success. Through the implementation of systematic stakeholder mapping and prioriti</w:t>
      </w:r>
      <w:r w:rsidR="00C36111">
        <w:t>s</w:t>
      </w:r>
      <w:r w:rsidRPr="00F65DD0">
        <w:t>ed communication, the project seeks to attain operational efficiency, sustainability, and community backing — all of which are essential for long-term viability and social acceptance.</w:t>
      </w:r>
    </w:p>
    <w:p w14:paraId="29826FDD" w14:textId="77777777" w:rsidR="006C3015" w:rsidRDefault="006C3015" w:rsidP="006C3015"/>
    <w:p w14:paraId="7E08894C" w14:textId="77777777" w:rsidR="006C3015" w:rsidRDefault="006C3015" w:rsidP="006C3015"/>
    <w:p w14:paraId="0CB4ACBE" w14:textId="7BE847D8" w:rsidR="006C3015" w:rsidRDefault="00CC36F1" w:rsidP="00CC36F1">
      <w:pPr>
        <w:rPr>
          <w:b/>
          <w:bCs/>
          <w:i/>
          <w:iCs/>
          <w:sz w:val="24"/>
          <w:szCs w:val="24"/>
        </w:rPr>
      </w:pPr>
      <w:r w:rsidRPr="007E73BE">
        <w:rPr>
          <w:b/>
          <w:bCs/>
          <w:i/>
          <w:iCs/>
          <w:sz w:val="24"/>
          <w:szCs w:val="24"/>
        </w:rPr>
        <w:t>Element 3: Ethical Considerations in Stakeholder Consultation, Participation, and Feedback</w:t>
      </w:r>
    </w:p>
    <w:p w14:paraId="008C1F9C" w14:textId="2D25B29C" w:rsidR="00F67878" w:rsidRDefault="00F67878" w:rsidP="00F67878">
      <w:pPr>
        <w:rPr>
          <w:sz w:val="24"/>
          <w:szCs w:val="24"/>
        </w:rPr>
      </w:pPr>
      <w:r w:rsidRPr="00F67878">
        <w:rPr>
          <w:sz w:val="24"/>
          <w:szCs w:val="24"/>
        </w:rPr>
        <w:t>Ethical considerations play a crucial role in the stakeholder engagement process for any public infrastructure initiative. The MetroWest Phase 2 Light Rail Project in Bristol is required to maintain transparency, fairness, inclusivity, and respect for all stakeholder groups. Adhering to these principles is essential for fostering legitimacy, trust, and accountability in both the consultation process and the outcomes of the project (Bryson, Crosby and Bloomberg, 2014). This section delves into the ethical approaches for stakeholder consultation, the management of potential biases, and the integration of Diversity, Equity, and Inclusion (DEI) principles.</w:t>
      </w:r>
    </w:p>
    <w:p w14:paraId="05BF7D1C" w14:textId="77777777" w:rsidR="00270BC6" w:rsidRDefault="00270BC6" w:rsidP="00CF62D8">
      <w:pPr>
        <w:rPr>
          <w:b/>
          <w:bCs/>
          <w:sz w:val="24"/>
          <w:szCs w:val="24"/>
        </w:rPr>
      </w:pPr>
    </w:p>
    <w:p w14:paraId="25FC5752" w14:textId="5E949907" w:rsidR="00CF62D8" w:rsidRPr="00CE673F" w:rsidRDefault="00CF62D8" w:rsidP="00CF62D8">
      <w:pPr>
        <w:rPr>
          <w:b/>
          <w:bCs/>
          <w:i/>
          <w:iCs/>
          <w:sz w:val="24"/>
          <w:szCs w:val="24"/>
        </w:rPr>
      </w:pPr>
      <w:r w:rsidRPr="00CE673F">
        <w:rPr>
          <w:b/>
          <w:bCs/>
          <w:i/>
          <w:iCs/>
          <w:sz w:val="24"/>
          <w:szCs w:val="24"/>
        </w:rPr>
        <w:t>Ethical Principles in Stakeholder Consultation</w:t>
      </w:r>
    </w:p>
    <w:p w14:paraId="5BE46429" w14:textId="6803FD06" w:rsidR="00EF1CA8" w:rsidRPr="00EF1CA8" w:rsidRDefault="00EF1CA8" w:rsidP="00EF1CA8">
      <w:pPr>
        <w:rPr>
          <w:sz w:val="24"/>
          <w:szCs w:val="24"/>
        </w:rPr>
      </w:pPr>
      <w:r w:rsidRPr="00EF1CA8">
        <w:rPr>
          <w:sz w:val="24"/>
          <w:szCs w:val="24"/>
        </w:rPr>
        <w:t>Consultation serves as the means by which stakeholders can articulate their opinions, concerns, and expectations. Ethically, this process ought to be directed by the principles of informed participation, confidentiality, and fairness (Benn, Abratt and O’Leary, 2016). In the context of the MetroWest Phase 2 project, the ethical framework guarantees that all participants receive accurate and timely information, that their data and contributions are respected, and that decisions are made in a transparent manner.</w:t>
      </w:r>
    </w:p>
    <w:p w14:paraId="242319E0" w14:textId="5BBCD93E" w:rsidR="00EF1CA8" w:rsidRPr="00E72109" w:rsidRDefault="00EF1CA8" w:rsidP="00EF1CA8">
      <w:pPr>
        <w:pStyle w:val="ListParagraph"/>
        <w:numPr>
          <w:ilvl w:val="0"/>
          <w:numId w:val="11"/>
        </w:numPr>
      </w:pPr>
      <w:r w:rsidRPr="00E72109">
        <w:t>As stated in the UK Government’s Code of Practice on Consultation (2023), public consultation must be "inclusive, proportional, and accessible." Accordingly, the consultation process for the MetroWest project encompasses:</w:t>
      </w:r>
    </w:p>
    <w:p w14:paraId="4AB2DF60" w14:textId="7E97BD3D" w:rsidR="00EF1CA8" w:rsidRPr="00E72109" w:rsidRDefault="00EF1CA8" w:rsidP="00EF1CA8">
      <w:pPr>
        <w:pStyle w:val="ListParagraph"/>
        <w:numPr>
          <w:ilvl w:val="0"/>
          <w:numId w:val="11"/>
        </w:numPr>
      </w:pPr>
      <w:r w:rsidRPr="00E72109">
        <w:t>Providing accessible information regarding project timelines, environmental impacts, and expected benefits.</w:t>
      </w:r>
    </w:p>
    <w:p w14:paraId="12E6F9BA" w14:textId="4E4DAB77" w:rsidR="00EF1CA8" w:rsidRPr="00E72109" w:rsidRDefault="00EF1CA8" w:rsidP="00EF1CA8">
      <w:pPr>
        <w:pStyle w:val="ListParagraph"/>
        <w:numPr>
          <w:ilvl w:val="0"/>
          <w:numId w:val="11"/>
        </w:numPr>
      </w:pPr>
      <w:r w:rsidRPr="00E72109">
        <w:t>Ensuring equal opportunities for participation, which includes provisions for disabled, elderly, and non-English-speaking residents.</w:t>
      </w:r>
    </w:p>
    <w:p w14:paraId="42071755" w14:textId="77777777" w:rsidR="00EF1CA8" w:rsidRPr="00E72109" w:rsidRDefault="00EF1CA8" w:rsidP="00E72109">
      <w:pPr>
        <w:pStyle w:val="ListParagraph"/>
        <w:numPr>
          <w:ilvl w:val="0"/>
          <w:numId w:val="11"/>
        </w:numPr>
      </w:pPr>
      <w:r w:rsidRPr="00E72109">
        <w:t>Employing non-technical language in public communications to minimize barriers to understanding.</w:t>
      </w:r>
    </w:p>
    <w:p w14:paraId="392FCAD8" w14:textId="7B5B1BFD" w:rsidR="00EF1CA8" w:rsidRDefault="00EF1CA8" w:rsidP="00EF1CA8">
      <w:r w:rsidRPr="00E72109">
        <w:t>These measures exemplify Bristol City Council’s continuous commitment to fostering ethical governance and participatory democracy (Bristol City Council, 2024).</w:t>
      </w:r>
    </w:p>
    <w:p w14:paraId="0274FE49" w14:textId="77777777" w:rsidR="005D38F0" w:rsidRDefault="005D38F0" w:rsidP="00EF1CA8"/>
    <w:p w14:paraId="436E180C" w14:textId="654415E2" w:rsidR="005D38F0" w:rsidRPr="00A0673C" w:rsidRDefault="005D38F0" w:rsidP="00EF1CA8">
      <w:pPr>
        <w:rPr>
          <w:b/>
          <w:bCs/>
          <w:i/>
          <w:iCs/>
        </w:rPr>
      </w:pPr>
      <w:r w:rsidRPr="00A0673C">
        <w:rPr>
          <w:b/>
          <w:bCs/>
          <w:i/>
          <w:iCs/>
        </w:rPr>
        <w:lastRenderedPageBreak/>
        <w:t>Consultation Methods and Ethical Implementation</w:t>
      </w:r>
    </w:p>
    <w:p w14:paraId="6E5468C7" w14:textId="5C9C946A" w:rsidR="00A0673C" w:rsidRDefault="00A0673C" w:rsidP="00A0673C">
      <w:r>
        <w:t>Various consultation techniques are being employed in the MetroWest project, such as public meetings, online surveys, and focus groups. Each technique necessitates ethical oversight to ensure transparency and inclusivity.</w:t>
      </w:r>
    </w:p>
    <w:p w14:paraId="4355D831" w14:textId="01299BBD" w:rsidR="00A0673C" w:rsidRPr="00A0673C" w:rsidRDefault="00A0673C" w:rsidP="00A0673C">
      <w:pPr>
        <w:pStyle w:val="ListParagraph"/>
        <w:numPr>
          <w:ilvl w:val="0"/>
          <w:numId w:val="12"/>
        </w:numPr>
        <w:rPr>
          <w:b/>
          <w:bCs/>
        </w:rPr>
      </w:pPr>
      <w:r w:rsidRPr="00A0673C">
        <w:rPr>
          <w:b/>
          <w:bCs/>
        </w:rPr>
        <w:t xml:space="preserve">Public Meetings and Workshops - </w:t>
      </w:r>
      <w:r>
        <w:t>These gatherings allow residents and interest groups to interact directly with project representatives. To guarantee fairness, meetings are promoted through various channels (local media, social networks, and community bulletin boards). Ethical considerations involve providing equal opportunities for speaking and recording feedback in an unbiased manner. Facilitators receive training to uphold neutrality and handle conflicts constructively (Benn, Abratt and O’Leary, 2016).</w:t>
      </w:r>
    </w:p>
    <w:p w14:paraId="10533905" w14:textId="120DA0E9" w:rsidR="00A0673C" w:rsidRPr="00A0673C" w:rsidRDefault="00A0673C" w:rsidP="00A0673C">
      <w:pPr>
        <w:pStyle w:val="ListParagraph"/>
        <w:numPr>
          <w:ilvl w:val="0"/>
          <w:numId w:val="12"/>
        </w:numPr>
        <w:rPr>
          <w:b/>
          <w:bCs/>
        </w:rPr>
      </w:pPr>
      <w:r w:rsidRPr="00A0673C">
        <w:rPr>
          <w:b/>
          <w:bCs/>
        </w:rPr>
        <w:t xml:space="preserve">Online Consultation Platforms - </w:t>
      </w:r>
      <w:r>
        <w:t>Bristol City Council’s digital engagement portal enables residents to provide comments on project updates and offer feedback. Ethical implementation requires safeguarding user data in compliance with UK GDPR (2018) and ensuring that contributions are assessed objectively, free from algorithmic bias.</w:t>
      </w:r>
    </w:p>
    <w:p w14:paraId="70EE8FC7" w14:textId="35D5224A" w:rsidR="00A0673C" w:rsidRPr="00A0673C" w:rsidRDefault="00A0673C" w:rsidP="00A0673C">
      <w:pPr>
        <w:pStyle w:val="ListParagraph"/>
        <w:numPr>
          <w:ilvl w:val="0"/>
          <w:numId w:val="12"/>
        </w:numPr>
        <w:rPr>
          <w:b/>
          <w:bCs/>
        </w:rPr>
      </w:pPr>
      <w:r w:rsidRPr="00A0673C">
        <w:rPr>
          <w:b/>
          <w:bCs/>
        </w:rPr>
        <w:t xml:space="preserve">Focus Groups and Stakeholder Panels - </w:t>
      </w:r>
      <w:r>
        <w:t>Smaller consultations with businesses, unions, and environmental NGOs facilitate more in-depth discussions. These sessions are documented transparently, and summaries are made publicly available to promote accountability.</w:t>
      </w:r>
    </w:p>
    <w:p w14:paraId="5E4B4490" w14:textId="5F49D03E" w:rsidR="005D38F0" w:rsidRDefault="00A0673C" w:rsidP="00A0673C">
      <w:r>
        <w:t xml:space="preserve">All of these consultation methods adhere to informed consent protocols, meaning participants are aware of how their feedback will be </w:t>
      </w:r>
      <w:r w:rsidR="00A161F4">
        <w:t>used</w:t>
      </w:r>
      <w:r>
        <w:t xml:space="preserve"> and stored (Caldwell, 2019).</w:t>
      </w:r>
    </w:p>
    <w:p w14:paraId="6B08CF7B" w14:textId="77777777" w:rsidR="00A0673C" w:rsidRDefault="00A0673C" w:rsidP="00A0673C"/>
    <w:p w14:paraId="1C0D0ED1" w14:textId="2473E4B7" w:rsidR="00A0673C" w:rsidRPr="00CE673F" w:rsidRDefault="006B2D28" w:rsidP="00A0673C">
      <w:pPr>
        <w:rPr>
          <w:b/>
          <w:bCs/>
          <w:i/>
          <w:iCs/>
        </w:rPr>
      </w:pPr>
      <w:r w:rsidRPr="00CE673F">
        <w:rPr>
          <w:b/>
          <w:bCs/>
          <w:i/>
          <w:iCs/>
        </w:rPr>
        <w:t>Addressing Bias and Power Imbalances</w:t>
      </w:r>
    </w:p>
    <w:p w14:paraId="69D9ED5D" w14:textId="462C5641" w:rsidR="00002027" w:rsidRDefault="00002027" w:rsidP="00002027">
      <w:r>
        <w:t>Bias and power dynamics can compromise ethical consultation if not effectively addressed. It is essential for stakeholder engagement to acknowledge that certain groups—such as local residents—may possess less institutional power compared to authorities or developers. To mitigate this issue, the MetroWest consultation strategy incorporates the following measures:</w:t>
      </w:r>
    </w:p>
    <w:p w14:paraId="461C687F" w14:textId="120FA8C8" w:rsidR="00002027" w:rsidRDefault="00002027" w:rsidP="00002027">
      <w:pPr>
        <w:pStyle w:val="ListParagraph"/>
        <w:numPr>
          <w:ilvl w:val="0"/>
          <w:numId w:val="13"/>
        </w:numPr>
      </w:pPr>
      <w:r w:rsidRPr="00CE673F">
        <w:rPr>
          <w:b/>
          <w:bCs/>
        </w:rPr>
        <w:t>Equal Representation</w:t>
      </w:r>
      <w:r>
        <w:t xml:space="preserve">: It is crucial to ensure that underrepresented groups (e.g., low-income residents or ethnic minorities) are included in consultations by </w:t>
      </w:r>
      <w:proofErr w:type="spellStart"/>
      <w:r>
        <w:t>organi</w:t>
      </w:r>
      <w:r w:rsidR="0070476C">
        <w:t>s</w:t>
      </w:r>
      <w:r>
        <w:t>ng</w:t>
      </w:r>
      <w:proofErr w:type="spellEnd"/>
      <w:r>
        <w:t xml:space="preserve"> sessions in diverse </w:t>
      </w:r>
      <w:r w:rsidR="00CE673F">
        <w:t>neighbourhoods</w:t>
      </w:r>
      <w:r>
        <w:t xml:space="preserve"> like Lawrence Hill and Easton, which have historically experienced lower civic participation rates (Bristol City Council, 2024).</w:t>
      </w:r>
    </w:p>
    <w:p w14:paraId="4EAA28D6" w14:textId="08141843" w:rsidR="00002027" w:rsidRDefault="00002027" w:rsidP="00002027">
      <w:pPr>
        <w:pStyle w:val="ListParagraph"/>
        <w:numPr>
          <w:ilvl w:val="0"/>
          <w:numId w:val="13"/>
        </w:numPr>
      </w:pPr>
      <w:r w:rsidRPr="00CE673F">
        <w:rPr>
          <w:b/>
          <w:bCs/>
        </w:rPr>
        <w:t>Independent Moderation</w:t>
      </w:r>
      <w:r>
        <w:t>: The involvement of neutral facilitators in managing workshops is vital to prevent more vocal or powerful stakeholders from dominating the discussions.</w:t>
      </w:r>
    </w:p>
    <w:p w14:paraId="612A24C8" w14:textId="13BF85B0" w:rsidR="00002027" w:rsidRDefault="00002027" w:rsidP="00002027">
      <w:pPr>
        <w:pStyle w:val="ListParagraph"/>
        <w:numPr>
          <w:ilvl w:val="0"/>
          <w:numId w:val="13"/>
        </w:numPr>
      </w:pPr>
      <w:r w:rsidRPr="00CE673F">
        <w:rPr>
          <w:b/>
          <w:bCs/>
        </w:rPr>
        <w:t>Transparency in Data Interpretation</w:t>
      </w:r>
      <w:r>
        <w:t>: All data collected are anonymi</w:t>
      </w:r>
      <w:r w:rsidR="00561F39">
        <w:t>s</w:t>
      </w:r>
      <w:r>
        <w:t>ed prior to analysis to reduce bias in the interpretation of results (Bryson, Crosby and Bloomberg, 2014).</w:t>
      </w:r>
    </w:p>
    <w:p w14:paraId="19675216" w14:textId="7AF2F442" w:rsidR="00002027" w:rsidRDefault="00002027" w:rsidP="00002027">
      <w:pPr>
        <w:pStyle w:val="ListParagraph"/>
        <w:numPr>
          <w:ilvl w:val="0"/>
          <w:numId w:val="13"/>
        </w:numPr>
      </w:pPr>
      <w:r w:rsidRPr="00CE673F">
        <w:rPr>
          <w:b/>
          <w:bCs/>
        </w:rPr>
        <w:t>Feedback Validation</w:t>
      </w:r>
      <w:r>
        <w:t>: Stakeholders are provided with opportunities to review summaries of their feedback to confirm that their perspectives are accurately represented before the final report is produced.</w:t>
      </w:r>
    </w:p>
    <w:p w14:paraId="3BE0FF70" w14:textId="2BC4C739" w:rsidR="006B2D28" w:rsidRDefault="00002027" w:rsidP="00002027">
      <w:r>
        <w:t>These strategies foster an ethical and equitable consultation environment, ensuring that every voice is acknowledged, irrespective of power or status (Caldwell, 2019).</w:t>
      </w:r>
    </w:p>
    <w:p w14:paraId="4D1A2AB2" w14:textId="77777777" w:rsidR="00064CEC" w:rsidRDefault="00064CEC" w:rsidP="00002027"/>
    <w:p w14:paraId="067F9374" w14:textId="1E799ABB" w:rsidR="00064CEC" w:rsidRDefault="00064CEC" w:rsidP="00002027">
      <w:pPr>
        <w:rPr>
          <w:b/>
          <w:bCs/>
          <w:i/>
          <w:iCs/>
        </w:rPr>
      </w:pPr>
      <w:r w:rsidRPr="00064CEC">
        <w:rPr>
          <w:b/>
          <w:bCs/>
          <w:i/>
          <w:iCs/>
        </w:rPr>
        <w:lastRenderedPageBreak/>
        <w:t>Diversity, Equity, and Inclusion (DEI) Considerations</w:t>
      </w:r>
    </w:p>
    <w:p w14:paraId="7FA62B0C" w14:textId="626950C2" w:rsidR="00674113" w:rsidRDefault="00674113" w:rsidP="00674113">
      <w:r>
        <w:t>Integrating DEI principles guarantees that consultations reflect the diverse demographics of Bristol. As one of the UK’s most multicultural cities, over 15% of its residents identify as non-White British (Office for National Statistics, 2021). Consequently, the project must acknowledge cultural variances, language obstacles, and differing socioeconomic statuses.</w:t>
      </w:r>
    </w:p>
    <w:p w14:paraId="1BB11FB4" w14:textId="74246843" w:rsidR="00674113" w:rsidRDefault="00674113" w:rsidP="00674113">
      <w:r>
        <w:t>Ethical DEI strategies encompass:</w:t>
      </w:r>
    </w:p>
    <w:p w14:paraId="00CBB58A" w14:textId="20D50B33" w:rsidR="00674113" w:rsidRDefault="00674113" w:rsidP="00674113">
      <w:pPr>
        <w:pStyle w:val="ListParagraph"/>
        <w:numPr>
          <w:ilvl w:val="0"/>
          <w:numId w:val="14"/>
        </w:numPr>
      </w:pPr>
      <w:r>
        <w:t>Offering translation services and sign language interpreters during public consultations.</w:t>
      </w:r>
    </w:p>
    <w:p w14:paraId="77AD29D4" w14:textId="2CB4DF78" w:rsidR="00674113" w:rsidRDefault="00674113" w:rsidP="00674113">
      <w:pPr>
        <w:pStyle w:val="ListParagraph"/>
        <w:numPr>
          <w:ilvl w:val="0"/>
          <w:numId w:val="14"/>
        </w:numPr>
      </w:pPr>
      <w:r>
        <w:t>Conducting sessions in venues that are easily accessible and located near public transport hubs.</w:t>
      </w:r>
    </w:p>
    <w:p w14:paraId="038D96AE" w14:textId="4B56FEDE" w:rsidR="00674113" w:rsidRDefault="00674113" w:rsidP="00674113">
      <w:pPr>
        <w:pStyle w:val="ListParagraph"/>
        <w:numPr>
          <w:ilvl w:val="0"/>
          <w:numId w:val="14"/>
        </w:numPr>
      </w:pPr>
      <w:r>
        <w:t>Creating digital surveys that are compatible with assistive technologies.</w:t>
      </w:r>
    </w:p>
    <w:p w14:paraId="7786AEB7" w14:textId="39772CA7" w:rsidR="00674113" w:rsidRDefault="00674113" w:rsidP="00674113">
      <w:pPr>
        <w:pStyle w:val="ListParagraph"/>
        <w:numPr>
          <w:ilvl w:val="0"/>
          <w:numId w:val="14"/>
        </w:numPr>
      </w:pPr>
      <w:r>
        <w:t>Promoting engagement from underrepresented communities through collaborations with local charities and community organi</w:t>
      </w:r>
      <w:r w:rsidR="00141A97">
        <w:t>s</w:t>
      </w:r>
      <w:r>
        <w:t>ations, such as Voscur and the Bristol Multi-Faith Forum.</w:t>
      </w:r>
    </w:p>
    <w:p w14:paraId="79F9EE98" w14:textId="04E9A1B6" w:rsidR="00674113" w:rsidRDefault="00674113" w:rsidP="00674113">
      <w:r>
        <w:t>As noted by Ngampravatdee, Njoya, and Graham (2023), fostering inclusivity in transport planning not only enhances equity but also contributes to project sustainability, as diverse viewpoints result in more thorough and resilient solutions.</w:t>
      </w:r>
    </w:p>
    <w:p w14:paraId="69937747" w14:textId="77777777" w:rsidR="00692885" w:rsidRDefault="00692885" w:rsidP="00692885"/>
    <w:p w14:paraId="1EF1B20E" w14:textId="55310B41" w:rsidR="001C2868" w:rsidRDefault="00692885" w:rsidP="001C2868">
      <w:pPr>
        <w:rPr>
          <w:b/>
          <w:bCs/>
        </w:rPr>
      </w:pPr>
      <w:r w:rsidRPr="00692885">
        <w:rPr>
          <w:b/>
          <w:bCs/>
        </w:rPr>
        <w:t>Feedback Collection and Review</w:t>
      </w:r>
    </w:p>
    <w:p w14:paraId="4AE78729" w14:textId="58ACFE32" w:rsidR="001C2868" w:rsidRDefault="001C2868" w:rsidP="001C2868">
      <w:r>
        <w:t>The process of collecting feedback must be conducted in a systematic manner and managed ethically to guarantee transparency and accountability. The MetroWest initiative employs a closed-loop feedback system, wherein the gathered input shapes the following phases of the project, and the responses are made available to the public.</w:t>
      </w:r>
    </w:p>
    <w:p w14:paraId="39FAE5AF" w14:textId="0B98CF99" w:rsidR="001C2868" w:rsidRDefault="001C2868" w:rsidP="001C2868">
      <w:r>
        <w:t xml:space="preserve">Ethical management of feedback </w:t>
      </w:r>
      <w:r w:rsidR="00FB73F6">
        <w:t>involves</w:t>
      </w:r>
      <w:r>
        <w:t>:</w:t>
      </w:r>
    </w:p>
    <w:p w14:paraId="6296B803" w14:textId="78721868" w:rsidR="001C2868" w:rsidRDefault="001C2868" w:rsidP="001C2868">
      <w:pPr>
        <w:pStyle w:val="ListParagraph"/>
        <w:numPr>
          <w:ilvl w:val="0"/>
          <w:numId w:val="15"/>
        </w:numPr>
      </w:pPr>
      <w:r w:rsidRPr="00FB73F6">
        <w:rPr>
          <w:b/>
          <w:bCs/>
        </w:rPr>
        <w:t>Data Protection</w:t>
      </w:r>
      <w:r>
        <w:t>: All personal information is securely stored in compliance with GDPR regulations.</w:t>
      </w:r>
    </w:p>
    <w:p w14:paraId="61B48B04" w14:textId="62DE6E50" w:rsidR="001C2868" w:rsidRDefault="001C2868" w:rsidP="001C2868">
      <w:pPr>
        <w:pStyle w:val="ListParagraph"/>
        <w:numPr>
          <w:ilvl w:val="0"/>
          <w:numId w:val="15"/>
        </w:numPr>
      </w:pPr>
      <w:r w:rsidRPr="00FB73F6">
        <w:rPr>
          <w:b/>
          <w:bCs/>
        </w:rPr>
        <w:t>Transparency</w:t>
      </w:r>
      <w:r>
        <w:t>: A summary of public responses and their impact on project decisions is made available on the MetroWest website.</w:t>
      </w:r>
    </w:p>
    <w:p w14:paraId="2555CE72" w14:textId="31EC9DB7" w:rsidR="001C2868" w:rsidRDefault="001C2868" w:rsidP="001C2868">
      <w:pPr>
        <w:pStyle w:val="ListParagraph"/>
        <w:numPr>
          <w:ilvl w:val="0"/>
          <w:numId w:val="15"/>
        </w:numPr>
      </w:pPr>
      <w:r w:rsidRPr="00FB73F6">
        <w:rPr>
          <w:b/>
          <w:bCs/>
        </w:rPr>
        <w:t>Responsiveness</w:t>
      </w:r>
      <w:r>
        <w:t>: Stakeholders are acknowledged for their feedback through email or public reports, illustrating that their contributions are valued.</w:t>
      </w:r>
    </w:p>
    <w:p w14:paraId="2C2FE187" w14:textId="67DDA9E7" w:rsidR="001C2868" w:rsidRDefault="001C2868" w:rsidP="001C2868">
      <w:r>
        <w:t>This methodology not only cultivates trust but also enhances community support and the legitimacy of the project (Grossi, Tavares and Tavares, 2020).</w:t>
      </w:r>
    </w:p>
    <w:p w14:paraId="77A99BA6" w14:textId="77777777" w:rsidR="00FB73F6" w:rsidRDefault="00FB73F6" w:rsidP="001C2868"/>
    <w:p w14:paraId="7E3943F8" w14:textId="378D8BE6" w:rsidR="009F41C4" w:rsidRDefault="00621741" w:rsidP="009F41C4">
      <w:r w:rsidRPr="00621741">
        <w:rPr>
          <w:b/>
          <w:bCs/>
        </w:rPr>
        <w:t>Summary</w:t>
      </w:r>
      <w:r w:rsidR="003F4314">
        <w:rPr>
          <w:b/>
          <w:bCs/>
        </w:rPr>
        <w:t xml:space="preserve"> - </w:t>
      </w:r>
      <w:r w:rsidR="009F41C4">
        <w:t>The ethical consultation of stakeholders in the MetroWest Phase 2 Light Rail Project necessitates a commitment to the principles of fairness, inclusivity, and accountability.</w:t>
      </w:r>
      <w:r w:rsidR="003F4314">
        <w:t xml:space="preserve"> </w:t>
      </w:r>
      <w:r w:rsidR="009F41C4">
        <w:t xml:space="preserve">By guaranteeing that the engagement process is transparent, unbiased, and inclusive of all community groups, the project adheres to ethical standards in the governance of public </w:t>
      </w:r>
      <w:r w:rsidR="003F4314">
        <w:t>infrastructure. Incorporating</w:t>
      </w:r>
      <w:r w:rsidR="009F41C4">
        <w:t xml:space="preserve"> DEI principles and safeguarding the rights of participants bolsters the social legitimacy and long-term sustainability of the project.</w:t>
      </w:r>
      <w:r w:rsidR="003F4314">
        <w:t xml:space="preserve"> </w:t>
      </w:r>
      <w:r w:rsidR="009F41C4">
        <w:t>In conclusion, ethical engagement is not merely a moral duty but also a practical requirement for fostering public trust and ensuring the successful execution of the project (Bryson, Crosby and Bloomberg, 2014).</w:t>
      </w:r>
    </w:p>
    <w:p w14:paraId="52F6F12A" w14:textId="041B2FF4" w:rsidR="003F4314" w:rsidRPr="00973E62" w:rsidRDefault="00973E62" w:rsidP="009F41C4">
      <w:pPr>
        <w:rPr>
          <w:b/>
          <w:bCs/>
          <w:sz w:val="24"/>
          <w:szCs w:val="24"/>
        </w:rPr>
      </w:pPr>
      <w:r w:rsidRPr="00973E62">
        <w:rPr>
          <w:b/>
          <w:bCs/>
          <w:sz w:val="24"/>
          <w:szCs w:val="24"/>
        </w:rPr>
        <w:lastRenderedPageBreak/>
        <w:t>Element 4: Conclusion and Reflection</w:t>
      </w:r>
    </w:p>
    <w:p w14:paraId="28A3E55D" w14:textId="77777777" w:rsidR="00973E62" w:rsidRDefault="00973E62" w:rsidP="009F41C4">
      <w:pPr>
        <w:rPr>
          <w:b/>
          <w:bCs/>
        </w:rPr>
      </w:pPr>
    </w:p>
    <w:p w14:paraId="7E3D666E" w14:textId="5A4BD3B7" w:rsidR="00B072B2" w:rsidRDefault="00B072B2" w:rsidP="009F41C4">
      <w:pPr>
        <w:rPr>
          <w:b/>
          <w:bCs/>
        </w:rPr>
      </w:pPr>
      <w:r w:rsidRPr="00B072B2">
        <w:rPr>
          <w:b/>
          <w:bCs/>
        </w:rPr>
        <w:t>Conclusion</w:t>
      </w:r>
    </w:p>
    <w:p w14:paraId="581A5D2F" w14:textId="5E24BD9D" w:rsidR="00AA14EE" w:rsidRPr="00AA14EE" w:rsidRDefault="00AA14EE" w:rsidP="00AA14EE">
      <w:r w:rsidRPr="00AA14EE">
        <w:t>The MetroWest Phase 2 Light Rail Project in Bristol exemplifies the intricacies and significance of proficient stakeholder management in the planning of public infrastructure. As the development of this stakeholder management portfolio progressed, it became evident that the success of any large-scale initiative relies not solely on technical execution but also on the capacity to engage, communicate, and foster trust among various stakeholder groups.</w:t>
      </w:r>
    </w:p>
    <w:p w14:paraId="6B5B9EA7" w14:textId="696E9E22" w:rsidR="00AA14EE" w:rsidRPr="00AA14EE" w:rsidRDefault="00AA14EE" w:rsidP="00AA14EE">
      <w:r w:rsidRPr="00AA14EE">
        <w:t xml:space="preserve">This project underscores that stakeholder engagement is a continuous process that necessitates transparency, inclusivity, and ethical consideration. By employing frameworks such as the Power-Interest Grid and systematic communication planning, it is feasible to reconcile competing stakeholder demands and guarantee fair participation. The ethical analysis presented in Element 3 </w:t>
      </w:r>
      <w:r w:rsidR="00782D42" w:rsidRPr="00AA14EE">
        <w:t>point out</w:t>
      </w:r>
      <w:r w:rsidRPr="00AA14EE">
        <w:t xml:space="preserve"> the critical nature of diversity, equity, and inclusion (DEI), illustrating how socially responsible engagement enhances long-term project sustainability and community acceptance.</w:t>
      </w:r>
    </w:p>
    <w:p w14:paraId="6388C9FF" w14:textId="34E2581E" w:rsidR="00B072B2" w:rsidRDefault="00AA14EE" w:rsidP="00AA14EE">
      <w:r w:rsidRPr="00AA14EE">
        <w:t>In summary, the MetroWest project demonstrates that stakeholder management transcends mere technicality; it embodies a strategic and ethical obligation (Bryson, Crosby and Bloomberg, 2014).</w:t>
      </w:r>
    </w:p>
    <w:p w14:paraId="458A6325" w14:textId="77777777" w:rsidR="00AA14EE" w:rsidRDefault="00AA14EE" w:rsidP="00AA14EE"/>
    <w:p w14:paraId="310EBDFF" w14:textId="77777777" w:rsidR="00F944A0" w:rsidRDefault="00F944A0" w:rsidP="00AA14EE"/>
    <w:p w14:paraId="4ACB6720" w14:textId="496C8EDB" w:rsidR="00AA14EE" w:rsidRPr="00427B0D" w:rsidRDefault="00291375" w:rsidP="00AA14EE">
      <w:pPr>
        <w:rPr>
          <w:b/>
          <w:bCs/>
        </w:rPr>
      </w:pPr>
      <w:r w:rsidRPr="00427B0D">
        <w:rPr>
          <w:b/>
          <w:bCs/>
        </w:rPr>
        <w:t>Reflection Using Gibbs’ Reflective Cycle (1988)</w:t>
      </w:r>
    </w:p>
    <w:p w14:paraId="0DF182B3" w14:textId="119EC672" w:rsidR="00427B0D" w:rsidRDefault="00427B0D" w:rsidP="00427B0D">
      <w:r>
        <w:t xml:space="preserve">To thoroughly assess my learning journey in this module, I have </w:t>
      </w:r>
      <w:r w:rsidR="00AB120D">
        <w:t>exercised</w:t>
      </w:r>
      <w:r>
        <w:t xml:space="preserve"> Gibbs’ Reflective Cycle, which comprises six stages: </w:t>
      </w:r>
      <w:r w:rsidRPr="00DE1763">
        <w:rPr>
          <w:b/>
          <w:bCs/>
        </w:rPr>
        <w:t>Description</w:t>
      </w:r>
      <w:r>
        <w:t xml:space="preserve">, </w:t>
      </w:r>
      <w:r w:rsidRPr="00DE1763">
        <w:rPr>
          <w:b/>
          <w:bCs/>
        </w:rPr>
        <w:t>Feelings</w:t>
      </w:r>
      <w:r>
        <w:t xml:space="preserve">, </w:t>
      </w:r>
      <w:r w:rsidRPr="00DE1763">
        <w:rPr>
          <w:b/>
          <w:bCs/>
        </w:rPr>
        <w:t>Evaluation</w:t>
      </w:r>
      <w:r>
        <w:t xml:space="preserve">, </w:t>
      </w:r>
      <w:r w:rsidRPr="00DE1763">
        <w:rPr>
          <w:b/>
          <w:bCs/>
        </w:rPr>
        <w:t>Analysis</w:t>
      </w:r>
      <w:r>
        <w:t xml:space="preserve">, </w:t>
      </w:r>
      <w:r w:rsidRPr="00DE1763">
        <w:rPr>
          <w:b/>
          <w:bCs/>
        </w:rPr>
        <w:t>Conclusion</w:t>
      </w:r>
      <w:r>
        <w:t xml:space="preserve">, and </w:t>
      </w:r>
      <w:r w:rsidRPr="00DE1763">
        <w:rPr>
          <w:b/>
          <w:bCs/>
        </w:rPr>
        <w:t>Action Plan</w:t>
      </w:r>
      <w:r>
        <w:t xml:space="preserve"> (Gibbs, 1988). This framework aids in organi</w:t>
      </w:r>
      <w:r w:rsidR="00DE1763">
        <w:t>si</w:t>
      </w:r>
      <w:r>
        <w:t>ng my reflection both as a student and as an emerging Junior Stakeholder Manager.</w:t>
      </w:r>
    </w:p>
    <w:p w14:paraId="628FA38B" w14:textId="588BEF32" w:rsidR="00427B0D" w:rsidRPr="00143D87" w:rsidRDefault="00427B0D" w:rsidP="00427B0D">
      <w:pPr>
        <w:rPr>
          <w:b/>
          <w:bCs/>
        </w:rPr>
      </w:pPr>
      <w:r w:rsidRPr="00143D87">
        <w:rPr>
          <w:b/>
          <w:bCs/>
        </w:rPr>
        <w:t>Description</w:t>
      </w:r>
      <w:r w:rsidR="00143D87">
        <w:rPr>
          <w:b/>
          <w:bCs/>
        </w:rPr>
        <w:t xml:space="preserve"> - </w:t>
      </w:r>
      <w:r>
        <w:t>Throughout this module, I was assigned the task of formulating a Stakeholder Management Plan for a proposed infrastructure initiative. I chose the MetroWest Phase 2 Light Rail Project due to its significant relevance to Bristol and its evident social, environmental, and economic implications. The portfolio necessitated an analysis of stakeholders, the creation of engagement strategies, and the consideration of ethical factors. This allowed me to apply theoretical frameworks such as Freeman’s (1984) Stakeholder Theory and practical instruments like the Power-Interest Grid and Communication Plans.</w:t>
      </w:r>
    </w:p>
    <w:p w14:paraId="1C37562C" w14:textId="2BA89959" w:rsidR="00427B0D" w:rsidRDefault="00427B0D" w:rsidP="00427B0D">
      <w:r w:rsidRPr="00143D87">
        <w:rPr>
          <w:b/>
          <w:bCs/>
        </w:rPr>
        <w:t>Feelings</w:t>
      </w:r>
      <w:r w:rsidR="00143D87">
        <w:t xml:space="preserve"> - </w:t>
      </w:r>
      <w:r>
        <w:t xml:space="preserve">At first, I experienced a degree of uncertainty regarding the translation of theoretical models into actionable strategies. Nevertheless, as the module advanced, I gained confidence in </w:t>
      </w:r>
      <w:r w:rsidR="00BF02D9">
        <w:t>analysing</w:t>
      </w:r>
      <w:r>
        <w:t xml:space="preserve"> stakeholder dynamics and developing structured engagement frameworks. I also came to understand that stakeholder management is fundamentally human—it requires empathy, negotiation, and active listening, rather than merely focusing on processes and documentation. The ethical dimension of the assignment heightened my awareness of the moral obligation to fairly represent diverse community voices, particularly in varied urban settings like Bristol.</w:t>
      </w:r>
    </w:p>
    <w:p w14:paraId="5AA9FCD7" w14:textId="77777777" w:rsidR="00C06490" w:rsidRDefault="00C06490" w:rsidP="00427B0D">
      <w:pPr>
        <w:rPr>
          <w:b/>
          <w:bCs/>
        </w:rPr>
      </w:pPr>
    </w:p>
    <w:p w14:paraId="7F18585F" w14:textId="1FFD3084" w:rsidR="00291375" w:rsidRDefault="00427B0D" w:rsidP="00427B0D">
      <w:r w:rsidRPr="00143D87">
        <w:rPr>
          <w:b/>
          <w:bCs/>
        </w:rPr>
        <w:lastRenderedPageBreak/>
        <w:t>Evaluation</w:t>
      </w:r>
      <w:r w:rsidR="00143D87">
        <w:rPr>
          <w:b/>
          <w:bCs/>
        </w:rPr>
        <w:t xml:space="preserve"> </w:t>
      </w:r>
      <w:r w:rsidR="00A5639F">
        <w:rPr>
          <w:b/>
          <w:bCs/>
        </w:rPr>
        <w:t xml:space="preserve">- </w:t>
      </w:r>
      <w:r w:rsidR="00A5639F" w:rsidRPr="00A5639F">
        <w:t>From</w:t>
      </w:r>
      <w:r w:rsidRPr="00A5639F">
        <w:t xml:space="preserve"> </w:t>
      </w:r>
      <w:r>
        <w:t>this experience, I recogni</w:t>
      </w:r>
      <w:r w:rsidR="00854FF8">
        <w:t>s</w:t>
      </w:r>
      <w:r>
        <w:t xml:space="preserve">ed the significance of inclusive and evidence-based decision-making. </w:t>
      </w:r>
      <w:r w:rsidR="00D40B38">
        <w:t>Using</w:t>
      </w:r>
      <w:r>
        <w:t xml:space="preserve"> social media analysis and examining local community discussions enabled me to grasp the genuine public sentiment surrounding urban transport initiatives. This methodology provided me with valuable insights into how public opinion can influence project acceptance and how transparent communication can mitigate misinformation.</w:t>
      </w:r>
    </w:p>
    <w:p w14:paraId="77DFCAE2" w14:textId="0E4AF8E8" w:rsidR="00C975B8" w:rsidRDefault="00C975B8" w:rsidP="00C975B8">
      <w:r>
        <w:t>I also identified challenges, such as reconciling the demands of influential stakeholders (e.g., local authorities) with those of less powerful entities (e.g., residents or environmental NGOs). Effectively managing this balance necessitated a systematic approach, which I accomplished through stakeholder mapping and tiered communication strategies.</w:t>
      </w:r>
    </w:p>
    <w:p w14:paraId="5F774553" w14:textId="77777777" w:rsidR="00C975B8" w:rsidRDefault="00C975B8" w:rsidP="00C975B8">
      <w:r>
        <w:t>Nevertheless, one aspect that proved challenging was navigating the ethical complexities of consultation—particularly ensuring that all feedback was handled impartially and that diverse groups had equal opportunities to participate. This underscored the necessity for ongoing monitoring and ethical oversight.</w:t>
      </w:r>
    </w:p>
    <w:p w14:paraId="7DAB597D" w14:textId="77777777" w:rsidR="00C975B8" w:rsidRDefault="00C975B8" w:rsidP="00C975B8"/>
    <w:p w14:paraId="3191CA78" w14:textId="573D7663" w:rsidR="00C975B8" w:rsidRPr="002300C5" w:rsidRDefault="00C975B8" w:rsidP="00C975B8">
      <w:pPr>
        <w:rPr>
          <w:b/>
          <w:bCs/>
        </w:rPr>
      </w:pPr>
      <w:r w:rsidRPr="002300C5">
        <w:rPr>
          <w:b/>
          <w:bCs/>
        </w:rPr>
        <w:t>Analysis</w:t>
      </w:r>
      <w:r w:rsidR="002300C5">
        <w:rPr>
          <w:b/>
          <w:bCs/>
        </w:rPr>
        <w:t xml:space="preserve"> - </w:t>
      </w:r>
      <w:r>
        <w:t>Gibbs’ model promotes a deeper examination of why certain experiences were successful. I recogni</w:t>
      </w:r>
      <w:r w:rsidR="000B4BD2">
        <w:t>s</w:t>
      </w:r>
      <w:r>
        <w:t>ed that effective stakeholder engagement relies on three essential competencies: communication, empathy, and critical analysis. These abilities are crucial for converting theory into actionable engagement strategies.</w:t>
      </w:r>
    </w:p>
    <w:p w14:paraId="4915F6B3" w14:textId="43550C3D" w:rsidR="00C975B8" w:rsidRDefault="00C975B8" w:rsidP="00C975B8">
      <w:r>
        <w:t xml:space="preserve">The module also </w:t>
      </w:r>
      <w:r w:rsidR="00070080">
        <w:t>highlighted</w:t>
      </w:r>
      <w:r>
        <w:t xml:space="preserve"> the significance of sustainability and DEI principles in contemporary stakeholder management. As noted by Ngampravatdee, Njoya, and Graham (2023), inclusive transport planning fosters community trust and long-term acceptance. Embracing this concept helped me understand that stakeholder management transcends project execution—it shapes how communities perceive change and development.</w:t>
      </w:r>
    </w:p>
    <w:p w14:paraId="66FCB077" w14:textId="6AA60997" w:rsidR="00C975B8" w:rsidRDefault="00C975B8" w:rsidP="00C975B8">
      <w:r>
        <w:t>Moreover, serving as a “Junior Stakeholder Manager” in this simulated environment illustrated the importance of collaborative governance. Projects of this magnitude necessitate coordination among local authorities, contractors, and the public. Grasping how to ethically and strategically manage these relationships will be crucial for my professional growth.</w:t>
      </w:r>
    </w:p>
    <w:p w14:paraId="48E6C785" w14:textId="77777777" w:rsidR="0051670D" w:rsidRDefault="0051670D" w:rsidP="0051670D"/>
    <w:p w14:paraId="403E18A9" w14:textId="436A4CBC" w:rsidR="0051670D" w:rsidRPr="0051670D" w:rsidRDefault="0051670D" w:rsidP="0051670D">
      <w:pPr>
        <w:rPr>
          <w:b/>
          <w:bCs/>
        </w:rPr>
      </w:pPr>
      <w:r w:rsidRPr="0051670D">
        <w:rPr>
          <w:b/>
          <w:bCs/>
        </w:rPr>
        <w:t>Conclusion</w:t>
      </w:r>
    </w:p>
    <w:p w14:paraId="4FF9048D" w14:textId="73A5B294" w:rsidR="0051670D" w:rsidRDefault="0051670D" w:rsidP="0051670D">
      <w:r>
        <w:t>Upon reflecting on this experience, I have come to understand that engaging stakeholders is both a science and an art. During my studies, I acquired a theoretical grounding in stakeholder analysis, ethics, and communication frameworks. In my role as a developing Junior Stakeholder Manager, I gained practical insights into the effective application of these tools and the necessity of remaining adaptable in the face of stakeholder conflicts or changing project conditions.</w:t>
      </w:r>
    </w:p>
    <w:p w14:paraId="6C8C02E6" w14:textId="060712B1" w:rsidR="0051670D" w:rsidRDefault="0051670D" w:rsidP="0051670D">
      <w:r>
        <w:t>Furthermore, I recogni</w:t>
      </w:r>
      <w:r w:rsidR="00162A14">
        <w:t>s</w:t>
      </w:r>
      <w:r>
        <w:t>ed the significance of self-awareness—acknowledging my biases, communication style, and emotional intelligence when interacting with diverse groups. This module has prompted me to critically evaluate how my professional practice influences communities, extending beyond mere project outcomes.</w:t>
      </w:r>
    </w:p>
    <w:p w14:paraId="1AF14778" w14:textId="77777777" w:rsidR="0051670D" w:rsidRDefault="0051670D" w:rsidP="0051670D"/>
    <w:p w14:paraId="440BFA34" w14:textId="0F3BE157" w:rsidR="00BC1410" w:rsidRPr="00BC1410" w:rsidRDefault="00BC1410" w:rsidP="00BC1410">
      <w:pPr>
        <w:rPr>
          <w:b/>
          <w:bCs/>
        </w:rPr>
      </w:pPr>
      <w:r w:rsidRPr="00BC1410">
        <w:rPr>
          <w:b/>
          <w:bCs/>
        </w:rPr>
        <w:lastRenderedPageBreak/>
        <w:t>Action Plan (What I Would Do Differently)</w:t>
      </w:r>
    </w:p>
    <w:p w14:paraId="1A8A808C" w14:textId="52DFA389" w:rsidR="00BC1410" w:rsidRDefault="00BC1410" w:rsidP="00BC1410">
      <w:r>
        <w:t>If I were to board on a similar project in the future, I would:</w:t>
      </w:r>
    </w:p>
    <w:p w14:paraId="57D1AFD0" w14:textId="75B36A51" w:rsidR="00BC1410" w:rsidRDefault="00BC1410" w:rsidP="00BC1410">
      <w:pPr>
        <w:pStyle w:val="ListParagraph"/>
        <w:numPr>
          <w:ilvl w:val="0"/>
          <w:numId w:val="16"/>
        </w:numPr>
      </w:pPr>
      <w:r>
        <w:t>Enhance direct community involvement: Implement more comprehensive qualitative techniques (such as interviews or ethnographic observation) to gather stakeholder insights beyond just surveys and meetings.</w:t>
      </w:r>
    </w:p>
    <w:p w14:paraId="7B751CAB" w14:textId="47607F5A" w:rsidR="00BC1410" w:rsidRDefault="00BC1410" w:rsidP="00BC1410">
      <w:pPr>
        <w:pStyle w:val="ListParagraph"/>
        <w:numPr>
          <w:ilvl w:val="0"/>
          <w:numId w:val="16"/>
        </w:numPr>
      </w:pPr>
      <w:r>
        <w:t>Bolster feedback transparency: Ensure that all stakeholder contributions are publicly recogni</w:t>
      </w:r>
      <w:r w:rsidR="009862C9">
        <w:t>s</w:t>
      </w:r>
      <w:r>
        <w:t>ed and clearly connected to project decisions.</w:t>
      </w:r>
    </w:p>
    <w:p w14:paraId="4843D118" w14:textId="57B9541A" w:rsidR="0051670D" w:rsidRDefault="00BC1410" w:rsidP="00BC1410">
      <w:r>
        <w:t>In a comparable real-world scenario, I would also embrace a more proactive monitoring strategy, employing regular assessments of stakeholder satisfaction to detect potential conflicts at an early stage. These measures would contribute to improved accountability, trust, and the ethical quality of engagement.</w:t>
      </w:r>
    </w:p>
    <w:p w14:paraId="647E5E05" w14:textId="77777777" w:rsidR="00BC1410" w:rsidRDefault="00BC1410" w:rsidP="00BC1410"/>
    <w:p w14:paraId="5610DECB" w14:textId="77777777" w:rsidR="003C6D90" w:rsidRDefault="003C6D90" w:rsidP="00BC1410"/>
    <w:p w14:paraId="3965B070" w14:textId="0F935645" w:rsidR="003C6D90" w:rsidRDefault="003C6D90" w:rsidP="003C6D90">
      <w:r w:rsidRPr="003C6D90">
        <w:rPr>
          <w:b/>
          <w:bCs/>
        </w:rPr>
        <w:t>Summary</w:t>
      </w:r>
      <w:r>
        <w:rPr>
          <w:b/>
          <w:bCs/>
        </w:rPr>
        <w:t xml:space="preserve"> - </w:t>
      </w:r>
      <w:r w:rsidR="00900715">
        <w:t>Examining</w:t>
      </w:r>
      <w:r>
        <w:t xml:space="preserve"> this module has been a transformative experience. It has deepened my comprehension of stakeholder management theory and provided me with practical, ethical, and interpersonal skills relevant to real-world consultancy practices. I now recogni</w:t>
      </w:r>
      <w:r w:rsidR="00900715">
        <w:t>s</w:t>
      </w:r>
      <w:r>
        <w:t>e that effective stakeholder management is an ongoing learning journey that integrates strategy, communication, and empathy. As I progress, I intend to implement these insights in future projects, emphasi</w:t>
      </w:r>
      <w:r w:rsidR="001B65BB">
        <w:t>si</w:t>
      </w:r>
      <w:r>
        <w:t>ng inclusive decision-making, ethical integrity, and sustainability—fundamental values that support professional excellence in stakeholder management.</w:t>
      </w:r>
    </w:p>
    <w:p w14:paraId="41FCAF7B" w14:textId="77777777" w:rsidR="002C1480" w:rsidRDefault="002C1480" w:rsidP="003C6D90"/>
    <w:p w14:paraId="078FD7D0" w14:textId="77777777" w:rsidR="002C1480" w:rsidRDefault="002C1480" w:rsidP="003C6D90"/>
    <w:p w14:paraId="07EE415E" w14:textId="77777777" w:rsidR="002C1480" w:rsidRDefault="002C1480" w:rsidP="003C6D90"/>
    <w:p w14:paraId="0EEEA0D7" w14:textId="77777777" w:rsidR="002C1480" w:rsidRDefault="002C1480" w:rsidP="003C6D90"/>
    <w:p w14:paraId="6C4AB3DB" w14:textId="77777777" w:rsidR="002C1480" w:rsidRDefault="002C1480" w:rsidP="003C6D90"/>
    <w:p w14:paraId="0129C806" w14:textId="77777777" w:rsidR="002C1480" w:rsidRDefault="002C1480" w:rsidP="003C6D90"/>
    <w:p w14:paraId="6C6E10C8" w14:textId="77777777" w:rsidR="002C1480" w:rsidRDefault="002C1480" w:rsidP="003C6D90"/>
    <w:p w14:paraId="2DA97F1F" w14:textId="77777777" w:rsidR="002C1480" w:rsidRDefault="002C1480" w:rsidP="003C6D90"/>
    <w:p w14:paraId="4354DCB3" w14:textId="77777777" w:rsidR="002C1480" w:rsidRDefault="002C1480" w:rsidP="003C6D90"/>
    <w:p w14:paraId="054321C8" w14:textId="77777777" w:rsidR="002C1480" w:rsidRDefault="002C1480" w:rsidP="003C6D90"/>
    <w:p w14:paraId="09B887B5" w14:textId="77777777" w:rsidR="001B65BB" w:rsidRDefault="001B65BB" w:rsidP="003C6D90"/>
    <w:p w14:paraId="7638E873" w14:textId="77777777" w:rsidR="001B65BB" w:rsidRDefault="001B65BB" w:rsidP="003C6D90"/>
    <w:p w14:paraId="60254315" w14:textId="77777777" w:rsidR="001B65BB" w:rsidRDefault="001B65BB" w:rsidP="003C6D90"/>
    <w:p w14:paraId="1CB10B9B" w14:textId="77777777" w:rsidR="002C1480" w:rsidRDefault="002C1480" w:rsidP="003C6D90"/>
    <w:p w14:paraId="41B9BC53" w14:textId="77777777" w:rsidR="002C1480" w:rsidRDefault="002C1480" w:rsidP="003C6D90"/>
    <w:p w14:paraId="17FEB6BF" w14:textId="6E33AF8A" w:rsidR="00665F88" w:rsidRPr="00912C6C" w:rsidRDefault="00665F88" w:rsidP="007333B0">
      <w:pPr>
        <w:jc w:val="center"/>
        <w:rPr>
          <w:b/>
          <w:bCs/>
          <w:sz w:val="32"/>
          <w:szCs w:val="32"/>
        </w:rPr>
      </w:pPr>
      <w:r w:rsidRPr="00912C6C">
        <w:rPr>
          <w:b/>
          <w:bCs/>
          <w:sz w:val="32"/>
          <w:szCs w:val="32"/>
        </w:rPr>
        <w:lastRenderedPageBreak/>
        <w:t>REFERENCES</w:t>
      </w:r>
    </w:p>
    <w:p w14:paraId="34D934D2" w14:textId="74A56C47" w:rsidR="00030FF4" w:rsidRPr="00912C6C" w:rsidRDefault="00030FF4" w:rsidP="00FA74CE">
      <w:pPr>
        <w:pStyle w:val="ListParagraph"/>
        <w:numPr>
          <w:ilvl w:val="0"/>
          <w:numId w:val="17"/>
        </w:numPr>
        <w:rPr>
          <w:sz w:val="20"/>
          <w:szCs w:val="20"/>
        </w:rPr>
      </w:pPr>
      <w:r w:rsidRPr="00912C6C">
        <w:rPr>
          <w:sz w:val="20"/>
          <w:szCs w:val="20"/>
        </w:rPr>
        <w:t xml:space="preserve">Bryson, J.M., Crosby, B.C. &amp; Bloomberg, L. (2014) ‘Public value governance: Moving beyond traditional public administration and the New Public Management’, Public Administration Review, 74(4), pp. 445–456. </w:t>
      </w:r>
      <w:hyperlink r:id="rId10" w:history="1">
        <w:r w:rsidR="00B01AC8" w:rsidRPr="00912C6C">
          <w:rPr>
            <w:rStyle w:val="Hyperlink"/>
            <w:sz w:val="20"/>
            <w:szCs w:val="20"/>
          </w:rPr>
          <w:t>https://onlinelibrary.wiley.com/doi/10.1111/puar.12238</w:t>
        </w:r>
      </w:hyperlink>
    </w:p>
    <w:p w14:paraId="56904BBD" w14:textId="2B19233E" w:rsidR="00030FF4" w:rsidRPr="00912C6C" w:rsidRDefault="00030FF4" w:rsidP="00D71909">
      <w:pPr>
        <w:pStyle w:val="ListParagraph"/>
        <w:numPr>
          <w:ilvl w:val="0"/>
          <w:numId w:val="17"/>
        </w:numPr>
        <w:rPr>
          <w:sz w:val="20"/>
          <w:szCs w:val="20"/>
        </w:rPr>
      </w:pPr>
      <w:r w:rsidRPr="00912C6C">
        <w:rPr>
          <w:sz w:val="20"/>
          <w:szCs w:val="20"/>
        </w:rPr>
        <w:t>GOV.UK</w:t>
      </w:r>
    </w:p>
    <w:p w14:paraId="4BE4D066" w14:textId="27E7506A" w:rsidR="00030FF4" w:rsidRPr="00912C6C" w:rsidRDefault="00030FF4" w:rsidP="008C2D43">
      <w:pPr>
        <w:pStyle w:val="ListParagraph"/>
        <w:numPr>
          <w:ilvl w:val="0"/>
          <w:numId w:val="17"/>
        </w:numPr>
        <w:rPr>
          <w:sz w:val="20"/>
          <w:szCs w:val="20"/>
        </w:rPr>
      </w:pPr>
      <w:r w:rsidRPr="00912C6C">
        <w:rPr>
          <w:sz w:val="20"/>
          <w:szCs w:val="20"/>
        </w:rPr>
        <w:t xml:space="preserve">Freeman, R.E. (1984) Strategic Management: A Stakeholder Approach. Boston: Pitman.  </w:t>
      </w:r>
    </w:p>
    <w:p w14:paraId="6D220238" w14:textId="090301BE" w:rsidR="00030FF4" w:rsidRPr="00912C6C" w:rsidRDefault="00030FF4" w:rsidP="00A95957">
      <w:pPr>
        <w:pStyle w:val="ListParagraph"/>
        <w:numPr>
          <w:ilvl w:val="0"/>
          <w:numId w:val="17"/>
        </w:numPr>
        <w:rPr>
          <w:sz w:val="20"/>
          <w:szCs w:val="20"/>
        </w:rPr>
      </w:pPr>
      <w:r w:rsidRPr="00912C6C">
        <w:rPr>
          <w:sz w:val="20"/>
          <w:szCs w:val="20"/>
        </w:rPr>
        <w:t xml:space="preserve">Gibbs, G. (1988) Learning by Doing: A Guide to Teaching and Learning Methods. Oxford: Further Education Unit, Oxford Polytechnic. (Cited as Gibbs’ reflective model). Available (library / teaching guides). </w:t>
      </w:r>
    </w:p>
    <w:p w14:paraId="27B939BB" w14:textId="5F903F73" w:rsidR="00030FF4" w:rsidRPr="00912C6C" w:rsidRDefault="00030FF4" w:rsidP="00A95957">
      <w:pPr>
        <w:pStyle w:val="ListParagraph"/>
        <w:numPr>
          <w:ilvl w:val="0"/>
          <w:numId w:val="17"/>
        </w:numPr>
        <w:rPr>
          <w:sz w:val="20"/>
          <w:szCs w:val="20"/>
        </w:rPr>
      </w:pPr>
      <w:r w:rsidRPr="00912C6C">
        <w:rPr>
          <w:sz w:val="20"/>
          <w:szCs w:val="20"/>
        </w:rPr>
        <w:t xml:space="preserve">Local Government Association (2024) How local transport infrastructure influences economic inclusion. London: LGA. Available at: </w:t>
      </w:r>
      <w:hyperlink r:id="rId11" w:history="1">
        <w:r w:rsidR="00A95957" w:rsidRPr="00912C6C">
          <w:rPr>
            <w:rStyle w:val="Hyperlink"/>
            <w:sz w:val="20"/>
            <w:szCs w:val="20"/>
          </w:rPr>
          <w:t>https://www.local.gov.uk/publications/how-local-transport-infrastructure-influences-economic-inclusion</w:t>
        </w:r>
      </w:hyperlink>
    </w:p>
    <w:p w14:paraId="01590724" w14:textId="1AB066D5" w:rsidR="00030FF4" w:rsidRPr="003E369B" w:rsidRDefault="00030FF4" w:rsidP="00D32356">
      <w:pPr>
        <w:pStyle w:val="ListParagraph"/>
        <w:numPr>
          <w:ilvl w:val="0"/>
          <w:numId w:val="17"/>
        </w:numPr>
        <w:rPr>
          <w:sz w:val="20"/>
          <w:szCs w:val="20"/>
        </w:rPr>
      </w:pPr>
      <w:r w:rsidRPr="00912C6C">
        <w:rPr>
          <w:sz w:val="20"/>
          <w:szCs w:val="20"/>
        </w:rPr>
        <w:t xml:space="preserve">National Centre for Accessible Transport (ncat) (2023) Accessible Transport Policy Commission (web page). Available at: </w:t>
      </w:r>
      <w:hyperlink r:id="rId12" w:history="1">
        <w:r w:rsidR="0003512F" w:rsidRPr="00912C6C">
          <w:rPr>
            <w:rStyle w:val="Hyperlink"/>
            <w:sz w:val="20"/>
            <w:szCs w:val="20"/>
          </w:rPr>
          <w:t>https://www.ncat.uk/what-we-do/accessible-transport-policy-commission/</w:t>
        </w:r>
      </w:hyperlink>
    </w:p>
    <w:p w14:paraId="5442AB0D" w14:textId="508D7F99" w:rsidR="003E369B" w:rsidRPr="00912C6C" w:rsidRDefault="003E369B" w:rsidP="00D32356">
      <w:pPr>
        <w:pStyle w:val="ListParagraph"/>
        <w:numPr>
          <w:ilvl w:val="0"/>
          <w:numId w:val="17"/>
        </w:numPr>
        <w:rPr>
          <w:sz w:val="20"/>
          <w:szCs w:val="20"/>
        </w:rPr>
      </w:pPr>
      <w:r w:rsidRPr="003E369B">
        <w:rPr>
          <w:sz w:val="20"/>
          <w:szCs w:val="20"/>
        </w:rPr>
        <w:t>Ngampravatdee, A., Njoya, E.T. &amp; Graham, A. (2023) ‘The impact of airline service quality on passenger satisfaction in emerging markets’, Journal of Air Transport Management, 109, pp. 1–12</w:t>
      </w:r>
    </w:p>
    <w:p w14:paraId="32832A58" w14:textId="50D4B206" w:rsidR="00030FF4" w:rsidRPr="00912C6C" w:rsidRDefault="00030FF4" w:rsidP="00D32356">
      <w:pPr>
        <w:pStyle w:val="ListParagraph"/>
        <w:numPr>
          <w:ilvl w:val="0"/>
          <w:numId w:val="17"/>
        </w:numPr>
        <w:rPr>
          <w:sz w:val="20"/>
          <w:szCs w:val="20"/>
        </w:rPr>
      </w:pPr>
      <w:r w:rsidRPr="00912C6C">
        <w:rPr>
          <w:sz w:val="20"/>
          <w:szCs w:val="20"/>
        </w:rPr>
        <w:t xml:space="preserve">Office for National Statistics (ONS) (2021) Ethnic group, England and Wales: Census 2021 (bulletin). London: ONS. Available at: </w:t>
      </w:r>
      <w:hyperlink r:id="rId13" w:history="1">
        <w:r w:rsidR="00D32356" w:rsidRPr="00912C6C">
          <w:rPr>
            <w:rStyle w:val="Hyperlink"/>
            <w:sz w:val="20"/>
            <w:szCs w:val="20"/>
          </w:rPr>
          <w:t>https://www.ons.gov.uk/peoplepopulationandcommunity/culturalidentity/ethnicity/bulletins/ethnicgroupenglandandwales/census2021</w:t>
        </w:r>
      </w:hyperlink>
    </w:p>
    <w:p w14:paraId="2393B14A" w14:textId="239B0F24" w:rsidR="00030FF4" w:rsidRPr="00912C6C" w:rsidRDefault="00030FF4" w:rsidP="00D32356">
      <w:pPr>
        <w:pStyle w:val="ListParagraph"/>
        <w:numPr>
          <w:ilvl w:val="0"/>
          <w:numId w:val="17"/>
        </w:numPr>
        <w:rPr>
          <w:sz w:val="20"/>
          <w:szCs w:val="20"/>
        </w:rPr>
      </w:pPr>
      <w:r w:rsidRPr="00912C6C">
        <w:rPr>
          <w:sz w:val="20"/>
          <w:szCs w:val="20"/>
        </w:rPr>
        <w:t xml:space="preserve">Organisation / Bristol City Council (2025) Population of Bristol: Mid-2024 estimates (web page / PDF). Bristol: Bristol City Council. Available at: </w:t>
      </w:r>
      <w:hyperlink r:id="rId14" w:history="1">
        <w:r w:rsidR="00D32356" w:rsidRPr="00912C6C">
          <w:rPr>
            <w:rStyle w:val="Hyperlink"/>
            <w:sz w:val="20"/>
            <w:szCs w:val="20"/>
          </w:rPr>
          <w:t>https://www.bristol.gov.uk/council/statistics-census-information/population-of-bristol</w:t>
        </w:r>
      </w:hyperlink>
    </w:p>
    <w:p w14:paraId="347364F8" w14:textId="1BAFD476" w:rsidR="00030FF4" w:rsidRPr="00912C6C" w:rsidRDefault="00030FF4" w:rsidP="00B86FEC">
      <w:pPr>
        <w:pStyle w:val="ListParagraph"/>
        <w:numPr>
          <w:ilvl w:val="0"/>
          <w:numId w:val="17"/>
        </w:numPr>
        <w:rPr>
          <w:sz w:val="20"/>
          <w:szCs w:val="20"/>
        </w:rPr>
      </w:pPr>
      <w:r w:rsidRPr="00912C6C">
        <w:rPr>
          <w:sz w:val="20"/>
          <w:szCs w:val="20"/>
        </w:rPr>
        <w:t>Rail &amp; local transport (</w:t>
      </w:r>
      <w:proofErr w:type="spellStart"/>
      <w:r w:rsidRPr="00912C6C">
        <w:rPr>
          <w:sz w:val="20"/>
          <w:szCs w:val="20"/>
        </w:rPr>
        <w:t>TravelWest</w:t>
      </w:r>
      <w:proofErr w:type="spellEnd"/>
      <w:r w:rsidRPr="00912C6C">
        <w:rPr>
          <w:sz w:val="20"/>
          <w:szCs w:val="20"/>
        </w:rPr>
        <w:t xml:space="preserve"> / WEST) (2024) MetroWest – Henbury rail line (MetroWest Phase 2) (web page). Available at: </w:t>
      </w:r>
      <w:hyperlink r:id="rId15" w:history="1">
        <w:r w:rsidR="00B86FEC" w:rsidRPr="00912C6C">
          <w:rPr>
            <w:rStyle w:val="Hyperlink"/>
            <w:sz w:val="20"/>
            <w:szCs w:val="20"/>
          </w:rPr>
          <w:t>https://travelwest.info/projects/henbury-rail-line-metrowest-phase-2/</w:t>
        </w:r>
      </w:hyperlink>
    </w:p>
    <w:p w14:paraId="26BF6C0B" w14:textId="32AE4DB3" w:rsidR="00030FF4" w:rsidRPr="00912C6C" w:rsidRDefault="00030FF4" w:rsidP="00B86FEC">
      <w:pPr>
        <w:pStyle w:val="ListParagraph"/>
        <w:numPr>
          <w:ilvl w:val="0"/>
          <w:numId w:val="17"/>
        </w:numPr>
        <w:rPr>
          <w:sz w:val="20"/>
          <w:szCs w:val="20"/>
        </w:rPr>
      </w:pPr>
      <w:proofErr w:type="spellStart"/>
      <w:r w:rsidRPr="00912C6C">
        <w:rPr>
          <w:sz w:val="20"/>
          <w:szCs w:val="20"/>
        </w:rPr>
        <w:t>TravelWest</w:t>
      </w:r>
      <w:proofErr w:type="spellEnd"/>
      <w:r w:rsidRPr="00912C6C">
        <w:rPr>
          <w:sz w:val="20"/>
          <w:szCs w:val="20"/>
        </w:rPr>
        <w:t xml:space="preserve"> (2024) Bristol City Centre Transport Changes: Engagement report – Summary (PDF). Available at: </w:t>
      </w:r>
      <w:hyperlink r:id="rId16" w:history="1">
        <w:r w:rsidR="00B86FEC" w:rsidRPr="00912C6C">
          <w:rPr>
            <w:rStyle w:val="Hyperlink"/>
            <w:sz w:val="20"/>
            <w:szCs w:val="20"/>
          </w:rPr>
          <w:t>https://travelwest.info/app/uploads/2024/12/Bristol-City-Centre-Transport-Changes-Engagement-Report-Summary.pdf</w:t>
        </w:r>
      </w:hyperlink>
    </w:p>
    <w:p w14:paraId="3EDDBF42" w14:textId="66B920B8" w:rsidR="00030FF4" w:rsidRPr="00912C6C" w:rsidRDefault="00030FF4" w:rsidP="00912C6C">
      <w:pPr>
        <w:pStyle w:val="ListParagraph"/>
        <w:numPr>
          <w:ilvl w:val="0"/>
          <w:numId w:val="17"/>
        </w:numPr>
        <w:rPr>
          <w:sz w:val="20"/>
          <w:szCs w:val="20"/>
        </w:rPr>
      </w:pPr>
      <w:r w:rsidRPr="00912C6C">
        <w:rPr>
          <w:sz w:val="20"/>
          <w:szCs w:val="20"/>
        </w:rPr>
        <w:t xml:space="preserve">Union Connectivity Review (Hendy, P.) (2021) Union Connectivity Review: Final report. London: Department for Transport (or the published review). Available at: </w:t>
      </w:r>
      <w:hyperlink r:id="rId17" w:history="1">
        <w:r w:rsidR="00B86FEC" w:rsidRPr="00912C6C">
          <w:rPr>
            <w:rStyle w:val="Hyperlink"/>
            <w:sz w:val="20"/>
            <w:szCs w:val="20"/>
          </w:rPr>
          <w:t>https://assets.publishing.service.gov.uk/media/619f8681e90e07043e8ff3c0/union-connectivity-review-final-report.pdf</w:t>
        </w:r>
      </w:hyperlink>
    </w:p>
    <w:p w14:paraId="26FC44E2" w14:textId="34D91C1D" w:rsidR="00030FF4" w:rsidRPr="00912C6C" w:rsidRDefault="00030FF4" w:rsidP="00912C6C">
      <w:pPr>
        <w:pStyle w:val="ListParagraph"/>
        <w:numPr>
          <w:ilvl w:val="0"/>
          <w:numId w:val="17"/>
        </w:numPr>
        <w:rPr>
          <w:sz w:val="20"/>
          <w:szCs w:val="20"/>
        </w:rPr>
      </w:pPr>
      <w:r w:rsidRPr="00912C6C">
        <w:rPr>
          <w:sz w:val="20"/>
          <w:szCs w:val="20"/>
        </w:rPr>
        <w:t xml:space="preserve">Trades Union Congress (TUC) (2023) Public transport fit for the climate emergency (report / policy briefing). Available at: </w:t>
      </w:r>
      <w:hyperlink r:id="rId18" w:history="1">
        <w:r w:rsidR="00912C6C" w:rsidRPr="00912C6C">
          <w:rPr>
            <w:rStyle w:val="Hyperlink"/>
            <w:sz w:val="20"/>
            <w:szCs w:val="20"/>
          </w:rPr>
          <w:t>https://www.tuc.org.uk/research-analysis/public-services-and-transport/transport</w:t>
        </w:r>
      </w:hyperlink>
    </w:p>
    <w:p w14:paraId="07CB42FE" w14:textId="56F5B3F0" w:rsidR="003C6D90" w:rsidRPr="00912C6C" w:rsidRDefault="00030FF4" w:rsidP="003C6D90">
      <w:pPr>
        <w:pStyle w:val="ListParagraph"/>
        <w:numPr>
          <w:ilvl w:val="0"/>
          <w:numId w:val="17"/>
        </w:numPr>
        <w:rPr>
          <w:sz w:val="20"/>
          <w:szCs w:val="20"/>
        </w:rPr>
      </w:pPr>
      <w:r w:rsidRPr="00912C6C">
        <w:rPr>
          <w:sz w:val="20"/>
          <w:szCs w:val="20"/>
        </w:rPr>
        <w:t xml:space="preserve">Institute for Government / Institute of Civil Engineers (for context on UK infrastructure delivery) (2024) How the UK government should fix transport (article / commentary). Available at: </w:t>
      </w:r>
      <w:hyperlink r:id="rId19" w:history="1">
        <w:r w:rsidR="00912C6C" w:rsidRPr="00912C6C">
          <w:rPr>
            <w:rStyle w:val="Hyperlink"/>
            <w:sz w:val="20"/>
            <w:szCs w:val="20"/>
          </w:rPr>
          <w:t>https://www.ice.org.uk/news-views-insights/inside-infrastructure/how-the-uk-government-should-fix-transport</w:t>
        </w:r>
      </w:hyperlink>
    </w:p>
    <w:sectPr w:rsidR="003C6D90" w:rsidRPr="00912C6C">
      <w:footerReference w:type="default" r:id="rId2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2A84FEF" w14:textId="77777777" w:rsidR="005A5D1D" w:rsidRDefault="005A5D1D" w:rsidP="00DF2067">
      <w:pPr>
        <w:spacing w:after="0" w:line="240" w:lineRule="auto"/>
      </w:pPr>
      <w:r>
        <w:separator/>
      </w:r>
    </w:p>
  </w:endnote>
  <w:endnote w:type="continuationSeparator" w:id="0">
    <w:p w14:paraId="5E6695FB" w14:textId="77777777" w:rsidR="005A5D1D" w:rsidRDefault="005A5D1D" w:rsidP="00DF206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295418244"/>
      <w:docPartObj>
        <w:docPartGallery w:val="Page Numbers (Bottom of Page)"/>
        <w:docPartUnique/>
      </w:docPartObj>
    </w:sdtPr>
    <w:sdtEndPr/>
    <w:sdtContent>
      <w:p w14:paraId="4C66E833" w14:textId="0DC06D3B" w:rsidR="00AE5BD8" w:rsidRDefault="00AE5BD8">
        <w:pPr>
          <w:pStyle w:val="Footer"/>
          <w:jc w:val="center"/>
        </w:pPr>
        <w:r>
          <w:fldChar w:fldCharType="begin"/>
        </w:r>
        <w:r>
          <w:instrText>PAGE   \* MERGEFORMAT</w:instrText>
        </w:r>
        <w:r>
          <w:fldChar w:fldCharType="separate"/>
        </w:r>
        <w:r>
          <w:t>2</w:t>
        </w:r>
        <w:r>
          <w:fldChar w:fldCharType="end"/>
        </w:r>
      </w:p>
    </w:sdtContent>
  </w:sdt>
  <w:p w14:paraId="617585DB" w14:textId="77777777" w:rsidR="00AE5BD8" w:rsidRDefault="00AE5BD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903D76B" w14:textId="77777777" w:rsidR="005A5D1D" w:rsidRDefault="005A5D1D" w:rsidP="00DF2067">
      <w:pPr>
        <w:spacing w:after="0" w:line="240" w:lineRule="auto"/>
      </w:pPr>
      <w:r>
        <w:separator/>
      </w:r>
    </w:p>
  </w:footnote>
  <w:footnote w:type="continuationSeparator" w:id="0">
    <w:p w14:paraId="600B0B22" w14:textId="77777777" w:rsidR="005A5D1D" w:rsidRDefault="005A5D1D" w:rsidP="00DF206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8900BF3"/>
    <w:multiLevelType w:val="hybridMultilevel"/>
    <w:tmpl w:val="3C46C4E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6E232AB"/>
    <w:multiLevelType w:val="hybridMultilevel"/>
    <w:tmpl w:val="139CC50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3ECA05EB"/>
    <w:multiLevelType w:val="hybridMultilevel"/>
    <w:tmpl w:val="8E44687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447863EE"/>
    <w:multiLevelType w:val="hybridMultilevel"/>
    <w:tmpl w:val="EC08744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46ED406F"/>
    <w:multiLevelType w:val="hybridMultilevel"/>
    <w:tmpl w:val="5458073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47D3251E"/>
    <w:multiLevelType w:val="hybridMultilevel"/>
    <w:tmpl w:val="2D4045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48581ADB"/>
    <w:multiLevelType w:val="hybridMultilevel"/>
    <w:tmpl w:val="E52A301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4AD33E0F"/>
    <w:multiLevelType w:val="hybridMultilevel"/>
    <w:tmpl w:val="114ACAC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4CB33CD5"/>
    <w:multiLevelType w:val="hybridMultilevel"/>
    <w:tmpl w:val="DBD0354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52C059C8"/>
    <w:multiLevelType w:val="hybridMultilevel"/>
    <w:tmpl w:val="422CFA6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57464DF8"/>
    <w:multiLevelType w:val="hybridMultilevel"/>
    <w:tmpl w:val="C8282DB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5A4723E2"/>
    <w:multiLevelType w:val="hybridMultilevel"/>
    <w:tmpl w:val="A5401AF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5C2F4145"/>
    <w:multiLevelType w:val="hybridMultilevel"/>
    <w:tmpl w:val="6C067AD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5D8D2BA3"/>
    <w:multiLevelType w:val="hybridMultilevel"/>
    <w:tmpl w:val="799606F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5F535008"/>
    <w:multiLevelType w:val="hybridMultilevel"/>
    <w:tmpl w:val="189A3F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75B14FA8"/>
    <w:multiLevelType w:val="hybridMultilevel"/>
    <w:tmpl w:val="534877C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7B610A41"/>
    <w:multiLevelType w:val="hybridMultilevel"/>
    <w:tmpl w:val="10585E5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70806018">
    <w:abstractNumId w:val="9"/>
  </w:num>
  <w:num w:numId="2" w16cid:durableId="1127088309">
    <w:abstractNumId w:val="2"/>
  </w:num>
  <w:num w:numId="3" w16cid:durableId="1357076387">
    <w:abstractNumId w:val="12"/>
  </w:num>
  <w:num w:numId="4" w16cid:durableId="2062051233">
    <w:abstractNumId w:val="7"/>
  </w:num>
  <w:num w:numId="5" w16cid:durableId="706564110">
    <w:abstractNumId w:val="13"/>
  </w:num>
  <w:num w:numId="6" w16cid:durableId="901675642">
    <w:abstractNumId w:val="16"/>
  </w:num>
  <w:num w:numId="7" w16cid:durableId="1821462174">
    <w:abstractNumId w:val="6"/>
  </w:num>
  <w:num w:numId="8" w16cid:durableId="229314855">
    <w:abstractNumId w:val="4"/>
  </w:num>
  <w:num w:numId="9" w16cid:durableId="70781034">
    <w:abstractNumId w:val="15"/>
  </w:num>
  <w:num w:numId="10" w16cid:durableId="1038697103">
    <w:abstractNumId w:val="1"/>
  </w:num>
  <w:num w:numId="11" w16cid:durableId="1674331542">
    <w:abstractNumId w:val="14"/>
  </w:num>
  <w:num w:numId="12" w16cid:durableId="1993637695">
    <w:abstractNumId w:val="11"/>
  </w:num>
  <w:num w:numId="13" w16cid:durableId="2077046578">
    <w:abstractNumId w:val="5"/>
  </w:num>
  <w:num w:numId="14" w16cid:durableId="674454552">
    <w:abstractNumId w:val="3"/>
  </w:num>
  <w:num w:numId="15" w16cid:durableId="2081170652">
    <w:abstractNumId w:val="10"/>
  </w:num>
  <w:num w:numId="16" w16cid:durableId="1638490850">
    <w:abstractNumId w:val="8"/>
  </w:num>
  <w:num w:numId="17" w16cid:durableId="13672327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F09CF"/>
    <w:rsid w:val="00002027"/>
    <w:rsid w:val="00027F89"/>
    <w:rsid w:val="00030FF4"/>
    <w:rsid w:val="0003512F"/>
    <w:rsid w:val="000410F2"/>
    <w:rsid w:val="00042D3B"/>
    <w:rsid w:val="00050419"/>
    <w:rsid w:val="00064CEC"/>
    <w:rsid w:val="00070080"/>
    <w:rsid w:val="000B4BD2"/>
    <w:rsid w:val="000F36E7"/>
    <w:rsid w:val="001134D3"/>
    <w:rsid w:val="00141A97"/>
    <w:rsid w:val="00143D87"/>
    <w:rsid w:val="00162A14"/>
    <w:rsid w:val="001B65BB"/>
    <w:rsid w:val="001C2868"/>
    <w:rsid w:val="002300C5"/>
    <w:rsid w:val="00270BC6"/>
    <w:rsid w:val="00291375"/>
    <w:rsid w:val="002C1480"/>
    <w:rsid w:val="002C52AF"/>
    <w:rsid w:val="003108F3"/>
    <w:rsid w:val="00366CB2"/>
    <w:rsid w:val="003B53D5"/>
    <w:rsid w:val="003C6D90"/>
    <w:rsid w:val="003E369B"/>
    <w:rsid w:val="003F4314"/>
    <w:rsid w:val="00427B0D"/>
    <w:rsid w:val="004B213A"/>
    <w:rsid w:val="004D0433"/>
    <w:rsid w:val="004D39A2"/>
    <w:rsid w:val="004E5C98"/>
    <w:rsid w:val="004F28D7"/>
    <w:rsid w:val="00504EA5"/>
    <w:rsid w:val="0051670D"/>
    <w:rsid w:val="005405F7"/>
    <w:rsid w:val="00561F39"/>
    <w:rsid w:val="005A5D1D"/>
    <w:rsid w:val="005D3788"/>
    <w:rsid w:val="005D38F0"/>
    <w:rsid w:val="00621741"/>
    <w:rsid w:val="0065600E"/>
    <w:rsid w:val="00665F88"/>
    <w:rsid w:val="00674113"/>
    <w:rsid w:val="00692885"/>
    <w:rsid w:val="006B2D28"/>
    <w:rsid w:val="006C3015"/>
    <w:rsid w:val="00702730"/>
    <w:rsid w:val="0070476C"/>
    <w:rsid w:val="007333B0"/>
    <w:rsid w:val="00741D36"/>
    <w:rsid w:val="00782D42"/>
    <w:rsid w:val="007867B0"/>
    <w:rsid w:val="007B47D1"/>
    <w:rsid w:val="007E73BE"/>
    <w:rsid w:val="007F4AF2"/>
    <w:rsid w:val="00854FF8"/>
    <w:rsid w:val="00884693"/>
    <w:rsid w:val="00886679"/>
    <w:rsid w:val="008C2D43"/>
    <w:rsid w:val="008C3CD8"/>
    <w:rsid w:val="00900715"/>
    <w:rsid w:val="00912B83"/>
    <w:rsid w:val="00912C6C"/>
    <w:rsid w:val="00912DD4"/>
    <w:rsid w:val="0092633B"/>
    <w:rsid w:val="00963EF7"/>
    <w:rsid w:val="0097371B"/>
    <w:rsid w:val="00973E62"/>
    <w:rsid w:val="009862C9"/>
    <w:rsid w:val="009F41C4"/>
    <w:rsid w:val="00A0673C"/>
    <w:rsid w:val="00A15C28"/>
    <w:rsid w:val="00A161F4"/>
    <w:rsid w:val="00A254BB"/>
    <w:rsid w:val="00A33BE9"/>
    <w:rsid w:val="00A36767"/>
    <w:rsid w:val="00A5639F"/>
    <w:rsid w:val="00A6026B"/>
    <w:rsid w:val="00A95957"/>
    <w:rsid w:val="00AA14EE"/>
    <w:rsid w:val="00AA7F2A"/>
    <w:rsid w:val="00AB120D"/>
    <w:rsid w:val="00AE5BD8"/>
    <w:rsid w:val="00AE6A9F"/>
    <w:rsid w:val="00B01AC8"/>
    <w:rsid w:val="00B072B2"/>
    <w:rsid w:val="00B30E6D"/>
    <w:rsid w:val="00B86FEC"/>
    <w:rsid w:val="00BC1410"/>
    <w:rsid w:val="00BE17ED"/>
    <w:rsid w:val="00BE4DCF"/>
    <w:rsid w:val="00BF02D9"/>
    <w:rsid w:val="00BF09CF"/>
    <w:rsid w:val="00C06490"/>
    <w:rsid w:val="00C36111"/>
    <w:rsid w:val="00C745CE"/>
    <w:rsid w:val="00C975B8"/>
    <w:rsid w:val="00CB0F64"/>
    <w:rsid w:val="00CC36F1"/>
    <w:rsid w:val="00CE673F"/>
    <w:rsid w:val="00CF415F"/>
    <w:rsid w:val="00CF62D8"/>
    <w:rsid w:val="00D005B0"/>
    <w:rsid w:val="00D32356"/>
    <w:rsid w:val="00D40B38"/>
    <w:rsid w:val="00D71909"/>
    <w:rsid w:val="00DA1F90"/>
    <w:rsid w:val="00DB111E"/>
    <w:rsid w:val="00DB7C7E"/>
    <w:rsid w:val="00DE1763"/>
    <w:rsid w:val="00DF2067"/>
    <w:rsid w:val="00E22AC7"/>
    <w:rsid w:val="00E54F0F"/>
    <w:rsid w:val="00E56830"/>
    <w:rsid w:val="00E72109"/>
    <w:rsid w:val="00E77F1C"/>
    <w:rsid w:val="00E82835"/>
    <w:rsid w:val="00E97A1A"/>
    <w:rsid w:val="00EA3133"/>
    <w:rsid w:val="00EF1CA8"/>
    <w:rsid w:val="00F5324E"/>
    <w:rsid w:val="00F551D5"/>
    <w:rsid w:val="00F65DD0"/>
    <w:rsid w:val="00F67878"/>
    <w:rsid w:val="00F827B3"/>
    <w:rsid w:val="00F944A0"/>
    <w:rsid w:val="00FA74CE"/>
    <w:rsid w:val="00FB73F6"/>
    <w:rsid w:val="00FC640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75CC235"/>
  <w15:chartTrackingRefBased/>
  <w15:docId w15:val="{9F688560-D355-45E6-8C39-CCA7F437ACE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F09CF"/>
  </w:style>
  <w:style w:type="paragraph" w:styleId="Heading1">
    <w:name w:val="heading 1"/>
    <w:basedOn w:val="Normal"/>
    <w:next w:val="Normal"/>
    <w:link w:val="Heading1Char"/>
    <w:uiPriority w:val="9"/>
    <w:qFormat/>
    <w:rsid w:val="00BF09CF"/>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BF09CF"/>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BF09CF"/>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BF09CF"/>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BF09CF"/>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BF09CF"/>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BF09CF"/>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BF09CF"/>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BF09CF"/>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F09CF"/>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BF09CF"/>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BF09CF"/>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BF09CF"/>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BF09CF"/>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BF09CF"/>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BF09CF"/>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BF09CF"/>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BF09CF"/>
    <w:rPr>
      <w:rFonts w:eastAsiaTheme="majorEastAsia" w:cstheme="majorBidi"/>
      <w:color w:val="272727" w:themeColor="text1" w:themeTint="D8"/>
    </w:rPr>
  </w:style>
  <w:style w:type="paragraph" w:styleId="Title">
    <w:name w:val="Title"/>
    <w:basedOn w:val="Normal"/>
    <w:next w:val="Normal"/>
    <w:link w:val="TitleChar"/>
    <w:uiPriority w:val="10"/>
    <w:qFormat/>
    <w:rsid w:val="00BF09CF"/>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BF09CF"/>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BF09CF"/>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BF09CF"/>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BF09CF"/>
    <w:pPr>
      <w:spacing w:before="160"/>
      <w:jc w:val="center"/>
    </w:pPr>
    <w:rPr>
      <w:i/>
      <w:iCs/>
      <w:color w:val="404040" w:themeColor="text1" w:themeTint="BF"/>
    </w:rPr>
  </w:style>
  <w:style w:type="character" w:customStyle="1" w:styleId="QuoteChar">
    <w:name w:val="Quote Char"/>
    <w:basedOn w:val="DefaultParagraphFont"/>
    <w:link w:val="Quote"/>
    <w:uiPriority w:val="29"/>
    <w:rsid w:val="00BF09CF"/>
    <w:rPr>
      <w:i/>
      <w:iCs/>
      <w:color w:val="404040" w:themeColor="text1" w:themeTint="BF"/>
    </w:rPr>
  </w:style>
  <w:style w:type="paragraph" w:styleId="ListParagraph">
    <w:name w:val="List Paragraph"/>
    <w:basedOn w:val="Normal"/>
    <w:uiPriority w:val="34"/>
    <w:qFormat/>
    <w:rsid w:val="00BF09CF"/>
    <w:pPr>
      <w:ind w:left="720"/>
      <w:contextualSpacing/>
    </w:pPr>
  </w:style>
  <w:style w:type="character" w:styleId="IntenseEmphasis">
    <w:name w:val="Intense Emphasis"/>
    <w:basedOn w:val="DefaultParagraphFont"/>
    <w:uiPriority w:val="21"/>
    <w:qFormat/>
    <w:rsid w:val="00BF09CF"/>
    <w:rPr>
      <w:i/>
      <w:iCs/>
      <w:color w:val="0F4761" w:themeColor="accent1" w:themeShade="BF"/>
    </w:rPr>
  </w:style>
  <w:style w:type="paragraph" w:styleId="IntenseQuote">
    <w:name w:val="Intense Quote"/>
    <w:basedOn w:val="Normal"/>
    <w:next w:val="Normal"/>
    <w:link w:val="IntenseQuoteChar"/>
    <w:uiPriority w:val="30"/>
    <w:qFormat/>
    <w:rsid w:val="00BF09CF"/>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BF09CF"/>
    <w:rPr>
      <w:i/>
      <w:iCs/>
      <w:color w:val="0F4761" w:themeColor="accent1" w:themeShade="BF"/>
    </w:rPr>
  </w:style>
  <w:style w:type="character" w:styleId="IntenseReference">
    <w:name w:val="Intense Reference"/>
    <w:basedOn w:val="DefaultParagraphFont"/>
    <w:uiPriority w:val="32"/>
    <w:qFormat/>
    <w:rsid w:val="00BF09CF"/>
    <w:rPr>
      <w:b/>
      <w:bCs/>
      <w:smallCaps/>
      <w:color w:val="0F4761" w:themeColor="accent1" w:themeShade="BF"/>
      <w:spacing w:val="5"/>
    </w:rPr>
  </w:style>
  <w:style w:type="paragraph" w:styleId="NoSpacing">
    <w:name w:val="No Spacing"/>
    <w:uiPriority w:val="1"/>
    <w:qFormat/>
    <w:rsid w:val="00EA3133"/>
    <w:pPr>
      <w:spacing w:after="0" w:line="240" w:lineRule="auto"/>
    </w:pPr>
  </w:style>
  <w:style w:type="paragraph" w:styleId="Header">
    <w:name w:val="header"/>
    <w:basedOn w:val="Normal"/>
    <w:link w:val="HeaderChar"/>
    <w:uiPriority w:val="99"/>
    <w:unhideWhenUsed/>
    <w:rsid w:val="00DF2067"/>
    <w:pPr>
      <w:tabs>
        <w:tab w:val="center" w:pos="4513"/>
        <w:tab w:val="right" w:pos="9026"/>
      </w:tabs>
      <w:spacing w:after="0" w:line="240" w:lineRule="auto"/>
    </w:pPr>
  </w:style>
  <w:style w:type="character" w:customStyle="1" w:styleId="HeaderChar">
    <w:name w:val="Header Char"/>
    <w:basedOn w:val="DefaultParagraphFont"/>
    <w:link w:val="Header"/>
    <w:uiPriority w:val="99"/>
    <w:rsid w:val="00DF2067"/>
  </w:style>
  <w:style w:type="paragraph" w:styleId="Footer">
    <w:name w:val="footer"/>
    <w:basedOn w:val="Normal"/>
    <w:link w:val="FooterChar"/>
    <w:uiPriority w:val="99"/>
    <w:unhideWhenUsed/>
    <w:rsid w:val="00DF2067"/>
    <w:pPr>
      <w:tabs>
        <w:tab w:val="center" w:pos="4513"/>
        <w:tab w:val="right" w:pos="9026"/>
      </w:tabs>
      <w:spacing w:after="0" w:line="240" w:lineRule="auto"/>
    </w:pPr>
  </w:style>
  <w:style w:type="character" w:customStyle="1" w:styleId="FooterChar">
    <w:name w:val="Footer Char"/>
    <w:basedOn w:val="DefaultParagraphFont"/>
    <w:link w:val="Footer"/>
    <w:uiPriority w:val="99"/>
    <w:rsid w:val="00DF2067"/>
  </w:style>
  <w:style w:type="character" w:styleId="Hyperlink">
    <w:name w:val="Hyperlink"/>
    <w:basedOn w:val="DefaultParagraphFont"/>
    <w:uiPriority w:val="99"/>
    <w:unhideWhenUsed/>
    <w:rsid w:val="007333B0"/>
    <w:rPr>
      <w:color w:val="467886" w:themeColor="hyperlink"/>
      <w:u w:val="single"/>
    </w:rPr>
  </w:style>
  <w:style w:type="character" w:styleId="UnresolvedMention">
    <w:name w:val="Unresolved Mention"/>
    <w:basedOn w:val="DefaultParagraphFont"/>
    <w:uiPriority w:val="99"/>
    <w:semiHidden/>
    <w:unhideWhenUsed/>
    <w:rsid w:val="007333B0"/>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hyperlink" Target="https://www.ons.gov.uk/peoplepopulationandcommunity/culturalidentity/ethnicity/bulletins/ethnicgroupenglandandwales/census2021" TargetMode="External"/><Relationship Id="rId18" Type="http://schemas.openxmlformats.org/officeDocument/2006/relationships/hyperlink" Target="https://www.tuc.org.uk/research-analysis/public-services-and-transport/transport" TargetMode="External"/><Relationship Id="rId3" Type="http://schemas.openxmlformats.org/officeDocument/2006/relationships/settings" Target="settings.xml"/><Relationship Id="rId21" Type="http://schemas.openxmlformats.org/officeDocument/2006/relationships/fontTable" Target="fontTable.xml"/><Relationship Id="rId7" Type="http://schemas.openxmlformats.org/officeDocument/2006/relationships/image" Target="media/image1.png"/><Relationship Id="rId12" Type="http://schemas.openxmlformats.org/officeDocument/2006/relationships/hyperlink" Target="https://www.ncat.uk/what-we-do/accessible-transport-policy-commission/" TargetMode="External"/><Relationship Id="rId17" Type="http://schemas.openxmlformats.org/officeDocument/2006/relationships/hyperlink" Target="https://assets.publishing.service.gov.uk/media/619f8681e90e07043e8ff3c0/union-connectivity-review-final-report.pdf" TargetMode="External"/><Relationship Id="rId2" Type="http://schemas.openxmlformats.org/officeDocument/2006/relationships/styles" Target="styles.xml"/><Relationship Id="rId16" Type="http://schemas.openxmlformats.org/officeDocument/2006/relationships/hyperlink" Target="https://travelwest.info/app/uploads/2024/12/Bristol-City-Centre-Transport-Changes-Engagement-Report-Summary.pdf" TargetMode="External"/><Relationship Id="rId20" Type="http://schemas.openxmlformats.org/officeDocument/2006/relationships/footer" Target="footer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local.gov.uk/publications/how-local-transport-infrastructure-influences-economic-inclusion" TargetMode="External"/><Relationship Id="rId5" Type="http://schemas.openxmlformats.org/officeDocument/2006/relationships/footnotes" Target="footnotes.xml"/><Relationship Id="rId15" Type="http://schemas.openxmlformats.org/officeDocument/2006/relationships/hyperlink" Target="https://travelwest.info/projects/henbury-rail-line-metrowest-phase-2/" TargetMode="External"/><Relationship Id="rId10" Type="http://schemas.openxmlformats.org/officeDocument/2006/relationships/hyperlink" Target="https://onlinelibrary.wiley.com/doi/10.1111/puar.12238" TargetMode="External"/><Relationship Id="rId19" Type="http://schemas.openxmlformats.org/officeDocument/2006/relationships/hyperlink" Target="https://www.ice.org.uk/news-views-insights/inside-infrastructure/how-the-uk-government-should-fix-transport" TargetMode="Externa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hyperlink" Target="https://www.bristol.gov.uk/council/statistics-census-information/population-of-bristol" TargetMode="External"/><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15</Pages>
  <Words>4949</Words>
  <Characters>28210</Characters>
  <Application>Microsoft Office Word</Application>
  <DocSecurity>0</DocSecurity>
  <Lines>235</Lines>
  <Paragraphs>66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33093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caraman lidia</dc:creator>
  <cp:keywords/>
  <dc:description/>
  <cp:lastModifiedBy>caraman lidia</cp:lastModifiedBy>
  <cp:revision>3</cp:revision>
  <dcterms:created xsi:type="dcterms:W3CDTF">2025-10-15T22:41:00Z</dcterms:created>
  <dcterms:modified xsi:type="dcterms:W3CDTF">2025-11-13T16:04:00Z</dcterms:modified>
</cp:coreProperties>
</file>