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778F484" w14:textId="77777777" w:rsidR="00000000" w:rsidRPr="00F328BE" w:rsidRDefault="00000000">
      <w:pPr>
        <w:pStyle w:val="OBETITLE"/>
        <w:pageBreakBefore/>
        <w:rPr>
          <w:color w:val="auto"/>
        </w:rPr>
      </w:pPr>
      <w:r w:rsidRPr="00F328BE">
        <w:rPr>
          <w:color w:val="auto"/>
        </w:rPr>
        <w:t>A mini research report on the conversion of Emperor Constantine</w:t>
      </w:r>
    </w:p>
    <w:p w14:paraId="56494A23" w14:textId="77777777" w:rsidR="00000000" w:rsidRPr="00F328BE" w:rsidRDefault="00000000">
      <w:pPr>
        <w:pStyle w:val="OBEBody"/>
        <w:rPr>
          <w:color w:val="auto"/>
        </w:rPr>
      </w:pPr>
    </w:p>
    <w:p w14:paraId="54AE06EB" w14:textId="77777777" w:rsidR="00000000" w:rsidRPr="00F328BE" w:rsidRDefault="00000000">
      <w:pPr>
        <w:pStyle w:val="OBESubtitle1sttier"/>
        <w:rPr>
          <w:color w:val="auto"/>
        </w:rPr>
      </w:pPr>
      <w:r w:rsidRPr="00F328BE">
        <w:rPr>
          <w:color w:val="auto"/>
        </w:rPr>
        <w:t>Introduction</w:t>
      </w:r>
    </w:p>
    <w:p w14:paraId="334C35EC" w14:textId="77777777" w:rsidR="00000000" w:rsidRPr="00F328BE" w:rsidRDefault="00000000">
      <w:pPr>
        <w:pStyle w:val="OBEBody"/>
        <w:rPr>
          <w:color w:val="auto"/>
        </w:rPr>
      </w:pPr>
      <w:r w:rsidRPr="00F328BE">
        <w:rPr>
          <w:color w:val="auto"/>
        </w:rPr>
        <w:t>Flavius Valerius Constantinus, commonly known as Constantine I or Constantine the Great, was Roman emperor for thirty-one years from 306 to 337 AD.</w:t>
      </w:r>
      <w:r w:rsidRPr="00F328BE">
        <w:rPr>
          <w:rStyle w:val="FootnoteReference"/>
          <w:color w:val="auto"/>
        </w:rPr>
        <w:footnoteReference w:id="1"/>
      </w:r>
      <w:r w:rsidRPr="00F328BE">
        <w:rPr>
          <w:color w:val="auto"/>
        </w:rPr>
        <w:t xml:space="preserve"> Although he lived the majority of his life as a follower of the Roman polytheistic religion, Constantine became an extremely important figure in the history of Christianity due to his tolerance of the religion and his apparent, though debated, later conversion to Christianity and baptism.</w:t>
      </w:r>
      <w:r w:rsidRPr="00F328BE">
        <w:rPr>
          <w:rStyle w:val="FootnoteReference"/>
          <w:color w:val="auto"/>
        </w:rPr>
        <w:footnoteReference w:id="2"/>
      </w:r>
      <w:r w:rsidRPr="00F328BE">
        <w:rPr>
          <w:color w:val="auto"/>
        </w:rPr>
        <w:t xml:space="preserve"> Prior to Constantine, and especially under his predecessor Diocletian, Christians were persecuted severely through the removal of their legal rights, forced sacrifices to Roman deities, torture and, in some cases, martyrdom</w:t>
      </w:r>
      <w:r w:rsidRPr="00F328BE">
        <w:rPr>
          <w:rStyle w:val="FootnoteReference"/>
          <w:color w:val="auto"/>
        </w:rPr>
        <w:footnoteReference w:id="3"/>
      </w:r>
      <w:r w:rsidRPr="00F328BE">
        <w:rPr>
          <w:color w:val="auto"/>
        </w:rPr>
        <w:t xml:space="preserve">.  Constantine's actions, including the convocation of the First Council of </w:t>
      </w:r>
      <w:proofErr w:type="spellStart"/>
      <w:r w:rsidRPr="00F328BE">
        <w:rPr>
          <w:color w:val="auto"/>
        </w:rPr>
        <w:t>Nicea</w:t>
      </w:r>
      <w:proofErr w:type="spellEnd"/>
      <w:r w:rsidRPr="00F328BE">
        <w:rPr>
          <w:color w:val="auto"/>
        </w:rPr>
        <w:t xml:space="preserve"> in 325 </w:t>
      </w:r>
      <w:proofErr w:type="gramStart"/>
      <w:r w:rsidRPr="00F328BE">
        <w:rPr>
          <w:color w:val="auto"/>
        </w:rPr>
        <w:t>AD</w:t>
      </w:r>
      <w:proofErr w:type="gramEnd"/>
      <w:r w:rsidRPr="00F328BE">
        <w:rPr>
          <w:color w:val="auto"/>
        </w:rPr>
        <w:t>, were crucial factors in Nicene Christianity becoming the official religion of Rome under his successor Theodosius I.</w:t>
      </w:r>
      <w:r w:rsidRPr="00F328BE">
        <w:rPr>
          <w:rStyle w:val="FootnoteReference"/>
          <w:color w:val="auto"/>
        </w:rPr>
        <w:footnoteReference w:id="4"/>
      </w:r>
      <w:r w:rsidRPr="00F328BE">
        <w:rPr>
          <w:color w:val="auto"/>
        </w:rPr>
        <w:t xml:space="preserve"> However, the nature of Constantine's conversion to Christianity has been debated by historians and theologians due to a paucity of primary evidence and the likely biases of contemporary reports.</w:t>
      </w:r>
      <w:r w:rsidRPr="00F328BE">
        <w:rPr>
          <w:rStyle w:val="FootnoteReference"/>
          <w:color w:val="auto"/>
        </w:rPr>
        <w:footnoteReference w:id="5"/>
      </w:r>
      <w:r w:rsidRPr="00F328BE">
        <w:rPr>
          <w:color w:val="auto"/>
        </w:rPr>
        <w:t xml:space="preserve"> </w:t>
      </w:r>
    </w:p>
    <w:p w14:paraId="0DBD5C54" w14:textId="77777777" w:rsidR="00000000" w:rsidRPr="00F328BE" w:rsidRDefault="00000000">
      <w:pPr>
        <w:pStyle w:val="OBESubtitle1sttier"/>
        <w:rPr>
          <w:color w:val="auto"/>
        </w:rPr>
      </w:pPr>
      <w:r w:rsidRPr="00F328BE">
        <w:rPr>
          <w:color w:val="auto"/>
        </w:rPr>
        <w:t>Historical Background and Primary Sources</w:t>
      </w:r>
    </w:p>
    <w:p w14:paraId="348BC1D5" w14:textId="77777777" w:rsidR="00000000" w:rsidRPr="00F328BE" w:rsidRDefault="00000000">
      <w:pPr>
        <w:pStyle w:val="OBEBody"/>
        <w:rPr>
          <w:color w:val="auto"/>
        </w:rPr>
      </w:pPr>
      <w:r w:rsidRPr="00F328BE">
        <w:rPr>
          <w:color w:val="auto"/>
        </w:rPr>
        <w:t xml:space="preserve">There are two primary textual sources which provide evidence of Constantine's conversion, written by the bishop Eusebius of Caesarea (c.260-339) and </w:t>
      </w:r>
      <w:proofErr w:type="spellStart"/>
      <w:r w:rsidRPr="00F328BE">
        <w:rPr>
          <w:color w:val="auto"/>
        </w:rPr>
        <w:t>Lactantius</w:t>
      </w:r>
      <w:proofErr w:type="spellEnd"/>
      <w:r w:rsidRPr="00F328BE">
        <w:rPr>
          <w:color w:val="auto"/>
        </w:rPr>
        <w:t xml:space="preserve"> (Lucius Caecilius </w:t>
      </w:r>
      <w:proofErr w:type="spellStart"/>
      <w:r w:rsidRPr="00F328BE">
        <w:rPr>
          <w:color w:val="auto"/>
        </w:rPr>
        <w:t>Firmianus</w:t>
      </w:r>
      <w:proofErr w:type="spellEnd"/>
      <w:r w:rsidRPr="00F328BE">
        <w:rPr>
          <w:color w:val="auto"/>
        </w:rPr>
        <w:t>, c.250-325).</w:t>
      </w:r>
      <w:r w:rsidRPr="00F328BE">
        <w:rPr>
          <w:rStyle w:val="FootnoteReference"/>
          <w:color w:val="auto"/>
        </w:rPr>
        <w:footnoteReference w:id="6"/>
      </w:r>
      <w:r w:rsidRPr="00F328BE">
        <w:rPr>
          <w:color w:val="auto"/>
        </w:rPr>
        <w:t xml:space="preserve"> Both of these authors were Christian contemporaries of Constantine who knew him personally as advisors,</w:t>
      </w:r>
      <w:r w:rsidRPr="00F328BE">
        <w:rPr>
          <w:rStyle w:val="FootnoteReference"/>
          <w:color w:val="auto"/>
        </w:rPr>
        <w:footnoteReference w:id="7"/>
      </w:r>
      <w:r w:rsidRPr="00F328BE">
        <w:rPr>
          <w:color w:val="auto"/>
        </w:rPr>
        <w:t xml:space="preserve"> and both of their accounts describe a divine experience </w:t>
      </w:r>
      <w:r w:rsidRPr="00F328BE">
        <w:rPr>
          <w:color w:val="auto"/>
        </w:rPr>
        <w:lastRenderedPageBreak/>
        <w:t>during the Battle of the Milvian Bridge as the tipping point in Constantine's conversion.</w:t>
      </w:r>
      <w:r w:rsidRPr="00F328BE">
        <w:rPr>
          <w:rStyle w:val="FootnoteReference"/>
          <w:color w:val="auto"/>
        </w:rPr>
        <w:footnoteReference w:id="8"/>
      </w:r>
      <w:r w:rsidRPr="00F328BE">
        <w:rPr>
          <w:color w:val="auto"/>
        </w:rPr>
        <w:t xml:space="preserve"> At the time of Constantine I's birth, the Roman Empire was ruled by a tetrarchy with two emperors and their two successors, a system which had been instituted by the emperor Diocletian in 293 AD. By the time of Constantine, there was a usurper, Maxentius, in Rome, whom Constantine defeated at the Battle of the Milvian Bridge to become Augustus in the West.</w:t>
      </w:r>
      <w:r w:rsidRPr="00F328BE">
        <w:rPr>
          <w:rStyle w:val="FootnoteReference"/>
          <w:color w:val="auto"/>
        </w:rPr>
        <w:footnoteReference w:id="9"/>
      </w:r>
    </w:p>
    <w:p w14:paraId="7097CE82" w14:textId="77777777" w:rsidR="00000000" w:rsidRPr="00F328BE" w:rsidRDefault="00000000">
      <w:pPr>
        <w:pStyle w:val="OBESubtitle2ndtier"/>
        <w:rPr>
          <w:color w:val="auto"/>
        </w:rPr>
      </w:pPr>
      <w:r w:rsidRPr="00F328BE">
        <w:rPr>
          <w:color w:val="auto"/>
        </w:rPr>
        <w:t>Eusebius' Vita Constantini</w:t>
      </w:r>
    </w:p>
    <w:p w14:paraId="0ADA5208" w14:textId="77777777" w:rsidR="00000000" w:rsidRPr="00F328BE" w:rsidRDefault="00000000">
      <w:pPr>
        <w:pStyle w:val="OBEBody"/>
        <w:rPr>
          <w:color w:val="auto"/>
        </w:rPr>
      </w:pPr>
      <w:r w:rsidRPr="00F328BE">
        <w:rPr>
          <w:color w:val="auto"/>
        </w:rPr>
        <w:t xml:space="preserve">Eusebius' </w:t>
      </w:r>
      <w:r w:rsidRPr="00F328BE">
        <w:rPr>
          <w:i/>
          <w:iCs/>
          <w:color w:val="auto"/>
        </w:rPr>
        <w:t>Life of Constantine the Great</w:t>
      </w:r>
      <w:r w:rsidRPr="00F328BE">
        <w:rPr>
          <w:color w:val="auto"/>
        </w:rPr>
        <w:t xml:space="preserve"> (</w:t>
      </w:r>
      <w:r w:rsidRPr="00F328BE">
        <w:rPr>
          <w:i/>
          <w:iCs/>
          <w:color w:val="auto"/>
        </w:rPr>
        <w:t>Vita Constantini</w:t>
      </w:r>
      <w:r w:rsidRPr="00F328BE">
        <w:rPr>
          <w:color w:val="auto"/>
        </w:rPr>
        <w:t xml:space="preserve"> or </w:t>
      </w:r>
      <w:proofErr w:type="spellStart"/>
      <w:r w:rsidRPr="00F328BE">
        <w:rPr>
          <w:i/>
          <w:iCs/>
          <w:color w:val="auto"/>
        </w:rPr>
        <w:t>Βίος</w:t>
      </w:r>
      <w:proofErr w:type="spellEnd"/>
      <w:r w:rsidRPr="00F328BE">
        <w:rPr>
          <w:i/>
          <w:iCs/>
          <w:color w:val="auto"/>
        </w:rPr>
        <w:t xml:space="preserve"> </w:t>
      </w:r>
      <w:proofErr w:type="spellStart"/>
      <w:r w:rsidRPr="00F328BE">
        <w:rPr>
          <w:i/>
          <w:iCs/>
          <w:color w:val="auto"/>
        </w:rPr>
        <w:t>Μεγάλου</w:t>
      </w:r>
      <w:proofErr w:type="spellEnd"/>
      <w:r w:rsidRPr="00F328BE">
        <w:rPr>
          <w:i/>
          <w:iCs/>
          <w:color w:val="auto"/>
        </w:rPr>
        <w:t xml:space="preserve"> </w:t>
      </w:r>
      <w:proofErr w:type="spellStart"/>
      <w:r w:rsidRPr="00F328BE">
        <w:rPr>
          <w:i/>
          <w:iCs/>
          <w:color w:val="auto"/>
        </w:rPr>
        <w:t>Κωνστ</w:t>
      </w:r>
      <w:proofErr w:type="spellEnd"/>
      <w:r w:rsidRPr="00F328BE">
        <w:rPr>
          <w:i/>
          <w:iCs/>
          <w:color w:val="auto"/>
        </w:rPr>
        <w:t>αντίνου</w:t>
      </w:r>
      <w:r w:rsidRPr="00F328BE">
        <w:rPr>
          <w:color w:val="auto"/>
        </w:rPr>
        <w:t xml:space="preserve"> in the original Greek) is a panegyric</w:t>
      </w:r>
      <w:r w:rsidRPr="00F328BE">
        <w:rPr>
          <w:rStyle w:val="FootnoteReference"/>
          <w:color w:val="auto"/>
        </w:rPr>
        <w:footnoteReference w:id="10"/>
      </w:r>
      <w:r w:rsidRPr="00F328BE">
        <w:rPr>
          <w:color w:val="auto"/>
        </w:rPr>
        <w:t xml:space="preserve"> written in praise of Constantine.</w:t>
      </w:r>
      <w:r w:rsidRPr="00F328BE">
        <w:rPr>
          <w:rStyle w:val="FootnoteReference"/>
          <w:color w:val="auto"/>
        </w:rPr>
        <w:footnoteReference w:id="11"/>
      </w:r>
      <w:r w:rsidRPr="00F328BE">
        <w:rPr>
          <w:color w:val="auto"/>
        </w:rPr>
        <w:t xml:space="preserve"> Across the four books of the </w:t>
      </w:r>
      <w:r w:rsidRPr="00F328BE">
        <w:rPr>
          <w:i/>
          <w:iCs/>
          <w:color w:val="auto"/>
        </w:rPr>
        <w:t>Life of Constantine</w:t>
      </w:r>
      <w:r w:rsidRPr="00F328BE">
        <w:rPr>
          <w:color w:val="auto"/>
        </w:rPr>
        <w:t>, Eusebius describes his early life and military life as emperor, followed by an account of Constantine's apparent conversion to Christianity and later rule as a Christian emperor. As a panegyric, the text cannot be read as a strict history due to the conventions of this literary genre, which was used to publicly praise a living person in a speech. In its Greek origins, the panegyric was a means to laud the individual as a role model for others on account of their deeds and honour, rather than their virtue</w:t>
      </w:r>
      <w:r w:rsidRPr="00F328BE">
        <w:rPr>
          <w:rStyle w:val="FootnoteReference"/>
          <w:color w:val="auto"/>
        </w:rPr>
        <w:footnoteReference w:id="12"/>
      </w:r>
      <w:r w:rsidRPr="00F328BE">
        <w:rPr>
          <w:color w:val="auto"/>
        </w:rPr>
        <w:t>. This praise became hyperbolic in the later Roman Empire and began to stress the virtue of the emperor and their achievements as a leader. In contrast with the panegyric tradition which preceded him, Eusebius chose to emphasise Constantine's piety as a Christian and his divine right to be emperor, which was the will of God.</w:t>
      </w:r>
      <w:r w:rsidRPr="00F328BE">
        <w:rPr>
          <w:rStyle w:val="FootnoteReference"/>
          <w:color w:val="auto"/>
        </w:rPr>
        <w:footnoteReference w:id="13"/>
      </w:r>
      <w:r w:rsidRPr="00F328BE">
        <w:rPr>
          <w:color w:val="auto"/>
        </w:rPr>
        <w:t xml:space="preserve"> When using the </w:t>
      </w:r>
      <w:r w:rsidRPr="00F328BE">
        <w:rPr>
          <w:i/>
          <w:iCs/>
          <w:color w:val="auto"/>
        </w:rPr>
        <w:t>Life of Constantine</w:t>
      </w:r>
      <w:r w:rsidRPr="00F328BE">
        <w:rPr>
          <w:color w:val="auto"/>
        </w:rPr>
        <w:t xml:space="preserve"> as a historical source, these biases and literary conventions must be kept in mind. </w:t>
      </w:r>
    </w:p>
    <w:p w14:paraId="7489B9AC" w14:textId="77777777" w:rsidR="00000000" w:rsidRPr="00F328BE" w:rsidRDefault="00000000">
      <w:pPr>
        <w:pStyle w:val="OBEBody"/>
        <w:rPr>
          <w:color w:val="auto"/>
        </w:rPr>
      </w:pPr>
      <w:r w:rsidRPr="00F328BE">
        <w:rPr>
          <w:color w:val="auto"/>
        </w:rPr>
        <w:t xml:space="preserve">The account given by Eusebius of the Battle of the Milvian Bridge in 312 AD is significant when considering the nature of Constantine's conversion to Christianity. In Chapters 27-32 of the </w:t>
      </w:r>
      <w:r w:rsidRPr="00F328BE">
        <w:rPr>
          <w:i/>
          <w:iCs/>
          <w:color w:val="auto"/>
        </w:rPr>
        <w:t>Life of Constantine,</w:t>
      </w:r>
      <w:r w:rsidRPr="00F328BE">
        <w:rPr>
          <w:color w:val="auto"/>
        </w:rPr>
        <w:t xml:space="preserve"> Eusebius describes how the emperor was preparing for battle against his </w:t>
      </w:r>
      <w:r w:rsidRPr="00F328BE">
        <w:rPr>
          <w:color w:val="auto"/>
        </w:rPr>
        <w:lastRenderedPageBreak/>
        <w:t>co-emperor and rival Maxentius at a bridge over the Tiber near Rome.</w:t>
      </w:r>
      <w:r w:rsidRPr="00F328BE">
        <w:rPr>
          <w:rStyle w:val="FootnoteReference"/>
          <w:color w:val="auto"/>
        </w:rPr>
        <w:footnoteReference w:id="14"/>
      </w:r>
      <w:r w:rsidRPr="00F328BE">
        <w:rPr>
          <w:color w:val="auto"/>
        </w:rPr>
        <w:t xml:space="preserve"> In his account, Constantine rejects the polytheism of the Roman religion and prays to Eusebius' Christian God for assistance. After this, Eusebius relates that Constantine and his entire army saw a cross of light in the heavens bearing the inscription "in this, conquer" (</w:t>
      </w:r>
      <w:proofErr w:type="spellStart"/>
      <w:r w:rsidRPr="00F328BE">
        <w:rPr>
          <w:color w:val="auto"/>
        </w:rPr>
        <w:t>τούτῳ</w:t>
      </w:r>
      <w:proofErr w:type="spellEnd"/>
      <w:r w:rsidRPr="00F328BE">
        <w:rPr>
          <w:color w:val="auto"/>
        </w:rPr>
        <w:t xml:space="preserve"> </w:t>
      </w:r>
      <w:proofErr w:type="spellStart"/>
      <w:r w:rsidRPr="00F328BE">
        <w:rPr>
          <w:color w:val="auto"/>
        </w:rPr>
        <w:t>νίκ</w:t>
      </w:r>
      <w:proofErr w:type="spellEnd"/>
      <w:r w:rsidRPr="00F328BE">
        <w:rPr>
          <w:color w:val="auto"/>
        </w:rPr>
        <w:t xml:space="preserve">α), which has also been rendered in Latin as </w:t>
      </w:r>
      <w:r w:rsidRPr="00F328BE">
        <w:rPr>
          <w:i/>
          <w:iCs/>
          <w:color w:val="auto"/>
        </w:rPr>
        <w:t xml:space="preserve">in hoc </w:t>
      </w:r>
      <w:proofErr w:type="spellStart"/>
      <w:r w:rsidRPr="00F328BE">
        <w:rPr>
          <w:i/>
          <w:iCs/>
          <w:color w:val="auto"/>
        </w:rPr>
        <w:t>signo</w:t>
      </w:r>
      <w:proofErr w:type="spellEnd"/>
      <w:r w:rsidRPr="00F328BE">
        <w:rPr>
          <w:i/>
          <w:iCs/>
          <w:color w:val="auto"/>
        </w:rPr>
        <w:t xml:space="preserve"> </w:t>
      </w:r>
      <w:proofErr w:type="spellStart"/>
      <w:r w:rsidRPr="00F328BE">
        <w:rPr>
          <w:i/>
          <w:iCs/>
          <w:color w:val="auto"/>
        </w:rPr>
        <w:t>vinces</w:t>
      </w:r>
      <w:proofErr w:type="spellEnd"/>
      <w:r w:rsidRPr="00F328BE">
        <w:rPr>
          <w:color w:val="auto"/>
        </w:rPr>
        <w:t>, "in this sign, you will conquer" (Ch. 28). The amazement caused by the appearance of this cross is presented by Eusebius as a defining point in Constantine's conversion to Christianity. Shortly after the appearance of the sign, Constantine resolved, Eusebius relates, to worship no God other than the God of the Christians and he had a gold replica of the cross made featuring the Chi-Rho symbol to represent the name of Christ, which was to be held at the head of all his armies (Ch. 31).</w:t>
      </w:r>
    </w:p>
    <w:p w14:paraId="62A4E13C" w14:textId="77777777" w:rsidR="00000000" w:rsidRPr="00F328BE" w:rsidRDefault="00000000">
      <w:pPr>
        <w:pStyle w:val="OBEBody"/>
        <w:rPr>
          <w:color w:val="auto"/>
        </w:rPr>
      </w:pPr>
      <w:r w:rsidRPr="00F328BE">
        <w:rPr>
          <w:color w:val="auto"/>
        </w:rPr>
        <w:t xml:space="preserve">From a historiographic perspective, it is notable that Eusebius takes pains in the </w:t>
      </w:r>
      <w:r w:rsidRPr="00F328BE">
        <w:rPr>
          <w:i/>
          <w:iCs/>
          <w:color w:val="auto"/>
        </w:rPr>
        <w:t>Life of Constantine</w:t>
      </w:r>
      <w:r w:rsidRPr="00F328BE">
        <w:rPr>
          <w:color w:val="auto"/>
        </w:rPr>
        <w:t xml:space="preserve"> to provide support for this account</w:t>
      </w:r>
      <w:r w:rsidRPr="00F328BE">
        <w:rPr>
          <w:rStyle w:val="FootnoteReference"/>
          <w:color w:val="auto"/>
        </w:rPr>
        <w:footnoteReference w:id="15"/>
      </w:r>
      <w:r w:rsidRPr="00F328BE">
        <w:rPr>
          <w:color w:val="auto"/>
        </w:rPr>
        <w:t>. He concedes that this story is difficult to believe but that it was related to him directly by the emperor and confirmed by an oath of its veracity (Ch. 28).</w:t>
      </w:r>
      <w:r w:rsidRPr="00F328BE">
        <w:rPr>
          <w:rStyle w:val="FootnoteReference"/>
          <w:color w:val="auto"/>
        </w:rPr>
        <w:footnoteReference w:id="16"/>
      </w:r>
      <w:r w:rsidRPr="00F328BE">
        <w:rPr>
          <w:color w:val="auto"/>
        </w:rPr>
        <w:t xml:space="preserve"> As this was a public speech given in a Roman Empire which was not yet officially Christian, delivered perhaps two decades after the event being described,</w:t>
      </w:r>
      <w:r w:rsidRPr="00F328BE">
        <w:rPr>
          <w:rStyle w:val="FootnoteReference"/>
          <w:color w:val="auto"/>
        </w:rPr>
        <w:footnoteReference w:id="17"/>
      </w:r>
      <w:r w:rsidRPr="00F328BE">
        <w:rPr>
          <w:color w:val="auto"/>
        </w:rPr>
        <w:t xml:space="preserve"> Eusebius' appeal to the character and authority of the emperor to support his evidence is understandable.</w:t>
      </w:r>
    </w:p>
    <w:p w14:paraId="6A61AE69" w14:textId="77777777" w:rsidR="00000000" w:rsidRPr="00F328BE" w:rsidRDefault="00000000">
      <w:pPr>
        <w:pStyle w:val="OBESubtitle2ndtier"/>
        <w:rPr>
          <w:color w:val="auto"/>
        </w:rPr>
      </w:pPr>
      <w:proofErr w:type="spellStart"/>
      <w:r w:rsidRPr="00F328BE">
        <w:rPr>
          <w:color w:val="auto"/>
        </w:rPr>
        <w:t>Lactantius</w:t>
      </w:r>
      <w:proofErr w:type="spellEnd"/>
      <w:r w:rsidRPr="00F328BE">
        <w:rPr>
          <w:color w:val="auto"/>
        </w:rPr>
        <w:t xml:space="preserve">' De </w:t>
      </w:r>
      <w:proofErr w:type="spellStart"/>
      <w:r w:rsidRPr="00F328BE">
        <w:rPr>
          <w:color w:val="auto"/>
        </w:rPr>
        <w:t>Mortibus</w:t>
      </w:r>
      <w:proofErr w:type="spellEnd"/>
      <w:r w:rsidRPr="00F328BE">
        <w:rPr>
          <w:color w:val="auto"/>
        </w:rPr>
        <w:t xml:space="preserve"> </w:t>
      </w:r>
      <w:proofErr w:type="spellStart"/>
      <w:r w:rsidRPr="00F328BE">
        <w:rPr>
          <w:color w:val="auto"/>
        </w:rPr>
        <w:t>Persecutorum</w:t>
      </w:r>
      <w:proofErr w:type="spellEnd"/>
    </w:p>
    <w:p w14:paraId="406CD666" w14:textId="77777777" w:rsidR="00000000" w:rsidRPr="00F328BE" w:rsidRDefault="00000000">
      <w:pPr>
        <w:pStyle w:val="OBEBody"/>
        <w:rPr>
          <w:color w:val="auto"/>
        </w:rPr>
      </w:pPr>
      <w:r w:rsidRPr="00F328BE">
        <w:rPr>
          <w:color w:val="auto"/>
        </w:rPr>
        <w:t xml:space="preserve">The other account of Constantine's conversion written by a contemporary is </w:t>
      </w:r>
      <w:proofErr w:type="spellStart"/>
      <w:r w:rsidRPr="00F328BE">
        <w:rPr>
          <w:color w:val="auto"/>
        </w:rPr>
        <w:t>Lactantius</w:t>
      </w:r>
      <w:proofErr w:type="spellEnd"/>
      <w:r w:rsidRPr="00F328BE">
        <w:rPr>
          <w:color w:val="auto"/>
        </w:rPr>
        <w:t xml:space="preserve">' </w:t>
      </w:r>
      <w:proofErr w:type="gramStart"/>
      <w:r w:rsidRPr="00F328BE">
        <w:rPr>
          <w:i/>
          <w:iCs/>
          <w:color w:val="auto"/>
        </w:rPr>
        <w:t>On</w:t>
      </w:r>
      <w:proofErr w:type="gramEnd"/>
      <w:r w:rsidRPr="00F328BE">
        <w:rPr>
          <w:i/>
          <w:iCs/>
          <w:color w:val="auto"/>
        </w:rPr>
        <w:t xml:space="preserve"> the Deaths of the Persecutors</w:t>
      </w:r>
      <w:r w:rsidRPr="00F328BE">
        <w:rPr>
          <w:color w:val="auto"/>
        </w:rPr>
        <w:t xml:space="preserve"> (</w:t>
      </w:r>
      <w:r w:rsidRPr="00F328BE">
        <w:rPr>
          <w:i/>
          <w:iCs/>
          <w:color w:val="auto"/>
        </w:rPr>
        <w:t xml:space="preserve">De </w:t>
      </w:r>
      <w:proofErr w:type="spellStart"/>
      <w:r w:rsidRPr="00F328BE">
        <w:rPr>
          <w:i/>
          <w:iCs/>
          <w:color w:val="auto"/>
        </w:rPr>
        <w:t>Mortibus</w:t>
      </w:r>
      <w:proofErr w:type="spellEnd"/>
      <w:r w:rsidRPr="00F328BE">
        <w:rPr>
          <w:i/>
          <w:iCs/>
          <w:color w:val="auto"/>
        </w:rPr>
        <w:t xml:space="preserve"> </w:t>
      </w:r>
      <w:proofErr w:type="spellStart"/>
      <w:r w:rsidRPr="00F328BE">
        <w:rPr>
          <w:i/>
          <w:iCs/>
          <w:color w:val="auto"/>
        </w:rPr>
        <w:t>Persecutorum</w:t>
      </w:r>
      <w:proofErr w:type="spellEnd"/>
      <w:r w:rsidRPr="00F328BE">
        <w:rPr>
          <w:color w:val="auto"/>
        </w:rPr>
        <w:t xml:space="preserve">), a mixture of historical accounts and Christian apologetics written with the aim, </w:t>
      </w:r>
      <w:proofErr w:type="spellStart"/>
      <w:r w:rsidRPr="00F328BE">
        <w:rPr>
          <w:color w:val="auto"/>
        </w:rPr>
        <w:t>Lactantius</w:t>
      </w:r>
      <w:proofErr w:type="spellEnd"/>
      <w:r w:rsidRPr="00F328BE">
        <w:rPr>
          <w:color w:val="auto"/>
        </w:rPr>
        <w:t xml:space="preserve"> claims, of showing how God manifested His power in the Roman Empire in the early 4th Century.</w:t>
      </w:r>
      <w:r w:rsidRPr="00F328BE">
        <w:rPr>
          <w:rStyle w:val="FootnoteReference"/>
          <w:color w:val="auto"/>
        </w:rPr>
        <w:footnoteReference w:id="18"/>
      </w:r>
      <w:r w:rsidRPr="00F328BE">
        <w:rPr>
          <w:color w:val="auto"/>
        </w:rPr>
        <w:t xml:space="preserve"> This text presents a number of contrasts with Eusebius' account. Firstly, it was written in Latin rather than the </w:t>
      </w:r>
      <w:r w:rsidRPr="00F328BE">
        <w:rPr>
          <w:color w:val="auto"/>
        </w:rPr>
        <w:lastRenderedPageBreak/>
        <w:t xml:space="preserve">Greek of the </w:t>
      </w:r>
      <w:r w:rsidRPr="00F328BE">
        <w:rPr>
          <w:i/>
          <w:iCs/>
          <w:color w:val="auto"/>
        </w:rPr>
        <w:t xml:space="preserve">Life of Constantine, </w:t>
      </w:r>
      <w:r w:rsidRPr="00F328BE">
        <w:rPr>
          <w:color w:val="auto"/>
        </w:rPr>
        <w:t xml:space="preserve">as </w:t>
      </w:r>
      <w:proofErr w:type="spellStart"/>
      <w:r w:rsidRPr="00F328BE">
        <w:rPr>
          <w:color w:val="auto"/>
        </w:rPr>
        <w:t>Lactantius</w:t>
      </w:r>
      <w:proofErr w:type="spellEnd"/>
      <w:r w:rsidRPr="00F328BE">
        <w:rPr>
          <w:color w:val="auto"/>
        </w:rPr>
        <w:t xml:space="preserve"> was a native of North Africa.</w:t>
      </w:r>
      <w:r w:rsidRPr="00F328BE">
        <w:rPr>
          <w:rStyle w:val="FootnoteReference"/>
          <w:color w:val="auto"/>
        </w:rPr>
        <w:footnoteReference w:id="19"/>
      </w:r>
      <w:r w:rsidRPr="00F328BE">
        <w:rPr>
          <w:color w:val="auto"/>
        </w:rPr>
        <w:t xml:space="preserve"> Secondly, it is not a panegyric and therefore lacks the laudatory tone of Eusebius, but </w:t>
      </w:r>
      <w:proofErr w:type="spellStart"/>
      <w:r w:rsidRPr="00F328BE">
        <w:rPr>
          <w:color w:val="auto"/>
        </w:rPr>
        <w:t>Lactantius</w:t>
      </w:r>
      <w:proofErr w:type="spellEnd"/>
      <w:r w:rsidRPr="00F328BE">
        <w:rPr>
          <w:color w:val="auto"/>
        </w:rPr>
        <w:t xml:space="preserve"> has theological and political motives with the potential to introduce bias, as the work is an attempt to describe the deaths of those who persecuted Christians in the Roman Empire, such as Nero and Domitian.</w:t>
      </w:r>
      <w:r w:rsidRPr="00F328BE">
        <w:rPr>
          <w:rStyle w:val="FootnoteReference"/>
          <w:color w:val="auto"/>
        </w:rPr>
        <w:footnoteReference w:id="20"/>
      </w:r>
      <w:r w:rsidRPr="00F328BE">
        <w:rPr>
          <w:color w:val="auto"/>
        </w:rPr>
        <w:t xml:space="preserve"> </w:t>
      </w:r>
    </w:p>
    <w:p w14:paraId="2A69E23E" w14:textId="77777777" w:rsidR="00000000" w:rsidRPr="00F328BE" w:rsidRDefault="00000000">
      <w:pPr>
        <w:pStyle w:val="OBEBody"/>
        <w:rPr>
          <w:color w:val="auto"/>
        </w:rPr>
      </w:pPr>
      <w:proofErr w:type="spellStart"/>
      <w:r w:rsidRPr="00F328BE">
        <w:rPr>
          <w:color w:val="auto"/>
        </w:rPr>
        <w:t>Lactantius</w:t>
      </w:r>
      <w:proofErr w:type="spellEnd"/>
      <w:r w:rsidRPr="00F328BE">
        <w:rPr>
          <w:color w:val="auto"/>
        </w:rPr>
        <w:t>' account of the vision of Constantine prior to the Battle of the Milvian Bridge in Chapter 64 of</w:t>
      </w:r>
      <w:r w:rsidRPr="00F328BE">
        <w:rPr>
          <w:i/>
          <w:iCs/>
          <w:color w:val="auto"/>
        </w:rPr>
        <w:t xml:space="preserve"> On the Deaths of the Persecutors </w:t>
      </w:r>
      <w:r w:rsidRPr="00F328BE">
        <w:rPr>
          <w:color w:val="auto"/>
        </w:rPr>
        <w:t>is significantly shorter than Eusebius' account of the same event.</w:t>
      </w:r>
      <w:r w:rsidRPr="00F328BE">
        <w:rPr>
          <w:rStyle w:val="FootnoteReference"/>
          <w:color w:val="auto"/>
        </w:rPr>
        <w:footnoteReference w:id="21"/>
      </w:r>
      <w:r w:rsidRPr="00F328BE">
        <w:rPr>
          <w:color w:val="auto"/>
        </w:rPr>
        <w:t xml:space="preserve"> Following a dream in which he was directed to paint a Latin cross symbol with a rounded top member on the shields of his soldiers, he did so. It appears that this is distinct from the Chi-Rho. Unlike Eusebius' account, this dream of the cross is the totality of Constantine's vision and there is no mention of the appearance of a cross in the sky or that the dream appeared to anyone other than himself. As such, the two extant accounts of this inciting incident in Constantine's conversion are fundamentally distinct, both in the facts presented regarding his vision and in the aims of each author in producing their text. </w:t>
      </w:r>
    </w:p>
    <w:p w14:paraId="3B194089" w14:textId="77777777" w:rsidR="00000000" w:rsidRPr="00F328BE" w:rsidRDefault="00000000">
      <w:pPr>
        <w:pStyle w:val="OBESubtitle2ndtier"/>
        <w:rPr>
          <w:color w:val="auto"/>
        </w:rPr>
      </w:pPr>
      <w:r w:rsidRPr="00F328BE">
        <w:rPr>
          <w:color w:val="auto"/>
        </w:rPr>
        <w:t>Depictions in Contemporary Art</w:t>
      </w:r>
    </w:p>
    <w:p w14:paraId="52CDA3B5" w14:textId="77777777" w:rsidR="00000000" w:rsidRPr="00F328BE" w:rsidRDefault="00000000">
      <w:pPr>
        <w:pStyle w:val="OBEBody"/>
        <w:rPr>
          <w:color w:val="auto"/>
        </w:rPr>
      </w:pPr>
      <w:r w:rsidRPr="00F328BE">
        <w:rPr>
          <w:color w:val="auto"/>
        </w:rPr>
        <w:t xml:space="preserve">Contemporary artistic representations of Constantine provide evidence which complicates the accounts provided by Eusebius and </w:t>
      </w:r>
      <w:proofErr w:type="spellStart"/>
      <w:r w:rsidRPr="00F328BE">
        <w:rPr>
          <w:color w:val="auto"/>
        </w:rPr>
        <w:t>Lactantius</w:t>
      </w:r>
      <w:proofErr w:type="spellEnd"/>
      <w:r w:rsidRPr="00F328BE">
        <w:rPr>
          <w:color w:val="auto"/>
        </w:rPr>
        <w:t>. In coins minted four years after the Battle of the Milvian Bridge and Constantine's supposed conversion, he is depicted as the 'companion' of the sun god Sol (Figure 1).</w:t>
      </w:r>
      <w:r w:rsidRPr="00F328BE">
        <w:rPr>
          <w:rStyle w:val="FootnoteReference"/>
          <w:color w:val="auto"/>
        </w:rPr>
        <w:footnoteReference w:id="22"/>
      </w:r>
      <w:r w:rsidRPr="00F328BE">
        <w:rPr>
          <w:color w:val="auto"/>
        </w:rPr>
        <w:t xml:space="preserve"> As these were official representations of the emperor, they may indicate that his private conversion was kept separate from the business of the empire or perhaps that he himself was undergoing a gradual conversion. These representations may also point to a syncretistic approach to religion in which Constantine worshipped Christ alongside the gods of Roman religion.</w:t>
      </w:r>
      <w:r w:rsidRPr="00F328BE">
        <w:rPr>
          <w:rStyle w:val="FootnoteReference"/>
          <w:color w:val="auto"/>
        </w:rPr>
        <w:footnoteReference w:id="23"/>
      </w:r>
      <w:r w:rsidRPr="00F328BE">
        <w:rPr>
          <w:color w:val="auto"/>
        </w:rPr>
        <w:t xml:space="preserve"> Further support for this argument </w:t>
      </w:r>
      <w:r w:rsidRPr="00F328BE">
        <w:rPr>
          <w:color w:val="auto"/>
        </w:rPr>
        <w:lastRenderedPageBreak/>
        <w:t xml:space="preserve">is provided by the triumphal Arch of Constantine, dedicated in 315 AD to commemorate his victory at the Battle of the Milvian Bridge (Figure 2). Alongside pagan imagery, there is the inscription </w:t>
      </w:r>
      <w:proofErr w:type="spellStart"/>
      <w:r w:rsidRPr="00F328BE">
        <w:rPr>
          <w:i/>
          <w:iCs/>
          <w:color w:val="auto"/>
        </w:rPr>
        <w:t>instinctu</w:t>
      </w:r>
      <w:proofErr w:type="spellEnd"/>
      <w:r w:rsidRPr="00F328BE">
        <w:rPr>
          <w:i/>
          <w:iCs/>
          <w:color w:val="auto"/>
        </w:rPr>
        <w:t xml:space="preserve"> </w:t>
      </w:r>
      <w:proofErr w:type="spellStart"/>
      <w:r w:rsidRPr="00F328BE">
        <w:rPr>
          <w:i/>
          <w:iCs/>
          <w:color w:val="auto"/>
        </w:rPr>
        <w:t>divinitatis</w:t>
      </w:r>
      <w:proofErr w:type="spellEnd"/>
      <w:r w:rsidRPr="00F328BE">
        <w:rPr>
          <w:color w:val="auto"/>
        </w:rPr>
        <w:t xml:space="preserve"> ("inspired by the divine"), which has been interpreted as an acknowledgement of Constantine's move towards Christianity.</w:t>
      </w:r>
      <w:r w:rsidRPr="00F328BE">
        <w:rPr>
          <w:rStyle w:val="FootnoteReference"/>
          <w:color w:val="auto"/>
        </w:rPr>
        <w:footnoteReference w:id="24"/>
      </w:r>
    </w:p>
    <w:p w14:paraId="360E2BB9" w14:textId="77777777" w:rsidR="00000000" w:rsidRPr="00F328BE" w:rsidRDefault="00000000">
      <w:pPr>
        <w:pStyle w:val="OBElegendfigures"/>
        <w:rPr>
          <w:color w:val="auto"/>
        </w:rPr>
      </w:pPr>
      <w:r w:rsidRPr="00F328BE">
        <w:rPr>
          <w:color w:val="auto"/>
        </w:rPr>
        <w:t xml:space="preserve">Figure 1: </w:t>
      </w:r>
      <w:proofErr w:type="gramStart"/>
      <w:r w:rsidRPr="00F328BE">
        <w:rPr>
          <w:color w:val="auto"/>
        </w:rPr>
        <w:t>Constantine</w:t>
      </w:r>
      <w:proofErr w:type="gramEnd"/>
      <w:r w:rsidRPr="00F328BE">
        <w:rPr>
          <w:color w:val="auto"/>
        </w:rPr>
        <w:t xml:space="preserve"> I depicted with the sun god Sol as his 'companion' </w:t>
      </w:r>
      <w:r w:rsidRPr="00F328BE">
        <w:rPr>
          <w:rStyle w:val="FootnoteReference"/>
          <w:color w:val="auto"/>
        </w:rPr>
        <w:footnoteReference w:id="25"/>
      </w:r>
    </w:p>
    <w:p w14:paraId="58B0314C" w14:textId="7FE781E5" w:rsidR="00000000" w:rsidRPr="00F328BE" w:rsidRDefault="00B02EA1">
      <w:pPr>
        <w:pStyle w:val="OBElegendfigures"/>
        <w:rPr>
          <w:color w:val="auto"/>
        </w:rPr>
      </w:pPr>
      <w:r w:rsidRPr="00F328BE">
        <w:rPr>
          <w:noProof/>
          <w:color w:val="auto"/>
        </w:rPr>
        <w:drawing>
          <wp:anchor distT="0" distB="0" distL="0" distR="0" simplePos="0" relativeHeight="251657216" behindDoc="0" locked="0" layoutInCell="0" allowOverlap="1" wp14:anchorId="28115897" wp14:editId="6F6F3D14">
            <wp:simplePos x="0" y="0"/>
            <wp:positionH relativeFrom="column">
              <wp:align>center</wp:align>
            </wp:positionH>
            <wp:positionV relativeFrom="paragraph">
              <wp:align>top</wp:align>
            </wp:positionV>
            <wp:extent cx="4490085" cy="2473325"/>
            <wp:effectExtent l="0" t="0" r="0" b="0"/>
            <wp:wrapTopAndBottom/>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l="-15" t="-29" r="-15" b="-29"/>
                    <a:stretch>
                      <a:fillRect/>
                    </a:stretch>
                  </pic:blipFill>
                  <pic:spPr bwMode="auto">
                    <a:xfrm>
                      <a:off x="0" y="0"/>
                      <a:ext cx="4490085" cy="247332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A600952" w14:textId="77777777" w:rsidR="00000000" w:rsidRPr="00F328BE" w:rsidRDefault="00000000">
      <w:pPr>
        <w:pStyle w:val="OBElegendfigures"/>
        <w:rPr>
          <w:color w:val="auto"/>
        </w:rPr>
      </w:pPr>
      <w:r w:rsidRPr="00F328BE">
        <w:rPr>
          <w:color w:val="auto"/>
        </w:rPr>
        <w:t xml:space="preserve">Figure 2: The Arch of Constantine, Rome (315 AD), which bears the inscription </w:t>
      </w:r>
      <w:proofErr w:type="spellStart"/>
      <w:r w:rsidRPr="00F328BE">
        <w:rPr>
          <w:iCs/>
          <w:color w:val="auto"/>
        </w:rPr>
        <w:t>instinctu</w:t>
      </w:r>
      <w:proofErr w:type="spellEnd"/>
      <w:r w:rsidRPr="00F328BE">
        <w:rPr>
          <w:iCs/>
          <w:color w:val="auto"/>
        </w:rPr>
        <w:t xml:space="preserve"> </w:t>
      </w:r>
      <w:proofErr w:type="spellStart"/>
      <w:r w:rsidRPr="00F328BE">
        <w:rPr>
          <w:iCs/>
          <w:color w:val="auto"/>
        </w:rPr>
        <w:t>divinitatis</w:t>
      </w:r>
      <w:proofErr w:type="spellEnd"/>
      <w:r w:rsidRPr="00F328BE">
        <w:rPr>
          <w:color w:val="auto"/>
        </w:rPr>
        <w:t xml:space="preserve"> ("inspired by the divine")</w:t>
      </w:r>
      <w:r w:rsidRPr="00F328BE">
        <w:rPr>
          <w:rStyle w:val="FootnoteReference"/>
          <w:color w:val="auto"/>
        </w:rPr>
        <w:footnoteReference w:id="26"/>
      </w:r>
    </w:p>
    <w:p w14:paraId="51529163" w14:textId="53AFD57C" w:rsidR="00000000" w:rsidRPr="00F328BE" w:rsidRDefault="00B02EA1">
      <w:pPr>
        <w:pStyle w:val="OBESubtitle1sttier"/>
        <w:rPr>
          <w:color w:val="auto"/>
        </w:rPr>
      </w:pPr>
      <w:r w:rsidRPr="00F328BE">
        <w:rPr>
          <w:noProof/>
          <w:color w:val="auto"/>
        </w:rPr>
        <w:lastRenderedPageBreak/>
        <w:drawing>
          <wp:anchor distT="0" distB="0" distL="0" distR="0" simplePos="0" relativeHeight="251658240" behindDoc="0" locked="0" layoutInCell="0" allowOverlap="1" wp14:anchorId="3C805F83" wp14:editId="48A74285">
            <wp:simplePos x="0" y="0"/>
            <wp:positionH relativeFrom="column">
              <wp:posOffset>817245</wp:posOffset>
            </wp:positionH>
            <wp:positionV relativeFrom="paragraph">
              <wp:posOffset>47625</wp:posOffset>
            </wp:positionV>
            <wp:extent cx="3957955" cy="2686050"/>
            <wp:effectExtent l="0" t="0" r="0" b="0"/>
            <wp:wrapTopAndBottom/>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l="-21" t="-32" r="-21" b="-32"/>
                    <a:stretch>
                      <a:fillRect/>
                    </a:stretch>
                  </pic:blipFill>
                  <pic:spPr bwMode="auto">
                    <a:xfrm>
                      <a:off x="0" y="0"/>
                      <a:ext cx="3957955" cy="268605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67A073E1" w14:textId="77777777" w:rsidR="00000000" w:rsidRPr="00F328BE" w:rsidRDefault="00000000">
      <w:pPr>
        <w:pStyle w:val="OBESubtitle1sttier"/>
        <w:rPr>
          <w:color w:val="auto"/>
        </w:rPr>
      </w:pPr>
      <w:r w:rsidRPr="00F328BE">
        <w:rPr>
          <w:color w:val="auto"/>
        </w:rPr>
        <w:t>Secondary Sources</w:t>
      </w:r>
    </w:p>
    <w:p w14:paraId="118A74AE" w14:textId="77777777" w:rsidR="00000000" w:rsidRPr="00F328BE" w:rsidRDefault="00000000">
      <w:pPr>
        <w:pStyle w:val="OBEBody"/>
        <w:rPr>
          <w:color w:val="auto"/>
        </w:rPr>
      </w:pPr>
      <w:r w:rsidRPr="00F328BE">
        <w:rPr>
          <w:color w:val="auto"/>
        </w:rPr>
        <w:t>As H.A. Drake has noted, there was a greater change in the status, structure and beliefs of Christians during the thirty-year reign of Constantine I than at any previous point in its history,</w:t>
      </w:r>
      <w:r w:rsidRPr="00F328BE">
        <w:rPr>
          <w:rStyle w:val="FootnoteReference"/>
          <w:color w:val="auto"/>
        </w:rPr>
        <w:footnoteReference w:id="27"/>
      </w:r>
      <w:r w:rsidRPr="00F328BE">
        <w:rPr>
          <w:color w:val="auto"/>
        </w:rPr>
        <w:t xml:space="preserve"> but there has been significant debate in secondary sources over whether this change was the result of a true conversion by Constantine to Christianity or simply the result of greater tolerance towards Christianity.</w:t>
      </w:r>
      <w:r w:rsidRPr="00F328BE">
        <w:rPr>
          <w:rStyle w:val="FootnoteReference"/>
          <w:color w:val="auto"/>
        </w:rPr>
        <w:footnoteReference w:id="28"/>
      </w:r>
      <w:r w:rsidRPr="00F328BE">
        <w:rPr>
          <w:color w:val="auto"/>
        </w:rPr>
        <w:t xml:space="preserve"> In response to the potential conflict between the accounts by Eusebius and </w:t>
      </w:r>
      <w:proofErr w:type="spellStart"/>
      <w:r w:rsidRPr="00F328BE">
        <w:rPr>
          <w:color w:val="auto"/>
        </w:rPr>
        <w:t>Lactantius</w:t>
      </w:r>
      <w:proofErr w:type="spellEnd"/>
      <w:r w:rsidRPr="00F328BE">
        <w:rPr>
          <w:color w:val="auto"/>
        </w:rPr>
        <w:t xml:space="preserve"> and the visual evidence of continued association between Constantine and pagan deities, it has been argued that this inconsistency may seem more remarkable to modern eyes than to 4th Century Christians.</w:t>
      </w:r>
      <w:r w:rsidRPr="00F328BE">
        <w:rPr>
          <w:rStyle w:val="FootnoteReference"/>
          <w:color w:val="auto"/>
        </w:rPr>
        <w:footnoteReference w:id="29"/>
      </w:r>
      <w:r w:rsidRPr="00F328BE">
        <w:rPr>
          <w:color w:val="auto"/>
        </w:rPr>
        <w:t xml:space="preserve"> Christians living in this period were used to being both citizens of a Roman Empire which had a state religion with its pagan symbology and devotees of their private religion.</w:t>
      </w:r>
      <w:r w:rsidRPr="00F328BE">
        <w:rPr>
          <w:rStyle w:val="FootnoteReference"/>
          <w:color w:val="auto"/>
        </w:rPr>
        <w:footnoteReference w:id="30"/>
      </w:r>
      <w:r w:rsidRPr="00F328BE">
        <w:rPr>
          <w:color w:val="auto"/>
        </w:rPr>
        <w:t xml:space="preserve">  What is clear from surviving evidence is that Constantine was closely involved in the matters of the church and proactive about resolving conflicts through his involvement in the Donatist controversy, the legalisation of Christianity in the Edict of Milan and the convocation of the Council of </w:t>
      </w:r>
      <w:proofErr w:type="spellStart"/>
      <w:r w:rsidRPr="00F328BE">
        <w:rPr>
          <w:color w:val="auto"/>
        </w:rPr>
        <w:t>Nicea</w:t>
      </w:r>
      <w:proofErr w:type="spellEnd"/>
      <w:r w:rsidRPr="00F328BE">
        <w:rPr>
          <w:color w:val="auto"/>
        </w:rPr>
        <w:t xml:space="preserve">. Drake argues </w:t>
      </w:r>
      <w:r w:rsidRPr="00F328BE">
        <w:rPr>
          <w:color w:val="auto"/>
        </w:rPr>
        <w:lastRenderedPageBreak/>
        <w:t>that Constantine's actions consistently point to an emperor who is attempting to legitimise himself in Christian eyes and to become a leader of the Church.</w:t>
      </w:r>
      <w:r w:rsidRPr="00F328BE">
        <w:rPr>
          <w:rStyle w:val="FootnoteReference"/>
          <w:color w:val="auto"/>
        </w:rPr>
        <w:footnoteReference w:id="31"/>
      </w:r>
    </w:p>
    <w:p w14:paraId="07AAE6F2" w14:textId="77777777" w:rsidR="00000000" w:rsidRPr="00F328BE" w:rsidRDefault="00000000">
      <w:pPr>
        <w:pStyle w:val="OBEBody"/>
        <w:rPr>
          <w:color w:val="auto"/>
        </w:rPr>
      </w:pPr>
      <w:r w:rsidRPr="00F328BE">
        <w:rPr>
          <w:color w:val="auto"/>
        </w:rPr>
        <w:t>This focus on his political role as a mediator and facilitator of Christianity, rather than someone who was vocally pious and attempted to suppress traditional Roman religion, has led some to suggest that Constantine's conversion was politically motivated.</w:t>
      </w:r>
      <w:r w:rsidRPr="00F328BE">
        <w:rPr>
          <w:rStyle w:val="FootnoteReference"/>
          <w:color w:val="auto"/>
        </w:rPr>
        <w:footnoteReference w:id="32"/>
      </w:r>
      <w:r w:rsidRPr="00F328BE">
        <w:rPr>
          <w:color w:val="auto"/>
        </w:rPr>
        <w:t xml:space="preserve"> That is, sensing the increasing importance of Christians in the empire and with Christians including Eusebius and </w:t>
      </w:r>
      <w:proofErr w:type="spellStart"/>
      <w:r w:rsidRPr="00F328BE">
        <w:rPr>
          <w:color w:val="auto"/>
        </w:rPr>
        <w:t>Lactantius</w:t>
      </w:r>
      <w:proofErr w:type="spellEnd"/>
      <w:r w:rsidRPr="00F328BE">
        <w:rPr>
          <w:color w:val="auto"/>
        </w:rPr>
        <w:t xml:space="preserve"> as advisors, Constantine saw an opportunity to use conversion as a means of consolidating power. This viewpoint can also be considered in terms of one of the most important structural changes made by Constantine when he moved the capital of the empire from Rome to Byzantium, which was completely re-founded and rebuilt as Constantinople.</w:t>
      </w:r>
      <w:r w:rsidRPr="00F328BE">
        <w:rPr>
          <w:rStyle w:val="FootnoteReference"/>
          <w:color w:val="auto"/>
        </w:rPr>
        <w:footnoteReference w:id="33"/>
      </w:r>
      <w:r w:rsidRPr="00F328BE">
        <w:rPr>
          <w:color w:val="auto"/>
        </w:rPr>
        <w:t xml:space="preserve"> This was closer to the holy land, where Constantine's mother Helena had been gathering Christian relics and building churches, and became the first major Christian city in the world. It is important to appreciate that there does not necessarily need to be a distinction between a true conversion and the use of that conversion as part of his political ambitions, something which would likely seem natural to a Roman emperor who had similarly used the Roman pagan religion as a means of demonstrating and reinforcing power.</w:t>
      </w:r>
    </w:p>
    <w:p w14:paraId="426A7A13" w14:textId="77777777" w:rsidR="00000000" w:rsidRPr="00F328BE" w:rsidRDefault="00000000">
      <w:pPr>
        <w:pStyle w:val="OBESubtitle1sttier"/>
        <w:rPr>
          <w:color w:val="auto"/>
        </w:rPr>
      </w:pPr>
      <w:r w:rsidRPr="00F328BE">
        <w:rPr>
          <w:color w:val="auto"/>
        </w:rPr>
        <w:t>Conclusion</w:t>
      </w:r>
    </w:p>
    <w:p w14:paraId="09DA1288" w14:textId="77777777" w:rsidR="00000000" w:rsidRPr="00F328BE" w:rsidRDefault="00000000">
      <w:pPr>
        <w:pStyle w:val="OBEBody"/>
        <w:rPr>
          <w:color w:val="auto"/>
        </w:rPr>
      </w:pPr>
      <w:r w:rsidRPr="00F328BE">
        <w:rPr>
          <w:color w:val="auto"/>
        </w:rPr>
        <w:t xml:space="preserve">The story of the conversion of Constantine I </w:t>
      </w:r>
      <w:proofErr w:type="gramStart"/>
      <w:r w:rsidRPr="00F328BE">
        <w:rPr>
          <w:color w:val="auto"/>
        </w:rPr>
        <w:t>following</w:t>
      </w:r>
      <w:proofErr w:type="gramEnd"/>
      <w:r w:rsidRPr="00F328BE">
        <w:rPr>
          <w:color w:val="auto"/>
        </w:rPr>
        <w:t xml:space="preserve"> a vision or dream has been highly significant in the development of Christianity. However, the primary sources for Constantine's conversion, Eusebius and </w:t>
      </w:r>
      <w:proofErr w:type="spellStart"/>
      <w:r w:rsidRPr="00F328BE">
        <w:rPr>
          <w:color w:val="auto"/>
        </w:rPr>
        <w:t>Lactantius</w:t>
      </w:r>
      <w:proofErr w:type="spellEnd"/>
      <w:r w:rsidRPr="00F328BE">
        <w:rPr>
          <w:color w:val="auto"/>
        </w:rPr>
        <w:t xml:space="preserve">, appear to be highly partial authors with agendas beyond providing a simple historical account. The unreliable nature of these texts, their limited scope and their conflicting accounts have presented modern historians with difficulties in determining the nature of Constantine's supposed conversion. When considering other evidence such as his late baptism and visual evidence of potential religious syncretism during </w:t>
      </w:r>
      <w:r w:rsidRPr="00F328BE">
        <w:rPr>
          <w:color w:val="auto"/>
        </w:rPr>
        <w:lastRenderedPageBreak/>
        <w:t>his reign, it may be the case that Constantine's conversion to Christianity was more gradual than the primary sources suggest.</w:t>
      </w:r>
    </w:p>
    <w:p w14:paraId="0E05A6E7" w14:textId="77777777" w:rsidR="00000000" w:rsidRPr="00F328BE" w:rsidRDefault="00000000">
      <w:pPr>
        <w:pStyle w:val="OBEBody"/>
        <w:rPr>
          <w:color w:val="auto"/>
        </w:rPr>
      </w:pPr>
    </w:p>
    <w:p w14:paraId="09E0A7F0" w14:textId="77777777" w:rsidR="00000000" w:rsidRPr="00F328BE" w:rsidRDefault="00000000">
      <w:pPr>
        <w:pStyle w:val="OBEBody"/>
        <w:rPr>
          <w:color w:val="auto"/>
        </w:rPr>
      </w:pPr>
    </w:p>
    <w:p w14:paraId="0A9768A0" w14:textId="77777777" w:rsidR="00000000" w:rsidRPr="00F328BE" w:rsidRDefault="00000000">
      <w:pPr>
        <w:pStyle w:val="OBESubtitle1sttier"/>
        <w:pageBreakBefore/>
        <w:rPr>
          <w:color w:val="auto"/>
        </w:rPr>
      </w:pPr>
      <w:r w:rsidRPr="00F328BE">
        <w:rPr>
          <w:color w:val="auto"/>
        </w:rPr>
        <w:lastRenderedPageBreak/>
        <w:t>Bibliography</w:t>
      </w:r>
    </w:p>
    <w:p w14:paraId="6D956BB5" w14:textId="77777777" w:rsidR="00000000" w:rsidRPr="00F328BE" w:rsidRDefault="00000000">
      <w:pPr>
        <w:pStyle w:val="OBEBibliography"/>
        <w:rPr>
          <w:color w:val="auto"/>
        </w:rPr>
      </w:pPr>
      <w:r w:rsidRPr="00F328BE">
        <w:rPr>
          <w:color w:val="auto"/>
        </w:rPr>
        <w:t xml:space="preserve">Angelova, Diliana, ‘Constantine’s Radiate Statue and the Founding of Constantinople’, </w:t>
      </w:r>
      <w:r w:rsidRPr="00F328BE">
        <w:rPr>
          <w:i/>
          <w:iCs/>
          <w:color w:val="auto"/>
        </w:rPr>
        <w:t>Studies in Late Antiquity, 5.3</w:t>
      </w:r>
      <w:r w:rsidRPr="00F328BE">
        <w:rPr>
          <w:color w:val="auto"/>
        </w:rPr>
        <w:t xml:space="preserve"> (2021), pp.292–360</w:t>
      </w:r>
    </w:p>
    <w:p w14:paraId="1851F7B1" w14:textId="77777777" w:rsidR="00000000" w:rsidRPr="00F328BE" w:rsidRDefault="00000000">
      <w:pPr>
        <w:pStyle w:val="OBEBibliography"/>
        <w:rPr>
          <w:color w:val="auto"/>
        </w:rPr>
      </w:pPr>
      <w:r w:rsidRPr="00F328BE">
        <w:rPr>
          <w:color w:val="auto"/>
        </w:rPr>
        <w:t xml:space="preserve">Bauer, Susan Wise, </w:t>
      </w:r>
      <w:r w:rsidRPr="00F328BE">
        <w:rPr>
          <w:i/>
          <w:iCs/>
          <w:color w:val="auto"/>
        </w:rPr>
        <w:t>The history of the medieval world: From the conversion of Constantine to the first crusade</w:t>
      </w:r>
      <w:r w:rsidRPr="00F328BE">
        <w:rPr>
          <w:color w:val="auto"/>
        </w:rPr>
        <w:t>. (WW Norton &amp; Company, 2010).</w:t>
      </w:r>
    </w:p>
    <w:p w14:paraId="1B97FB5F" w14:textId="77777777" w:rsidR="00000000" w:rsidRPr="00F328BE" w:rsidRDefault="00000000">
      <w:pPr>
        <w:pStyle w:val="OBEBibliography"/>
        <w:rPr>
          <w:color w:val="auto"/>
        </w:rPr>
      </w:pPr>
      <w:proofErr w:type="spellStart"/>
      <w:r w:rsidRPr="00F328BE">
        <w:rPr>
          <w:color w:val="auto"/>
        </w:rPr>
        <w:t>Betjes</w:t>
      </w:r>
      <w:proofErr w:type="spellEnd"/>
      <w:r w:rsidRPr="00F328BE">
        <w:rPr>
          <w:color w:val="auto"/>
        </w:rPr>
        <w:t xml:space="preserve">, Sven, and Sam </w:t>
      </w:r>
      <w:proofErr w:type="spellStart"/>
      <w:r w:rsidRPr="00F328BE">
        <w:rPr>
          <w:color w:val="auto"/>
        </w:rPr>
        <w:t>Heijnen</w:t>
      </w:r>
      <w:proofErr w:type="spellEnd"/>
      <w:r w:rsidRPr="00F328BE">
        <w:rPr>
          <w:color w:val="auto"/>
        </w:rPr>
        <w:t xml:space="preserve">, '"THE USURPING PRINCEPS”: MAXENTIUS’ IMAGE AND ITS CONSTANTINIAN LEGACY.' </w:t>
      </w:r>
      <w:r w:rsidRPr="00F328BE">
        <w:rPr>
          <w:i/>
          <w:iCs/>
          <w:color w:val="auto"/>
        </w:rPr>
        <w:t>Journal of Ancient History and Archaeology,</w:t>
      </w:r>
      <w:r w:rsidRPr="00F328BE">
        <w:rPr>
          <w:color w:val="auto"/>
        </w:rPr>
        <w:t xml:space="preserve"> </w:t>
      </w:r>
      <w:r w:rsidRPr="00F328BE">
        <w:rPr>
          <w:i/>
          <w:iCs/>
          <w:color w:val="auto"/>
        </w:rPr>
        <w:t>5.3</w:t>
      </w:r>
      <w:r w:rsidRPr="00F328BE">
        <w:rPr>
          <w:color w:val="auto"/>
        </w:rPr>
        <w:t xml:space="preserve"> (2018), pp.41-60.</w:t>
      </w:r>
    </w:p>
    <w:p w14:paraId="30933C96" w14:textId="77777777" w:rsidR="00000000" w:rsidRPr="00F328BE" w:rsidRDefault="00000000">
      <w:pPr>
        <w:pStyle w:val="OBEBibliography"/>
        <w:rPr>
          <w:color w:val="auto"/>
        </w:rPr>
      </w:pPr>
      <w:r w:rsidRPr="00F328BE">
        <w:rPr>
          <w:color w:val="auto"/>
        </w:rPr>
        <w:t xml:space="preserve">Bhola, Rajiv Kumar, </w:t>
      </w:r>
      <w:r w:rsidRPr="00F328BE">
        <w:rPr>
          <w:i/>
          <w:iCs/>
          <w:color w:val="auto"/>
        </w:rPr>
        <w:t xml:space="preserve">'A man of visions: a new examination of the vision (s) of Constantine (Panegyric VI, </w:t>
      </w:r>
      <w:proofErr w:type="spellStart"/>
      <w:r w:rsidRPr="00F328BE">
        <w:rPr>
          <w:i/>
          <w:iCs/>
          <w:color w:val="auto"/>
        </w:rPr>
        <w:t>Lactantius</w:t>
      </w:r>
      <w:proofErr w:type="spellEnd"/>
      <w:r w:rsidRPr="00F328BE">
        <w:rPr>
          <w:i/>
          <w:iCs/>
          <w:color w:val="auto"/>
        </w:rPr>
        <w:t xml:space="preserve">' De </w:t>
      </w:r>
      <w:proofErr w:type="spellStart"/>
      <w:r w:rsidRPr="00F328BE">
        <w:rPr>
          <w:i/>
          <w:iCs/>
          <w:color w:val="auto"/>
        </w:rPr>
        <w:t>mortibus</w:t>
      </w:r>
      <w:proofErr w:type="spellEnd"/>
      <w:r w:rsidRPr="00F328BE">
        <w:rPr>
          <w:i/>
          <w:iCs/>
          <w:color w:val="auto"/>
        </w:rPr>
        <w:t xml:space="preserve"> </w:t>
      </w:r>
      <w:proofErr w:type="spellStart"/>
      <w:r w:rsidRPr="00F328BE">
        <w:rPr>
          <w:i/>
          <w:iCs/>
          <w:color w:val="auto"/>
        </w:rPr>
        <w:t>persecutorum</w:t>
      </w:r>
      <w:proofErr w:type="spellEnd"/>
      <w:r w:rsidRPr="00F328BE">
        <w:rPr>
          <w:i/>
          <w:iCs/>
          <w:color w:val="auto"/>
        </w:rPr>
        <w:t>, and Eusebius' De vita Constantini).</w:t>
      </w:r>
      <w:r w:rsidRPr="00F328BE">
        <w:rPr>
          <w:color w:val="auto"/>
        </w:rPr>
        <w:t xml:space="preserve">' PhD diss., (Université </w:t>
      </w:r>
      <w:proofErr w:type="spellStart"/>
      <w:r w:rsidRPr="00F328BE">
        <w:rPr>
          <w:color w:val="auto"/>
        </w:rPr>
        <w:t>d'Ottawa</w:t>
      </w:r>
      <w:proofErr w:type="spellEnd"/>
      <w:r w:rsidRPr="00F328BE">
        <w:rPr>
          <w:color w:val="auto"/>
        </w:rPr>
        <w:t>/University of Ottawa, 2015).</w:t>
      </w:r>
    </w:p>
    <w:p w14:paraId="1B880E80" w14:textId="77777777" w:rsidR="00000000" w:rsidRPr="00F328BE" w:rsidRDefault="00000000">
      <w:pPr>
        <w:pStyle w:val="OBEBibliography"/>
        <w:rPr>
          <w:color w:val="auto"/>
        </w:rPr>
      </w:pPr>
      <w:r w:rsidRPr="00F328BE">
        <w:rPr>
          <w:color w:val="auto"/>
        </w:rPr>
        <w:t xml:space="preserve">Bleckmann, Bruno, 'Constantine, Rome, and the Christians.' </w:t>
      </w:r>
      <w:r w:rsidRPr="00F328BE">
        <w:rPr>
          <w:i/>
          <w:iCs/>
          <w:color w:val="auto"/>
        </w:rPr>
        <w:t>Contested Monarchy:</w:t>
      </w:r>
      <w:r w:rsidRPr="00F328BE">
        <w:rPr>
          <w:color w:val="auto"/>
        </w:rPr>
        <w:t xml:space="preserve"> </w:t>
      </w:r>
      <w:r w:rsidRPr="00F328BE">
        <w:rPr>
          <w:i/>
          <w:iCs/>
          <w:color w:val="auto"/>
        </w:rPr>
        <w:t xml:space="preserve">Integrating the Roman Empire in the Fourth Century AD </w:t>
      </w:r>
      <w:r w:rsidRPr="00F328BE">
        <w:rPr>
          <w:color w:val="auto"/>
        </w:rPr>
        <w:t>(2015), pp.309-29.</w:t>
      </w:r>
    </w:p>
    <w:p w14:paraId="4DA10D54" w14:textId="77777777" w:rsidR="00000000" w:rsidRPr="00F328BE" w:rsidRDefault="00000000">
      <w:pPr>
        <w:pStyle w:val="OBEBibliography"/>
        <w:rPr>
          <w:color w:val="auto"/>
        </w:rPr>
      </w:pPr>
      <w:r w:rsidRPr="00F328BE">
        <w:rPr>
          <w:color w:val="auto"/>
        </w:rPr>
        <w:t xml:space="preserve">British Museum, 'Coin', </w:t>
      </w:r>
      <w:r w:rsidRPr="00F328BE">
        <w:rPr>
          <w:i/>
          <w:iCs/>
          <w:color w:val="auto"/>
        </w:rPr>
        <w:t>The British Museum</w:t>
      </w:r>
      <w:r w:rsidRPr="00F328BE">
        <w:rPr>
          <w:color w:val="auto"/>
        </w:rPr>
        <w:t>, (2023) &lt;https://www.britishmuseum.org/collection/object/C_1863-0713-1#:~:text=Constantine%20is%20shown%20and%20described,battle%20of%20the%20Milvian%20Bridge&gt; [accessed 3 November 2023]</w:t>
      </w:r>
    </w:p>
    <w:p w14:paraId="36893EA3" w14:textId="77777777" w:rsidR="00000000" w:rsidRPr="00F328BE" w:rsidRDefault="00000000">
      <w:pPr>
        <w:pStyle w:val="OBEBibliography"/>
        <w:rPr>
          <w:color w:val="auto"/>
        </w:rPr>
      </w:pPr>
      <w:proofErr w:type="spellStart"/>
      <w:r w:rsidRPr="00F328BE">
        <w:rPr>
          <w:color w:val="auto"/>
        </w:rPr>
        <w:t>Burgersdijk</w:t>
      </w:r>
      <w:proofErr w:type="spellEnd"/>
      <w:r w:rsidRPr="00F328BE">
        <w:rPr>
          <w:color w:val="auto"/>
        </w:rPr>
        <w:t xml:space="preserve">, Diederik, </w:t>
      </w:r>
      <w:r w:rsidRPr="00F328BE">
        <w:rPr>
          <w:i/>
          <w:iCs/>
          <w:color w:val="auto"/>
        </w:rPr>
        <w:t>‘Constantine’s Arch: A Reassessment in the Light of Textual and Material Evidence’, in Emperors and Emperorship in Late Antiquity</w:t>
      </w:r>
      <w:r w:rsidRPr="00F328BE">
        <w:rPr>
          <w:color w:val="auto"/>
        </w:rPr>
        <w:t xml:space="preserve"> (Brill, 2020), pp.53–75</w:t>
      </w:r>
    </w:p>
    <w:p w14:paraId="4A34B500" w14:textId="77777777" w:rsidR="00000000" w:rsidRPr="00F328BE" w:rsidRDefault="00000000">
      <w:pPr>
        <w:pStyle w:val="OBEBibliography"/>
        <w:rPr>
          <w:color w:val="auto"/>
        </w:rPr>
      </w:pPr>
      <w:r w:rsidRPr="00F328BE">
        <w:rPr>
          <w:color w:val="auto"/>
        </w:rPr>
        <w:t xml:space="preserve">Cameron, A. and Hall, S., </w:t>
      </w:r>
      <w:r w:rsidRPr="00F328BE">
        <w:rPr>
          <w:i/>
          <w:iCs/>
          <w:color w:val="auto"/>
        </w:rPr>
        <w:t>Eusebius' Life of Constantine.</w:t>
      </w:r>
      <w:r w:rsidRPr="00F328BE">
        <w:rPr>
          <w:color w:val="auto"/>
        </w:rPr>
        <w:t xml:space="preserve"> (Clarendon Press, 1999).</w:t>
      </w:r>
    </w:p>
    <w:p w14:paraId="6310AD45" w14:textId="77777777" w:rsidR="00000000" w:rsidRPr="00F328BE" w:rsidRDefault="00000000">
      <w:pPr>
        <w:pStyle w:val="OBEBibliography"/>
        <w:rPr>
          <w:color w:val="auto"/>
        </w:rPr>
      </w:pPr>
      <w:r w:rsidRPr="00F328BE">
        <w:rPr>
          <w:color w:val="auto"/>
        </w:rPr>
        <w:t xml:space="preserve">Creed, J.L., </w:t>
      </w:r>
      <w:r w:rsidRPr="00F328BE">
        <w:rPr>
          <w:i/>
          <w:iCs/>
          <w:color w:val="auto"/>
        </w:rPr>
        <w:t xml:space="preserve">De </w:t>
      </w:r>
      <w:proofErr w:type="spellStart"/>
      <w:r w:rsidRPr="00F328BE">
        <w:rPr>
          <w:i/>
          <w:iCs/>
          <w:color w:val="auto"/>
        </w:rPr>
        <w:t>Mortibus</w:t>
      </w:r>
      <w:proofErr w:type="spellEnd"/>
      <w:r w:rsidRPr="00F328BE">
        <w:rPr>
          <w:i/>
          <w:iCs/>
          <w:color w:val="auto"/>
        </w:rPr>
        <w:t xml:space="preserve"> </w:t>
      </w:r>
      <w:proofErr w:type="spellStart"/>
      <w:r w:rsidRPr="00F328BE">
        <w:rPr>
          <w:i/>
          <w:iCs/>
          <w:color w:val="auto"/>
        </w:rPr>
        <w:t>Persecutorum</w:t>
      </w:r>
      <w:proofErr w:type="spellEnd"/>
      <w:r w:rsidRPr="00F328BE">
        <w:rPr>
          <w:i/>
          <w:iCs/>
          <w:color w:val="auto"/>
        </w:rPr>
        <w:t xml:space="preserve"> / </w:t>
      </w:r>
      <w:proofErr w:type="spellStart"/>
      <w:r w:rsidRPr="00F328BE">
        <w:rPr>
          <w:i/>
          <w:iCs/>
          <w:color w:val="auto"/>
        </w:rPr>
        <w:t>Lactantius</w:t>
      </w:r>
      <w:proofErr w:type="spellEnd"/>
      <w:r w:rsidRPr="00F328BE">
        <w:rPr>
          <w:i/>
          <w:iCs/>
          <w:color w:val="auto"/>
        </w:rPr>
        <w:t>; Edited and Translated by J.L. Creed</w:t>
      </w:r>
      <w:r w:rsidRPr="00F328BE">
        <w:rPr>
          <w:color w:val="auto"/>
        </w:rPr>
        <w:t>. (Oxford: Clarendon Press, 1984).</w:t>
      </w:r>
    </w:p>
    <w:p w14:paraId="11D41BF7" w14:textId="77777777" w:rsidR="00000000" w:rsidRPr="00F328BE" w:rsidRDefault="00000000">
      <w:pPr>
        <w:pStyle w:val="OBEBibliography"/>
        <w:rPr>
          <w:color w:val="auto"/>
        </w:rPr>
      </w:pPr>
      <w:r w:rsidRPr="00F328BE">
        <w:rPr>
          <w:color w:val="auto"/>
        </w:rPr>
        <w:t xml:space="preserve">Drake, H. A. 'The Great Persecution: A Historical Re-Examination by Min Seok Shin.' </w:t>
      </w:r>
      <w:r w:rsidRPr="00F328BE">
        <w:rPr>
          <w:i/>
          <w:iCs/>
          <w:color w:val="auto"/>
        </w:rPr>
        <w:t>Journal of Early Christian Studies</w:t>
      </w:r>
      <w:r w:rsidRPr="00F328BE">
        <w:rPr>
          <w:color w:val="auto"/>
        </w:rPr>
        <w:t>, vol. 29, no. 3 (2021), pp.447-449.</w:t>
      </w:r>
    </w:p>
    <w:p w14:paraId="11419BCA" w14:textId="77777777" w:rsidR="00000000" w:rsidRPr="00F328BE" w:rsidRDefault="00000000">
      <w:pPr>
        <w:pStyle w:val="OBEBibliography"/>
        <w:rPr>
          <w:color w:val="auto"/>
        </w:rPr>
      </w:pPr>
      <w:proofErr w:type="spellStart"/>
      <w:r w:rsidRPr="00F328BE">
        <w:rPr>
          <w:color w:val="auto"/>
        </w:rPr>
        <w:t>Encyclopaedia</w:t>
      </w:r>
      <w:proofErr w:type="spellEnd"/>
      <w:r w:rsidRPr="00F328BE">
        <w:rPr>
          <w:color w:val="auto"/>
        </w:rPr>
        <w:t xml:space="preserve"> Britannica, 'Arch of Constantine', </w:t>
      </w:r>
      <w:proofErr w:type="spellStart"/>
      <w:r w:rsidRPr="00F328BE">
        <w:rPr>
          <w:i/>
          <w:iCs/>
          <w:color w:val="auto"/>
        </w:rPr>
        <w:t>Encyclopaedia</w:t>
      </w:r>
      <w:proofErr w:type="spellEnd"/>
      <w:r w:rsidRPr="00F328BE">
        <w:rPr>
          <w:i/>
          <w:iCs/>
          <w:color w:val="auto"/>
        </w:rPr>
        <w:t xml:space="preserve"> Britannica</w:t>
      </w:r>
      <w:r w:rsidRPr="00F328BE">
        <w:rPr>
          <w:color w:val="auto"/>
        </w:rPr>
        <w:t xml:space="preserve"> (2023), &lt;https://www.britannica.com/topic/Arch-of-Constantine&gt; [accessed 3 November 2023]</w:t>
      </w:r>
    </w:p>
    <w:p w14:paraId="1D024BAF" w14:textId="77777777" w:rsidR="00000000" w:rsidRPr="00F328BE" w:rsidRDefault="00000000">
      <w:pPr>
        <w:pStyle w:val="OBEBibliography"/>
        <w:rPr>
          <w:color w:val="auto"/>
        </w:rPr>
      </w:pPr>
      <w:r w:rsidRPr="00F328BE">
        <w:rPr>
          <w:color w:val="auto"/>
        </w:rPr>
        <w:t xml:space="preserve">Flower, Richard, 'Visions of Constantine.' </w:t>
      </w:r>
      <w:r w:rsidRPr="00F328BE">
        <w:rPr>
          <w:i/>
          <w:iCs/>
          <w:color w:val="auto"/>
        </w:rPr>
        <w:t xml:space="preserve">The Journal of Roman Studies </w:t>
      </w:r>
      <w:r w:rsidRPr="00F328BE">
        <w:rPr>
          <w:color w:val="auto"/>
        </w:rPr>
        <w:t>102 (2012): pp.287-305.</w:t>
      </w:r>
    </w:p>
    <w:p w14:paraId="7C1E2DFF" w14:textId="77777777" w:rsidR="00000000" w:rsidRPr="00F328BE" w:rsidRDefault="00000000">
      <w:pPr>
        <w:pStyle w:val="OBEBibliography"/>
        <w:rPr>
          <w:color w:val="auto"/>
        </w:rPr>
      </w:pPr>
      <w:r w:rsidRPr="00F328BE">
        <w:rPr>
          <w:color w:val="auto"/>
        </w:rPr>
        <w:t xml:space="preserve">Hobbs, Lauren, 'The Religion of Constantine I: An Analysis of the Modern Scholarly Hypotheses and Interpretations of </w:t>
      </w:r>
      <w:proofErr w:type="gramStart"/>
      <w:r w:rsidRPr="00F328BE">
        <w:rPr>
          <w:color w:val="auto"/>
        </w:rPr>
        <w:t>the Contemporary</w:t>
      </w:r>
      <w:proofErr w:type="gramEnd"/>
      <w:r w:rsidRPr="00F328BE">
        <w:rPr>
          <w:color w:val="auto"/>
        </w:rPr>
        <w:t xml:space="preserve"> Evidence.' PhD diss., (Université </w:t>
      </w:r>
      <w:proofErr w:type="spellStart"/>
      <w:r w:rsidRPr="00F328BE">
        <w:rPr>
          <w:color w:val="auto"/>
        </w:rPr>
        <w:t>d'Ottawa</w:t>
      </w:r>
      <w:proofErr w:type="spellEnd"/>
      <w:r w:rsidRPr="00F328BE">
        <w:rPr>
          <w:color w:val="auto"/>
        </w:rPr>
        <w:t>/University of Ottawa, 2014).</w:t>
      </w:r>
    </w:p>
    <w:p w14:paraId="2CD77D09" w14:textId="77777777" w:rsidR="00000000" w:rsidRPr="00F328BE" w:rsidRDefault="00000000">
      <w:pPr>
        <w:pStyle w:val="OBEBibliography"/>
        <w:rPr>
          <w:color w:val="auto"/>
        </w:rPr>
      </w:pPr>
      <w:r w:rsidRPr="00F328BE">
        <w:rPr>
          <w:color w:val="auto"/>
        </w:rPr>
        <w:t xml:space="preserve">Johnson, Scott Fitzgerald, 'Lists, Originality, and Christian Time: Eusebius’ Historiography of Succession, in Pohl, W. and Wieser, V., </w:t>
      </w:r>
      <w:r w:rsidRPr="00F328BE">
        <w:rPr>
          <w:i/>
          <w:iCs/>
          <w:color w:val="auto"/>
        </w:rPr>
        <w:t>Historiography and Identity I: Ancient and Early Christian Narratives of Community,</w:t>
      </w:r>
      <w:r w:rsidRPr="00F328BE">
        <w:rPr>
          <w:color w:val="auto"/>
        </w:rPr>
        <w:t xml:space="preserve"> (Turnhout, 2019), pp. 191-217.</w:t>
      </w:r>
    </w:p>
    <w:p w14:paraId="61E47D3D" w14:textId="77777777" w:rsidR="00000000" w:rsidRPr="00F328BE" w:rsidRDefault="00000000">
      <w:pPr>
        <w:pStyle w:val="OBEBibliography"/>
        <w:rPr>
          <w:color w:val="auto"/>
        </w:rPr>
      </w:pPr>
      <w:r w:rsidRPr="00F328BE">
        <w:rPr>
          <w:color w:val="auto"/>
        </w:rPr>
        <w:lastRenderedPageBreak/>
        <w:t xml:space="preserve">Lenski, Noel Emmanuel, ed., </w:t>
      </w:r>
      <w:r w:rsidRPr="00F328BE">
        <w:rPr>
          <w:i/>
          <w:iCs/>
          <w:color w:val="auto"/>
        </w:rPr>
        <w:t>The Cambridge companion to the age of Constantine</w:t>
      </w:r>
      <w:r w:rsidRPr="00F328BE">
        <w:rPr>
          <w:color w:val="auto"/>
        </w:rPr>
        <w:t>. (Cambridge University Press, 2012).</w:t>
      </w:r>
    </w:p>
    <w:p w14:paraId="15A56521" w14:textId="77777777" w:rsidR="00000000" w:rsidRPr="00F328BE" w:rsidRDefault="00000000">
      <w:pPr>
        <w:pStyle w:val="OBEBibliography"/>
        <w:rPr>
          <w:color w:val="auto"/>
        </w:rPr>
      </w:pPr>
      <w:r w:rsidRPr="00F328BE">
        <w:rPr>
          <w:color w:val="auto"/>
        </w:rPr>
        <w:t xml:space="preserve">Litfin, Bryan M., 'Eusebius on Constantine: Truth and Hagiography at the Milvian Bridge.' </w:t>
      </w:r>
      <w:r w:rsidRPr="00F328BE">
        <w:rPr>
          <w:i/>
          <w:iCs/>
          <w:color w:val="auto"/>
        </w:rPr>
        <w:t>Journal of the Evangelical Theological Society,</w:t>
      </w:r>
      <w:r w:rsidRPr="00F328BE">
        <w:rPr>
          <w:color w:val="auto"/>
        </w:rPr>
        <w:t xml:space="preserve"> 55.4 (2012), p.773.</w:t>
      </w:r>
    </w:p>
    <w:p w14:paraId="05255FE9" w14:textId="77777777" w:rsidR="00000000" w:rsidRPr="00F328BE" w:rsidRDefault="00000000">
      <w:pPr>
        <w:pStyle w:val="OBEBibliography"/>
        <w:rPr>
          <w:color w:val="auto"/>
        </w:rPr>
      </w:pPr>
      <w:r w:rsidRPr="00F328BE">
        <w:rPr>
          <w:color w:val="auto"/>
        </w:rPr>
        <w:t xml:space="preserve">National Geographic, ‘Constantine—Facts and Information’, </w:t>
      </w:r>
      <w:r w:rsidRPr="00F328BE">
        <w:rPr>
          <w:i/>
          <w:iCs/>
          <w:color w:val="auto"/>
        </w:rPr>
        <w:t>National Geographic</w:t>
      </w:r>
      <w:r w:rsidRPr="00F328BE">
        <w:rPr>
          <w:color w:val="auto"/>
        </w:rPr>
        <w:t xml:space="preserve"> (2023) &lt;https://www.nationalgeographic.com/culture/article/constantine&gt; [accessed 7 November 2023]</w:t>
      </w:r>
    </w:p>
    <w:p w14:paraId="05DD149C" w14:textId="77777777" w:rsidR="00000000" w:rsidRPr="00F328BE" w:rsidRDefault="00000000">
      <w:pPr>
        <w:pStyle w:val="OBEBibliography"/>
        <w:rPr>
          <w:color w:val="auto"/>
        </w:rPr>
      </w:pPr>
      <w:proofErr w:type="spellStart"/>
      <w:r w:rsidRPr="00F328BE">
        <w:rPr>
          <w:color w:val="auto"/>
        </w:rPr>
        <w:t>Odahl</w:t>
      </w:r>
      <w:proofErr w:type="spellEnd"/>
      <w:r w:rsidRPr="00F328BE">
        <w:rPr>
          <w:color w:val="auto"/>
        </w:rPr>
        <w:t xml:space="preserve">, Charles, </w:t>
      </w:r>
      <w:proofErr w:type="gramStart"/>
      <w:r w:rsidRPr="00F328BE">
        <w:rPr>
          <w:i/>
          <w:iCs/>
          <w:color w:val="auto"/>
        </w:rPr>
        <w:t>Constantine</w:t>
      </w:r>
      <w:proofErr w:type="gramEnd"/>
      <w:r w:rsidRPr="00F328BE">
        <w:rPr>
          <w:i/>
          <w:iCs/>
          <w:color w:val="auto"/>
        </w:rPr>
        <w:t xml:space="preserve"> and the Christian empire.</w:t>
      </w:r>
      <w:r w:rsidRPr="00F328BE">
        <w:rPr>
          <w:color w:val="auto"/>
        </w:rPr>
        <w:t xml:space="preserve"> (Routledge, 2010).</w:t>
      </w:r>
    </w:p>
    <w:p w14:paraId="0D6C6989" w14:textId="77777777" w:rsidR="00000000" w:rsidRPr="00F328BE" w:rsidRDefault="00000000">
      <w:pPr>
        <w:pStyle w:val="OBEBibliography"/>
        <w:rPr>
          <w:color w:val="auto"/>
        </w:rPr>
      </w:pPr>
      <w:r w:rsidRPr="00F328BE">
        <w:rPr>
          <w:color w:val="auto"/>
        </w:rPr>
        <w:t xml:space="preserve">Pfitzner, V. C., 'From the Invincible Sun to Christ the </w:t>
      </w:r>
      <w:proofErr w:type="spellStart"/>
      <w:r w:rsidRPr="00F328BE">
        <w:rPr>
          <w:color w:val="auto"/>
        </w:rPr>
        <w:t>Pantocrator</w:t>
      </w:r>
      <w:proofErr w:type="spellEnd"/>
      <w:r w:rsidRPr="00F328BE">
        <w:rPr>
          <w:color w:val="auto"/>
        </w:rPr>
        <w:t xml:space="preserve">: Tracing an iconographic trajectory on Roman and Byzantine coinage'. </w:t>
      </w:r>
      <w:r w:rsidRPr="00F328BE">
        <w:rPr>
          <w:i/>
          <w:iCs/>
          <w:color w:val="auto"/>
        </w:rPr>
        <w:t>Lutheran Theological Journal</w:t>
      </w:r>
      <w:r w:rsidRPr="00F328BE">
        <w:rPr>
          <w:color w:val="auto"/>
        </w:rPr>
        <w:t>, 50.1 (2016), pp.40-54.</w:t>
      </w:r>
    </w:p>
    <w:p w14:paraId="13195D7A" w14:textId="77777777" w:rsidR="00000000" w:rsidRPr="00F328BE" w:rsidRDefault="00000000">
      <w:pPr>
        <w:pStyle w:val="OBEBibliography"/>
        <w:rPr>
          <w:color w:val="auto"/>
        </w:rPr>
      </w:pPr>
      <w:r w:rsidRPr="00F328BE">
        <w:rPr>
          <w:color w:val="auto"/>
        </w:rPr>
        <w:t xml:space="preserve">Ramelli, Ilaria, 'Constantine and the legal recognition of Christianity: what changed, and some historical forerunners.' </w:t>
      </w:r>
      <w:r w:rsidRPr="00F328BE">
        <w:rPr>
          <w:i/>
          <w:iCs/>
          <w:color w:val="auto"/>
        </w:rPr>
        <w:t xml:space="preserve">Vox Patrum </w:t>
      </w:r>
      <w:r w:rsidRPr="00F328BE">
        <w:rPr>
          <w:color w:val="auto"/>
        </w:rPr>
        <w:t>61.1 (2014), pp.55-72.</w:t>
      </w:r>
    </w:p>
    <w:p w14:paraId="4F23C758" w14:textId="77777777" w:rsidR="00000000" w:rsidRPr="00F328BE" w:rsidRDefault="00000000">
      <w:pPr>
        <w:pStyle w:val="OBEBibliography"/>
        <w:rPr>
          <w:color w:val="auto"/>
        </w:rPr>
      </w:pPr>
      <w:r w:rsidRPr="00F328BE">
        <w:rPr>
          <w:color w:val="auto"/>
        </w:rPr>
        <w:t>Rees, Roger. 'Panegyric,' in McGill, S. and Watts, E. (eds.),</w:t>
      </w:r>
      <w:r w:rsidRPr="00F328BE">
        <w:rPr>
          <w:i/>
          <w:iCs/>
          <w:color w:val="auto"/>
        </w:rPr>
        <w:t xml:space="preserve"> A Companion to Late Antique Literature </w:t>
      </w:r>
      <w:r w:rsidRPr="00F328BE">
        <w:rPr>
          <w:color w:val="auto"/>
        </w:rPr>
        <w:t>(Brill, 2018), pp.209-220.</w:t>
      </w:r>
    </w:p>
    <w:p w14:paraId="2AA35363" w14:textId="77777777" w:rsidR="00000000" w:rsidRPr="00F328BE" w:rsidRDefault="00000000">
      <w:pPr>
        <w:pStyle w:val="OBEBibliography"/>
        <w:rPr>
          <w:color w:val="auto"/>
        </w:rPr>
      </w:pPr>
      <w:proofErr w:type="spellStart"/>
      <w:r w:rsidRPr="00F328BE">
        <w:rPr>
          <w:color w:val="auto"/>
        </w:rPr>
        <w:t>Siecienski</w:t>
      </w:r>
      <w:proofErr w:type="spellEnd"/>
      <w:r w:rsidRPr="00F328BE">
        <w:rPr>
          <w:color w:val="auto"/>
        </w:rPr>
        <w:t xml:space="preserve">, A. Edward, ed. </w:t>
      </w:r>
      <w:r w:rsidRPr="00F328BE">
        <w:rPr>
          <w:i/>
          <w:iCs/>
          <w:color w:val="auto"/>
        </w:rPr>
        <w:t>Constantine: religious faith and imperial policy.</w:t>
      </w:r>
      <w:r w:rsidRPr="00F328BE">
        <w:rPr>
          <w:color w:val="auto"/>
        </w:rPr>
        <w:t xml:space="preserve"> (Taylor &amp; Francis, 2017).</w:t>
      </w:r>
    </w:p>
    <w:p w14:paraId="56C2BD54" w14:textId="77777777" w:rsidR="00000000" w:rsidRPr="00F328BE" w:rsidRDefault="00000000">
      <w:pPr>
        <w:pStyle w:val="OBEBibliography"/>
        <w:rPr>
          <w:color w:val="auto"/>
        </w:rPr>
      </w:pPr>
      <w:r w:rsidRPr="00F328BE">
        <w:rPr>
          <w:color w:val="auto"/>
        </w:rPr>
        <w:t xml:space="preserve">Stutz, Jonathan, 'The “Feigned Conversion of Constantine” in Early Islamic Literature."' </w:t>
      </w:r>
      <w:r w:rsidRPr="00F328BE">
        <w:rPr>
          <w:i/>
          <w:iCs/>
          <w:color w:val="auto"/>
        </w:rPr>
        <w:t>Journal of Arabic and Islamic Studies</w:t>
      </w:r>
      <w:r w:rsidRPr="00F328BE">
        <w:rPr>
          <w:color w:val="auto"/>
        </w:rPr>
        <w:t>, 20.1 (2020), pp.1-14.</w:t>
      </w:r>
    </w:p>
    <w:p w14:paraId="07E61A7B" w14:textId="77777777" w:rsidR="00000000" w:rsidRPr="00F328BE" w:rsidRDefault="00000000">
      <w:pPr>
        <w:pStyle w:val="OBEBibliography"/>
        <w:rPr>
          <w:color w:val="auto"/>
        </w:rPr>
      </w:pPr>
      <w:r w:rsidRPr="00F328BE">
        <w:rPr>
          <w:color w:val="auto"/>
        </w:rPr>
        <w:t xml:space="preserve">Van Dam, Raymond, </w:t>
      </w:r>
      <w:r w:rsidRPr="00F328BE">
        <w:rPr>
          <w:i/>
          <w:iCs/>
          <w:color w:val="auto"/>
        </w:rPr>
        <w:t>Remembering Constantine at the Milvian Bridge</w:t>
      </w:r>
      <w:r w:rsidRPr="00F328BE">
        <w:rPr>
          <w:color w:val="auto"/>
        </w:rPr>
        <w:t>. (Cambridge University Press, 2011).</w:t>
      </w:r>
    </w:p>
    <w:p w14:paraId="2192A7CB" w14:textId="77777777" w:rsidR="00000000" w:rsidRPr="00F328BE" w:rsidRDefault="00000000">
      <w:pPr>
        <w:pStyle w:val="OBEBibliography"/>
        <w:rPr>
          <w:color w:val="auto"/>
        </w:rPr>
      </w:pPr>
      <w:r w:rsidRPr="00F328BE">
        <w:rPr>
          <w:color w:val="auto"/>
        </w:rPr>
        <w:t xml:space="preserve">Watts, Edward J., </w:t>
      </w:r>
      <w:r w:rsidRPr="00F328BE">
        <w:rPr>
          <w:i/>
          <w:iCs/>
          <w:color w:val="auto"/>
        </w:rPr>
        <w:t>The Final Pagan Generation: Rome's Unexpected Path to Christianity.</w:t>
      </w:r>
      <w:r w:rsidRPr="00F328BE">
        <w:rPr>
          <w:color w:val="auto"/>
        </w:rPr>
        <w:t xml:space="preserve"> (University of California Press, 2020).</w:t>
      </w:r>
    </w:p>
    <w:p w14:paraId="123BD8B0" w14:textId="77777777" w:rsidR="00000000" w:rsidRPr="00F328BE" w:rsidRDefault="00000000">
      <w:pPr>
        <w:pStyle w:val="OBEBibliography"/>
        <w:rPr>
          <w:color w:val="auto"/>
        </w:rPr>
      </w:pPr>
    </w:p>
    <w:p w14:paraId="1CF4856C" w14:textId="77777777" w:rsidR="00000000" w:rsidRPr="00F328BE" w:rsidRDefault="00000000">
      <w:pPr>
        <w:pStyle w:val="OBEBibliography"/>
        <w:rPr>
          <w:color w:val="auto"/>
        </w:rPr>
      </w:pPr>
    </w:p>
    <w:p w14:paraId="6BAF3D86" w14:textId="77777777" w:rsidR="00000000" w:rsidRPr="00F328BE" w:rsidRDefault="00000000">
      <w:pPr>
        <w:pStyle w:val="OBEBibliography"/>
        <w:rPr>
          <w:color w:val="auto"/>
        </w:rPr>
      </w:pPr>
    </w:p>
    <w:p w14:paraId="3CD82DD9" w14:textId="77777777" w:rsidR="009210F0" w:rsidRPr="00F328BE" w:rsidRDefault="009210F0">
      <w:pPr>
        <w:pStyle w:val="OBEBibliography"/>
        <w:rPr>
          <w:color w:val="auto"/>
        </w:rPr>
      </w:pPr>
    </w:p>
    <w:sectPr w:rsidR="009210F0" w:rsidRPr="00F328BE">
      <w:headerReference w:type="default" r:id="rId9"/>
      <w:footerReference w:type="default" r:id="rId10"/>
      <w:pgSz w:w="11906" w:h="16838"/>
      <w:pgMar w:top="1440" w:right="1440" w:bottom="1440" w:left="1440" w:header="0" w:footer="708" w:gutter="0"/>
      <w:cols w:space="720"/>
      <w:docGrid w:linePitch="360" w:charSpace="819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53069" w14:textId="77777777" w:rsidR="00BC063B" w:rsidRDefault="00BC063B">
      <w:pPr>
        <w:spacing w:after="0" w:line="240" w:lineRule="auto"/>
      </w:pPr>
      <w:r>
        <w:separator/>
      </w:r>
    </w:p>
  </w:endnote>
  <w:endnote w:type="continuationSeparator" w:id="0">
    <w:p w14:paraId="2D52B1DC" w14:textId="77777777" w:rsidR="00BC063B" w:rsidRDefault="00BC0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ont1261">
    <w:altName w:val="Calibri"/>
    <w:charset w:val="01"/>
    <w:family w:val="auto"/>
    <w:pitch w:val="variable"/>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Liberation Sans">
    <w:altName w:val="Arial"/>
    <w:charset w:val="01"/>
    <w:family w:val="roman"/>
    <w:pitch w:val="variable"/>
  </w:font>
  <w:font w:name="Liberation Serif">
    <w:altName w:val="Times New Roman"/>
    <w:charset w:val="01"/>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FBD7F" w14:textId="77777777" w:rsidR="00000000" w:rsidRDefault="00000000">
    <w:pPr>
      <w:pStyle w:val="Footer"/>
    </w:pPr>
    <w:r>
      <w:fldChar w:fldCharType="begin"/>
    </w:r>
    <w:r>
      <w:instrText xml:space="preserve"> PAGE </w:instrText>
    </w:r>
    <w:r>
      <w:fldChar w:fldCharType="separate"/>
    </w:r>
    <w:r>
      <w:t>10</w:t>
    </w:r>
    <w:r>
      <w:fldChar w:fldCharType="end"/>
    </w:r>
  </w:p>
  <w:p w14:paraId="1FA58CDA" w14:textId="77777777" w:rsidR="00000000" w:rsidRDefault="00000000">
    <w:pPr>
      <w:pStyle w:val="Footer"/>
    </w:pPr>
  </w:p>
  <w:p w14:paraId="2D194743" w14:textId="77777777" w:rsidR="00000000" w:rsidRDefault="00000000"/>
  <w:p w14:paraId="3DCF946E" w14:textId="77777777" w:rsidR="00000000" w:rsidRDefault="0000000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7E767" w14:textId="77777777" w:rsidR="00BC063B" w:rsidRDefault="00BC063B">
      <w:pPr>
        <w:spacing w:after="0" w:line="240" w:lineRule="auto"/>
      </w:pPr>
      <w:r>
        <w:separator/>
      </w:r>
    </w:p>
  </w:footnote>
  <w:footnote w:type="continuationSeparator" w:id="0">
    <w:p w14:paraId="1D1082C7" w14:textId="77777777" w:rsidR="00BC063B" w:rsidRDefault="00BC063B">
      <w:pPr>
        <w:spacing w:after="0" w:line="240" w:lineRule="auto"/>
      </w:pPr>
      <w:r>
        <w:continuationSeparator/>
      </w:r>
    </w:p>
  </w:footnote>
  <w:footnote w:id="1">
    <w:p w14:paraId="3D95BF1D" w14:textId="77777777" w:rsidR="00000000" w:rsidRDefault="00000000">
      <w:pPr>
        <w:pStyle w:val="FootnoteText"/>
      </w:pPr>
      <w:r>
        <w:rPr>
          <w:rStyle w:val="FootnoteCharacters"/>
          <w:rFonts w:ascii="Liberation Serif" w:hAnsi="Liberation Serif"/>
        </w:rPr>
        <w:footnoteRef/>
      </w:r>
      <w:r>
        <w:t xml:space="preserve"> Charles </w:t>
      </w:r>
      <w:proofErr w:type="spellStart"/>
      <w:r>
        <w:t>Odahl</w:t>
      </w:r>
      <w:proofErr w:type="spellEnd"/>
      <w:r>
        <w:t xml:space="preserve">. </w:t>
      </w:r>
      <w:r>
        <w:rPr>
          <w:i/>
          <w:iCs/>
        </w:rPr>
        <w:t>Constantine and the Christian empire. (</w:t>
      </w:r>
      <w:r>
        <w:t>Routledge, 2010).</w:t>
      </w:r>
    </w:p>
  </w:footnote>
  <w:footnote w:id="2">
    <w:p w14:paraId="34D17E86" w14:textId="77777777" w:rsidR="00000000" w:rsidRDefault="00000000">
      <w:pPr>
        <w:pStyle w:val="FootnoteText"/>
      </w:pPr>
      <w:r>
        <w:rPr>
          <w:rStyle w:val="FootnoteCharacters"/>
          <w:rFonts w:ascii="Liberation Serif" w:hAnsi="Liberation Serif"/>
        </w:rPr>
        <w:footnoteRef/>
      </w:r>
      <w:r>
        <w:t xml:space="preserve"> Susan Bauer, </w:t>
      </w:r>
      <w:r>
        <w:rPr>
          <w:i/>
          <w:iCs/>
        </w:rPr>
        <w:t>The history of the medieval world: From the conversion of Constantine to the first crusade</w:t>
      </w:r>
      <w:r>
        <w:t>. (WW Norton &amp; Company, 2010).</w:t>
      </w:r>
    </w:p>
  </w:footnote>
  <w:footnote w:id="3">
    <w:p w14:paraId="63EF9CFD" w14:textId="77777777" w:rsidR="00000000" w:rsidRDefault="00000000">
      <w:pPr>
        <w:pStyle w:val="FootnoteText"/>
      </w:pPr>
      <w:r>
        <w:rPr>
          <w:rStyle w:val="FootnoteCharacters"/>
          <w:rFonts w:ascii="Liberation Serif" w:hAnsi="Liberation Serif"/>
        </w:rPr>
        <w:footnoteRef/>
      </w:r>
      <w:r>
        <w:t xml:space="preserve"> H.A. Drake, 'The Great Persecution: A Historical Re-Examination by Min Seok Shin.' </w:t>
      </w:r>
      <w:r>
        <w:rPr>
          <w:i/>
          <w:iCs/>
        </w:rPr>
        <w:t>Journal of Early Christian Studies</w:t>
      </w:r>
      <w:r>
        <w:t>, vol. 29, no. 3 (2021), pp.447.</w:t>
      </w:r>
    </w:p>
  </w:footnote>
  <w:footnote w:id="4">
    <w:p w14:paraId="7A668C98" w14:textId="77777777" w:rsidR="00000000" w:rsidRDefault="00000000">
      <w:pPr>
        <w:pStyle w:val="FootnoteText"/>
      </w:pPr>
      <w:r>
        <w:rPr>
          <w:rStyle w:val="FootnoteCharacters"/>
          <w:rFonts w:ascii="Liberation Serif" w:hAnsi="Liberation Serif"/>
        </w:rPr>
        <w:footnoteRef/>
      </w:r>
      <w:r>
        <w:t xml:space="preserve"> Bruno Bleckmann, 'Constantine, Rome, and the Christians.' C</w:t>
      </w:r>
      <w:r>
        <w:rPr>
          <w:i/>
          <w:iCs/>
        </w:rPr>
        <w:t>ontested Monarchy: Integrating the Roman Empire in the Fourth Century AD</w:t>
      </w:r>
      <w:r>
        <w:t xml:space="preserve"> (2015), p.309.</w:t>
      </w:r>
    </w:p>
  </w:footnote>
  <w:footnote w:id="5">
    <w:p w14:paraId="4B2C98A2" w14:textId="77777777" w:rsidR="00000000" w:rsidRDefault="00000000">
      <w:pPr>
        <w:pStyle w:val="FootnoteText"/>
      </w:pPr>
      <w:r>
        <w:rPr>
          <w:rStyle w:val="FootnoteCharacters"/>
          <w:rFonts w:ascii="Liberation Serif" w:hAnsi="Liberation Serif"/>
        </w:rPr>
        <w:footnoteRef/>
      </w:r>
      <w:r>
        <w:t xml:space="preserve"> Richard Flower, 'Visions of Constantine.'</w:t>
      </w:r>
      <w:r>
        <w:rPr>
          <w:i/>
          <w:iCs/>
        </w:rPr>
        <w:t xml:space="preserve"> The Journal of Roman Studies</w:t>
      </w:r>
      <w:r>
        <w:t>, 102 (2012): p.287.</w:t>
      </w:r>
    </w:p>
  </w:footnote>
  <w:footnote w:id="6">
    <w:p w14:paraId="08E84A9C" w14:textId="77777777" w:rsidR="00000000" w:rsidRDefault="00000000">
      <w:pPr>
        <w:pStyle w:val="FootnoteText"/>
      </w:pPr>
      <w:r>
        <w:rPr>
          <w:rStyle w:val="FootnoteCharacters"/>
          <w:rFonts w:ascii="Liberation Serif" w:hAnsi="Liberation Serif"/>
        </w:rPr>
        <w:footnoteRef/>
      </w:r>
      <w:r>
        <w:t xml:space="preserve"> Ilaria Ramelli, 'Constantine and the legal recognition of Christianity: what changed, and some historical forerunners.'</w:t>
      </w:r>
      <w:r>
        <w:rPr>
          <w:i/>
          <w:iCs/>
        </w:rPr>
        <w:t xml:space="preserve"> Vox Patrum,</w:t>
      </w:r>
      <w:r>
        <w:t xml:space="preserve"> 61.1 (2014), p.55.</w:t>
      </w:r>
    </w:p>
  </w:footnote>
  <w:footnote w:id="7">
    <w:p w14:paraId="5282E849" w14:textId="7AFAD92E" w:rsidR="00000000" w:rsidRDefault="00000000">
      <w:pPr>
        <w:pStyle w:val="FootnoteText"/>
      </w:pPr>
      <w:r>
        <w:rPr>
          <w:rStyle w:val="FootnoteCharacters"/>
          <w:rFonts w:ascii="Liberation Serif" w:hAnsi="Liberation Serif"/>
        </w:rPr>
        <w:footnoteRef/>
      </w:r>
      <w:r>
        <w:t xml:space="preserve"> </w:t>
      </w:r>
      <w:r w:rsidR="00BA7254" w:rsidRPr="00BA7254">
        <w:t>Richard Flower, 'Visions of Constantine.' The Journal of Roman Studies, 102 (2012)</w:t>
      </w:r>
      <w:r>
        <w:t>, p.290</w:t>
      </w:r>
    </w:p>
  </w:footnote>
  <w:footnote w:id="8">
    <w:p w14:paraId="03161968" w14:textId="77777777" w:rsidR="00000000" w:rsidRDefault="00000000">
      <w:pPr>
        <w:pStyle w:val="FootnoteText"/>
      </w:pPr>
      <w:r>
        <w:rPr>
          <w:rStyle w:val="FootnoteCharacters"/>
          <w:rFonts w:ascii="Liberation Serif" w:hAnsi="Liberation Serif"/>
        </w:rPr>
        <w:footnoteRef/>
      </w:r>
      <w:r>
        <w:t xml:space="preserve"> Raymond Van Dam,</w:t>
      </w:r>
      <w:r>
        <w:rPr>
          <w:i/>
          <w:iCs/>
        </w:rPr>
        <w:t xml:space="preserve"> Remembering Constantine at the Milvian Bridge</w:t>
      </w:r>
      <w:r>
        <w:t>. (Cambridge University Press, 2011).</w:t>
      </w:r>
    </w:p>
  </w:footnote>
  <w:footnote w:id="9">
    <w:p w14:paraId="01D958F1" w14:textId="77777777" w:rsidR="00000000" w:rsidRDefault="00000000">
      <w:pPr>
        <w:pStyle w:val="FootnoteText"/>
      </w:pPr>
      <w:r>
        <w:rPr>
          <w:rStyle w:val="FootnoteCharacters"/>
          <w:rFonts w:ascii="Liberation Serif" w:hAnsi="Liberation Serif"/>
        </w:rPr>
        <w:footnoteRef/>
      </w:r>
      <w:r>
        <w:t xml:space="preserve"> Sven </w:t>
      </w:r>
      <w:proofErr w:type="spellStart"/>
      <w:r>
        <w:t>Betjes</w:t>
      </w:r>
      <w:proofErr w:type="spellEnd"/>
      <w:r>
        <w:t xml:space="preserve"> and Sam </w:t>
      </w:r>
      <w:proofErr w:type="spellStart"/>
      <w:r>
        <w:t>Heijnen</w:t>
      </w:r>
      <w:proofErr w:type="spellEnd"/>
      <w:r>
        <w:t xml:space="preserve">. '"THE USURPING PRINCEPS”: MAXENTIUS’ IMAGE AND ITS CONSTANTINIAN LEGACY.' </w:t>
      </w:r>
      <w:r>
        <w:rPr>
          <w:i/>
          <w:iCs/>
        </w:rPr>
        <w:t>Journal of Ancient History and Archaeology</w:t>
      </w:r>
      <w:r>
        <w:t>, 5.3 (2018) p.42.</w:t>
      </w:r>
    </w:p>
  </w:footnote>
  <w:footnote w:id="10">
    <w:p w14:paraId="0A35C4D6" w14:textId="77777777" w:rsidR="00000000" w:rsidRDefault="00000000">
      <w:pPr>
        <w:pStyle w:val="FootnoteText"/>
      </w:pPr>
      <w:r>
        <w:rPr>
          <w:rStyle w:val="FootnoteCharacters"/>
          <w:rFonts w:ascii="Liberation Serif" w:hAnsi="Liberation Serif"/>
        </w:rPr>
        <w:footnoteRef/>
      </w:r>
      <w:r>
        <w:t xml:space="preserve"> A public speech or published poem in praise of something or someone.</w:t>
      </w:r>
    </w:p>
  </w:footnote>
  <w:footnote w:id="11">
    <w:p w14:paraId="4BCD0174" w14:textId="77777777" w:rsidR="00000000" w:rsidRDefault="00000000">
      <w:pPr>
        <w:pStyle w:val="FootnoteText"/>
      </w:pPr>
      <w:r>
        <w:rPr>
          <w:rStyle w:val="FootnoteCharacters"/>
          <w:rFonts w:ascii="Liberation Serif" w:hAnsi="Liberation Serif"/>
        </w:rPr>
        <w:footnoteRef/>
      </w:r>
      <w:r>
        <w:t xml:space="preserve"> A. Cameron and S. Hall, </w:t>
      </w:r>
      <w:r>
        <w:rPr>
          <w:i/>
          <w:iCs/>
        </w:rPr>
        <w:t>Eusebius' Life of Constantine.</w:t>
      </w:r>
      <w:r>
        <w:t xml:space="preserve"> (Clarendon Press, 1999).</w:t>
      </w:r>
    </w:p>
  </w:footnote>
  <w:footnote w:id="12">
    <w:p w14:paraId="12BDAECE" w14:textId="77777777" w:rsidR="00000000" w:rsidRDefault="00000000">
      <w:pPr>
        <w:pStyle w:val="FootnoteText"/>
      </w:pPr>
      <w:r>
        <w:rPr>
          <w:rStyle w:val="FootnoteCharacters"/>
          <w:rFonts w:ascii="Liberation Serif" w:hAnsi="Liberation Serif"/>
        </w:rPr>
        <w:footnoteRef/>
      </w:r>
      <w:r>
        <w:t xml:space="preserve"> Rees, Roger. 'Panegyric,' in McGill, S. and Watts, E. (eds.), </w:t>
      </w:r>
      <w:r>
        <w:rPr>
          <w:i/>
          <w:iCs/>
        </w:rPr>
        <w:t>A Companion to Late Antique Literature</w:t>
      </w:r>
      <w:r>
        <w:t xml:space="preserve"> (Brill, 2018), p.210.</w:t>
      </w:r>
    </w:p>
  </w:footnote>
  <w:footnote w:id="13">
    <w:p w14:paraId="11E7D92C" w14:textId="77777777" w:rsidR="00000000" w:rsidRDefault="00000000">
      <w:pPr>
        <w:pStyle w:val="FootnoteText"/>
      </w:pPr>
      <w:r>
        <w:rPr>
          <w:rStyle w:val="FootnoteCharacters"/>
          <w:rFonts w:ascii="Liberation Serif" w:hAnsi="Liberation Serif"/>
        </w:rPr>
        <w:footnoteRef/>
      </w:r>
      <w:r>
        <w:t xml:space="preserve"> Bryan Litfin, 'Eusebius on Constantine: Truth and Hagiography at the Milvian Bridge.' </w:t>
      </w:r>
      <w:r>
        <w:rPr>
          <w:i/>
          <w:iCs/>
        </w:rPr>
        <w:t>Journal of the Evangelical Theological Society,</w:t>
      </w:r>
      <w:r>
        <w:t xml:space="preserve"> 55.4 (2012), p.773.</w:t>
      </w:r>
    </w:p>
  </w:footnote>
  <w:footnote w:id="14">
    <w:p w14:paraId="068339A4" w14:textId="77777777" w:rsidR="00000000" w:rsidRDefault="00000000">
      <w:pPr>
        <w:pStyle w:val="FootnoteText"/>
      </w:pPr>
      <w:r>
        <w:rPr>
          <w:rStyle w:val="FootnoteCharacters"/>
          <w:rFonts w:ascii="Liberation Serif" w:hAnsi="Liberation Serif"/>
        </w:rPr>
        <w:footnoteRef/>
      </w:r>
      <w:r>
        <w:t xml:space="preserve"> Cameron and Hall (1999)</w:t>
      </w:r>
    </w:p>
  </w:footnote>
  <w:footnote w:id="15">
    <w:p w14:paraId="7346F515" w14:textId="77777777" w:rsidR="00000000" w:rsidRDefault="00000000">
      <w:pPr>
        <w:pStyle w:val="FootnoteText"/>
      </w:pPr>
      <w:r>
        <w:rPr>
          <w:rStyle w:val="FootnoteCharacters"/>
          <w:rFonts w:ascii="Liberation Serif" w:hAnsi="Liberation Serif"/>
        </w:rPr>
        <w:footnoteRef/>
      </w:r>
      <w:r>
        <w:t xml:space="preserve"> Scott Johnson, 'Lists, Originality, and Christian Time: Eusebius’ Historiography of Succession, in Pohl, W. and Wieser, V., </w:t>
      </w:r>
      <w:r>
        <w:rPr>
          <w:i/>
          <w:iCs/>
        </w:rPr>
        <w:t>Historiography and Identity I: Ancient and Early Christian Narratives of Community,</w:t>
      </w:r>
      <w:r>
        <w:t xml:space="preserve"> (Turnhout, 2019), pp. 198.</w:t>
      </w:r>
    </w:p>
  </w:footnote>
  <w:footnote w:id="16">
    <w:p w14:paraId="043522CA" w14:textId="77777777" w:rsidR="00000000" w:rsidRDefault="00000000">
      <w:pPr>
        <w:pStyle w:val="FootnoteText"/>
      </w:pPr>
      <w:r>
        <w:rPr>
          <w:rStyle w:val="FootnoteCharacters"/>
          <w:rFonts w:ascii="Liberation Serif" w:hAnsi="Liberation Serif"/>
        </w:rPr>
        <w:footnoteRef/>
      </w:r>
      <w:r>
        <w:t xml:space="preserve"> Cameron and Hall (1999).</w:t>
      </w:r>
    </w:p>
  </w:footnote>
  <w:footnote w:id="17">
    <w:p w14:paraId="0584521D" w14:textId="77777777" w:rsidR="00000000" w:rsidRDefault="00000000">
      <w:pPr>
        <w:pStyle w:val="FootnoteText"/>
      </w:pPr>
      <w:r>
        <w:rPr>
          <w:rStyle w:val="FootnoteCharacters"/>
          <w:rFonts w:ascii="Liberation Serif" w:hAnsi="Liberation Serif"/>
        </w:rPr>
        <w:footnoteRef/>
      </w:r>
      <w:r>
        <w:t xml:space="preserve"> Litfin (2012), p.775.</w:t>
      </w:r>
    </w:p>
  </w:footnote>
  <w:footnote w:id="18">
    <w:p w14:paraId="404ED4E3" w14:textId="77777777" w:rsidR="00000000" w:rsidRDefault="00000000">
      <w:pPr>
        <w:pStyle w:val="FootnoteText"/>
      </w:pPr>
      <w:r>
        <w:rPr>
          <w:rStyle w:val="FootnoteCharacters"/>
          <w:rFonts w:ascii="Liberation Serif" w:hAnsi="Liberation Serif"/>
        </w:rPr>
        <w:footnoteRef/>
      </w:r>
      <w:r>
        <w:t xml:space="preserve"> J.L. Creed, </w:t>
      </w:r>
      <w:r>
        <w:rPr>
          <w:i/>
          <w:iCs/>
        </w:rPr>
        <w:t xml:space="preserve">De </w:t>
      </w:r>
      <w:proofErr w:type="spellStart"/>
      <w:r>
        <w:rPr>
          <w:i/>
          <w:iCs/>
        </w:rPr>
        <w:t>Mortibus</w:t>
      </w:r>
      <w:proofErr w:type="spellEnd"/>
      <w:r>
        <w:rPr>
          <w:i/>
          <w:iCs/>
        </w:rPr>
        <w:t xml:space="preserve"> </w:t>
      </w:r>
      <w:proofErr w:type="spellStart"/>
      <w:r>
        <w:rPr>
          <w:i/>
          <w:iCs/>
        </w:rPr>
        <w:t>Persecutorum</w:t>
      </w:r>
      <w:proofErr w:type="spellEnd"/>
      <w:r>
        <w:rPr>
          <w:i/>
          <w:iCs/>
        </w:rPr>
        <w:t xml:space="preserve"> / </w:t>
      </w:r>
      <w:proofErr w:type="spellStart"/>
      <w:r>
        <w:rPr>
          <w:i/>
          <w:iCs/>
        </w:rPr>
        <w:t>Lactantius</w:t>
      </w:r>
      <w:proofErr w:type="spellEnd"/>
      <w:r>
        <w:rPr>
          <w:i/>
          <w:iCs/>
        </w:rPr>
        <w:t>; Edited and Translated by J.L. Creed</w:t>
      </w:r>
      <w:r>
        <w:t>. (Oxford: Clarendon Press, 1984).</w:t>
      </w:r>
    </w:p>
  </w:footnote>
  <w:footnote w:id="19">
    <w:p w14:paraId="2B49E4B4" w14:textId="77777777" w:rsidR="00000000" w:rsidRDefault="00000000">
      <w:pPr>
        <w:pStyle w:val="FootnoteText"/>
      </w:pPr>
      <w:r>
        <w:rPr>
          <w:rStyle w:val="FootnoteCharacters"/>
          <w:rFonts w:ascii="Liberation Serif" w:hAnsi="Liberation Serif"/>
        </w:rPr>
        <w:footnoteRef/>
      </w:r>
      <w:r>
        <w:t xml:space="preserve"> Rajiv Bhola, '</w:t>
      </w:r>
      <w:r>
        <w:rPr>
          <w:i/>
          <w:iCs/>
        </w:rPr>
        <w:t xml:space="preserve">A man of visions: a new examination of the vision (s) of Constantine (Panegyric VI, </w:t>
      </w:r>
      <w:proofErr w:type="spellStart"/>
      <w:r>
        <w:rPr>
          <w:i/>
          <w:iCs/>
        </w:rPr>
        <w:t>Lactantius</w:t>
      </w:r>
      <w:proofErr w:type="spellEnd"/>
      <w:r>
        <w:rPr>
          <w:i/>
          <w:iCs/>
        </w:rPr>
        <w:t xml:space="preserve">' De </w:t>
      </w:r>
      <w:proofErr w:type="spellStart"/>
      <w:r>
        <w:rPr>
          <w:i/>
          <w:iCs/>
        </w:rPr>
        <w:t>mortibus</w:t>
      </w:r>
      <w:proofErr w:type="spellEnd"/>
      <w:r>
        <w:rPr>
          <w:i/>
          <w:iCs/>
        </w:rPr>
        <w:t xml:space="preserve"> </w:t>
      </w:r>
      <w:proofErr w:type="spellStart"/>
      <w:r>
        <w:rPr>
          <w:i/>
          <w:iCs/>
        </w:rPr>
        <w:t>persecutorum</w:t>
      </w:r>
      <w:proofErr w:type="spellEnd"/>
      <w:r>
        <w:rPr>
          <w:i/>
          <w:iCs/>
        </w:rPr>
        <w:t>, and Eusebius' De vita Constantini).</w:t>
      </w:r>
      <w:r>
        <w:t xml:space="preserve">' PhD diss., (Université </w:t>
      </w:r>
      <w:proofErr w:type="spellStart"/>
      <w:r>
        <w:t>d'Ottawa</w:t>
      </w:r>
      <w:proofErr w:type="spellEnd"/>
      <w:r>
        <w:t>/University of Ottawa, 2015).</w:t>
      </w:r>
    </w:p>
  </w:footnote>
  <w:footnote w:id="20">
    <w:p w14:paraId="4CD797DE" w14:textId="77777777" w:rsidR="00000000" w:rsidRDefault="00000000">
      <w:pPr>
        <w:pStyle w:val="FootnoteText"/>
      </w:pPr>
      <w:r>
        <w:rPr>
          <w:rStyle w:val="FootnoteCharacters"/>
          <w:rFonts w:ascii="Liberation Serif" w:hAnsi="Liberation Serif"/>
        </w:rPr>
        <w:footnoteRef/>
      </w:r>
      <w:r>
        <w:t xml:space="preserve"> A. Edward </w:t>
      </w:r>
      <w:proofErr w:type="spellStart"/>
      <w:r>
        <w:t>Siecienski</w:t>
      </w:r>
      <w:proofErr w:type="spellEnd"/>
      <w:r>
        <w:t xml:space="preserve">, ed., </w:t>
      </w:r>
      <w:r>
        <w:rPr>
          <w:i/>
          <w:iCs/>
        </w:rPr>
        <w:t>Constantine: religious faith and imperial policy.</w:t>
      </w:r>
      <w:r>
        <w:t xml:space="preserve"> (Taylor &amp; Francis, 2017).</w:t>
      </w:r>
    </w:p>
  </w:footnote>
  <w:footnote w:id="21">
    <w:p w14:paraId="05EA0E9F" w14:textId="77777777" w:rsidR="00000000" w:rsidRDefault="00000000">
      <w:pPr>
        <w:pStyle w:val="FootnoteText"/>
      </w:pPr>
      <w:r>
        <w:rPr>
          <w:rStyle w:val="FootnoteCharacters"/>
          <w:rFonts w:ascii="Liberation Serif" w:hAnsi="Liberation Serif"/>
        </w:rPr>
        <w:footnoteRef/>
      </w:r>
      <w:r>
        <w:t xml:space="preserve"> Creed (1984).</w:t>
      </w:r>
    </w:p>
  </w:footnote>
  <w:footnote w:id="22">
    <w:p w14:paraId="7F3F9D9C" w14:textId="77777777" w:rsidR="00000000" w:rsidRDefault="00000000">
      <w:pPr>
        <w:pStyle w:val="FootnoteText"/>
      </w:pPr>
      <w:r>
        <w:rPr>
          <w:rStyle w:val="FootnoteCharacters"/>
          <w:rFonts w:ascii="Liberation Serif" w:hAnsi="Liberation Serif"/>
        </w:rPr>
        <w:footnoteRef/>
      </w:r>
      <w:r>
        <w:t xml:space="preserve"> V.C. Pfitzner, 'From the Invincible Sun to Christ the </w:t>
      </w:r>
      <w:proofErr w:type="spellStart"/>
      <w:r>
        <w:t>Pantocrator</w:t>
      </w:r>
      <w:proofErr w:type="spellEnd"/>
      <w:r>
        <w:t xml:space="preserve">: Tracing an iconographic trajectory on Roman and Byzantine coinage'. </w:t>
      </w:r>
      <w:r>
        <w:rPr>
          <w:i/>
          <w:iCs/>
        </w:rPr>
        <w:t>Lutheran Theological Journal</w:t>
      </w:r>
      <w:r>
        <w:t>, 50.1 (2016), p.40.</w:t>
      </w:r>
    </w:p>
  </w:footnote>
  <w:footnote w:id="23">
    <w:p w14:paraId="468E5E2F" w14:textId="77777777" w:rsidR="00000000" w:rsidRDefault="00000000">
      <w:pPr>
        <w:pStyle w:val="FootnoteText"/>
      </w:pPr>
      <w:r>
        <w:rPr>
          <w:rStyle w:val="FootnoteCharacters"/>
          <w:rFonts w:ascii="Liberation Serif" w:hAnsi="Liberation Serif"/>
        </w:rPr>
        <w:footnoteRef/>
      </w:r>
      <w:r>
        <w:t xml:space="preserve"> Angelova, Diliana, ‘Constantine’s Radiate Statue and the Founding of Constantinople’, </w:t>
      </w:r>
      <w:r>
        <w:rPr>
          <w:i/>
          <w:iCs/>
        </w:rPr>
        <w:t>Studies in Late Antiquity, 5.3</w:t>
      </w:r>
      <w:r>
        <w:t xml:space="preserve"> (2021), p.292.</w:t>
      </w:r>
    </w:p>
  </w:footnote>
  <w:footnote w:id="24">
    <w:p w14:paraId="5EC01C4C" w14:textId="77777777" w:rsidR="00000000" w:rsidRDefault="00000000">
      <w:pPr>
        <w:pStyle w:val="FootnoteText"/>
      </w:pPr>
      <w:r>
        <w:rPr>
          <w:rStyle w:val="FootnoteCharacters"/>
          <w:rFonts w:ascii="Liberation Serif" w:hAnsi="Liberation Serif"/>
        </w:rPr>
        <w:footnoteRef/>
      </w:r>
      <w:r>
        <w:t xml:space="preserve"> Diederik </w:t>
      </w:r>
      <w:proofErr w:type="spellStart"/>
      <w:r>
        <w:t>Burgersdijk</w:t>
      </w:r>
      <w:proofErr w:type="spellEnd"/>
      <w:r>
        <w:t xml:space="preserve">, </w:t>
      </w:r>
      <w:r>
        <w:rPr>
          <w:i/>
          <w:iCs/>
        </w:rPr>
        <w:t>‘Constantine’s Arch: A Reassessment in the Light of Textual and Material Evidence’, in Emperors and Emperorship in Late Antiquity</w:t>
      </w:r>
      <w:r>
        <w:t xml:space="preserve"> (Brill, 2020), p.53.</w:t>
      </w:r>
    </w:p>
  </w:footnote>
  <w:footnote w:id="25">
    <w:p w14:paraId="0B0A66AE" w14:textId="77777777" w:rsidR="00000000" w:rsidRDefault="00000000">
      <w:pPr>
        <w:pStyle w:val="FootnoteText"/>
      </w:pPr>
      <w:r>
        <w:rPr>
          <w:rStyle w:val="FootnoteCharacters"/>
          <w:rFonts w:ascii="Liberation Serif" w:hAnsi="Liberation Serif"/>
        </w:rPr>
        <w:footnoteRef/>
      </w:r>
      <w:r>
        <w:t xml:space="preserve"> British Museum, 'Coin', </w:t>
      </w:r>
      <w:r>
        <w:rPr>
          <w:i/>
          <w:iCs/>
        </w:rPr>
        <w:t>The British Museum</w:t>
      </w:r>
      <w:r>
        <w:t>, (2023) &lt;https://www.britishmuseum.org/collection/object/C_1863-0713-1#:~:text=Constantine%20is%20shown%20and%20described,battle%20of%20the%20Milvian%20Bridge&gt; [accessed 3 November 2023]</w:t>
      </w:r>
    </w:p>
  </w:footnote>
  <w:footnote w:id="26">
    <w:p w14:paraId="2911D73C" w14:textId="77777777" w:rsidR="00000000" w:rsidRDefault="00000000">
      <w:pPr>
        <w:pStyle w:val="FootnoteText"/>
      </w:pPr>
      <w:r>
        <w:rPr>
          <w:rStyle w:val="FootnoteCharacters"/>
          <w:rFonts w:ascii="Liberation Serif" w:hAnsi="Liberation Serif"/>
        </w:rPr>
        <w:footnoteRef/>
      </w:r>
      <w:r>
        <w:t xml:space="preserve"> Encyclopaedia Britannica, 'Arch of Constantine', </w:t>
      </w:r>
      <w:r>
        <w:rPr>
          <w:i/>
          <w:iCs/>
        </w:rPr>
        <w:t>Encyclopaedia Britannica</w:t>
      </w:r>
      <w:r>
        <w:t xml:space="preserve"> (2023), &lt;https://www.britannica.com/topic/Arch-of-Constantine&gt; [accessed 3 November 2023]</w:t>
      </w:r>
    </w:p>
  </w:footnote>
  <w:footnote w:id="27">
    <w:p w14:paraId="2C7AF137" w14:textId="633D609E" w:rsidR="00000000" w:rsidRDefault="00000000">
      <w:pPr>
        <w:pStyle w:val="FootnoteText"/>
      </w:pPr>
      <w:r>
        <w:rPr>
          <w:rStyle w:val="FootnoteCharacters"/>
          <w:rFonts w:ascii="Liberation Serif" w:hAnsi="Liberation Serif"/>
        </w:rPr>
        <w:footnoteRef/>
      </w:r>
      <w:r>
        <w:t xml:space="preserve"> Noel Lenski, ed., </w:t>
      </w:r>
      <w:r>
        <w:rPr>
          <w:i/>
          <w:iCs/>
        </w:rPr>
        <w:t>The Cambridge companion to the age of Constantine</w:t>
      </w:r>
      <w:r>
        <w:t>. (Cambridge University Press, 2012)</w:t>
      </w:r>
      <w:r w:rsidR="009F304E">
        <w:t>, p.56</w:t>
      </w:r>
      <w:r>
        <w:t>.</w:t>
      </w:r>
    </w:p>
  </w:footnote>
  <w:footnote w:id="28">
    <w:p w14:paraId="03848B59" w14:textId="77777777" w:rsidR="00000000" w:rsidRDefault="00000000">
      <w:pPr>
        <w:pStyle w:val="FootnoteText"/>
      </w:pPr>
      <w:r>
        <w:rPr>
          <w:rStyle w:val="FootnoteCharacters"/>
          <w:rFonts w:ascii="Liberation Serif" w:hAnsi="Liberation Serif"/>
        </w:rPr>
        <w:footnoteRef/>
      </w:r>
      <w:r>
        <w:t xml:space="preserve"> Lauren Hobbs,</w:t>
      </w:r>
      <w:r>
        <w:rPr>
          <w:i/>
          <w:iCs/>
        </w:rPr>
        <w:t xml:space="preserve"> 'The Religion of Constantine I: An Analysis of the Modern Scholarly Hypotheses and Interpretations of the Contemporary Evidence.'</w:t>
      </w:r>
      <w:r>
        <w:t xml:space="preserve"> PhD diss., (Université </w:t>
      </w:r>
      <w:proofErr w:type="spellStart"/>
      <w:r>
        <w:t>d'Ottawa</w:t>
      </w:r>
      <w:proofErr w:type="spellEnd"/>
      <w:r>
        <w:t>/University of Ottawa, 2014).</w:t>
      </w:r>
    </w:p>
  </w:footnote>
  <w:footnote w:id="29">
    <w:p w14:paraId="0EE289EF" w14:textId="77777777" w:rsidR="00000000" w:rsidRDefault="00000000">
      <w:pPr>
        <w:pStyle w:val="FootnoteText"/>
      </w:pPr>
      <w:r>
        <w:rPr>
          <w:rStyle w:val="FootnoteCharacters"/>
          <w:rFonts w:ascii="Liberation Serif" w:hAnsi="Liberation Serif"/>
        </w:rPr>
        <w:footnoteRef/>
      </w:r>
      <w:r>
        <w:t xml:space="preserve"> Flower (2012)</w:t>
      </w:r>
    </w:p>
  </w:footnote>
  <w:footnote w:id="30">
    <w:p w14:paraId="23D25CEF" w14:textId="77777777" w:rsidR="00000000" w:rsidRDefault="00000000">
      <w:pPr>
        <w:pStyle w:val="FootnoteText"/>
      </w:pPr>
      <w:r>
        <w:rPr>
          <w:rStyle w:val="FootnoteCharacters"/>
          <w:rFonts w:ascii="Liberation Serif" w:hAnsi="Liberation Serif"/>
        </w:rPr>
        <w:footnoteRef/>
      </w:r>
      <w:r>
        <w:t xml:space="preserve"> Edward Watts,</w:t>
      </w:r>
      <w:r>
        <w:rPr>
          <w:i/>
          <w:iCs/>
        </w:rPr>
        <w:t xml:space="preserve"> The Final Pagan Generation: Rome's Unexpected Path to Christianity</w:t>
      </w:r>
      <w:r>
        <w:t>. (University of California Press, 2020).</w:t>
      </w:r>
    </w:p>
  </w:footnote>
  <w:footnote w:id="31">
    <w:p w14:paraId="5843FEC3" w14:textId="77777777" w:rsidR="00000000" w:rsidRDefault="00000000">
      <w:pPr>
        <w:pStyle w:val="FootnoteText"/>
      </w:pPr>
      <w:r>
        <w:rPr>
          <w:rStyle w:val="FootnoteCharacters"/>
          <w:rFonts w:ascii="Liberation Serif" w:hAnsi="Liberation Serif"/>
        </w:rPr>
        <w:footnoteRef/>
      </w:r>
      <w:r>
        <w:t xml:space="preserve"> Lenski (2012)</w:t>
      </w:r>
    </w:p>
  </w:footnote>
  <w:footnote w:id="32">
    <w:p w14:paraId="439152AF" w14:textId="77777777" w:rsidR="00000000" w:rsidRDefault="00000000">
      <w:pPr>
        <w:pStyle w:val="FootnoteText"/>
      </w:pPr>
      <w:r>
        <w:rPr>
          <w:rStyle w:val="FootnoteCharacters"/>
          <w:rFonts w:ascii="Liberation Serif" w:hAnsi="Liberation Serif"/>
        </w:rPr>
        <w:footnoteRef/>
      </w:r>
      <w:r>
        <w:t xml:space="preserve"> Stutz, Jonathan, 'The “Feigned Conversion of Constantine” in Early Islamic Literature."' </w:t>
      </w:r>
      <w:r>
        <w:rPr>
          <w:i/>
          <w:iCs/>
        </w:rPr>
        <w:t>Journal of Arabic and Islamic Studies</w:t>
      </w:r>
      <w:r>
        <w:t>, 20.1 (2020), p.5.</w:t>
      </w:r>
    </w:p>
  </w:footnote>
  <w:footnote w:id="33">
    <w:p w14:paraId="391DE73B" w14:textId="77777777" w:rsidR="00000000" w:rsidRDefault="00000000">
      <w:pPr>
        <w:pStyle w:val="FootnoteText"/>
      </w:pPr>
      <w:r>
        <w:rPr>
          <w:rStyle w:val="FootnoteCharacters"/>
          <w:rFonts w:ascii="Liberation Serif" w:hAnsi="Liberation Serif"/>
        </w:rPr>
        <w:footnoteRef/>
      </w:r>
      <w:r>
        <w:t xml:space="preserve"> National Geographic, ‘Constantine—Facts and Information’, </w:t>
      </w:r>
      <w:r>
        <w:rPr>
          <w:i/>
          <w:iCs/>
        </w:rPr>
        <w:t xml:space="preserve">National </w:t>
      </w:r>
      <w:proofErr w:type="spellStart"/>
      <w:r>
        <w:rPr>
          <w:i/>
          <w:iCs/>
        </w:rPr>
        <w:t>Georgaphic</w:t>
      </w:r>
      <w:proofErr w:type="spellEnd"/>
      <w:r>
        <w:t xml:space="preserve"> (2023) &lt;https://www.nationalgeographic.com/culture/article/constantine&gt; [accessed 7 November 2023]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20649" w14:textId="77777777" w:rsidR="00000000" w:rsidRDefault="00000000">
    <w:pPr>
      <w:pStyle w:val="OBEHeaderinformation"/>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628241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2050"/>
  </w:hdrShapeDefault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17A"/>
    <w:rsid w:val="009210F0"/>
    <w:rsid w:val="009F304E"/>
    <w:rsid w:val="00A1617A"/>
    <w:rsid w:val="00B02EA1"/>
    <w:rsid w:val="00BA7254"/>
    <w:rsid w:val="00BC063B"/>
    <w:rsid w:val="00F328BE"/>
    <w:rsid w:val="00F83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6F28693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line="254" w:lineRule="auto"/>
    </w:pPr>
    <w:rPr>
      <w:rFonts w:ascii="Calibri" w:eastAsia="font1261" w:hAnsi="Calibri" w:cs="font1261"/>
      <w:color w:val="00000A"/>
      <w:sz w:val="22"/>
      <w:szCs w:val="22"/>
      <w:lang w:eastAsia="en-US"/>
    </w:rPr>
  </w:style>
  <w:style w:type="paragraph" w:styleId="Heading1">
    <w:name w:val="heading 1"/>
    <w:basedOn w:val="Normal"/>
    <w:next w:val="Normal"/>
    <w:qFormat/>
    <w:pPr>
      <w:keepNext/>
      <w:keepLines/>
      <w:numPr>
        <w:numId w:val="1"/>
      </w:numPr>
      <w:spacing w:before="400" w:after="40" w:line="240" w:lineRule="auto"/>
      <w:outlineLvl w:val="0"/>
    </w:pPr>
    <w:rPr>
      <w:rFonts w:ascii="Calibri Light" w:hAnsi="Calibri Light"/>
      <w:color w:val="1F3864"/>
      <w:sz w:val="36"/>
      <w:szCs w:val="36"/>
    </w:rPr>
  </w:style>
  <w:style w:type="paragraph" w:styleId="Heading2">
    <w:name w:val="heading 2"/>
    <w:basedOn w:val="Normal"/>
    <w:next w:val="Normal"/>
    <w:qFormat/>
    <w:pPr>
      <w:keepNext/>
      <w:keepLines/>
      <w:numPr>
        <w:ilvl w:val="1"/>
        <w:numId w:val="1"/>
      </w:numPr>
      <w:spacing w:before="40" w:after="0" w:line="240" w:lineRule="auto"/>
      <w:outlineLvl w:val="1"/>
    </w:pPr>
    <w:rPr>
      <w:rFonts w:ascii="Calibri Light" w:hAnsi="Calibri Light"/>
      <w:color w:val="2F5496"/>
      <w:sz w:val="32"/>
      <w:szCs w:val="32"/>
    </w:rPr>
  </w:style>
  <w:style w:type="paragraph" w:styleId="Heading3">
    <w:name w:val="heading 3"/>
    <w:basedOn w:val="Normal"/>
    <w:next w:val="Normal"/>
    <w:qFormat/>
    <w:pPr>
      <w:keepNext/>
      <w:keepLines/>
      <w:numPr>
        <w:ilvl w:val="2"/>
        <w:numId w:val="1"/>
      </w:numPr>
      <w:spacing w:before="40" w:after="0" w:line="240" w:lineRule="auto"/>
      <w:outlineLvl w:val="2"/>
    </w:pPr>
    <w:rPr>
      <w:rFonts w:ascii="Calibri Light" w:hAnsi="Calibri Light"/>
      <w:color w:val="2F5496"/>
      <w:sz w:val="28"/>
      <w:szCs w:val="28"/>
    </w:rPr>
  </w:style>
  <w:style w:type="paragraph" w:styleId="Heading4">
    <w:name w:val="heading 4"/>
    <w:basedOn w:val="Normal"/>
    <w:next w:val="Normal"/>
    <w:qFormat/>
    <w:pPr>
      <w:keepNext/>
      <w:keepLines/>
      <w:numPr>
        <w:ilvl w:val="3"/>
        <w:numId w:val="1"/>
      </w:numPr>
      <w:spacing w:before="40" w:after="0"/>
      <w:outlineLvl w:val="3"/>
    </w:pPr>
    <w:rPr>
      <w:rFonts w:ascii="Calibri Light" w:hAnsi="Calibri Light"/>
      <w:color w:val="2F5496"/>
      <w:sz w:val="24"/>
      <w:szCs w:val="24"/>
    </w:rPr>
  </w:style>
  <w:style w:type="paragraph" w:styleId="Heading5">
    <w:name w:val="heading 5"/>
    <w:basedOn w:val="Normal"/>
    <w:next w:val="Normal"/>
    <w:qFormat/>
    <w:pPr>
      <w:keepNext/>
      <w:keepLines/>
      <w:numPr>
        <w:ilvl w:val="4"/>
        <w:numId w:val="1"/>
      </w:numPr>
      <w:spacing w:before="40" w:after="0"/>
      <w:outlineLvl w:val="4"/>
    </w:pPr>
    <w:rPr>
      <w:rFonts w:ascii="Calibri Light" w:hAnsi="Calibri Light"/>
      <w:caps/>
      <w:color w:val="2F5496"/>
    </w:rPr>
  </w:style>
  <w:style w:type="paragraph" w:styleId="Heading6">
    <w:name w:val="heading 6"/>
    <w:basedOn w:val="Normal"/>
    <w:next w:val="Normal"/>
    <w:qFormat/>
    <w:pPr>
      <w:keepNext/>
      <w:keepLines/>
      <w:numPr>
        <w:ilvl w:val="5"/>
        <w:numId w:val="1"/>
      </w:numPr>
      <w:spacing w:before="40" w:after="0"/>
      <w:outlineLvl w:val="5"/>
    </w:pPr>
    <w:rPr>
      <w:rFonts w:ascii="Calibri Light" w:hAnsi="Calibri Light"/>
      <w:i/>
      <w:iCs/>
      <w:caps/>
      <w:color w:val="1F3864"/>
    </w:rPr>
  </w:style>
  <w:style w:type="paragraph" w:styleId="Heading7">
    <w:name w:val="heading 7"/>
    <w:basedOn w:val="Normal"/>
    <w:next w:val="Normal"/>
    <w:qFormat/>
    <w:pPr>
      <w:keepNext/>
      <w:keepLines/>
      <w:numPr>
        <w:ilvl w:val="6"/>
        <w:numId w:val="1"/>
      </w:numPr>
      <w:spacing w:before="40" w:after="0"/>
      <w:outlineLvl w:val="6"/>
    </w:pPr>
    <w:rPr>
      <w:rFonts w:ascii="Calibri Light" w:hAnsi="Calibri Light"/>
      <w:b/>
      <w:bCs/>
      <w:color w:val="1F3864"/>
    </w:rPr>
  </w:style>
  <w:style w:type="paragraph" w:styleId="Heading8">
    <w:name w:val="heading 8"/>
    <w:basedOn w:val="Normal"/>
    <w:next w:val="Normal"/>
    <w:qFormat/>
    <w:pPr>
      <w:keepNext/>
      <w:keepLines/>
      <w:numPr>
        <w:ilvl w:val="7"/>
        <w:numId w:val="1"/>
      </w:numPr>
      <w:spacing w:before="40" w:after="0"/>
      <w:outlineLvl w:val="7"/>
    </w:pPr>
    <w:rPr>
      <w:rFonts w:ascii="Calibri Light" w:hAnsi="Calibri Light"/>
      <w:b/>
      <w:bCs/>
      <w:i/>
      <w:iCs/>
      <w:color w:val="1F3864"/>
    </w:rPr>
  </w:style>
  <w:style w:type="paragraph" w:styleId="Heading9">
    <w:name w:val="heading 9"/>
    <w:basedOn w:val="Normal"/>
    <w:next w:val="Normal"/>
    <w:qFormat/>
    <w:pPr>
      <w:keepNext/>
      <w:keepLines/>
      <w:numPr>
        <w:ilvl w:val="8"/>
        <w:numId w:val="1"/>
      </w:numPr>
      <w:spacing w:before="40" w:after="0"/>
      <w:outlineLvl w:val="8"/>
    </w:pPr>
    <w:rPr>
      <w:rFonts w:ascii="Calibri Light" w:hAnsi="Calibri Light"/>
      <w:i/>
      <w:iCs/>
      <w:color w:val="1F386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efaultParagraphFont1">
    <w:name w:val="Default Paragraph Font1"/>
  </w:style>
  <w:style w:type="character" w:customStyle="1" w:styleId="OBEHeaderinformationChar">
    <w:name w:val="OBE Header information Char"/>
    <w:rPr>
      <w:b/>
      <w:sz w:val="28"/>
    </w:rPr>
  </w:style>
  <w:style w:type="character" w:customStyle="1" w:styleId="OBEBodyChar">
    <w:name w:val="OBE Body Char"/>
    <w:rPr>
      <w:b w:val="0"/>
      <w:sz w:val="24"/>
    </w:rPr>
  </w:style>
  <w:style w:type="character" w:customStyle="1" w:styleId="FooterChar">
    <w:name w:val="Footer Char"/>
    <w:rPr>
      <w:rFonts w:ascii="Calibri" w:eastAsia="Arial Unicode MS" w:hAnsi="Calibri" w:cs="Arial Unicode MS"/>
      <w:color w:val="00000A"/>
      <w:kern w:val="2"/>
      <w:lang w:eastAsia="en-GB"/>
    </w:rPr>
  </w:style>
  <w:style w:type="character" w:customStyle="1" w:styleId="Heading1Char">
    <w:name w:val="Heading 1 Char"/>
    <w:rPr>
      <w:rFonts w:ascii="Calibri Light" w:eastAsia="font1261" w:hAnsi="Calibri Light" w:cs="font1261"/>
      <w:color w:val="1F3864"/>
      <w:sz w:val="36"/>
      <w:szCs w:val="36"/>
    </w:rPr>
  </w:style>
  <w:style w:type="character" w:customStyle="1" w:styleId="OBESubtitle1sttierChar">
    <w:name w:val="OBE Subtitle 1st tier Char"/>
    <w:rPr>
      <w:rFonts w:ascii="Calibri Light" w:hAnsi="Calibri Light" w:cs="Calibri Light"/>
      <w:color w:val="323E4F"/>
      <w:sz w:val="36"/>
      <w:szCs w:val="36"/>
    </w:rPr>
  </w:style>
  <w:style w:type="character" w:customStyle="1" w:styleId="OBESubtitle2ndtierChar">
    <w:name w:val="OBE Subtitle 2nd tier Char"/>
    <w:rPr>
      <w:rFonts w:ascii="Calibri Light" w:hAnsi="Calibri Light" w:cs="Calibri Light"/>
      <w:i/>
      <w:color w:val="000000"/>
      <w:sz w:val="28"/>
      <w:szCs w:val="36"/>
      <w:u w:val="single"/>
    </w:rPr>
  </w:style>
  <w:style w:type="character" w:customStyle="1" w:styleId="Heading2Char">
    <w:name w:val="Heading 2 Char"/>
    <w:rPr>
      <w:rFonts w:ascii="Calibri Light" w:eastAsia="font1261" w:hAnsi="Calibri Light" w:cs="font1261"/>
      <w:color w:val="2F5496"/>
      <w:sz w:val="32"/>
      <w:szCs w:val="32"/>
    </w:rPr>
  </w:style>
  <w:style w:type="character" w:customStyle="1" w:styleId="Heading3Char">
    <w:name w:val="Heading 3 Char"/>
    <w:rPr>
      <w:rFonts w:ascii="Calibri Light" w:eastAsia="font1261" w:hAnsi="Calibri Light" w:cs="font1261"/>
      <w:color w:val="2F5496"/>
      <w:sz w:val="28"/>
      <w:szCs w:val="28"/>
    </w:rPr>
  </w:style>
  <w:style w:type="character" w:customStyle="1" w:styleId="Heading4Char">
    <w:name w:val="Heading 4 Char"/>
    <w:rPr>
      <w:rFonts w:ascii="Calibri Light" w:eastAsia="font1261" w:hAnsi="Calibri Light" w:cs="font1261"/>
      <w:color w:val="2F5496"/>
      <w:sz w:val="24"/>
      <w:szCs w:val="24"/>
    </w:rPr>
  </w:style>
  <w:style w:type="character" w:customStyle="1" w:styleId="Heading5Char">
    <w:name w:val="Heading 5 Char"/>
    <w:rPr>
      <w:rFonts w:ascii="Calibri Light" w:eastAsia="font1261" w:hAnsi="Calibri Light" w:cs="font1261"/>
      <w:caps/>
      <w:color w:val="2F5496"/>
    </w:rPr>
  </w:style>
  <w:style w:type="character" w:customStyle="1" w:styleId="Heading6Char">
    <w:name w:val="Heading 6 Char"/>
    <w:rPr>
      <w:rFonts w:ascii="Calibri Light" w:eastAsia="font1261" w:hAnsi="Calibri Light" w:cs="font1261"/>
      <w:i/>
      <w:iCs/>
      <w:caps/>
      <w:color w:val="1F3864"/>
    </w:rPr>
  </w:style>
  <w:style w:type="character" w:customStyle="1" w:styleId="Heading7Char">
    <w:name w:val="Heading 7 Char"/>
    <w:rPr>
      <w:rFonts w:ascii="Calibri Light" w:eastAsia="font1261" w:hAnsi="Calibri Light" w:cs="font1261"/>
      <w:b/>
      <w:bCs/>
      <w:color w:val="1F3864"/>
    </w:rPr>
  </w:style>
  <w:style w:type="character" w:customStyle="1" w:styleId="Heading8Char">
    <w:name w:val="Heading 8 Char"/>
    <w:rPr>
      <w:rFonts w:ascii="Calibri Light" w:eastAsia="font1261" w:hAnsi="Calibri Light" w:cs="font1261"/>
      <w:b/>
      <w:bCs/>
      <w:i/>
      <w:iCs/>
      <w:color w:val="1F3864"/>
    </w:rPr>
  </w:style>
  <w:style w:type="character" w:customStyle="1" w:styleId="Heading9Char">
    <w:name w:val="Heading 9 Char"/>
    <w:rPr>
      <w:rFonts w:ascii="Calibri Light" w:eastAsia="font1261" w:hAnsi="Calibri Light" w:cs="font1261"/>
      <w:i/>
      <w:iCs/>
      <w:color w:val="1F3864"/>
    </w:rPr>
  </w:style>
  <w:style w:type="character" w:customStyle="1" w:styleId="TitleChar">
    <w:name w:val="Title Char"/>
    <w:rPr>
      <w:rFonts w:ascii="Calibri Light" w:eastAsia="font1261" w:hAnsi="Calibri Light" w:cs="font1261"/>
      <w:caps/>
      <w:color w:val="44546A"/>
      <w:spacing w:val="-15"/>
      <w:sz w:val="72"/>
      <w:szCs w:val="72"/>
    </w:rPr>
  </w:style>
  <w:style w:type="character" w:customStyle="1" w:styleId="SubtitleChar">
    <w:name w:val="Subtitle Char"/>
    <w:rPr>
      <w:rFonts w:ascii="Calibri Light" w:eastAsia="font1261" w:hAnsi="Calibri Light" w:cs="font1261"/>
      <w:color w:val="4472C4"/>
      <w:sz w:val="28"/>
      <w:szCs w:val="28"/>
    </w:rPr>
  </w:style>
  <w:style w:type="character" w:customStyle="1" w:styleId="Strong1">
    <w:name w:val="Strong1"/>
    <w:rPr>
      <w:b/>
      <w:bCs/>
    </w:rPr>
  </w:style>
  <w:style w:type="character" w:styleId="Emphasis">
    <w:name w:val="Emphasis"/>
    <w:qFormat/>
    <w:rPr>
      <w:i/>
      <w:iCs/>
    </w:rPr>
  </w:style>
  <w:style w:type="character" w:customStyle="1" w:styleId="QuoteChar">
    <w:name w:val="Quote Char"/>
    <w:rPr>
      <w:color w:val="44546A"/>
      <w:sz w:val="24"/>
      <w:szCs w:val="24"/>
    </w:rPr>
  </w:style>
  <w:style w:type="character" w:customStyle="1" w:styleId="IntenseQuoteChar">
    <w:name w:val="Intense Quote Char"/>
    <w:rPr>
      <w:rFonts w:ascii="Calibri Light" w:eastAsia="font1261" w:hAnsi="Calibri Light" w:cs="font1261"/>
      <w:color w:val="44546A"/>
      <w:spacing w:val="-6"/>
      <w:sz w:val="32"/>
      <w:szCs w:val="32"/>
    </w:rPr>
  </w:style>
  <w:style w:type="character" w:styleId="SubtleEmphasis">
    <w:name w:val="Subtle Emphasis"/>
    <w:qFormat/>
    <w:rPr>
      <w:i/>
      <w:iCs/>
      <w:color w:val="595959"/>
    </w:rPr>
  </w:style>
  <w:style w:type="character" w:styleId="IntenseEmphasis">
    <w:name w:val="Intense Emphasis"/>
    <w:qFormat/>
    <w:rPr>
      <w:b/>
      <w:bCs/>
      <w:i/>
      <w:iCs/>
    </w:rPr>
  </w:style>
  <w:style w:type="character" w:styleId="SubtleReference">
    <w:name w:val="Subtle Reference"/>
    <w:qFormat/>
    <w:rPr>
      <w:smallCaps/>
      <w:color w:val="595959"/>
      <w:u w:val="none" w:color="7F7F7F"/>
    </w:rPr>
  </w:style>
  <w:style w:type="character" w:styleId="IntenseReference">
    <w:name w:val="Intense Reference"/>
    <w:qFormat/>
    <w:rPr>
      <w:b/>
      <w:bCs/>
      <w:smallCaps/>
      <w:color w:val="44546A"/>
      <w:u w:val="single"/>
    </w:rPr>
  </w:style>
  <w:style w:type="character" w:customStyle="1" w:styleId="HeaderChar">
    <w:name w:val="Header Char"/>
    <w:basedOn w:val="DefaultParagraphFont1"/>
  </w:style>
  <w:style w:type="character" w:customStyle="1" w:styleId="OBECOVERTITLEChar">
    <w:name w:val="OBE COVER TITLE Char"/>
    <w:rPr>
      <w:rFonts w:ascii="Calibri Light" w:eastAsia="font1261" w:hAnsi="Calibri Light" w:cs="font1261"/>
      <w:caps/>
      <w:color w:val="44546A"/>
      <w:spacing w:val="-15"/>
      <w:sz w:val="72"/>
      <w:szCs w:val="72"/>
    </w:rPr>
  </w:style>
  <w:style w:type="character" w:customStyle="1" w:styleId="OBETITLEChar">
    <w:name w:val="OBE TITLE Char"/>
    <w:rPr>
      <w:rFonts w:ascii="Calibri Light" w:eastAsia="font1261" w:hAnsi="Calibri Light" w:cs="font1261"/>
      <w:caps/>
      <w:color w:val="44546A"/>
      <w:spacing w:val="-15"/>
      <w:sz w:val="48"/>
      <w:szCs w:val="48"/>
    </w:rPr>
  </w:style>
  <w:style w:type="character" w:customStyle="1" w:styleId="FootnoteTextChar">
    <w:name w:val="Footnote Text Char"/>
    <w:rPr>
      <w:sz w:val="20"/>
      <w:szCs w:val="20"/>
    </w:rPr>
  </w:style>
  <w:style w:type="character" w:customStyle="1" w:styleId="FootnoteCharacters">
    <w:name w:val="Footnote Characters"/>
    <w:rPr>
      <w:vertAlign w:val="superscript"/>
    </w:rPr>
  </w:style>
  <w:style w:type="character" w:styleId="FootnoteReference">
    <w:name w:val="footnote reference"/>
    <w:rPr>
      <w:vertAlign w:val="superscript"/>
    </w:rPr>
  </w:style>
  <w:style w:type="character" w:styleId="Hyperlink">
    <w:name w:val="Hyperlink"/>
    <w:rPr>
      <w:color w:val="0563C1"/>
      <w:u w:val="single"/>
    </w:rPr>
  </w:style>
  <w:style w:type="character" w:customStyle="1" w:styleId="BalloonTextChar">
    <w:name w:val="Balloon Text Char"/>
    <w:rPr>
      <w:rFonts w:ascii="Segoe UI" w:hAnsi="Segoe UI" w:cs="Segoe UI"/>
      <w:sz w:val="18"/>
      <w:szCs w:val="18"/>
    </w:rPr>
  </w:style>
  <w:style w:type="character" w:customStyle="1" w:styleId="OBEFootnoteChar">
    <w:name w:val="OBE Footnote Char"/>
    <w:rPr>
      <w:sz w:val="20"/>
      <w:szCs w:val="20"/>
    </w:rPr>
  </w:style>
  <w:style w:type="character" w:customStyle="1" w:styleId="CaptionChar">
    <w:name w:val="Caption Char"/>
    <w:rPr>
      <w:b/>
      <w:bCs/>
      <w:smallCaps/>
      <w:color w:val="44546A"/>
    </w:rPr>
  </w:style>
  <w:style w:type="character" w:customStyle="1" w:styleId="OBElegendfiguresChar">
    <w:name w:val="OBE legend figures Char"/>
    <w:rPr>
      <w:b/>
      <w:bCs/>
      <w:i/>
      <w:smallCaps/>
      <w:color w:val="44546A"/>
    </w:rPr>
  </w:style>
  <w:style w:type="character" w:customStyle="1" w:styleId="OBElegendtablesChar">
    <w:name w:val="OBE legend tables Char"/>
    <w:rPr>
      <w:b/>
      <w:bCs/>
      <w:i/>
      <w:smallCaps/>
      <w:color w:val="44546A"/>
    </w:rPr>
  </w:style>
  <w:style w:type="character" w:styleId="UnresolvedMention">
    <w:name w:val="Unresolved Mention"/>
    <w:rPr>
      <w:color w:val="605E5C"/>
      <w:shd w:val="clear" w:color="auto" w:fill="E1DFDD"/>
    </w:rPr>
  </w:style>
  <w:style w:type="character" w:customStyle="1" w:styleId="ListLabel1">
    <w:name w:val="ListLabel 1"/>
    <w:rPr>
      <w:rFonts w:cs="Courier New"/>
    </w:rPr>
  </w:style>
  <w:style w:type="character" w:customStyle="1" w:styleId="ListLabel2">
    <w:name w:val="ListLabel 2"/>
    <w:rPr>
      <w:rFonts w:cs="Courier New"/>
    </w:rPr>
  </w:style>
  <w:style w:type="character" w:customStyle="1" w:styleId="ListLabel3">
    <w:name w:val="ListLabel 3"/>
    <w:rPr>
      <w:rFonts w:cs="Courier New"/>
    </w:rPr>
  </w:style>
  <w:style w:type="character" w:customStyle="1" w:styleId="ListLabel4">
    <w:name w:val="ListLabel 4"/>
    <w:rPr>
      <w:rFonts w:eastAsia="font1261" w:cs="Calibri"/>
    </w:rPr>
  </w:style>
  <w:style w:type="character" w:customStyle="1" w:styleId="ListLabel5">
    <w:name w:val="ListLabel 5"/>
    <w:rPr>
      <w:rFonts w:cs="Courier New"/>
    </w:rPr>
  </w:style>
  <w:style w:type="character" w:customStyle="1" w:styleId="ListLabel6">
    <w:name w:val="ListLabel 6"/>
    <w:rPr>
      <w:rFonts w:cs="Courier New"/>
    </w:rPr>
  </w:style>
  <w:style w:type="character" w:customStyle="1" w:styleId="ListLabel7">
    <w:name w:val="ListLabel 7"/>
    <w:rPr>
      <w:rFonts w:cs="Courier New"/>
    </w:rPr>
  </w:style>
  <w:style w:type="character" w:customStyle="1" w:styleId="EndnoteCharacters">
    <w:name w:val="Endnote Characters"/>
    <w:rPr>
      <w:vertAlign w:val="superscript"/>
    </w:rPr>
  </w:style>
  <w:style w:type="character" w:customStyle="1" w:styleId="WW-EndnoteCharacters">
    <w:name w:val="WW-Endnote Characters"/>
  </w:style>
  <w:style w:type="character" w:styleId="EndnoteReference">
    <w:name w:val="endnote reference"/>
    <w:rPr>
      <w:vertAlign w:val="superscript"/>
    </w:rPr>
  </w:style>
  <w:style w:type="character" w:styleId="LineNumber">
    <w:name w:val="line number"/>
  </w:style>
  <w:style w:type="paragraph" w:customStyle="1" w:styleId="Heading">
    <w:name w:val="Heading"/>
    <w:basedOn w:val="Normal"/>
    <w:next w:val="BodyText"/>
    <w:pPr>
      <w:keepNext/>
      <w:spacing w:before="240" w:after="120"/>
    </w:pPr>
    <w:rPr>
      <w:rFonts w:ascii="Liberation Sans" w:eastAsia="Arial Unicode MS" w:hAnsi="Liberation Sans" w:cs="Arial Unicode MS"/>
      <w:sz w:val="28"/>
      <w:szCs w:val="28"/>
    </w:rPr>
  </w:style>
  <w:style w:type="paragraph" w:styleId="BodyText">
    <w:name w:val="Body Text"/>
    <w:basedOn w:val="Normal"/>
    <w:pPr>
      <w:spacing w:after="140" w:line="288" w:lineRule="auto"/>
    </w:pPr>
  </w:style>
  <w:style w:type="paragraph" w:styleId="List">
    <w:name w:val="List"/>
    <w:basedOn w:val="BodyText"/>
  </w:style>
  <w:style w:type="paragraph" w:styleId="Caption">
    <w:name w:val="caption"/>
    <w:basedOn w:val="Normal"/>
    <w:qFormat/>
    <w:pPr>
      <w:suppressLineNumbers/>
      <w:spacing w:before="120" w:after="120"/>
    </w:pPr>
    <w:rPr>
      <w:i/>
      <w:iCs/>
      <w:sz w:val="24"/>
      <w:szCs w:val="24"/>
    </w:rPr>
  </w:style>
  <w:style w:type="paragraph" w:customStyle="1" w:styleId="Index">
    <w:name w:val="Index"/>
    <w:basedOn w:val="Normal"/>
    <w:pPr>
      <w:suppressLineNumbers/>
    </w:pPr>
  </w:style>
  <w:style w:type="paragraph" w:customStyle="1" w:styleId="OBEHeaderinformation">
    <w:name w:val="OBE Header information"/>
    <w:basedOn w:val="Normal"/>
    <w:pPr>
      <w:jc w:val="center"/>
    </w:pPr>
    <w:rPr>
      <w:b/>
      <w:sz w:val="28"/>
    </w:rPr>
  </w:style>
  <w:style w:type="paragraph" w:customStyle="1" w:styleId="OBEBody">
    <w:name w:val="OBE Body"/>
    <w:pPr>
      <w:suppressAutoHyphens/>
      <w:spacing w:after="180" w:line="360" w:lineRule="auto"/>
      <w:jc w:val="both"/>
    </w:pPr>
    <w:rPr>
      <w:rFonts w:ascii="Calibri" w:eastAsia="font1261" w:hAnsi="Calibri" w:cs="font1261"/>
      <w:color w:val="00000A"/>
      <w:sz w:val="24"/>
      <w:szCs w:val="22"/>
      <w:lang w:eastAsia="en-US"/>
    </w:rPr>
  </w:style>
  <w:style w:type="paragraph" w:customStyle="1" w:styleId="OBESubtitle1sttier">
    <w:name w:val="OBE Subtitle 1st tier"/>
    <w:pPr>
      <w:suppressAutoHyphens/>
      <w:outlineLvl w:val="0"/>
    </w:pPr>
    <w:rPr>
      <w:rFonts w:ascii="Calibri Light" w:eastAsia="font1261" w:hAnsi="Calibri Light" w:cs="Calibri Light"/>
      <w:color w:val="323E4F"/>
      <w:sz w:val="36"/>
      <w:szCs w:val="36"/>
      <w:lang w:eastAsia="en-US"/>
    </w:rPr>
  </w:style>
  <w:style w:type="paragraph" w:customStyle="1" w:styleId="HeaderandFooter">
    <w:name w:val="Header and Footer"/>
    <w:basedOn w:val="Normal"/>
  </w:style>
  <w:style w:type="paragraph" w:styleId="Footer">
    <w:name w:val="footer"/>
    <w:basedOn w:val="Normal"/>
    <w:pPr>
      <w:tabs>
        <w:tab w:val="center" w:pos="4513"/>
        <w:tab w:val="right" w:pos="9026"/>
      </w:tabs>
      <w:spacing w:after="0" w:line="240" w:lineRule="auto"/>
    </w:pPr>
  </w:style>
  <w:style w:type="paragraph" w:customStyle="1" w:styleId="OBEBibliography">
    <w:name w:val="OBE Bibliography"/>
    <w:basedOn w:val="OBEHeaderinformation"/>
    <w:pPr>
      <w:spacing w:after="240" w:line="240" w:lineRule="auto"/>
      <w:jc w:val="both"/>
    </w:pPr>
    <w:rPr>
      <w:rFonts w:eastAsia="Calibri" w:cs="Times New Roman"/>
      <w:b w:val="0"/>
      <w:kern w:val="2"/>
      <w:sz w:val="24"/>
      <w:lang w:val="en-US"/>
    </w:rPr>
  </w:style>
  <w:style w:type="paragraph" w:customStyle="1" w:styleId="OBESubtitle2ndtier">
    <w:name w:val="OBE Subtitle 2nd tier"/>
    <w:qFormat/>
    <w:pPr>
      <w:suppressAutoHyphens/>
      <w:outlineLvl w:val="1"/>
    </w:pPr>
    <w:rPr>
      <w:rFonts w:ascii="Calibri Light" w:eastAsia="font1261" w:hAnsi="Calibri Light" w:cs="Calibri Light"/>
      <w:i/>
      <w:color w:val="000000"/>
      <w:sz w:val="28"/>
      <w:szCs w:val="36"/>
      <w:u w:val="single"/>
      <w:lang w:eastAsia="en-US"/>
    </w:rPr>
  </w:style>
  <w:style w:type="paragraph" w:customStyle="1" w:styleId="caption0">
    <w:name w:val="caption"/>
    <w:basedOn w:val="Normal"/>
    <w:next w:val="Normal"/>
    <w:pPr>
      <w:spacing w:line="240" w:lineRule="auto"/>
    </w:pPr>
    <w:rPr>
      <w:b/>
      <w:bCs/>
      <w:smallCaps/>
      <w:color w:val="44546A"/>
    </w:rPr>
  </w:style>
  <w:style w:type="paragraph" w:styleId="Title">
    <w:name w:val="Title"/>
    <w:basedOn w:val="Normal"/>
    <w:next w:val="Normal"/>
    <w:qFormat/>
    <w:pPr>
      <w:spacing w:after="0" w:line="204" w:lineRule="auto"/>
      <w:contextualSpacing/>
    </w:pPr>
    <w:rPr>
      <w:rFonts w:ascii="Calibri Light" w:hAnsi="Calibri Light"/>
      <w:caps/>
      <w:color w:val="44546A"/>
      <w:spacing w:val="-15"/>
      <w:sz w:val="72"/>
      <w:szCs w:val="72"/>
    </w:rPr>
  </w:style>
  <w:style w:type="paragraph" w:styleId="Subtitle">
    <w:name w:val="Subtitle"/>
    <w:basedOn w:val="Normal"/>
    <w:next w:val="Normal"/>
    <w:qFormat/>
    <w:pPr>
      <w:spacing w:after="240" w:line="240" w:lineRule="auto"/>
    </w:pPr>
    <w:rPr>
      <w:rFonts w:ascii="Calibri Light" w:hAnsi="Calibri Light"/>
      <w:color w:val="4472C4"/>
      <w:sz w:val="28"/>
      <w:szCs w:val="28"/>
    </w:rPr>
  </w:style>
  <w:style w:type="paragraph" w:styleId="Header">
    <w:name w:val="header"/>
    <w:basedOn w:val="Normal"/>
    <w:pPr>
      <w:tabs>
        <w:tab w:val="center" w:pos="4513"/>
        <w:tab w:val="right" w:pos="9026"/>
      </w:tabs>
      <w:spacing w:after="0" w:line="240" w:lineRule="auto"/>
    </w:pPr>
  </w:style>
  <w:style w:type="paragraph" w:styleId="Quote">
    <w:name w:val="Quote"/>
    <w:basedOn w:val="Normal"/>
    <w:next w:val="Normal"/>
    <w:qFormat/>
    <w:pPr>
      <w:spacing w:before="120" w:after="120"/>
      <w:ind w:left="720"/>
    </w:pPr>
    <w:rPr>
      <w:color w:val="44546A"/>
      <w:sz w:val="24"/>
      <w:szCs w:val="24"/>
    </w:rPr>
  </w:style>
  <w:style w:type="paragraph" w:styleId="IntenseQuote">
    <w:name w:val="Intense Quote"/>
    <w:basedOn w:val="Normal"/>
    <w:next w:val="Normal"/>
    <w:qFormat/>
    <w:pPr>
      <w:spacing w:before="280" w:after="240" w:line="240" w:lineRule="auto"/>
      <w:ind w:left="720"/>
      <w:jc w:val="center"/>
    </w:pPr>
    <w:rPr>
      <w:rFonts w:ascii="Calibri Light" w:hAnsi="Calibri Light"/>
      <w:color w:val="44546A"/>
      <w:spacing w:val="-6"/>
      <w:sz w:val="32"/>
      <w:szCs w:val="32"/>
    </w:rPr>
  </w:style>
  <w:style w:type="paragraph" w:styleId="FootnoteText">
    <w:name w:val="footnote text"/>
    <w:basedOn w:val="Normal"/>
    <w:pPr>
      <w:spacing w:after="0" w:line="240" w:lineRule="auto"/>
    </w:pPr>
    <w:rPr>
      <w:sz w:val="20"/>
      <w:szCs w:val="20"/>
    </w:rPr>
  </w:style>
  <w:style w:type="paragraph" w:customStyle="1" w:styleId="OBEFootnote">
    <w:name w:val="OBE Footnote"/>
    <w:basedOn w:val="FootnoteText"/>
    <w:pPr>
      <w:spacing w:after="120"/>
    </w:pPr>
  </w:style>
  <w:style w:type="paragraph" w:styleId="IndexHeading">
    <w:name w:val="index heading"/>
    <w:basedOn w:val="Heading"/>
  </w:style>
  <w:style w:type="paragraph" w:styleId="TOAHeading">
    <w:name w:val="toa heading"/>
    <w:basedOn w:val="Heading1"/>
    <w:next w:val="Normal"/>
    <w:pPr>
      <w:numPr>
        <w:numId w:val="0"/>
      </w:numPr>
      <w:outlineLvl w:val="9"/>
    </w:pPr>
  </w:style>
  <w:style w:type="paragraph" w:customStyle="1" w:styleId="OBECOVERTITLE">
    <w:name w:val="OBE COVER TITLE"/>
    <w:basedOn w:val="Title"/>
    <w:qFormat/>
    <w:pPr>
      <w:jc w:val="center"/>
    </w:pPr>
  </w:style>
  <w:style w:type="paragraph" w:styleId="NormalWeb">
    <w:name w:val="Normal (Web)"/>
    <w:basedOn w:val="Normal"/>
    <w:pPr>
      <w:spacing w:before="280" w:after="280" w:line="240" w:lineRule="auto"/>
    </w:pPr>
    <w:rPr>
      <w:rFonts w:ascii="Times New Roman" w:eastAsia="Times New Roman" w:hAnsi="Times New Roman" w:cs="Times New Roman"/>
      <w:sz w:val="24"/>
      <w:szCs w:val="24"/>
      <w:lang w:eastAsia="en-GB"/>
    </w:rPr>
  </w:style>
  <w:style w:type="paragraph" w:customStyle="1" w:styleId="OBETITLE">
    <w:name w:val="OBE TITLE"/>
    <w:pPr>
      <w:suppressAutoHyphens/>
      <w:spacing w:after="240"/>
      <w:jc w:val="center"/>
      <w:outlineLvl w:val="0"/>
    </w:pPr>
    <w:rPr>
      <w:rFonts w:ascii="Calibri Light" w:eastAsia="font1261" w:hAnsi="Calibri Light" w:cs="font1261"/>
      <w:caps/>
      <w:color w:val="44546A"/>
      <w:spacing w:val="-15"/>
      <w:sz w:val="48"/>
      <w:szCs w:val="48"/>
      <w:lang w:eastAsia="en-US"/>
    </w:rPr>
  </w:style>
  <w:style w:type="paragraph" w:styleId="TOC1">
    <w:name w:val="toc 1"/>
    <w:basedOn w:val="Normal"/>
    <w:next w:val="Normal"/>
    <w:pPr>
      <w:tabs>
        <w:tab w:val="right" w:leader="dot" w:pos="9016"/>
      </w:tabs>
      <w:spacing w:after="100"/>
    </w:pPr>
  </w:style>
  <w:style w:type="paragraph" w:customStyle="1" w:styleId="OBElegendfigures">
    <w:name w:val="OBE legend figures"/>
    <w:basedOn w:val="caption0"/>
    <w:rPr>
      <w:i/>
    </w:rPr>
  </w:style>
  <w:style w:type="paragraph" w:styleId="TOC2">
    <w:name w:val="toc 2"/>
    <w:basedOn w:val="Normal"/>
    <w:next w:val="Normal"/>
    <w:pPr>
      <w:spacing w:after="100"/>
      <w:ind w:left="220"/>
    </w:pPr>
  </w:style>
  <w:style w:type="paragraph" w:customStyle="1" w:styleId="OBESubtitle3rdtier">
    <w:name w:val="OBE Subtitle 3rd tier"/>
    <w:pPr>
      <w:suppressAutoHyphens/>
      <w:outlineLvl w:val="2"/>
    </w:pPr>
    <w:rPr>
      <w:rFonts w:ascii="Calibri" w:eastAsia="font1261" w:hAnsi="Calibri" w:cs="Calibri"/>
      <w:i/>
      <w:color w:val="00000A"/>
      <w:sz w:val="24"/>
      <w:szCs w:val="24"/>
      <w:u w:val="single"/>
      <w:lang w:eastAsia="en-US"/>
    </w:rPr>
  </w:style>
  <w:style w:type="paragraph" w:styleId="TOC3">
    <w:name w:val="toc 3"/>
    <w:basedOn w:val="Normal"/>
    <w:next w:val="Normal"/>
    <w:pPr>
      <w:spacing w:after="100"/>
      <w:ind w:left="440"/>
    </w:pPr>
  </w:style>
  <w:style w:type="paragraph" w:customStyle="1" w:styleId="tableoffigures">
    <w:name w:val="table of figures"/>
    <w:basedOn w:val="Normal"/>
    <w:next w:val="Normal"/>
    <w:pPr>
      <w:spacing w:after="0"/>
    </w:pPr>
  </w:style>
  <w:style w:type="paragraph" w:styleId="BalloonText">
    <w:name w:val="Balloon Text"/>
    <w:basedOn w:val="Normal"/>
    <w:pPr>
      <w:spacing w:after="0" w:line="240" w:lineRule="auto"/>
    </w:pPr>
    <w:rPr>
      <w:rFonts w:ascii="Segoe UI" w:hAnsi="Segoe UI" w:cs="Segoe UI"/>
      <w:sz w:val="18"/>
      <w:szCs w:val="18"/>
    </w:rPr>
  </w:style>
  <w:style w:type="paragraph" w:customStyle="1" w:styleId="OBElegendtables">
    <w:name w:val="OBE legend tables"/>
    <w:basedOn w:val="OBElegendfigures"/>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2262</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15126</CharactersWithSpaces>
  <SharedDoc>false</SharedDoc>
  <HLinks>
    <vt:vector size="6" baseType="variant">
      <vt:variant>
        <vt:i4>3080254</vt:i4>
      </vt:variant>
      <vt:variant>
        <vt:i4>0</vt:i4>
      </vt:variant>
      <vt:variant>
        <vt:i4>0</vt:i4>
      </vt:variant>
      <vt:variant>
        <vt:i4>5</vt:i4>
      </vt:variant>
      <vt:variant>
        <vt:lpwstr>https://www.oxbridgeessays.com/fair-use-policy/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cp:lastPrinted>1601-01-01T00:00:00Z</cp:lastPrinted>
  <dcterms:created xsi:type="dcterms:W3CDTF">2023-11-15T18:17:00Z</dcterms:created>
  <dcterms:modified xsi:type="dcterms:W3CDTF">2023-11-15T18:22:00Z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