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horzAnchor="margin" w:tblpXSpec="center" w:tblpY="84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0553" w:rsidRPr="00A406E5" w14:paraId="00265D4D" w14:textId="77777777" w:rsidTr="005F0553">
        <w:tc>
          <w:tcPr>
            <w:tcW w:w="2093" w:type="dxa"/>
            <w:shd w:val="clear" w:color="auto" w:fill="auto"/>
          </w:tcPr>
          <w:p w14:paraId="114E7579" w14:textId="77777777" w:rsidR="005F0553" w:rsidRPr="00A406E5" w:rsidRDefault="005F0553" w:rsidP="005F0553">
            <w:pPr>
              <w:spacing w:before="120" w:after="120"/>
              <w:jc w:val="both"/>
              <w:rPr>
                <w:rFonts w:ascii="Arial" w:hAnsi="Arial" w:cs="Arial"/>
                <w:b/>
              </w:rPr>
            </w:pPr>
            <w:r w:rsidRPr="00A406E5">
              <w:rPr>
                <w:rFonts w:ascii="Arial" w:hAnsi="Arial" w:cs="Arial"/>
                <w:b/>
              </w:rPr>
              <w:t>Student name:</w:t>
            </w:r>
          </w:p>
        </w:tc>
        <w:tc>
          <w:tcPr>
            <w:tcW w:w="3293" w:type="dxa"/>
          </w:tcPr>
          <w:p w14:paraId="09FD59F5" w14:textId="4DE57EB2" w:rsidR="005F0553" w:rsidRPr="00A406E5" w:rsidRDefault="005F0553" w:rsidP="005F0553">
            <w:pPr>
              <w:spacing w:before="120" w:after="120"/>
              <w:jc w:val="both"/>
              <w:rPr>
                <w:rFonts w:ascii="Arial" w:hAnsi="Arial" w:cs="Arial"/>
                <w:b/>
              </w:rPr>
            </w:pPr>
            <w:r>
              <w:rPr>
                <w:rFonts w:ascii="Arial" w:hAnsi="Arial" w:cs="Arial"/>
                <w:b/>
              </w:rPr>
              <w:t>Nicoleta Mocanu</w:t>
            </w:r>
          </w:p>
        </w:tc>
        <w:tc>
          <w:tcPr>
            <w:tcW w:w="2268" w:type="dxa"/>
            <w:shd w:val="clear" w:color="auto" w:fill="D9D9D9" w:themeFill="background1" w:themeFillShade="D9"/>
          </w:tcPr>
          <w:p w14:paraId="5770CBEB" w14:textId="77777777" w:rsidR="005F0553" w:rsidRPr="00A406E5" w:rsidRDefault="005F0553" w:rsidP="005F0553">
            <w:pPr>
              <w:spacing w:before="120" w:after="120"/>
              <w:jc w:val="both"/>
              <w:rPr>
                <w:rFonts w:ascii="Arial" w:hAnsi="Arial" w:cs="Arial"/>
                <w:b/>
              </w:rPr>
            </w:pPr>
            <w:r w:rsidRPr="00A406E5">
              <w:rPr>
                <w:rFonts w:ascii="Arial" w:hAnsi="Arial" w:cs="Arial"/>
                <w:b/>
              </w:rPr>
              <w:t>Student ID number:</w:t>
            </w:r>
          </w:p>
        </w:tc>
        <w:tc>
          <w:tcPr>
            <w:tcW w:w="2268" w:type="dxa"/>
          </w:tcPr>
          <w:p w14:paraId="1D4BCDE4" w14:textId="3888EAB4" w:rsidR="005F0553" w:rsidRPr="00A406E5" w:rsidRDefault="00FC4B67" w:rsidP="005F0553">
            <w:pPr>
              <w:spacing w:before="120" w:after="120"/>
              <w:jc w:val="both"/>
              <w:rPr>
                <w:rFonts w:ascii="Arial" w:hAnsi="Arial" w:cs="Arial"/>
                <w:b/>
              </w:rPr>
            </w:pPr>
            <w:r>
              <w:rPr>
                <w:rFonts w:ascii="Arial" w:hAnsi="Arial" w:cs="Arial"/>
                <w:b/>
              </w:rPr>
              <w:t>2118432</w:t>
            </w:r>
          </w:p>
        </w:tc>
      </w:tr>
      <w:tr w:rsidR="005F0553" w:rsidRPr="00A406E5" w14:paraId="7044FEBA" w14:textId="77777777" w:rsidTr="005F0553">
        <w:tc>
          <w:tcPr>
            <w:tcW w:w="2093" w:type="dxa"/>
            <w:shd w:val="clear" w:color="auto" w:fill="auto"/>
          </w:tcPr>
          <w:p w14:paraId="5AD612A9" w14:textId="77777777" w:rsidR="005F0553" w:rsidRPr="00A406E5" w:rsidRDefault="005F0553" w:rsidP="005F0553">
            <w:pPr>
              <w:spacing w:before="120" w:after="120"/>
              <w:jc w:val="both"/>
              <w:rPr>
                <w:rFonts w:ascii="Arial" w:hAnsi="Arial" w:cs="Arial"/>
                <w:b/>
              </w:rPr>
            </w:pPr>
            <w:r w:rsidRPr="00A406E5">
              <w:rPr>
                <w:rFonts w:ascii="Arial" w:hAnsi="Arial" w:cs="Arial"/>
                <w:b/>
              </w:rPr>
              <w:t>Programme:</w:t>
            </w:r>
          </w:p>
        </w:tc>
        <w:tc>
          <w:tcPr>
            <w:tcW w:w="7829" w:type="dxa"/>
            <w:gridSpan w:val="3"/>
          </w:tcPr>
          <w:p w14:paraId="6196C65E" w14:textId="77777777" w:rsidR="005F0553" w:rsidRPr="00A406E5" w:rsidRDefault="005F0553" w:rsidP="005F0553">
            <w:pPr>
              <w:spacing w:before="120" w:after="120"/>
              <w:jc w:val="both"/>
              <w:rPr>
                <w:rFonts w:ascii="Arial" w:hAnsi="Arial" w:cs="Arial"/>
                <w:b/>
              </w:rPr>
            </w:pPr>
            <w:r>
              <w:rPr>
                <w:rFonts w:ascii="Arial" w:hAnsi="Arial" w:cs="Arial"/>
                <w:b/>
              </w:rPr>
              <w:t xml:space="preserve">BA Leadership and Management </w:t>
            </w:r>
          </w:p>
        </w:tc>
      </w:tr>
      <w:tr w:rsidR="005F0553" w:rsidRPr="00A406E5" w14:paraId="49C20205" w14:textId="77777777" w:rsidTr="005F0553">
        <w:tc>
          <w:tcPr>
            <w:tcW w:w="2093" w:type="dxa"/>
            <w:shd w:val="clear" w:color="auto" w:fill="auto"/>
          </w:tcPr>
          <w:p w14:paraId="21ED2C12" w14:textId="77777777" w:rsidR="005F0553" w:rsidRPr="00A406E5" w:rsidRDefault="005F0553" w:rsidP="005F055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2C063D1" w14:textId="77777777" w:rsidR="005F0553" w:rsidRPr="00A406E5" w:rsidRDefault="005F0553" w:rsidP="005F0553">
            <w:pPr>
              <w:spacing w:before="120" w:after="120"/>
              <w:jc w:val="both"/>
              <w:rPr>
                <w:rFonts w:ascii="Arial" w:hAnsi="Arial" w:cs="Arial"/>
                <w:b/>
              </w:rPr>
            </w:pPr>
            <w:r>
              <w:rPr>
                <w:rFonts w:ascii="Arial" w:hAnsi="Arial" w:cs="Arial"/>
                <w:b/>
              </w:rPr>
              <w:t>Coaching and Mentoring Skills for the Workplace</w:t>
            </w:r>
          </w:p>
        </w:tc>
      </w:tr>
      <w:tr w:rsidR="005F0553" w:rsidRPr="00A406E5" w14:paraId="0645DE59" w14:textId="77777777" w:rsidTr="005F0553">
        <w:tc>
          <w:tcPr>
            <w:tcW w:w="2093" w:type="dxa"/>
            <w:shd w:val="clear" w:color="auto" w:fill="auto"/>
          </w:tcPr>
          <w:p w14:paraId="32D46364" w14:textId="77777777" w:rsidR="005F0553" w:rsidRPr="00A406E5" w:rsidRDefault="005F0553" w:rsidP="005F0553">
            <w:pPr>
              <w:spacing w:before="120" w:after="120"/>
              <w:jc w:val="both"/>
              <w:rPr>
                <w:rFonts w:ascii="Arial" w:hAnsi="Arial" w:cs="Arial"/>
                <w:b/>
              </w:rPr>
            </w:pPr>
            <w:r w:rsidRPr="00A406E5">
              <w:rPr>
                <w:rFonts w:ascii="Arial" w:hAnsi="Arial" w:cs="Arial"/>
                <w:b/>
              </w:rPr>
              <w:t>Module code:</w:t>
            </w:r>
          </w:p>
        </w:tc>
        <w:tc>
          <w:tcPr>
            <w:tcW w:w="3293" w:type="dxa"/>
          </w:tcPr>
          <w:p w14:paraId="18F5CA8C" w14:textId="77777777" w:rsidR="005F0553" w:rsidRPr="00A406E5" w:rsidRDefault="005F0553" w:rsidP="005F0553">
            <w:pPr>
              <w:spacing w:before="120" w:after="120"/>
              <w:jc w:val="both"/>
              <w:rPr>
                <w:rFonts w:ascii="Arial" w:hAnsi="Arial" w:cs="Arial"/>
                <w:b/>
              </w:rPr>
            </w:pPr>
            <w:r>
              <w:rPr>
                <w:rFonts w:ascii="Arial" w:hAnsi="Arial" w:cs="Arial"/>
                <w:b/>
              </w:rPr>
              <w:t>BMSW6105</w:t>
            </w:r>
          </w:p>
        </w:tc>
        <w:tc>
          <w:tcPr>
            <w:tcW w:w="2268" w:type="dxa"/>
            <w:shd w:val="clear" w:color="auto" w:fill="D9D9D9" w:themeFill="background1" w:themeFillShade="D9"/>
          </w:tcPr>
          <w:p w14:paraId="286820D2" w14:textId="77777777" w:rsidR="005F0553" w:rsidRPr="004D5E9B" w:rsidRDefault="005F0553" w:rsidP="005F055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BFE876" w14:textId="77777777" w:rsidR="005F0553" w:rsidRPr="00A406E5" w:rsidRDefault="005F0553" w:rsidP="005F0553">
            <w:pPr>
              <w:spacing w:before="120" w:after="120"/>
              <w:jc w:val="both"/>
              <w:rPr>
                <w:rFonts w:ascii="Arial" w:hAnsi="Arial" w:cs="Arial"/>
                <w:b/>
              </w:rPr>
            </w:pPr>
            <w:r>
              <w:rPr>
                <w:rFonts w:ascii="Arial" w:hAnsi="Arial" w:cs="Arial"/>
                <w:b/>
              </w:rPr>
              <w:t>100%</w:t>
            </w:r>
          </w:p>
        </w:tc>
      </w:tr>
      <w:tr w:rsidR="005F0553" w:rsidRPr="00A406E5" w14:paraId="3A026949" w14:textId="77777777" w:rsidTr="005F0553">
        <w:tc>
          <w:tcPr>
            <w:tcW w:w="2093" w:type="dxa"/>
            <w:shd w:val="clear" w:color="auto" w:fill="auto"/>
          </w:tcPr>
          <w:p w14:paraId="416FA9E4" w14:textId="77777777" w:rsidR="005F0553" w:rsidRDefault="005F0553" w:rsidP="005F0553">
            <w:pPr>
              <w:spacing w:before="120" w:after="120"/>
              <w:jc w:val="both"/>
              <w:rPr>
                <w:rFonts w:ascii="Arial" w:eastAsia="Arial" w:hAnsi="Arial" w:cs="Arial"/>
                <w:color w:val="000000" w:themeColor="text1"/>
              </w:rPr>
            </w:pPr>
            <w:r w:rsidRPr="2B14198C">
              <w:rPr>
                <w:rFonts w:ascii="Arial" w:eastAsia="Arial" w:hAnsi="Arial" w:cs="Arial"/>
                <w:b/>
                <w:bCs/>
                <w:color w:val="000000" w:themeColor="text1"/>
              </w:rPr>
              <w:t xml:space="preserve"> Lecturer:</w:t>
            </w:r>
          </w:p>
        </w:tc>
        <w:tc>
          <w:tcPr>
            <w:tcW w:w="3293" w:type="dxa"/>
          </w:tcPr>
          <w:p w14:paraId="73D55416" w14:textId="77777777" w:rsidR="005F0553" w:rsidRDefault="005F0553" w:rsidP="005F0553">
            <w:pPr>
              <w:spacing w:before="120" w:after="120"/>
              <w:jc w:val="both"/>
              <w:rPr>
                <w:rFonts w:ascii="Arial" w:eastAsia="Arial" w:hAnsi="Arial" w:cs="Arial"/>
                <w:b/>
                <w:bCs/>
                <w:color w:val="000000" w:themeColor="text1"/>
              </w:rPr>
            </w:pPr>
            <w:proofErr w:type="spellStart"/>
            <w:r w:rsidRPr="60669E35">
              <w:rPr>
                <w:rFonts w:ascii="Arial" w:eastAsia="Arial" w:hAnsi="Arial" w:cs="Arial"/>
                <w:b/>
                <w:bCs/>
                <w:color w:val="000000" w:themeColor="text1"/>
              </w:rPr>
              <w:t>Dr.</w:t>
            </w:r>
            <w:proofErr w:type="spellEnd"/>
            <w:r w:rsidRPr="60669E35">
              <w:rPr>
                <w:rFonts w:ascii="Arial" w:eastAsia="Arial" w:hAnsi="Arial" w:cs="Arial"/>
                <w:b/>
                <w:bCs/>
                <w:color w:val="000000" w:themeColor="text1"/>
              </w:rPr>
              <w:t xml:space="preserve"> Dennis </w:t>
            </w:r>
            <w:proofErr w:type="spellStart"/>
            <w:r w:rsidRPr="60669E35">
              <w:rPr>
                <w:rFonts w:ascii="Arial" w:eastAsia="Arial" w:hAnsi="Arial" w:cs="Arial"/>
                <w:b/>
                <w:bCs/>
                <w:color w:val="000000" w:themeColor="text1"/>
              </w:rPr>
              <w:t>Pepple</w:t>
            </w:r>
            <w:proofErr w:type="spellEnd"/>
            <w:r w:rsidRPr="60669E35">
              <w:rPr>
                <w:rFonts w:ascii="Arial" w:eastAsia="Arial" w:hAnsi="Arial" w:cs="Arial"/>
                <w:b/>
                <w:bCs/>
                <w:color w:val="000000" w:themeColor="text1"/>
              </w:rPr>
              <w:t xml:space="preserve"> and </w:t>
            </w:r>
            <w:proofErr w:type="spellStart"/>
            <w:r w:rsidRPr="60669E35">
              <w:rPr>
                <w:rFonts w:ascii="Arial" w:eastAsia="Arial" w:hAnsi="Arial" w:cs="Arial"/>
                <w:b/>
                <w:bCs/>
                <w:color w:val="000000" w:themeColor="text1"/>
              </w:rPr>
              <w:t>Dr.</w:t>
            </w:r>
            <w:proofErr w:type="spellEnd"/>
            <w:r w:rsidRPr="60669E35">
              <w:rPr>
                <w:rFonts w:ascii="Arial" w:eastAsia="Arial" w:hAnsi="Arial" w:cs="Arial"/>
                <w:b/>
                <w:bCs/>
                <w:color w:val="000000" w:themeColor="text1"/>
              </w:rPr>
              <w:t xml:space="preserve"> </w:t>
            </w:r>
            <w:proofErr w:type="spellStart"/>
            <w:r w:rsidRPr="60669E35">
              <w:rPr>
                <w:rFonts w:ascii="Arial" w:eastAsia="Arial" w:hAnsi="Arial" w:cs="Arial"/>
                <w:b/>
                <w:bCs/>
                <w:color w:val="000000" w:themeColor="text1"/>
              </w:rPr>
              <w:t>Faizu</w:t>
            </w:r>
            <w:proofErr w:type="spellEnd"/>
            <w:r w:rsidRPr="60669E35">
              <w:rPr>
                <w:rFonts w:ascii="Arial" w:eastAsia="Arial" w:hAnsi="Arial" w:cs="Arial"/>
                <w:b/>
                <w:bCs/>
                <w:color w:val="000000" w:themeColor="text1"/>
              </w:rPr>
              <w:t xml:space="preserve"> Edu</w:t>
            </w:r>
          </w:p>
        </w:tc>
        <w:tc>
          <w:tcPr>
            <w:tcW w:w="2268" w:type="dxa"/>
            <w:shd w:val="clear" w:color="auto" w:fill="D9D9D9" w:themeFill="background1" w:themeFillShade="D9"/>
          </w:tcPr>
          <w:p w14:paraId="5A07BC0A" w14:textId="77777777" w:rsidR="005F0553" w:rsidRDefault="005F0553" w:rsidP="005F0553">
            <w:pPr>
              <w:spacing w:before="120" w:after="120"/>
              <w:jc w:val="both"/>
              <w:rPr>
                <w:rFonts w:ascii="Arial" w:eastAsia="Arial" w:hAnsi="Arial" w:cs="Arial"/>
                <w:color w:val="000000" w:themeColor="text1"/>
              </w:rPr>
            </w:pPr>
            <w:r w:rsidRPr="2B14198C">
              <w:rPr>
                <w:rFonts w:ascii="Arial" w:eastAsia="Arial" w:hAnsi="Arial" w:cs="Arial"/>
                <w:b/>
                <w:bCs/>
                <w:color w:val="000000" w:themeColor="text1"/>
              </w:rPr>
              <w:t>Internal Verifier:</w:t>
            </w:r>
          </w:p>
        </w:tc>
        <w:tc>
          <w:tcPr>
            <w:tcW w:w="2268" w:type="dxa"/>
          </w:tcPr>
          <w:p w14:paraId="75C5A2C5" w14:textId="77777777" w:rsidR="005F0553" w:rsidRDefault="005F0553" w:rsidP="005F0553">
            <w:pPr>
              <w:spacing w:before="120" w:after="120"/>
              <w:jc w:val="both"/>
              <w:rPr>
                <w:rFonts w:ascii="Arial" w:eastAsia="Arial" w:hAnsi="Arial" w:cs="Arial"/>
                <w:color w:val="000000" w:themeColor="text1"/>
              </w:rPr>
            </w:pPr>
            <w:proofErr w:type="spellStart"/>
            <w:proofErr w:type="gramStart"/>
            <w:r w:rsidRPr="2B14198C">
              <w:rPr>
                <w:rFonts w:ascii="Arial" w:eastAsia="Arial" w:hAnsi="Arial" w:cs="Arial"/>
                <w:b/>
                <w:bCs/>
                <w:color w:val="000000" w:themeColor="text1"/>
              </w:rPr>
              <w:t>Dr.Sujeewa</w:t>
            </w:r>
            <w:proofErr w:type="spellEnd"/>
            <w:proofErr w:type="gramEnd"/>
            <w:r w:rsidRPr="2B14198C">
              <w:rPr>
                <w:rFonts w:ascii="Arial" w:eastAsia="Arial" w:hAnsi="Arial" w:cs="Arial"/>
                <w:b/>
                <w:bCs/>
                <w:color w:val="000000" w:themeColor="text1"/>
              </w:rPr>
              <w:t xml:space="preserve"> </w:t>
            </w:r>
            <w:proofErr w:type="spellStart"/>
            <w:r w:rsidRPr="2B14198C">
              <w:rPr>
                <w:rFonts w:ascii="Arial" w:eastAsia="Arial" w:hAnsi="Arial" w:cs="Arial"/>
                <w:b/>
                <w:bCs/>
                <w:color w:val="000000" w:themeColor="text1"/>
              </w:rPr>
              <w:t>Herath</w:t>
            </w:r>
            <w:proofErr w:type="spellEnd"/>
            <w:r w:rsidRPr="2B14198C">
              <w:rPr>
                <w:rFonts w:ascii="Arial" w:eastAsia="Arial" w:hAnsi="Arial" w:cs="Arial"/>
                <w:b/>
                <w:bCs/>
                <w:color w:val="000000" w:themeColor="text1"/>
              </w:rPr>
              <w:t>/</w:t>
            </w:r>
            <w:proofErr w:type="spellStart"/>
            <w:r w:rsidRPr="2B14198C">
              <w:rPr>
                <w:rFonts w:ascii="Arial" w:eastAsia="Arial" w:hAnsi="Arial" w:cs="Arial"/>
                <w:b/>
                <w:bCs/>
                <w:color w:val="000000" w:themeColor="text1"/>
              </w:rPr>
              <w:t>Dr.</w:t>
            </w:r>
            <w:proofErr w:type="spellEnd"/>
            <w:r w:rsidRPr="2B14198C">
              <w:rPr>
                <w:rFonts w:ascii="Arial" w:eastAsia="Arial" w:hAnsi="Arial" w:cs="Arial"/>
                <w:b/>
                <w:bCs/>
                <w:color w:val="000000" w:themeColor="text1"/>
              </w:rPr>
              <w:t xml:space="preserve"> </w:t>
            </w:r>
            <w:proofErr w:type="spellStart"/>
            <w:r w:rsidRPr="2B14198C">
              <w:rPr>
                <w:rFonts w:ascii="Arial" w:eastAsia="Arial" w:hAnsi="Arial" w:cs="Arial"/>
                <w:b/>
                <w:bCs/>
                <w:color w:val="000000" w:themeColor="text1"/>
              </w:rPr>
              <w:t>Samual</w:t>
            </w:r>
            <w:proofErr w:type="spellEnd"/>
            <w:r w:rsidRPr="2B14198C">
              <w:rPr>
                <w:rFonts w:ascii="Arial" w:eastAsia="Arial" w:hAnsi="Arial" w:cs="Arial"/>
                <w:b/>
                <w:bCs/>
                <w:color w:val="000000" w:themeColor="text1"/>
              </w:rPr>
              <w:t xml:space="preserve"> Ofori/ M.D. Kalam</w:t>
            </w:r>
          </w:p>
        </w:tc>
      </w:tr>
      <w:tr w:rsidR="005F0553" w:rsidRPr="00A406E5" w14:paraId="0273A0CF" w14:textId="77777777" w:rsidTr="005F0553">
        <w:tc>
          <w:tcPr>
            <w:tcW w:w="2093" w:type="dxa"/>
            <w:shd w:val="clear" w:color="auto" w:fill="auto"/>
          </w:tcPr>
          <w:p w14:paraId="098DE9F8" w14:textId="77777777" w:rsidR="005F0553" w:rsidRPr="00A406E5" w:rsidRDefault="005F0553" w:rsidP="005F0553">
            <w:pPr>
              <w:spacing w:before="120" w:after="120"/>
              <w:jc w:val="both"/>
              <w:rPr>
                <w:rFonts w:ascii="Arial" w:hAnsi="Arial" w:cs="Arial"/>
                <w:b/>
              </w:rPr>
            </w:pPr>
            <w:r w:rsidRPr="00A406E5">
              <w:rPr>
                <w:rFonts w:ascii="Arial" w:hAnsi="Arial" w:cs="Arial"/>
                <w:b/>
              </w:rPr>
              <w:t>Assignment Title:</w:t>
            </w:r>
          </w:p>
        </w:tc>
        <w:tc>
          <w:tcPr>
            <w:tcW w:w="3293" w:type="dxa"/>
          </w:tcPr>
          <w:p w14:paraId="24557768" w14:textId="3916496A" w:rsidR="005F0553" w:rsidRPr="00E3169B" w:rsidRDefault="005F0553" w:rsidP="005F0553">
            <w:pPr>
              <w:spacing w:before="120" w:after="120"/>
              <w:rPr>
                <w:rFonts w:ascii="Arial" w:hAnsi="Arial" w:cs="Arial"/>
              </w:rPr>
            </w:pPr>
            <w:r w:rsidRPr="00E3169B">
              <w:rPr>
                <w:rFonts w:ascii="Arial" w:hAnsi="Arial" w:cs="Arial"/>
              </w:rPr>
              <w:t xml:space="preserve">( </w:t>
            </w:r>
          </w:p>
          <w:p w14:paraId="7A201D1B" w14:textId="77777777" w:rsidR="005F0553" w:rsidRPr="00E3169B" w:rsidRDefault="005F0553" w:rsidP="005F0553">
            <w:pPr>
              <w:spacing w:before="120" w:after="120"/>
              <w:rPr>
                <w:rFonts w:ascii="Arial" w:hAnsi="Arial" w:cs="Arial"/>
                <w:b/>
              </w:rPr>
            </w:pPr>
            <w:r w:rsidRPr="00E3169B">
              <w:rPr>
                <w:rFonts w:ascii="Arial" w:hAnsi="Arial" w:cs="Arial"/>
                <w:b/>
              </w:rPr>
              <w:t xml:space="preserve">Task 3 – Written Reflection </w:t>
            </w:r>
          </w:p>
        </w:tc>
        <w:tc>
          <w:tcPr>
            <w:tcW w:w="2268" w:type="dxa"/>
            <w:shd w:val="clear" w:color="auto" w:fill="auto"/>
          </w:tcPr>
          <w:p w14:paraId="3D09917D" w14:textId="77777777" w:rsidR="005F0553" w:rsidRPr="00A406E5" w:rsidRDefault="005F0553" w:rsidP="005F0553">
            <w:pPr>
              <w:spacing w:before="120" w:after="120"/>
              <w:jc w:val="both"/>
              <w:rPr>
                <w:rFonts w:ascii="Arial" w:hAnsi="Arial" w:cs="Arial"/>
                <w:b/>
              </w:rPr>
            </w:pPr>
            <w:r>
              <w:rPr>
                <w:rFonts w:ascii="Arial" w:hAnsi="Arial" w:cs="Arial"/>
                <w:b/>
              </w:rPr>
              <w:t>Word count (or equivalent):</w:t>
            </w:r>
          </w:p>
        </w:tc>
        <w:tc>
          <w:tcPr>
            <w:tcW w:w="2268" w:type="dxa"/>
          </w:tcPr>
          <w:p w14:paraId="331F4BD7" w14:textId="77777777" w:rsidR="005F0553" w:rsidRDefault="005F0553" w:rsidP="005F0553">
            <w:pPr>
              <w:spacing w:before="120" w:after="120"/>
              <w:rPr>
                <w:rFonts w:ascii="Arial" w:hAnsi="Arial" w:cs="Arial"/>
                <w:b/>
              </w:rPr>
            </w:pPr>
            <w:r>
              <w:rPr>
                <w:rFonts w:ascii="Arial" w:hAnsi="Arial" w:cs="Arial"/>
                <w:b/>
              </w:rPr>
              <w:t>Practical 1 – 15mins</w:t>
            </w:r>
          </w:p>
          <w:p w14:paraId="52AD525E" w14:textId="77777777" w:rsidR="005F0553" w:rsidRDefault="005F0553" w:rsidP="005F0553">
            <w:pPr>
              <w:spacing w:before="120" w:after="120"/>
              <w:rPr>
                <w:rFonts w:ascii="Arial" w:hAnsi="Arial" w:cs="Arial"/>
                <w:b/>
              </w:rPr>
            </w:pPr>
            <w:r>
              <w:rPr>
                <w:rFonts w:ascii="Arial" w:hAnsi="Arial" w:cs="Arial"/>
                <w:b/>
              </w:rPr>
              <w:t xml:space="preserve">Practical 2–- 15mins  </w:t>
            </w:r>
          </w:p>
          <w:p w14:paraId="5E3DC321" w14:textId="77777777" w:rsidR="005F0553" w:rsidRPr="00A406E5" w:rsidRDefault="005F0553" w:rsidP="005F0553">
            <w:pPr>
              <w:spacing w:before="120" w:after="120"/>
              <w:rPr>
                <w:rFonts w:ascii="Arial" w:hAnsi="Arial" w:cs="Arial"/>
                <w:b/>
              </w:rPr>
            </w:pPr>
            <w:r>
              <w:rPr>
                <w:rFonts w:ascii="Arial" w:hAnsi="Arial" w:cs="Arial"/>
                <w:b/>
              </w:rPr>
              <w:t>Written reflection – 2500 words</w:t>
            </w:r>
          </w:p>
        </w:tc>
      </w:tr>
      <w:tr w:rsidR="005F0553" w:rsidRPr="00A406E5" w14:paraId="3CE24C04" w14:textId="77777777" w:rsidTr="005F0553">
        <w:tc>
          <w:tcPr>
            <w:tcW w:w="2093" w:type="dxa"/>
            <w:shd w:val="clear" w:color="auto" w:fill="auto"/>
          </w:tcPr>
          <w:p w14:paraId="28ECD42E" w14:textId="77777777" w:rsidR="005F0553" w:rsidRPr="00A406E5" w:rsidRDefault="005F0553" w:rsidP="005F055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C3B4B1D" w14:textId="0DE8DA95" w:rsidR="005F0553" w:rsidRPr="00A406E5" w:rsidRDefault="005F0553" w:rsidP="005F0553">
            <w:pPr>
              <w:spacing w:before="120" w:after="120"/>
              <w:jc w:val="both"/>
              <w:rPr>
                <w:rFonts w:ascii="Arial" w:hAnsi="Arial" w:cs="Arial"/>
                <w:b/>
                <w:bCs/>
                <w:color w:val="FF0000"/>
              </w:rPr>
            </w:pPr>
            <w:proofErr w:type="gramStart"/>
            <w:r w:rsidRPr="50A5CC5F">
              <w:rPr>
                <w:rFonts w:ascii="Arial" w:hAnsi="Arial" w:cs="Arial"/>
                <w:b/>
                <w:bCs/>
                <w:color w:val="FF0000"/>
              </w:rPr>
              <w:t>11  -</w:t>
            </w:r>
            <w:proofErr w:type="gramEnd"/>
            <w:r w:rsidRPr="50A5CC5F">
              <w:rPr>
                <w:rFonts w:ascii="Arial" w:hAnsi="Arial" w:cs="Arial"/>
                <w:b/>
                <w:bCs/>
                <w:color w:val="FF0000"/>
              </w:rPr>
              <w:t xml:space="preserve"> Submit to Turnitin by 3.00 pm on 16/11/2024</w:t>
            </w:r>
          </w:p>
        </w:tc>
        <w:tc>
          <w:tcPr>
            <w:tcW w:w="2268" w:type="dxa"/>
            <w:shd w:val="clear" w:color="auto" w:fill="auto"/>
          </w:tcPr>
          <w:p w14:paraId="29BD513B" w14:textId="77777777" w:rsidR="005F0553" w:rsidRPr="00A406E5" w:rsidRDefault="005F0553" w:rsidP="005F055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2B10B7E" w14:textId="77777777" w:rsidR="005F0553" w:rsidRDefault="005F0553" w:rsidP="005F0553">
            <w:pPr>
              <w:spacing w:before="120" w:after="120"/>
              <w:jc w:val="both"/>
              <w:rPr>
                <w:rFonts w:ascii="Arial" w:hAnsi="Arial" w:cs="Arial"/>
                <w:b/>
              </w:rPr>
            </w:pPr>
          </w:p>
          <w:p w14:paraId="2D1294C6" w14:textId="3ABA089A" w:rsidR="005F0553" w:rsidRPr="00A406E5" w:rsidRDefault="005F0553" w:rsidP="005F0553">
            <w:pPr>
              <w:spacing w:before="120" w:after="120"/>
              <w:jc w:val="both"/>
              <w:rPr>
                <w:rFonts w:ascii="Arial" w:hAnsi="Arial" w:cs="Arial"/>
                <w:b/>
              </w:rPr>
            </w:pPr>
            <w:r>
              <w:rPr>
                <w:rFonts w:ascii="Arial" w:hAnsi="Arial" w:cs="Arial"/>
                <w:b/>
              </w:rPr>
              <w:t>Task 3 –</w:t>
            </w:r>
          </w:p>
        </w:tc>
      </w:tr>
    </w:tbl>
    <w:p w14:paraId="204F6D13" w14:textId="77777777" w:rsidR="009D33ED" w:rsidRPr="006A008D" w:rsidRDefault="0053725C" w:rsidP="004B412D">
      <w:pPr>
        <w:spacing w:line="360" w:lineRule="auto"/>
        <w:jc w:val="both"/>
        <w:rPr>
          <w:rFonts w:asciiTheme="majorBidi" w:hAnsiTheme="majorBidi" w:cstheme="majorBidi"/>
          <w:b/>
          <w:bCs/>
          <w:sz w:val="24"/>
          <w:szCs w:val="24"/>
        </w:rPr>
      </w:pPr>
      <w:r w:rsidRPr="006A008D">
        <w:rPr>
          <w:rFonts w:asciiTheme="majorBidi" w:hAnsiTheme="majorBidi" w:cstheme="majorBidi"/>
          <w:b/>
          <w:bCs/>
          <w:sz w:val="24"/>
          <w:szCs w:val="24"/>
        </w:rPr>
        <w:br w:type="page"/>
      </w:r>
    </w:p>
    <w:sdt>
      <w:sdtPr>
        <w:rPr>
          <w:rFonts w:asciiTheme="majorBidi" w:eastAsiaTheme="minorHAnsi" w:hAnsiTheme="majorBidi" w:cstheme="minorBidi"/>
          <w:color w:val="auto"/>
          <w:sz w:val="24"/>
          <w:szCs w:val="24"/>
          <w:lang w:val="en-GB"/>
        </w:rPr>
        <w:id w:val="-1656447496"/>
        <w:docPartObj>
          <w:docPartGallery w:val="Table of Contents"/>
          <w:docPartUnique/>
        </w:docPartObj>
      </w:sdtPr>
      <w:sdtEndPr>
        <w:rPr>
          <w:b/>
          <w:bCs/>
          <w:noProof/>
        </w:rPr>
      </w:sdtEndPr>
      <w:sdtContent>
        <w:p w14:paraId="221822C2" w14:textId="77777777" w:rsidR="009D33ED" w:rsidRDefault="0053725C" w:rsidP="004B412D">
          <w:pPr>
            <w:pStyle w:val="TOCHeading"/>
            <w:spacing w:line="360" w:lineRule="auto"/>
            <w:jc w:val="center"/>
            <w:rPr>
              <w:rFonts w:ascii="Times New Roman" w:hAnsi="Times New Roman" w:cs="Times New Roman"/>
              <w:b/>
              <w:bCs/>
              <w:color w:val="auto"/>
              <w:sz w:val="24"/>
              <w:szCs w:val="24"/>
            </w:rPr>
          </w:pPr>
          <w:r w:rsidRPr="009226AE">
            <w:rPr>
              <w:rFonts w:ascii="Times New Roman" w:hAnsi="Times New Roman" w:cs="Times New Roman"/>
              <w:b/>
              <w:bCs/>
              <w:color w:val="auto"/>
              <w:sz w:val="24"/>
              <w:szCs w:val="24"/>
            </w:rPr>
            <w:t>Table of Contents</w:t>
          </w:r>
        </w:p>
        <w:p w14:paraId="28636D7E" w14:textId="77777777" w:rsidR="002E7BDD" w:rsidRPr="002E7BDD" w:rsidRDefault="002E7BDD" w:rsidP="002E7BDD">
          <w:pPr>
            <w:rPr>
              <w:lang w:val="en-US"/>
            </w:rPr>
          </w:pPr>
        </w:p>
        <w:p w14:paraId="6948D110" w14:textId="77777777" w:rsidR="009226AE" w:rsidRPr="009226AE" w:rsidRDefault="0053725C">
          <w:pPr>
            <w:pStyle w:val="TOC1"/>
            <w:tabs>
              <w:tab w:val="right" w:leader="dot" w:pos="9016"/>
            </w:tabs>
            <w:rPr>
              <w:rFonts w:ascii="Times New Roman" w:eastAsiaTheme="minorEastAsia" w:hAnsi="Times New Roman" w:cs="Times New Roman"/>
              <w:noProof/>
              <w:sz w:val="24"/>
              <w:szCs w:val="24"/>
              <w:lang w:val="en-US"/>
            </w:rPr>
          </w:pPr>
          <w:r w:rsidRPr="009226AE">
            <w:rPr>
              <w:rFonts w:ascii="Times New Roman" w:hAnsi="Times New Roman" w:cs="Times New Roman"/>
              <w:sz w:val="24"/>
              <w:szCs w:val="24"/>
            </w:rPr>
            <w:fldChar w:fldCharType="begin"/>
          </w:r>
          <w:r w:rsidRPr="009226AE">
            <w:rPr>
              <w:rFonts w:ascii="Times New Roman" w:hAnsi="Times New Roman" w:cs="Times New Roman"/>
              <w:sz w:val="24"/>
              <w:szCs w:val="24"/>
            </w:rPr>
            <w:instrText xml:space="preserve"> TOC \o "1-3" \h \z \u </w:instrText>
          </w:r>
          <w:r w:rsidRPr="009226AE">
            <w:rPr>
              <w:rFonts w:ascii="Times New Roman" w:hAnsi="Times New Roman" w:cs="Times New Roman"/>
              <w:sz w:val="24"/>
              <w:szCs w:val="24"/>
            </w:rPr>
            <w:fldChar w:fldCharType="separate"/>
          </w:r>
          <w:hyperlink w:anchor="_Toc180757319" w:history="1">
            <w:r w:rsidR="009226AE" w:rsidRPr="009226AE">
              <w:rPr>
                <w:rStyle w:val="Hyperlink"/>
                <w:rFonts w:ascii="Times New Roman" w:hAnsi="Times New Roman" w:cs="Times New Roman"/>
                <w:noProof/>
                <w:sz w:val="24"/>
                <w:szCs w:val="24"/>
              </w:rPr>
              <w:t>Task 3  – Written Reflection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_Toc180757319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3</w:t>
            </w:r>
            <w:r w:rsidR="009226AE" w:rsidRPr="009226AE">
              <w:rPr>
                <w:rFonts w:ascii="Times New Roman" w:hAnsi="Times New Roman" w:cs="Times New Roman"/>
                <w:noProof/>
                <w:webHidden/>
                <w:sz w:val="24"/>
                <w:szCs w:val="24"/>
              </w:rPr>
              <w:fldChar w:fldCharType="end"/>
            </w:r>
          </w:hyperlink>
        </w:p>
        <w:p w14:paraId="29894109"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20" w:history="1">
            <w:r w:rsidR="009226AE" w:rsidRPr="009226AE">
              <w:rPr>
                <w:rStyle w:val="Hyperlink"/>
                <w:rFonts w:ascii="Times New Roman" w:hAnsi="Times New Roman" w:cs="Times New Roman"/>
                <w:noProof/>
                <w:sz w:val="24"/>
                <w:szCs w:val="24"/>
              </w:rPr>
              <w:t>Introduction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_Toc180757320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3</w:t>
            </w:r>
            <w:r w:rsidR="009226AE" w:rsidRPr="009226AE">
              <w:rPr>
                <w:rFonts w:ascii="Times New Roman" w:hAnsi="Times New Roman" w:cs="Times New Roman"/>
                <w:noProof/>
                <w:webHidden/>
                <w:sz w:val="24"/>
                <w:szCs w:val="24"/>
              </w:rPr>
              <w:fldChar w:fldCharType="end"/>
            </w:r>
          </w:hyperlink>
        </w:p>
        <w:p w14:paraId="1190B12B"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21" w:history="1">
            <w:r w:rsidR="009226AE" w:rsidRPr="009226AE">
              <w:rPr>
                <w:rStyle w:val="Hyperlink"/>
                <w:rFonts w:ascii="Times New Roman" w:hAnsi="Times New Roman" w:cs="Times New Roman"/>
                <w:noProof/>
                <w:sz w:val="24"/>
                <w:szCs w:val="24"/>
              </w:rPr>
              <w:t>Critical Evaluation of the Purpose of Coaching and Mentoring Within a Workplace</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_Toc180757321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3</w:t>
            </w:r>
            <w:r w:rsidR="009226AE" w:rsidRPr="009226AE">
              <w:rPr>
                <w:rFonts w:ascii="Times New Roman" w:hAnsi="Times New Roman" w:cs="Times New Roman"/>
                <w:noProof/>
                <w:webHidden/>
                <w:sz w:val="24"/>
                <w:szCs w:val="24"/>
              </w:rPr>
              <w:fldChar w:fldCharType="end"/>
            </w:r>
          </w:hyperlink>
        </w:p>
        <w:p w14:paraId="76E96941"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22" w:history="1">
            <w:r w:rsidR="009226AE" w:rsidRPr="009226AE">
              <w:rPr>
                <w:rStyle w:val="Hyperlink"/>
                <w:rFonts w:ascii="Times New Roman" w:hAnsi="Times New Roman" w:cs="Times New Roman"/>
                <w:noProof/>
                <w:sz w:val="24"/>
                <w:szCs w:val="24"/>
              </w:rPr>
              <w:t>Purpose of Coaching and Mentoring</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_Toc180757322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3</w:t>
            </w:r>
            <w:r w:rsidR="009226AE" w:rsidRPr="009226AE">
              <w:rPr>
                <w:rFonts w:ascii="Times New Roman" w:hAnsi="Times New Roman" w:cs="Times New Roman"/>
                <w:noProof/>
                <w:webHidden/>
                <w:sz w:val="24"/>
                <w:szCs w:val="24"/>
              </w:rPr>
              <w:fldChar w:fldCharType="end"/>
            </w:r>
          </w:hyperlink>
        </w:p>
        <w:p w14:paraId="7377CA03"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23" w:history="1">
            <w:r w:rsidR="009226AE" w:rsidRPr="009226AE">
              <w:rPr>
                <w:rStyle w:val="Hyperlink"/>
                <w:rFonts w:ascii="Times New Roman" w:hAnsi="Times New Roman" w:cs="Times New Roman"/>
                <w:noProof/>
                <w:sz w:val="24"/>
                <w:szCs w:val="24"/>
              </w:rPr>
              <w:t>Comparison of Coaching and Mentoring</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_Toc180757323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4</w:t>
            </w:r>
            <w:r w:rsidR="009226AE" w:rsidRPr="009226AE">
              <w:rPr>
                <w:rFonts w:ascii="Times New Roman" w:hAnsi="Times New Roman" w:cs="Times New Roman"/>
                <w:noProof/>
                <w:webHidden/>
                <w:sz w:val="24"/>
                <w:szCs w:val="24"/>
              </w:rPr>
              <w:fldChar w:fldCharType="end"/>
            </w:r>
          </w:hyperlink>
        </w:p>
        <w:p w14:paraId="558DC867"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24" w:history="1">
            <w:r w:rsidR="009226AE" w:rsidRPr="009226AE">
              <w:rPr>
                <w:rStyle w:val="Hyperlink"/>
                <w:rFonts w:ascii="Times New Roman" w:hAnsi="Times New Roman" w:cs="Times New Roman"/>
                <w:noProof/>
                <w:sz w:val="24"/>
                <w:szCs w:val="24"/>
              </w:rPr>
              <w:t>Critical Analysis of the GROW Model of Coaching</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_Toc180757324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4</w:t>
            </w:r>
            <w:r w:rsidR="009226AE" w:rsidRPr="009226AE">
              <w:rPr>
                <w:rFonts w:ascii="Times New Roman" w:hAnsi="Times New Roman" w:cs="Times New Roman"/>
                <w:noProof/>
                <w:webHidden/>
                <w:sz w:val="24"/>
                <w:szCs w:val="24"/>
              </w:rPr>
              <w:fldChar w:fldCharType="end"/>
            </w:r>
          </w:hyperlink>
        </w:p>
        <w:p w14:paraId="3B4E063D"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25" w:history="1">
            <w:r w:rsidR="009226AE" w:rsidRPr="009226AE">
              <w:rPr>
                <w:rStyle w:val="Hyperlink"/>
                <w:rFonts w:ascii="Times New Roman" w:hAnsi="Times New Roman" w:cs="Times New Roman"/>
                <w:noProof/>
                <w:sz w:val="24"/>
                <w:szCs w:val="24"/>
              </w:rPr>
              <w:t>Definition of the GROW Model</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_Toc180757325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4</w:t>
            </w:r>
            <w:r w:rsidR="009226AE" w:rsidRPr="009226AE">
              <w:rPr>
                <w:rFonts w:ascii="Times New Roman" w:hAnsi="Times New Roman" w:cs="Times New Roman"/>
                <w:noProof/>
                <w:webHidden/>
                <w:sz w:val="24"/>
                <w:szCs w:val="24"/>
              </w:rPr>
              <w:fldChar w:fldCharType="end"/>
            </w:r>
          </w:hyperlink>
        </w:p>
        <w:p w14:paraId="3B521E70"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26" w:history="1">
            <w:r w:rsidR="009226AE" w:rsidRPr="009226AE">
              <w:rPr>
                <w:rStyle w:val="Hyperlink"/>
                <w:rFonts w:ascii="Times New Roman" w:hAnsi="Times New Roman" w:cs="Times New Roman"/>
                <w:noProof/>
                <w:sz w:val="24"/>
                <w:szCs w:val="24"/>
              </w:rPr>
              <w:t>Critical Analysis of the GROW Model</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_Toc180757326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5</w:t>
            </w:r>
            <w:r w:rsidR="009226AE" w:rsidRPr="009226AE">
              <w:rPr>
                <w:rFonts w:ascii="Times New Roman" w:hAnsi="Times New Roman" w:cs="Times New Roman"/>
                <w:noProof/>
                <w:webHidden/>
                <w:sz w:val="24"/>
                <w:szCs w:val="24"/>
              </w:rPr>
              <w:fldChar w:fldCharType="end"/>
            </w:r>
          </w:hyperlink>
        </w:p>
        <w:p w14:paraId="58668514"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27" w:history="1">
            <w:r w:rsidR="009226AE" w:rsidRPr="009226AE">
              <w:rPr>
                <w:rStyle w:val="Hyperlink"/>
                <w:rFonts w:ascii="Times New Roman" w:hAnsi="Times New Roman" w:cs="Times New Roman"/>
                <w:noProof/>
                <w:sz w:val="24"/>
                <w:szCs w:val="24"/>
              </w:rPr>
              <w:t>Reflection on Practical 1 Using Gibbs’ Reflective Cycle</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_Toc180757327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5</w:t>
            </w:r>
            <w:r w:rsidR="009226AE" w:rsidRPr="009226AE">
              <w:rPr>
                <w:rFonts w:ascii="Times New Roman" w:hAnsi="Times New Roman" w:cs="Times New Roman"/>
                <w:noProof/>
                <w:webHidden/>
                <w:sz w:val="24"/>
                <w:szCs w:val="24"/>
              </w:rPr>
              <w:fldChar w:fldCharType="end"/>
            </w:r>
          </w:hyperlink>
        </w:p>
        <w:p w14:paraId="700C3AA9"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28" w:history="1">
            <w:r w:rsidR="009226AE" w:rsidRPr="009226AE">
              <w:rPr>
                <w:rStyle w:val="Hyperlink"/>
                <w:rFonts w:ascii="Times New Roman" w:hAnsi="Times New Roman" w:cs="Times New Roman"/>
                <w:noProof/>
                <w:sz w:val="24"/>
                <w:szCs w:val="24"/>
              </w:rPr>
              <w:t>Description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_Toc180757328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5</w:t>
            </w:r>
            <w:r w:rsidR="009226AE" w:rsidRPr="009226AE">
              <w:rPr>
                <w:rFonts w:ascii="Times New Roman" w:hAnsi="Times New Roman" w:cs="Times New Roman"/>
                <w:noProof/>
                <w:webHidden/>
                <w:sz w:val="24"/>
                <w:szCs w:val="24"/>
              </w:rPr>
              <w:fldChar w:fldCharType="end"/>
            </w:r>
          </w:hyperlink>
        </w:p>
        <w:p w14:paraId="203362E7"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29" w:history="1">
            <w:r w:rsidR="009226AE" w:rsidRPr="009226AE">
              <w:rPr>
                <w:rStyle w:val="Hyperlink"/>
                <w:rFonts w:ascii="Times New Roman" w:hAnsi="Times New Roman" w:cs="Times New Roman"/>
                <w:noProof/>
                <w:sz w:val="24"/>
                <w:szCs w:val="24"/>
              </w:rPr>
              <w:t>Feelings</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_Toc180757329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6</w:t>
            </w:r>
            <w:r w:rsidR="009226AE" w:rsidRPr="009226AE">
              <w:rPr>
                <w:rFonts w:ascii="Times New Roman" w:hAnsi="Times New Roman" w:cs="Times New Roman"/>
                <w:noProof/>
                <w:webHidden/>
                <w:sz w:val="24"/>
                <w:szCs w:val="24"/>
              </w:rPr>
              <w:fldChar w:fldCharType="end"/>
            </w:r>
          </w:hyperlink>
        </w:p>
        <w:p w14:paraId="6E65F4FB"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0" w:history="1">
            <w:r w:rsidR="009226AE" w:rsidRPr="009226AE">
              <w:rPr>
                <w:rStyle w:val="Hyperlink"/>
                <w:rFonts w:ascii="Times New Roman" w:hAnsi="Times New Roman" w:cs="Times New Roman"/>
                <w:noProof/>
                <w:sz w:val="24"/>
                <w:szCs w:val="24"/>
              </w:rPr>
              <w:t>Evaluation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_Toc180757330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6</w:t>
            </w:r>
            <w:r w:rsidR="009226AE" w:rsidRPr="009226AE">
              <w:rPr>
                <w:rFonts w:ascii="Times New Roman" w:hAnsi="Times New Roman" w:cs="Times New Roman"/>
                <w:noProof/>
                <w:webHidden/>
                <w:sz w:val="24"/>
                <w:szCs w:val="24"/>
              </w:rPr>
              <w:fldChar w:fldCharType="end"/>
            </w:r>
          </w:hyperlink>
        </w:p>
        <w:p w14:paraId="587442CF"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1" w:history="1">
            <w:r w:rsidR="009226AE" w:rsidRPr="009226AE">
              <w:rPr>
                <w:rStyle w:val="Hyperlink"/>
                <w:rFonts w:ascii="Times New Roman" w:hAnsi="Times New Roman" w:cs="Times New Roman"/>
                <w:noProof/>
                <w:sz w:val="24"/>
                <w:szCs w:val="24"/>
              </w:rPr>
              <w:t>Analysis</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_Toc180757331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6</w:t>
            </w:r>
            <w:r w:rsidR="009226AE" w:rsidRPr="009226AE">
              <w:rPr>
                <w:rFonts w:ascii="Times New Roman" w:hAnsi="Times New Roman" w:cs="Times New Roman"/>
                <w:noProof/>
                <w:webHidden/>
                <w:sz w:val="24"/>
                <w:szCs w:val="24"/>
              </w:rPr>
              <w:fldChar w:fldCharType="end"/>
            </w:r>
          </w:hyperlink>
        </w:p>
        <w:p w14:paraId="7F33E253"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2" w:history="1">
            <w:r w:rsidR="009226AE" w:rsidRPr="009226AE">
              <w:rPr>
                <w:rStyle w:val="Hyperlink"/>
                <w:rFonts w:ascii="Times New Roman" w:hAnsi="Times New Roman" w:cs="Times New Roman"/>
                <w:noProof/>
                <w:sz w:val="24"/>
                <w:szCs w:val="24"/>
              </w:rPr>
              <w:t>Conclusion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_Toc180757332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7</w:t>
            </w:r>
            <w:r w:rsidR="009226AE" w:rsidRPr="009226AE">
              <w:rPr>
                <w:rFonts w:ascii="Times New Roman" w:hAnsi="Times New Roman" w:cs="Times New Roman"/>
                <w:noProof/>
                <w:webHidden/>
                <w:sz w:val="24"/>
                <w:szCs w:val="24"/>
              </w:rPr>
              <w:fldChar w:fldCharType="end"/>
            </w:r>
          </w:hyperlink>
        </w:p>
        <w:p w14:paraId="047E9646"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3" w:history="1">
            <w:r w:rsidR="009226AE" w:rsidRPr="009226AE">
              <w:rPr>
                <w:rStyle w:val="Hyperlink"/>
                <w:rFonts w:ascii="Times New Roman" w:hAnsi="Times New Roman" w:cs="Times New Roman"/>
                <w:noProof/>
                <w:sz w:val="24"/>
                <w:szCs w:val="24"/>
              </w:rPr>
              <w:t>Action Plan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_Toc180757333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7</w:t>
            </w:r>
            <w:r w:rsidR="009226AE" w:rsidRPr="009226AE">
              <w:rPr>
                <w:rFonts w:ascii="Times New Roman" w:hAnsi="Times New Roman" w:cs="Times New Roman"/>
                <w:noProof/>
                <w:webHidden/>
                <w:sz w:val="24"/>
                <w:szCs w:val="24"/>
              </w:rPr>
              <w:fldChar w:fldCharType="end"/>
            </w:r>
          </w:hyperlink>
        </w:p>
        <w:p w14:paraId="0757A252"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34" w:history="1">
            <w:r w:rsidR="009226AE" w:rsidRPr="009226AE">
              <w:rPr>
                <w:rStyle w:val="Hyperlink"/>
                <w:rFonts w:ascii="Times New Roman" w:hAnsi="Times New Roman" w:cs="Times New Roman"/>
                <w:noProof/>
                <w:sz w:val="24"/>
                <w:szCs w:val="24"/>
              </w:rPr>
              <w:t>Reflection on Practical 2 Using Gibbs’ Reflective Cycle</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_Toc180757334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7</w:t>
            </w:r>
            <w:r w:rsidR="009226AE" w:rsidRPr="009226AE">
              <w:rPr>
                <w:rFonts w:ascii="Times New Roman" w:hAnsi="Times New Roman" w:cs="Times New Roman"/>
                <w:noProof/>
                <w:webHidden/>
                <w:sz w:val="24"/>
                <w:szCs w:val="24"/>
              </w:rPr>
              <w:fldChar w:fldCharType="end"/>
            </w:r>
          </w:hyperlink>
        </w:p>
        <w:p w14:paraId="47FAE1AE"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5" w:history="1">
            <w:r w:rsidR="009226AE" w:rsidRPr="009226AE">
              <w:rPr>
                <w:rStyle w:val="Hyperlink"/>
                <w:rFonts w:ascii="Times New Roman" w:hAnsi="Times New Roman" w:cs="Times New Roman"/>
                <w:noProof/>
                <w:sz w:val="24"/>
                <w:szCs w:val="24"/>
              </w:rPr>
              <w:t>Description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_Toc180757335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7</w:t>
            </w:r>
            <w:r w:rsidR="009226AE" w:rsidRPr="009226AE">
              <w:rPr>
                <w:rFonts w:ascii="Times New Roman" w:hAnsi="Times New Roman" w:cs="Times New Roman"/>
                <w:noProof/>
                <w:webHidden/>
                <w:sz w:val="24"/>
                <w:szCs w:val="24"/>
              </w:rPr>
              <w:fldChar w:fldCharType="end"/>
            </w:r>
          </w:hyperlink>
        </w:p>
        <w:p w14:paraId="7EB0AB65"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6" w:history="1">
            <w:r w:rsidR="009226AE" w:rsidRPr="009226AE">
              <w:rPr>
                <w:rStyle w:val="Hyperlink"/>
                <w:rFonts w:ascii="Times New Roman" w:hAnsi="Times New Roman" w:cs="Times New Roman"/>
                <w:noProof/>
                <w:sz w:val="24"/>
                <w:szCs w:val="24"/>
              </w:rPr>
              <w:t>Feelings</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_Toc180757336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7</w:t>
            </w:r>
            <w:r w:rsidR="009226AE" w:rsidRPr="009226AE">
              <w:rPr>
                <w:rFonts w:ascii="Times New Roman" w:hAnsi="Times New Roman" w:cs="Times New Roman"/>
                <w:noProof/>
                <w:webHidden/>
                <w:sz w:val="24"/>
                <w:szCs w:val="24"/>
              </w:rPr>
              <w:fldChar w:fldCharType="end"/>
            </w:r>
          </w:hyperlink>
        </w:p>
        <w:p w14:paraId="5AAC4411"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7" w:history="1">
            <w:r w:rsidR="009226AE" w:rsidRPr="009226AE">
              <w:rPr>
                <w:rStyle w:val="Hyperlink"/>
                <w:rFonts w:ascii="Times New Roman" w:hAnsi="Times New Roman" w:cs="Times New Roman"/>
                <w:noProof/>
                <w:sz w:val="24"/>
                <w:szCs w:val="24"/>
              </w:rPr>
              <w:t>Evaluation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_Toc180757337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8</w:t>
            </w:r>
            <w:r w:rsidR="009226AE" w:rsidRPr="009226AE">
              <w:rPr>
                <w:rFonts w:ascii="Times New Roman" w:hAnsi="Times New Roman" w:cs="Times New Roman"/>
                <w:noProof/>
                <w:webHidden/>
                <w:sz w:val="24"/>
                <w:szCs w:val="24"/>
              </w:rPr>
              <w:fldChar w:fldCharType="end"/>
            </w:r>
          </w:hyperlink>
        </w:p>
        <w:p w14:paraId="1DBC1C1D"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8" w:history="1">
            <w:r w:rsidR="009226AE" w:rsidRPr="009226AE">
              <w:rPr>
                <w:rStyle w:val="Hyperlink"/>
                <w:rFonts w:ascii="Times New Roman" w:hAnsi="Times New Roman" w:cs="Times New Roman"/>
                <w:noProof/>
                <w:sz w:val="24"/>
                <w:szCs w:val="24"/>
              </w:rPr>
              <w:t>Analysis</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_Toc180757338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8</w:t>
            </w:r>
            <w:r w:rsidR="009226AE" w:rsidRPr="009226AE">
              <w:rPr>
                <w:rFonts w:ascii="Times New Roman" w:hAnsi="Times New Roman" w:cs="Times New Roman"/>
                <w:noProof/>
                <w:webHidden/>
                <w:sz w:val="24"/>
                <w:szCs w:val="24"/>
              </w:rPr>
              <w:fldChar w:fldCharType="end"/>
            </w:r>
          </w:hyperlink>
        </w:p>
        <w:p w14:paraId="548F5981"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39" w:history="1">
            <w:r w:rsidR="009226AE" w:rsidRPr="009226AE">
              <w:rPr>
                <w:rStyle w:val="Hyperlink"/>
                <w:rFonts w:ascii="Times New Roman" w:hAnsi="Times New Roman" w:cs="Times New Roman"/>
                <w:noProof/>
                <w:sz w:val="24"/>
                <w:szCs w:val="24"/>
              </w:rPr>
              <w:t>Conclusion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_Toc180757339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8</w:t>
            </w:r>
            <w:r w:rsidR="009226AE" w:rsidRPr="009226AE">
              <w:rPr>
                <w:rFonts w:ascii="Times New Roman" w:hAnsi="Times New Roman" w:cs="Times New Roman"/>
                <w:noProof/>
                <w:webHidden/>
                <w:sz w:val="24"/>
                <w:szCs w:val="24"/>
              </w:rPr>
              <w:fldChar w:fldCharType="end"/>
            </w:r>
          </w:hyperlink>
        </w:p>
        <w:p w14:paraId="1A6982F5" w14:textId="77777777" w:rsidR="009226AE" w:rsidRPr="009226AE" w:rsidRDefault="00F01818">
          <w:pPr>
            <w:pStyle w:val="TOC2"/>
            <w:tabs>
              <w:tab w:val="right" w:leader="dot" w:pos="9016"/>
            </w:tabs>
            <w:rPr>
              <w:rFonts w:ascii="Times New Roman" w:eastAsiaTheme="minorEastAsia" w:hAnsi="Times New Roman" w:cs="Times New Roman"/>
              <w:noProof/>
              <w:sz w:val="24"/>
              <w:szCs w:val="24"/>
              <w:lang w:val="en-US"/>
            </w:rPr>
          </w:pPr>
          <w:hyperlink w:anchor="_Toc180757340" w:history="1">
            <w:r w:rsidR="009226AE" w:rsidRPr="009226AE">
              <w:rPr>
                <w:rStyle w:val="Hyperlink"/>
                <w:rFonts w:ascii="Times New Roman" w:hAnsi="Times New Roman" w:cs="Times New Roman"/>
                <w:noProof/>
                <w:sz w:val="24"/>
                <w:szCs w:val="24"/>
              </w:rPr>
              <w:t>Action Plan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_Toc180757340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9</w:t>
            </w:r>
            <w:r w:rsidR="009226AE" w:rsidRPr="009226AE">
              <w:rPr>
                <w:rFonts w:ascii="Times New Roman" w:hAnsi="Times New Roman" w:cs="Times New Roman"/>
                <w:noProof/>
                <w:webHidden/>
                <w:sz w:val="24"/>
                <w:szCs w:val="24"/>
              </w:rPr>
              <w:fldChar w:fldCharType="end"/>
            </w:r>
          </w:hyperlink>
        </w:p>
        <w:p w14:paraId="5CD1A35B"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41" w:history="1">
            <w:r w:rsidR="009226AE" w:rsidRPr="009226AE">
              <w:rPr>
                <w:rStyle w:val="Hyperlink"/>
                <w:rFonts w:ascii="Times New Roman" w:hAnsi="Times New Roman" w:cs="Times New Roman"/>
                <w:noProof/>
                <w:sz w:val="24"/>
                <w:szCs w:val="24"/>
              </w:rPr>
              <w:t>Conclusion</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_Toc180757341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9</w:t>
            </w:r>
            <w:r w:rsidR="009226AE" w:rsidRPr="009226AE">
              <w:rPr>
                <w:rFonts w:ascii="Times New Roman" w:hAnsi="Times New Roman" w:cs="Times New Roman"/>
                <w:noProof/>
                <w:webHidden/>
                <w:sz w:val="24"/>
                <w:szCs w:val="24"/>
              </w:rPr>
              <w:fldChar w:fldCharType="end"/>
            </w:r>
          </w:hyperlink>
        </w:p>
        <w:p w14:paraId="7174B64B" w14:textId="77777777" w:rsidR="009226AE" w:rsidRPr="009226AE" w:rsidRDefault="00F01818">
          <w:pPr>
            <w:pStyle w:val="TOC1"/>
            <w:tabs>
              <w:tab w:val="right" w:leader="dot" w:pos="9016"/>
            </w:tabs>
            <w:rPr>
              <w:rFonts w:ascii="Times New Roman" w:eastAsiaTheme="minorEastAsia" w:hAnsi="Times New Roman" w:cs="Times New Roman"/>
              <w:noProof/>
              <w:sz w:val="24"/>
              <w:szCs w:val="24"/>
              <w:lang w:val="en-US"/>
            </w:rPr>
          </w:pPr>
          <w:hyperlink w:anchor="_Toc180757342" w:history="1">
            <w:r w:rsidR="009226AE" w:rsidRPr="009226AE">
              <w:rPr>
                <w:rStyle w:val="Hyperlink"/>
                <w:rFonts w:ascii="Times New Roman" w:hAnsi="Times New Roman" w:cs="Times New Roman"/>
                <w:noProof/>
                <w:sz w:val="24"/>
                <w:szCs w:val="24"/>
              </w:rPr>
              <w:t>References</w:t>
            </w:r>
            <w:r w:rsidR="009226AE" w:rsidRPr="009226AE">
              <w:rPr>
                <w:rFonts w:ascii="Times New Roman" w:hAnsi="Times New Roman" w:cs="Times New Roman"/>
                <w:noProof/>
                <w:webHidden/>
                <w:sz w:val="24"/>
                <w:szCs w:val="24"/>
              </w:rPr>
              <w:tab/>
            </w:r>
            <w:r w:rsidR="009226AE" w:rsidRPr="009226AE">
              <w:rPr>
                <w:rFonts w:ascii="Times New Roman" w:hAnsi="Times New Roman" w:cs="Times New Roman"/>
                <w:noProof/>
                <w:webHidden/>
                <w:sz w:val="24"/>
                <w:szCs w:val="24"/>
              </w:rPr>
              <w:fldChar w:fldCharType="begin"/>
            </w:r>
            <w:r w:rsidR="009226AE" w:rsidRPr="009226AE">
              <w:rPr>
                <w:rFonts w:ascii="Times New Roman" w:hAnsi="Times New Roman" w:cs="Times New Roman"/>
                <w:noProof/>
                <w:webHidden/>
                <w:sz w:val="24"/>
                <w:szCs w:val="24"/>
              </w:rPr>
              <w:instrText xml:space="preserve"> PAGEREF _Toc180757342 \h </w:instrText>
            </w:r>
            <w:r w:rsidR="009226AE" w:rsidRPr="009226AE">
              <w:rPr>
                <w:rFonts w:ascii="Times New Roman" w:hAnsi="Times New Roman" w:cs="Times New Roman"/>
                <w:noProof/>
                <w:webHidden/>
                <w:sz w:val="24"/>
                <w:szCs w:val="24"/>
              </w:rPr>
            </w:r>
            <w:r w:rsidR="009226AE" w:rsidRPr="009226AE">
              <w:rPr>
                <w:rFonts w:ascii="Times New Roman" w:hAnsi="Times New Roman" w:cs="Times New Roman"/>
                <w:noProof/>
                <w:webHidden/>
                <w:sz w:val="24"/>
                <w:szCs w:val="24"/>
              </w:rPr>
              <w:fldChar w:fldCharType="separate"/>
            </w:r>
            <w:r w:rsidR="00506C73">
              <w:rPr>
                <w:rFonts w:ascii="Times New Roman" w:hAnsi="Times New Roman" w:cs="Times New Roman"/>
                <w:noProof/>
                <w:webHidden/>
                <w:sz w:val="24"/>
                <w:szCs w:val="24"/>
              </w:rPr>
              <w:t>10</w:t>
            </w:r>
            <w:r w:rsidR="009226AE" w:rsidRPr="009226AE">
              <w:rPr>
                <w:rFonts w:ascii="Times New Roman" w:hAnsi="Times New Roman" w:cs="Times New Roman"/>
                <w:noProof/>
                <w:webHidden/>
                <w:sz w:val="24"/>
                <w:szCs w:val="24"/>
              </w:rPr>
              <w:fldChar w:fldCharType="end"/>
            </w:r>
          </w:hyperlink>
        </w:p>
        <w:p w14:paraId="0C54A131" w14:textId="77777777" w:rsidR="009D33ED" w:rsidRPr="004B412D" w:rsidRDefault="0053725C" w:rsidP="004B412D">
          <w:pPr>
            <w:spacing w:line="360" w:lineRule="auto"/>
            <w:jc w:val="both"/>
            <w:rPr>
              <w:rFonts w:asciiTheme="majorBidi" w:hAnsiTheme="majorBidi" w:cstheme="majorBidi"/>
              <w:sz w:val="24"/>
              <w:szCs w:val="24"/>
            </w:rPr>
          </w:pPr>
          <w:r w:rsidRPr="009226AE">
            <w:rPr>
              <w:rFonts w:ascii="Times New Roman" w:hAnsi="Times New Roman" w:cs="Times New Roman"/>
              <w:b/>
              <w:bCs/>
              <w:noProof/>
              <w:sz w:val="24"/>
              <w:szCs w:val="24"/>
            </w:rPr>
            <w:fldChar w:fldCharType="end"/>
          </w:r>
        </w:p>
      </w:sdtContent>
    </w:sdt>
    <w:p w14:paraId="25B88FFF" w14:textId="77777777" w:rsidR="009D33ED" w:rsidRPr="004B412D" w:rsidRDefault="0053725C" w:rsidP="004B412D">
      <w:pPr>
        <w:spacing w:line="360" w:lineRule="auto"/>
        <w:jc w:val="both"/>
        <w:rPr>
          <w:rFonts w:asciiTheme="majorBidi" w:hAnsiTheme="majorBidi" w:cstheme="majorBidi"/>
          <w:sz w:val="24"/>
          <w:szCs w:val="24"/>
        </w:rPr>
      </w:pPr>
      <w:r w:rsidRPr="004B412D">
        <w:rPr>
          <w:rFonts w:asciiTheme="majorBidi" w:hAnsiTheme="majorBidi" w:cstheme="majorBidi"/>
          <w:sz w:val="24"/>
          <w:szCs w:val="24"/>
        </w:rPr>
        <w:br w:type="page"/>
      </w:r>
    </w:p>
    <w:p w14:paraId="2E129CFB" w14:textId="431A9DE5" w:rsidR="00AA0623" w:rsidRPr="004B412D" w:rsidRDefault="00595C16" w:rsidP="004B412D">
      <w:pPr>
        <w:pStyle w:val="Heading1"/>
        <w:spacing w:line="360" w:lineRule="auto"/>
        <w:jc w:val="both"/>
        <w:rPr>
          <w:szCs w:val="24"/>
        </w:rPr>
      </w:pPr>
      <w:bookmarkStart w:id="0" w:name="_Toc180757319"/>
      <w:r>
        <w:rPr>
          <w:szCs w:val="24"/>
        </w:rPr>
        <w:lastRenderedPageBreak/>
        <w:t xml:space="preserve">Task </w:t>
      </w:r>
      <w:proofErr w:type="gramStart"/>
      <w:r>
        <w:rPr>
          <w:szCs w:val="24"/>
        </w:rPr>
        <w:t xml:space="preserve">3 </w:t>
      </w:r>
      <w:r w:rsidR="0053725C" w:rsidRPr="004B412D">
        <w:rPr>
          <w:szCs w:val="24"/>
        </w:rPr>
        <w:t xml:space="preserve"> –</w:t>
      </w:r>
      <w:proofErr w:type="gramEnd"/>
      <w:r w:rsidR="0053725C" w:rsidRPr="004B412D">
        <w:rPr>
          <w:szCs w:val="24"/>
        </w:rPr>
        <w:t xml:space="preserve"> Written Reflection</w:t>
      </w:r>
      <w:bookmarkEnd w:id="0"/>
    </w:p>
    <w:p w14:paraId="1B1D0AE6" w14:textId="77777777" w:rsidR="00DA4873" w:rsidRPr="004B412D" w:rsidRDefault="0053725C" w:rsidP="004B412D">
      <w:pPr>
        <w:pStyle w:val="Heading1"/>
        <w:spacing w:line="360" w:lineRule="auto"/>
        <w:jc w:val="both"/>
        <w:rPr>
          <w:szCs w:val="24"/>
        </w:rPr>
      </w:pPr>
      <w:bookmarkStart w:id="1" w:name="_Toc180757320"/>
      <w:r w:rsidRPr="004B412D">
        <w:rPr>
          <w:szCs w:val="24"/>
        </w:rPr>
        <w:t>Introduction</w:t>
      </w:r>
      <w:bookmarkEnd w:id="1"/>
      <w:r w:rsidRPr="004B412D">
        <w:rPr>
          <w:szCs w:val="24"/>
        </w:rPr>
        <w:t xml:space="preserve"> </w:t>
      </w:r>
    </w:p>
    <w:p w14:paraId="321F610D" w14:textId="77777777" w:rsidR="00F8727F" w:rsidRPr="00F8727F" w:rsidRDefault="00F8727F" w:rsidP="00F8727F">
      <w:pPr>
        <w:spacing w:line="360" w:lineRule="auto"/>
        <w:ind w:firstLine="720"/>
        <w:jc w:val="both"/>
        <w:rPr>
          <w:rFonts w:asciiTheme="majorBidi" w:hAnsiTheme="majorBidi" w:cstheme="majorBidi"/>
          <w:sz w:val="24"/>
          <w:szCs w:val="24"/>
          <w:lang w:val="en-US"/>
        </w:rPr>
      </w:pPr>
      <w:r w:rsidRPr="00F8727F">
        <w:rPr>
          <w:rFonts w:asciiTheme="majorBidi" w:hAnsiTheme="majorBidi" w:cstheme="majorBidi"/>
          <w:sz w:val="24"/>
          <w:szCs w:val="24"/>
          <w:lang w:val="en-US"/>
        </w:rPr>
        <w:t>In this reflective report, I will discuss my personal experiences and growth as a coach and mentor. During this process, I had the opportunity to apply the Johari Window model in a peer mentoring session, which helped me better understand my role as a mentor. Through this report, I will reflect on the nature of my interactions in the mentoring relationship, evaluate the quality of feedback I received, and critically reflect on my learning and development as a mentor. Additionally, I will explore the concepts of coaching and mentoring, discussing the key differences and similarities between the two, and how both contribute to personal and professional growth. This reflection will also allow me to analyze how coaching and mentoring shaped my development and how I can continue improving my practice moving forward.</w:t>
      </w:r>
    </w:p>
    <w:p w14:paraId="4437D87F" w14:textId="78DAF255" w:rsidR="00DA4873" w:rsidRPr="004B412D" w:rsidRDefault="00F8727F" w:rsidP="00F8727F">
      <w:pPr>
        <w:spacing w:line="360" w:lineRule="auto"/>
        <w:ind w:firstLine="720"/>
        <w:jc w:val="both"/>
        <w:rPr>
          <w:rFonts w:asciiTheme="majorBidi" w:hAnsiTheme="majorBidi" w:cstheme="majorBidi"/>
          <w:sz w:val="24"/>
          <w:szCs w:val="24"/>
        </w:rPr>
      </w:pPr>
      <w:r w:rsidRPr="00F8727F">
        <w:rPr>
          <w:rFonts w:asciiTheme="majorBidi" w:hAnsiTheme="majorBidi" w:cstheme="majorBidi"/>
          <w:sz w:val="24"/>
          <w:szCs w:val="24"/>
          <w:lang w:val="en-US"/>
        </w:rPr>
        <w:t>As I reflect on my experiences, I draw upon the definitions and insights shared by Record (2023), who states that coaching is an educative, restorative, and facilitating process aimed at advancing an individual’s performance. On the other hand, Pedersen et al. (2020) describe mentoring as a more holistic and longer-term relationship, where an experienced individual provides guidance to a less experienced one, helping them grow both professionally and personally. I find these definitions to be extremely relevant to my experiences, as I was able to witness firsthand how these two processes work together in shaping development.</w:t>
      </w:r>
    </w:p>
    <w:p w14:paraId="2D7949CB" w14:textId="77777777" w:rsidR="00DA4873" w:rsidRPr="004B412D" w:rsidRDefault="0053725C" w:rsidP="004B412D">
      <w:pPr>
        <w:pStyle w:val="Heading1"/>
        <w:spacing w:line="360" w:lineRule="auto"/>
        <w:jc w:val="both"/>
        <w:rPr>
          <w:szCs w:val="24"/>
        </w:rPr>
      </w:pPr>
      <w:bookmarkStart w:id="2" w:name="_Toc180757321"/>
      <w:r w:rsidRPr="004B412D">
        <w:rPr>
          <w:szCs w:val="24"/>
        </w:rPr>
        <w:t>Critical Evaluation of the Purpose of Coaching and Mentoring Within a Workplace</w:t>
      </w:r>
      <w:bookmarkEnd w:id="2"/>
    </w:p>
    <w:p w14:paraId="2110B96E" w14:textId="3D8CA65F" w:rsidR="00DA4873" w:rsidRPr="004B412D" w:rsidRDefault="00F8727F" w:rsidP="004B412D">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Coaching and mentoring are two vital organizational development processes that help enhance both organizational and individual development. Although the intervention programs aim to achieve these objectives, they act as separate programs that may address different developmental stages (Mahoney &amp; Tang, 2024). In the upcoming sections, my understanding of these purposes will help me identify the effective use and future development of coaching and mentoring in various organizations.</w:t>
      </w:r>
    </w:p>
    <w:p w14:paraId="19A66BC8" w14:textId="77777777" w:rsidR="00DA4873" w:rsidRPr="004B412D" w:rsidRDefault="0053725C" w:rsidP="004B412D">
      <w:pPr>
        <w:pStyle w:val="Heading2"/>
        <w:spacing w:line="360" w:lineRule="auto"/>
        <w:jc w:val="both"/>
        <w:rPr>
          <w:szCs w:val="24"/>
        </w:rPr>
      </w:pPr>
      <w:bookmarkStart w:id="3" w:name="_Toc180757322"/>
      <w:r w:rsidRPr="004B412D">
        <w:rPr>
          <w:szCs w:val="24"/>
        </w:rPr>
        <w:t>Purpose of Coaching and Mentoring</w:t>
      </w:r>
      <w:bookmarkEnd w:id="3"/>
    </w:p>
    <w:p w14:paraId="25B4F961" w14:textId="77777777" w:rsidR="00F8727F" w:rsidRPr="00F8727F" w:rsidRDefault="00F8727F" w:rsidP="00F8727F">
      <w:pPr>
        <w:spacing w:after="0" w:line="360" w:lineRule="auto"/>
        <w:ind w:firstLine="720"/>
        <w:jc w:val="both"/>
        <w:rPr>
          <w:rFonts w:asciiTheme="majorBidi" w:hAnsiTheme="majorBidi" w:cstheme="majorBidi"/>
          <w:sz w:val="24"/>
          <w:szCs w:val="24"/>
        </w:rPr>
      </w:pPr>
      <w:r w:rsidRPr="00F8727F">
        <w:rPr>
          <w:rFonts w:asciiTheme="majorBidi" w:hAnsiTheme="majorBidi" w:cstheme="majorBidi"/>
          <w:sz w:val="24"/>
          <w:szCs w:val="24"/>
        </w:rPr>
        <w:t xml:space="preserve">Coaches are presented with the opportunity to assess and develop goals and performance deficiencies with employees, ensuring the workers have the right skills to do the job (Whitmore, 2017). I found that coaching can be especially helpful when an employee is going through a transition, such as taking on a new position or adjusting to a change within the company, as everyone needs the help available to tackle problems and enhance their effectiveness. In my experience, coaching is more structured and tends to focus on producing </w:t>
      </w:r>
      <w:r w:rsidRPr="00F8727F">
        <w:rPr>
          <w:rFonts w:asciiTheme="majorBidi" w:hAnsiTheme="majorBidi" w:cstheme="majorBidi"/>
          <w:sz w:val="24"/>
          <w:szCs w:val="24"/>
        </w:rPr>
        <w:lastRenderedPageBreak/>
        <w:t>specific outcomes, with participants being held accountable through check-ins and other forms of reporting (Kim, 2020).</w:t>
      </w:r>
    </w:p>
    <w:p w14:paraId="2081A1B0" w14:textId="2ACFC280" w:rsidR="00DA4873" w:rsidRPr="004B412D" w:rsidRDefault="00F8727F" w:rsidP="00F8727F">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On the other hand, I found that mentoring is a more general form of developmental help. It frequently covers the entirety of the protégé's OSK development and presupposes a longer time frame. Coaches work with protégés, providing them with information, advice, and understanding that are critical when deciding on career paths. While coaching is a more specific developmental intervention, mentoring tends to have a broader scope.</w:t>
      </w:r>
    </w:p>
    <w:p w14:paraId="2824A219" w14:textId="77777777" w:rsidR="00DA4873" w:rsidRPr="004B412D" w:rsidRDefault="0053725C" w:rsidP="004B412D">
      <w:pPr>
        <w:pStyle w:val="Heading2"/>
        <w:spacing w:line="360" w:lineRule="auto"/>
        <w:jc w:val="both"/>
        <w:rPr>
          <w:szCs w:val="24"/>
        </w:rPr>
      </w:pPr>
      <w:bookmarkStart w:id="4" w:name="_Toc180757323"/>
      <w:r w:rsidRPr="004B412D">
        <w:rPr>
          <w:szCs w:val="24"/>
        </w:rPr>
        <w:t>Comparison of Coaching and Mentoring</w:t>
      </w:r>
      <w:bookmarkEnd w:id="4"/>
    </w:p>
    <w:p w14:paraId="330F4687" w14:textId="77777777" w:rsidR="00F8727F" w:rsidRPr="00F8727F" w:rsidRDefault="00F8727F" w:rsidP="00F8727F">
      <w:pPr>
        <w:spacing w:after="0" w:line="360" w:lineRule="auto"/>
        <w:ind w:firstLine="720"/>
        <w:jc w:val="both"/>
        <w:rPr>
          <w:rFonts w:asciiTheme="majorBidi" w:hAnsiTheme="majorBidi" w:cstheme="majorBidi"/>
          <w:sz w:val="24"/>
          <w:szCs w:val="24"/>
        </w:rPr>
      </w:pPr>
      <w:r w:rsidRPr="00F8727F">
        <w:rPr>
          <w:rFonts w:asciiTheme="majorBidi" w:hAnsiTheme="majorBidi" w:cstheme="majorBidi"/>
          <w:sz w:val="24"/>
          <w:szCs w:val="24"/>
        </w:rPr>
        <w:t xml:space="preserve">Although coaching and mentoring share the same goal of enhancing employee growth, I found that they differ in their approach. Coaching is generally more planned and systematic, encompassing identified processes and methods aimed at improving productivity. As I learned, goal-setting in coaching needs to be guided by the coach, and tools like the GROW model are commonly used. There is usually little or no personal, emotional, or sometimes even educational bond between a coach and a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because the contract tends to be short-term and performance-related (</w:t>
      </w:r>
      <w:proofErr w:type="spellStart"/>
      <w:r w:rsidRPr="00F8727F">
        <w:rPr>
          <w:rFonts w:asciiTheme="majorBidi" w:hAnsiTheme="majorBidi" w:cstheme="majorBidi"/>
          <w:sz w:val="24"/>
          <w:szCs w:val="24"/>
        </w:rPr>
        <w:t>Kedi</w:t>
      </w:r>
      <w:proofErr w:type="spellEnd"/>
      <w:r w:rsidRPr="00F8727F">
        <w:rPr>
          <w:rFonts w:asciiTheme="majorBidi" w:hAnsiTheme="majorBidi" w:cstheme="majorBidi"/>
          <w:sz w:val="24"/>
          <w:szCs w:val="24"/>
        </w:rPr>
        <w:t xml:space="preserve"> et al., 2024).</w:t>
      </w:r>
    </w:p>
    <w:p w14:paraId="206B65A9" w14:textId="6C117791" w:rsidR="00DA4873" w:rsidRPr="004B412D" w:rsidRDefault="00F8727F" w:rsidP="00F8727F">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In contrast, I found mentoring to be a less structured, more lengthy process, and the dynamics of the relationship are often less formal. Mentors share their own experiences as valuable sources of knowledge, which are difficult to obtain through formal education or job training. I observed that this informal structure enables the mentee to benefit from wider developmental gains, such as leadership and emotional intelligence, which are vital for career development. Special trust between the mentor and mentee ensures open discussions on personal and professional matters.</w:t>
      </w:r>
    </w:p>
    <w:p w14:paraId="5327D04C" w14:textId="7FCDFC71" w:rsidR="00DE3D6C" w:rsidRPr="004B412D" w:rsidRDefault="0053725C" w:rsidP="004B412D">
      <w:pPr>
        <w:pStyle w:val="Heading1"/>
        <w:spacing w:line="360" w:lineRule="auto"/>
        <w:jc w:val="both"/>
        <w:rPr>
          <w:szCs w:val="24"/>
        </w:rPr>
      </w:pPr>
      <w:bookmarkStart w:id="5" w:name="_Toc180757324"/>
      <w:r w:rsidRPr="004B412D">
        <w:rPr>
          <w:szCs w:val="24"/>
        </w:rPr>
        <w:t>Critical Analysis of the GROW Model of Coaching</w:t>
      </w:r>
      <w:bookmarkEnd w:id="5"/>
    </w:p>
    <w:p w14:paraId="396ECD86" w14:textId="1DF3D3CA" w:rsidR="00DE3D6C" w:rsidRPr="004B412D" w:rsidRDefault="00F8727F" w:rsidP="004B412D">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 xml:space="preserve">The GROW model of coaching, created by Graham Alexander and further developed by Sir John Whitmore in the 1980s, is widely known and used. The acronym GROW stands for Goal, Reality, Option, and Will—four steps that coaches follow to facilitate meaningful conversations with </w:t>
      </w:r>
      <w:proofErr w:type="spellStart"/>
      <w:r w:rsidRPr="00F8727F">
        <w:rPr>
          <w:rFonts w:asciiTheme="majorBidi" w:hAnsiTheme="majorBidi" w:cstheme="majorBidi"/>
          <w:sz w:val="24"/>
          <w:szCs w:val="24"/>
        </w:rPr>
        <w:t>coachees</w:t>
      </w:r>
      <w:proofErr w:type="spellEnd"/>
      <w:r w:rsidRPr="00F8727F">
        <w:rPr>
          <w:rFonts w:asciiTheme="majorBidi" w:hAnsiTheme="majorBidi" w:cstheme="majorBidi"/>
          <w:sz w:val="24"/>
          <w:szCs w:val="24"/>
        </w:rPr>
        <w:t xml:space="preserve"> (</w:t>
      </w:r>
      <w:proofErr w:type="spellStart"/>
      <w:r w:rsidRPr="00F8727F">
        <w:rPr>
          <w:rFonts w:asciiTheme="majorBidi" w:hAnsiTheme="majorBidi" w:cstheme="majorBidi"/>
          <w:sz w:val="24"/>
          <w:szCs w:val="24"/>
        </w:rPr>
        <w:t>Isaenko</w:t>
      </w:r>
      <w:proofErr w:type="spellEnd"/>
      <w:r w:rsidRPr="00F8727F">
        <w:rPr>
          <w:rFonts w:asciiTheme="majorBidi" w:hAnsiTheme="majorBidi" w:cstheme="majorBidi"/>
          <w:sz w:val="24"/>
          <w:szCs w:val="24"/>
        </w:rPr>
        <w:t xml:space="preserve"> et al., 2020). I found this model to be particularly useful in ensuring that coaching conversations stay focused and purposeful, with a clear structure and relevance to the outcome.</w:t>
      </w:r>
    </w:p>
    <w:p w14:paraId="6ACF6651" w14:textId="77777777" w:rsidR="00DE3D6C" w:rsidRPr="004B412D" w:rsidRDefault="0053725C" w:rsidP="004B412D">
      <w:pPr>
        <w:pStyle w:val="Heading2"/>
        <w:spacing w:line="360" w:lineRule="auto"/>
        <w:jc w:val="both"/>
        <w:rPr>
          <w:szCs w:val="24"/>
        </w:rPr>
      </w:pPr>
      <w:bookmarkStart w:id="6" w:name="_Toc180757325"/>
      <w:r w:rsidRPr="004B412D">
        <w:rPr>
          <w:szCs w:val="24"/>
        </w:rPr>
        <w:t>Definition of the GROW Model</w:t>
      </w:r>
      <w:bookmarkEnd w:id="6"/>
    </w:p>
    <w:p w14:paraId="5094AA16" w14:textId="77777777" w:rsidR="00F8727F" w:rsidRPr="00F8727F" w:rsidRDefault="00F8727F" w:rsidP="00F8727F">
      <w:pPr>
        <w:pStyle w:val="ListParagraph"/>
        <w:numPr>
          <w:ilvl w:val="0"/>
          <w:numId w:val="9"/>
        </w:numPr>
        <w:spacing w:line="360" w:lineRule="auto"/>
        <w:jc w:val="both"/>
        <w:rPr>
          <w:rFonts w:asciiTheme="majorBidi" w:hAnsiTheme="majorBidi" w:cstheme="majorBidi"/>
          <w:sz w:val="24"/>
          <w:szCs w:val="24"/>
        </w:rPr>
      </w:pPr>
      <w:r w:rsidRPr="00F8727F">
        <w:rPr>
          <w:rFonts w:asciiTheme="majorBidi" w:hAnsiTheme="majorBidi" w:cstheme="majorBidi"/>
          <w:sz w:val="24"/>
          <w:szCs w:val="24"/>
        </w:rPr>
        <w:t xml:space="preserve">Goal: This step involves setting clear, achievable, and detailed goals, which should be quantifiable and aligned with the </w:t>
      </w:r>
      <w:proofErr w:type="spellStart"/>
      <w:r w:rsidRPr="00F8727F">
        <w:rPr>
          <w:rFonts w:asciiTheme="majorBidi" w:hAnsiTheme="majorBidi" w:cstheme="majorBidi"/>
          <w:sz w:val="24"/>
          <w:szCs w:val="24"/>
        </w:rPr>
        <w:t>coachee's</w:t>
      </w:r>
      <w:proofErr w:type="spellEnd"/>
      <w:r w:rsidRPr="00F8727F">
        <w:rPr>
          <w:rFonts w:asciiTheme="majorBidi" w:hAnsiTheme="majorBidi" w:cstheme="majorBidi"/>
          <w:sz w:val="24"/>
          <w:szCs w:val="24"/>
        </w:rPr>
        <w:t xml:space="preserve"> overarching objectives. I learned that defining goals is critical for the coaching process.</w:t>
      </w:r>
    </w:p>
    <w:p w14:paraId="724DDF96" w14:textId="77777777" w:rsidR="00F8727F" w:rsidRPr="00F8727F" w:rsidRDefault="00F8727F" w:rsidP="00F8727F">
      <w:pPr>
        <w:pStyle w:val="ListParagraph"/>
        <w:numPr>
          <w:ilvl w:val="0"/>
          <w:numId w:val="9"/>
        </w:numPr>
        <w:spacing w:line="360" w:lineRule="auto"/>
        <w:jc w:val="both"/>
        <w:rPr>
          <w:rFonts w:asciiTheme="majorBidi" w:hAnsiTheme="majorBidi" w:cstheme="majorBidi"/>
          <w:sz w:val="24"/>
          <w:szCs w:val="24"/>
        </w:rPr>
      </w:pPr>
      <w:r w:rsidRPr="00F8727F">
        <w:rPr>
          <w:rFonts w:asciiTheme="majorBidi" w:hAnsiTheme="majorBidi" w:cstheme="majorBidi"/>
          <w:sz w:val="24"/>
          <w:szCs w:val="24"/>
        </w:rPr>
        <w:lastRenderedPageBreak/>
        <w:t xml:space="preserve">Reality: In this phase, the coach helps the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define the current reality by assessing the environment within which the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operates (Argyris et al., 2023). I found that conducting a SWOT analysis was useful for understanding strengths, weaknesses, and challenges, which are key to progress.</w:t>
      </w:r>
    </w:p>
    <w:p w14:paraId="30877647" w14:textId="77777777" w:rsidR="00F8727F" w:rsidRPr="00F8727F" w:rsidRDefault="00F8727F" w:rsidP="00F8727F">
      <w:pPr>
        <w:pStyle w:val="ListParagraph"/>
        <w:numPr>
          <w:ilvl w:val="0"/>
          <w:numId w:val="9"/>
        </w:numPr>
        <w:spacing w:line="360" w:lineRule="auto"/>
        <w:jc w:val="both"/>
        <w:rPr>
          <w:rFonts w:asciiTheme="majorBidi" w:hAnsiTheme="majorBidi" w:cstheme="majorBidi"/>
          <w:sz w:val="24"/>
          <w:szCs w:val="24"/>
        </w:rPr>
      </w:pPr>
      <w:r w:rsidRPr="00F8727F">
        <w:rPr>
          <w:rFonts w:asciiTheme="majorBidi" w:hAnsiTheme="majorBidi" w:cstheme="majorBidi"/>
          <w:sz w:val="24"/>
          <w:szCs w:val="24"/>
        </w:rPr>
        <w:t xml:space="preserve">Options: During this step, the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explores a range of approaches to achieve the goals. I have observed that the coach encourages the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to consider various strategies and approaches.</w:t>
      </w:r>
    </w:p>
    <w:p w14:paraId="63EDB328" w14:textId="57D15423" w:rsidR="00DE3D6C" w:rsidRPr="00F8727F" w:rsidRDefault="00F8727F" w:rsidP="00F8727F">
      <w:pPr>
        <w:pStyle w:val="ListParagraph"/>
        <w:numPr>
          <w:ilvl w:val="0"/>
          <w:numId w:val="9"/>
        </w:numPr>
        <w:spacing w:line="360" w:lineRule="auto"/>
        <w:jc w:val="both"/>
        <w:rPr>
          <w:rFonts w:asciiTheme="majorBidi" w:hAnsiTheme="majorBidi" w:cstheme="majorBidi"/>
          <w:sz w:val="24"/>
          <w:szCs w:val="24"/>
        </w:rPr>
      </w:pPr>
      <w:r w:rsidRPr="00F8727F">
        <w:rPr>
          <w:rFonts w:asciiTheme="majorBidi" w:hAnsiTheme="majorBidi" w:cstheme="majorBidi"/>
          <w:sz w:val="24"/>
          <w:szCs w:val="24"/>
        </w:rPr>
        <w:t xml:space="preserve">Will: The final step involves the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committing to the selected actions. Specific goals and timelines are set, and the coach and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agree on the steps to be taken to achieve the objectives. This phase helps ensure commitment and accountability.</w:t>
      </w:r>
    </w:p>
    <w:p w14:paraId="30FEE90A" w14:textId="77777777" w:rsidR="00DE3D6C" w:rsidRPr="004B412D" w:rsidRDefault="0053725C" w:rsidP="004B412D">
      <w:pPr>
        <w:pStyle w:val="Heading2"/>
        <w:spacing w:line="360" w:lineRule="auto"/>
        <w:jc w:val="both"/>
        <w:rPr>
          <w:szCs w:val="24"/>
        </w:rPr>
      </w:pPr>
      <w:bookmarkStart w:id="7" w:name="_Toc180757326"/>
      <w:r w:rsidRPr="004B412D">
        <w:rPr>
          <w:szCs w:val="24"/>
        </w:rPr>
        <w:t>Critical Analysis of the GROW Model</w:t>
      </w:r>
      <w:bookmarkEnd w:id="7"/>
    </w:p>
    <w:p w14:paraId="4F5C8CA4" w14:textId="77777777" w:rsidR="00F8727F" w:rsidRPr="00F8727F" w:rsidRDefault="00F8727F" w:rsidP="00F8727F">
      <w:pPr>
        <w:spacing w:after="0" w:line="360" w:lineRule="auto"/>
        <w:ind w:firstLine="720"/>
        <w:jc w:val="both"/>
        <w:rPr>
          <w:rFonts w:asciiTheme="majorBidi" w:hAnsiTheme="majorBidi" w:cstheme="majorBidi"/>
          <w:sz w:val="24"/>
          <w:szCs w:val="24"/>
        </w:rPr>
      </w:pPr>
      <w:r w:rsidRPr="00F8727F">
        <w:rPr>
          <w:rFonts w:asciiTheme="majorBidi" w:hAnsiTheme="majorBidi" w:cstheme="majorBidi"/>
          <w:sz w:val="24"/>
          <w:szCs w:val="24"/>
        </w:rPr>
        <w:t xml:space="preserve">I find several benefits to the GROW model, which is why it is commonly used in practice. First, it provides a structured framework that ensures both the coach and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stay focused on the conversation, which is essential for achieving results (Argyris et al., 2023). The model promotes ownership and responsibility, as the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must assess their situation and make a commitment to change. I observed that this sense of ownership can enhance motivation and lead to better learning outcomes. Furthermore, the GROW model is versatile and can be applied in various contexts, from personal development to team coaching (Evans, 2021).</w:t>
      </w:r>
    </w:p>
    <w:p w14:paraId="3E3EE080" w14:textId="2C8C4F6A" w:rsidR="00DE3D6C" w:rsidRPr="004B412D" w:rsidRDefault="00F8727F" w:rsidP="00F8727F">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 xml:space="preserve">However, despite its many benefits, I also recognize some drawbacks. One limitation is that the GROW model’s step-by-step structure may sometimes restrict the coaching process. As I experienced, coaching is not always linear, and a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may need to revisit earlier steps multiple times. Additionally, the model does not always account for emotional and psychological barriers that can hinder progress, which are critical components of effective coaching. Addressing these barriers would enhance the model’s utility in overcoming challenges that </w:t>
      </w:r>
      <w:proofErr w:type="spellStart"/>
      <w:r w:rsidRPr="00F8727F">
        <w:rPr>
          <w:rFonts w:asciiTheme="majorBidi" w:hAnsiTheme="majorBidi" w:cstheme="majorBidi"/>
          <w:sz w:val="24"/>
          <w:szCs w:val="24"/>
        </w:rPr>
        <w:t>coachees</w:t>
      </w:r>
      <w:proofErr w:type="spellEnd"/>
      <w:r w:rsidRPr="00F8727F">
        <w:rPr>
          <w:rFonts w:asciiTheme="majorBidi" w:hAnsiTheme="majorBidi" w:cstheme="majorBidi"/>
          <w:sz w:val="24"/>
          <w:szCs w:val="24"/>
        </w:rPr>
        <w:t xml:space="preserve"> face in achieving their goals.</w:t>
      </w:r>
    </w:p>
    <w:p w14:paraId="0D376D5D" w14:textId="77777777" w:rsidR="00DE3D6C" w:rsidRPr="004B412D" w:rsidRDefault="0053725C" w:rsidP="004B412D">
      <w:pPr>
        <w:pStyle w:val="Heading1"/>
        <w:spacing w:line="360" w:lineRule="auto"/>
        <w:jc w:val="both"/>
        <w:rPr>
          <w:szCs w:val="24"/>
        </w:rPr>
      </w:pPr>
      <w:bookmarkStart w:id="8" w:name="_Toc180757327"/>
      <w:r w:rsidRPr="004B412D">
        <w:rPr>
          <w:szCs w:val="24"/>
        </w:rPr>
        <w:t>Reflection on Practical 1 Using Gibbs’ Reflective Cycle</w:t>
      </w:r>
      <w:bookmarkEnd w:id="8"/>
    </w:p>
    <w:p w14:paraId="226B3A9D" w14:textId="77777777" w:rsidR="00DE3D6C" w:rsidRPr="004B412D" w:rsidRDefault="0053725C" w:rsidP="004B412D">
      <w:pPr>
        <w:pStyle w:val="Heading2"/>
        <w:spacing w:line="360" w:lineRule="auto"/>
        <w:jc w:val="both"/>
        <w:rPr>
          <w:szCs w:val="24"/>
        </w:rPr>
      </w:pPr>
      <w:bookmarkStart w:id="9" w:name="_Toc180757328"/>
      <w:r w:rsidRPr="004B412D">
        <w:rPr>
          <w:szCs w:val="24"/>
        </w:rPr>
        <w:t>Description</w:t>
      </w:r>
      <w:bookmarkEnd w:id="9"/>
    </w:p>
    <w:p w14:paraId="06B46ADC" w14:textId="237AB902" w:rsidR="00DE3D6C" w:rsidRPr="004B412D" w:rsidRDefault="00F8727F" w:rsidP="004B412D">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 xml:space="preserve">In </w:t>
      </w:r>
      <w:r>
        <w:rPr>
          <w:rFonts w:asciiTheme="majorBidi" w:hAnsiTheme="majorBidi" w:cstheme="majorBidi"/>
          <w:sz w:val="24"/>
          <w:szCs w:val="24"/>
        </w:rPr>
        <w:t xml:space="preserve">task </w:t>
      </w:r>
      <w:r w:rsidRPr="00F8727F">
        <w:rPr>
          <w:rFonts w:asciiTheme="majorBidi" w:hAnsiTheme="majorBidi" w:cstheme="majorBidi"/>
          <w:sz w:val="24"/>
          <w:szCs w:val="24"/>
        </w:rPr>
        <w:t xml:space="preserve">1, I had the opportunity to engage in a peer coaching session where I utilized the GROW model to guide the conversation towards meeting the session’s objectives. My partner and I took turns playing the roles of coach and </w:t>
      </w:r>
      <w:proofErr w:type="spellStart"/>
      <w:r w:rsidRPr="00F8727F">
        <w:rPr>
          <w:rFonts w:asciiTheme="majorBidi" w:hAnsiTheme="majorBidi" w:cstheme="majorBidi"/>
          <w:sz w:val="24"/>
          <w:szCs w:val="24"/>
        </w:rPr>
        <w:t>coachee</w:t>
      </w:r>
      <w:proofErr w:type="spellEnd"/>
      <w:r w:rsidRPr="00F8727F">
        <w:rPr>
          <w:rFonts w:asciiTheme="majorBidi" w:hAnsiTheme="majorBidi" w:cstheme="majorBidi"/>
          <w:sz w:val="24"/>
          <w:szCs w:val="24"/>
        </w:rPr>
        <w:t xml:space="preserve">. In my role as the coach, I focused on goal setting, helping my partner, who is a marketing coordinator, set clear goals. I also concentrated on reality testing, assisting her in understanding the current situation and </w:t>
      </w:r>
      <w:r w:rsidRPr="00F8727F">
        <w:rPr>
          <w:rFonts w:asciiTheme="majorBidi" w:hAnsiTheme="majorBidi" w:cstheme="majorBidi"/>
          <w:sz w:val="24"/>
          <w:szCs w:val="24"/>
        </w:rPr>
        <w:lastRenderedPageBreak/>
        <w:t>challenges. During the session, I worked on helping her explore potential options and solutions and ensured that I contracted with her to maintain a productive and focused conversation (Housley et al., 2018). This exercise allowed me to observe the coaching process closely, and I learned a lot about the strengths and weaknesses within my own coaching style.</w:t>
      </w:r>
    </w:p>
    <w:p w14:paraId="52743AE2" w14:textId="77777777" w:rsidR="00DE3D6C" w:rsidRPr="004B412D" w:rsidRDefault="0053725C" w:rsidP="004B412D">
      <w:pPr>
        <w:pStyle w:val="Heading2"/>
        <w:spacing w:line="360" w:lineRule="auto"/>
        <w:jc w:val="both"/>
        <w:rPr>
          <w:szCs w:val="24"/>
        </w:rPr>
      </w:pPr>
      <w:bookmarkStart w:id="10" w:name="_Toc180757329"/>
      <w:r w:rsidRPr="004B412D">
        <w:rPr>
          <w:szCs w:val="24"/>
        </w:rPr>
        <w:t>Feelings</w:t>
      </w:r>
      <w:bookmarkEnd w:id="10"/>
    </w:p>
    <w:p w14:paraId="5003DC72" w14:textId="54B44892" w:rsidR="00DE3D6C" w:rsidRPr="004B412D" w:rsidRDefault="00F8727F" w:rsidP="004B412D">
      <w:pPr>
        <w:spacing w:line="360" w:lineRule="auto"/>
        <w:ind w:firstLine="720"/>
        <w:jc w:val="both"/>
        <w:rPr>
          <w:rFonts w:asciiTheme="majorBidi" w:hAnsiTheme="majorBidi" w:cstheme="majorBidi"/>
          <w:sz w:val="24"/>
          <w:szCs w:val="24"/>
        </w:rPr>
      </w:pPr>
      <w:r w:rsidRPr="00F8727F">
        <w:rPr>
          <w:rFonts w:asciiTheme="majorBidi" w:hAnsiTheme="majorBidi" w:cstheme="majorBidi"/>
          <w:sz w:val="24"/>
          <w:szCs w:val="24"/>
        </w:rPr>
        <w:t>At the beginning of the session, I felt quite anxious. I wasn’t sure if I would be able to guide the conversation effectively and if my partner would follow my direction. I worried that I might not ask the right questions or be helpful enough. However, as the session progressed, my confidence grew, particularly when my partner was actively engaged. I felt reassured when she responded positively to the feedback and guidance I provided. Her encouragement and appreciation at the end of the session helped me realize that I had made a positive impact on her development, which boosted my self-assurance.</w:t>
      </w:r>
    </w:p>
    <w:p w14:paraId="3F2CF448" w14:textId="77777777" w:rsidR="00DE3D6C" w:rsidRPr="004B412D" w:rsidRDefault="0053725C" w:rsidP="004B412D">
      <w:pPr>
        <w:pStyle w:val="Heading2"/>
        <w:spacing w:line="360" w:lineRule="auto"/>
        <w:jc w:val="both"/>
        <w:rPr>
          <w:szCs w:val="24"/>
        </w:rPr>
      </w:pPr>
      <w:bookmarkStart w:id="11" w:name="_Toc180757330"/>
      <w:r w:rsidRPr="004B412D">
        <w:rPr>
          <w:szCs w:val="24"/>
        </w:rPr>
        <w:t>Evaluation</w:t>
      </w:r>
      <w:bookmarkEnd w:id="11"/>
    </w:p>
    <w:p w14:paraId="3AA43317" w14:textId="53579E96" w:rsidR="00DE3D6C" w:rsidRPr="004B412D" w:rsidRDefault="00F8727F" w:rsidP="004B412D">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Reflecting on the session, there were several strengths that stood out. One of the key strengths was my ability to listen attentively to my partner. I also asked her a series of probing questions to help her think critically about her situation, which was central to the coaching process. To ensure that I understood her perspective and to help her articulate her thoughts better, I made use of summarizing techniques. Additionally, the GROW model provided a useful framework that helped keep the conversation structured and goal-oriented (</w:t>
      </w:r>
      <w:proofErr w:type="spellStart"/>
      <w:r w:rsidRPr="00F8727F">
        <w:rPr>
          <w:rFonts w:asciiTheme="majorBidi" w:hAnsiTheme="majorBidi" w:cstheme="majorBidi"/>
          <w:sz w:val="24"/>
          <w:szCs w:val="24"/>
        </w:rPr>
        <w:t>Iankovets</w:t>
      </w:r>
      <w:proofErr w:type="spellEnd"/>
      <w:r w:rsidRPr="00F8727F">
        <w:rPr>
          <w:rFonts w:asciiTheme="majorBidi" w:hAnsiTheme="majorBidi" w:cstheme="majorBidi"/>
          <w:sz w:val="24"/>
          <w:szCs w:val="24"/>
        </w:rPr>
        <w:t>, 2023). However, I also identified areas for improvement. For instance, during the options stage of the conversation, I sometimes hurried my partner, not giving her enough time to think through the options thoroughly. This lack of patience might have limited the potential for her to come up with more detailed or creative ideas.</w:t>
      </w:r>
    </w:p>
    <w:p w14:paraId="4848D764" w14:textId="77777777" w:rsidR="00DE3D6C" w:rsidRPr="004B412D" w:rsidRDefault="0053725C" w:rsidP="004B412D">
      <w:pPr>
        <w:pStyle w:val="Heading2"/>
        <w:spacing w:line="360" w:lineRule="auto"/>
        <w:jc w:val="both"/>
        <w:rPr>
          <w:szCs w:val="24"/>
        </w:rPr>
      </w:pPr>
      <w:bookmarkStart w:id="12" w:name="_Toc180757331"/>
      <w:r w:rsidRPr="004B412D">
        <w:rPr>
          <w:szCs w:val="24"/>
        </w:rPr>
        <w:t>Analysis</w:t>
      </w:r>
      <w:bookmarkEnd w:id="12"/>
    </w:p>
    <w:p w14:paraId="2D7BEF98" w14:textId="2D6730D2" w:rsidR="00DE3D6C" w:rsidRPr="004B412D" w:rsidRDefault="00F8727F" w:rsidP="004B412D">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The GROW model was an effective tool for the coaching process because it offered a clear, structured approach for goal setting, reality testing, and exploring options. By focusing on her goal of creating a social media campaign, I was able to guide my partner through identifying the skills she lacked and the challenges she needed to address (</w:t>
      </w:r>
      <w:proofErr w:type="spellStart"/>
      <w:r w:rsidRPr="00F8727F">
        <w:rPr>
          <w:rFonts w:asciiTheme="majorBidi" w:hAnsiTheme="majorBidi" w:cstheme="majorBidi"/>
          <w:sz w:val="24"/>
          <w:szCs w:val="24"/>
        </w:rPr>
        <w:t>Iankovets</w:t>
      </w:r>
      <w:proofErr w:type="spellEnd"/>
      <w:r w:rsidRPr="00F8727F">
        <w:rPr>
          <w:rFonts w:asciiTheme="majorBidi" w:hAnsiTheme="majorBidi" w:cstheme="majorBidi"/>
          <w:sz w:val="24"/>
          <w:szCs w:val="24"/>
        </w:rPr>
        <w:t>, 2023). However, I realized that the session needed to be timed more carefully to ensure that each stage of the GROW model was fully explored. I believe that my partner would have benefited from more time during the options stage, as this would have allowed her to generate a wider variety of ideas and potential solutions.</w:t>
      </w:r>
    </w:p>
    <w:p w14:paraId="06A37303" w14:textId="77777777" w:rsidR="00DE3D6C" w:rsidRPr="004B412D" w:rsidRDefault="0053725C" w:rsidP="004B412D">
      <w:pPr>
        <w:pStyle w:val="Heading2"/>
        <w:spacing w:line="360" w:lineRule="auto"/>
        <w:jc w:val="both"/>
        <w:rPr>
          <w:szCs w:val="24"/>
        </w:rPr>
      </w:pPr>
      <w:bookmarkStart w:id="13" w:name="_Toc180757332"/>
      <w:r w:rsidRPr="004B412D">
        <w:rPr>
          <w:szCs w:val="24"/>
        </w:rPr>
        <w:lastRenderedPageBreak/>
        <w:t>Conclusion</w:t>
      </w:r>
      <w:bookmarkEnd w:id="13"/>
    </w:p>
    <w:p w14:paraId="477FF6EE" w14:textId="6831329B" w:rsidR="00DE3D6C" w:rsidRPr="004B412D" w:rsidRDefault="00F8727F" w:rsidP="004B412D">
      <w:pPr>
        <w:spacing w:after="0" w:line="360" w:lineRule="auto"/>
        <w:ind w:firstLine="720"/>
        <w:jc w:val="both"/>
        <w:rPr>
          <w:rFonts w:asciiTheme="majorBidi" w:eastAsia="Times New Roman" w:hAnsiTheme="majorBidi" w:cstheme="majorBidi"/>
          <w:sz w:val="24"/>
          <w:szCs w:val="24"/>
          <w:lang w:eastAsia="en-GB"/>
        </w:rPr>
      </w:pPr>
      <w:r w:rsidRPr="00F8727F">
        <w:rPr>
          <w:rFonts w:asciiTheme="majorBidi" w:hAnsiTheme="majorBidi" w:cstheme="majorBidi"/>
          <w:sz w:val="24"/>
          <w:szCs w:val="24"/>
        </w:rPr>
        <w:t>Overall, the practical experience was valuable and allowed me to gain deeper insights into the importance of coaching. I was able to strengthen key skills such as questioning, listening, and creating a supportive environment for my partner to explore her ideas. This confirmed for me the potential benefits of coaching, not only for professional development but also for improving personal effectiveness (</w:t>
      </w:r>
      <w:proofErr w:type="spellStart"/>
      <w:r w:rsidRPr="00F8727F">
        <w:rPr>
          <w:rFonts w:asciiTheme="majorBidi" w:hAnsiTheme="majorBidi" w:cstheme="majorBidi"/>
          <w:sz w:val="24"/>
          <w:szCs w:val="24"/>
        </w:rPr>
        <w:t>Isaenko</w:t>
      </w:r>
      <w:proofErr w:type="spellEnd"/>
      <w:r w:rsidRPr="00F8727F">
        <w:rPr>
          <w:rFonts w:asciiTheme="majorBidi" w:hAnsiTheme="majorBidi" w:cstheme="majorBidi"/>
          <w:sz w:val="24"/>
          <w:szCs w:val="24"/>
        </w:rPr>
        <w:t xml:space="preserve"> et al., 2020). In future practical applications, I plan to focus on refining my feedback delivery and paying closer attention to pacing during the session. Ensuring that each step in the GROW model is fully explored will help maximize the effectiveness of the coaching process.</w:t>
      </w:r>
    </w:p>
    <w:p w14:paraId="1330F52F" w14:textId="77777777" w:rsidR="00DE3D6C" w:rsidRPr="004B412D" w:rsidRDefault="0053725C" w:rsidP="004B412D">
      <w:pPr>
        <w:pStyle w:val="Heading2"/>
        <w:spacing w:line="360" w:lineRule="auto"/>
        <w:jc w:val="both"/>
        <w:rPr>
          <w:szCs w:val="24"/>
        </w:rPr>
      </w:pPr>
      <w:bookmarkStart w:id="14" w:name="_Toc180757333"/>
      <w:r w:rsidRPr="004B412D">
        <w:rPr>
          <w:szCs w:val="24"/>
        </w:rPr>
        <w:t>Action Plan</w:t>
      </w:r>
      <w:bookmarkEnd w:id="14"/>
    </w:p>
    <w:p w14:paraId="583AD50E" w14:textId="068B1A00" w:rsidR="00DE3D6C"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One area where I identified a need for growth was in my approach to providing feedback. I sometimes underestimated its significance and could have been more deliberate in delivering constructive feedback. To improve in this area, I will seek additional training or attend workshops that focus on refining the methodology and tone of feedback in coaching. Moreover, I will continue practicing the GROW model in various settings to become more familiar with its application and to enhance my coaching skills. I also plan to ask for feedback from peers or superiors to gain insights into how I can further improve my coaching approach and adjust any areas that might need refinement.</w:t>
      </w:r>
    </w:p>
    <w:p w14:paraId="640C50C7" w14:textId="77777777" w:rsidR="00DF2EB4" w:rsidRPr="004B412D" w:rsidRDefault="0053725C" w:rsidP="004B412D">
      <w:pPr>
        <w:pStyle w:val="Heading1"/>
        <w:spacing w:line="360" w:lineRule="auto"/>
        <w:jc w:val="both"/>
        <w:rPr>
          <w:szCs w:val="24"/>
        </w:rPr>
      </w:pPr>
      <w:bookmarkStart w:id="15" w:name="_Toc180757334"/>
      <w:r w:rsidRPr="004B412D">
        <w:rPr>
          <w:szCs w:val="24"/>
        </w:rPr>
        <w:t>Reflection on Practical 2 Using Gibbs’ Reflective Cycle</w:t>
      </w:r>
      <w:bookmarkEnd w:id="15"/>
    </w:p>
    <w:p w14:paraId="4783C233" w14:textId="77777777" w:rsidR="00DF2EB4" w:rsidRPr="004B412D" w:rsidRDefault="0053725C" w:rsidP="004B412D">
      <w:pPr>
        <w:pStyle w:val="Heading2"/>
        <w:spacing w:line="360" w:lineRule="auto"/>
        <w:jc w:val="both"/>
        <w:rPr>
          <w:szCs w:val="24"/>
        </w:rPr>
      </w:pPr>
      <w:bookmarkStart w:id="16" w:name="_Toc180757335"/>
      <w:r w:rsidRPr="004B412D">
        <w:rPr>
          <w:szCs w:val="24"/>
        </w:rPr>
        <w:t>Description</w:t>
      </w:r>
      <w:bookmarkEnd w:id="16"/>
    </w:p>
    <w:p w14:paraId="24BE0B8D" w14:textId="5A7757F2" w:rsidR="00DF2EB4"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Practical 2 involved a peer mentoring session where I gave my partner feedback about her interpersonal communication skills using the Johari Window model. My partner, a marketing coordinator, was focused on developing greater self-awareness in terms of her communication skills. My task was to guide her through the Johari Window model, helping her identify areas for improvement based on feedback she had received from colleagues. I played a role in helping her reflect on her strengths and weaknesses, offering critique and suggestions for development.</w:t>
      </w:r>
    </w:p>
    <w:p w14:paraId="29CDDEB7" w14:textId="77777777" w:rsidR="00DF2EB4" w:rsidRPr="004B412D" w:rsidRDefault="0053725C" w:rsidP="004B412D">
      <w:pPr>
        <w:pStyle w:val="Heading2"/>
        <w:spacing w:line="360" w:lineRule="auto"/>
        <w:jc w:val="both"/>
        <w:rPr>
          <w:szCs w:val="24"/>
        </w:rPr>
      </w:pPr>
      <w:bookmarkStart w:id="17" w:name="_Toc180757336"/>
      <w:r w:rsidRPr="004B412D">
        <w:rPr>
          <w:szCs w:val="24"/>
        </w:rPr>
        <w:t>Feelings</w:t>
      </w:r>
      <w:bookmarkEnd w:id="17"/>
    </w:p>
    <w:p w14:paraId="59E5D8B0" w14:textId="4E0C7C0F" w:rsidR="00DF2EB4"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 xml:space="preserve">At the start of the mentoring session, I had a mix of excitement and nervousness. I was eager to help my partner, but I was also uncertain about how my feedback would be received. I wanted to ensure that my comments were constructive and encouraging, rather than discouraging, as I know how vital it is to maintain a positive atmosphere. However, as the </w:t>
      </w:r>
      <w:r w:rsidRPr="00506C73">
        <w:rPr>
          <w:rFonts w:asciiTheme="majorBidi" w:hAnsiTheme="majorBidi" w:cstheme="majorBidi"/>
          <w:sz w:val="24"/>
          <w:szCs w:val="24"/>
        </w:rPr>
        <w:lastRenderedPageBreak/>
        <w:t>session progressed and my partner responded positively to my feedback, my confidence grew. By the middle of the session, I was able to guide the conversation more effectively, and I felt more comfortable in my role as a mentor. According to Kim (2020), the process became empowering as my partner opened up, sharing insights that she had gathered through personal experiences. This made me feel that my feedback was valued and that I was contributing to her growth.</w:t>
      </w:r>
    </w:p>
    <w:p w14:paraId="61B6B958" w14:textId="77777777" w:rsidR="00DF2EB4" w:rsidRPr="004B412D" w:rsidRDefault="0053725C" w:rsidP="004B412D">
      <w:pPr>
        <w:pStyle w:val="Heading2"/>
        <w:spacing w:line="360" w:lineRule="auto"/>
        <w:jc w:val="both"/>
        <w:rPr>
          <w:szCs w:val="24"/>
        </w:rPr>
      </w:pPr>
      <w:bookmarkStart w:id="18" w:name="_Toc180757337"/>
      <w:r w:rsidRPr="004B412D">
        <w:rPr>
          <w:szCs w:val="24"/>
        </w:rPr>
        <w:t>Evaluation</w:t>
      </w:r>
      <w:bookmarkEnd w:id="18"/>
    </w:p>
    <w:p w14:paraId="39F143E7" w14:textId="1CE5513A" w:rsidR="00DF2EB4"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In evaluating the session, one of the strengths was my ability to structure the conversation in a way that allowed for an open exchange of ideas. I was able to create an environment in which my partner felt comfortable sharing her emotions and experiences. The Johari Window model was particularly useful for this, as it helped us identify areas where she lacked self-awareness and needed to focus on improving (Kim, 2020). I made sure to ask detailed questions about her communication style, including what she thought she had done well and where she felt she could improve. On the downside, there were moments when I found it challenging to balance providing constructive feedback while also encouraging her to share her own thoughts. I sometimes felt I was too focused on giving my input, rather than allowing her more space to explore her ideas.</w:t>
      </w:r>
    </w:p>
    <w:p w14:paraId="77C6D413" w14:textId="77777777" w:rsidR="00DF2EB4" w:rsidRPr="004B412D" w:rsidRDefault="0053725C" w:rsidP="004B412D">
      <w:pPr>
        <w:pStyle w:val="Heading2"/>
        <w:spacing w:line="360" w:lineRule="auto"/>
        <w:jc w:val="both"/>
        <w:rPr>
          <w:szCs w:val="24"/>
        </w:rPr>
      </w:pPr>
      <w:bookmarkStart w:id="19" w:name="_Toc180757338"/>
      <w:r w:rsidRPr="004B412D">
        <w:rPr>
          <w:szCs w:val="24"/>
        </w:rPr>
        <w:t>Analysis</w:t>
      </w:r>
      <w:bookmarkEnd w:id="19"/>
    </w:p>
    <w:p w14:paraId="21C2D0F8" w14:textId="225A11B0" w:rsidR="00DF2EB4"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Using the Johari Window model was highly beneficial in helping my partner develop a clearer understanding of her strengths and weaknesses. By focusing on the feedback she had received and comparing it with her self-perception, we were able to identify areas where she needed to improve. I found that, as a mentor, it was crucial to strike a balance between offering feedback and encouraging my partner to express herself. If I had been too directive, I might have discouraged her from offering her own insights. In the future, I will aim for a more balanced approach, ensuring that I provide ample opportunity for my mentee to reflect and share her thoughts freely.</w:t>
      </w:r>
    </w:p>
    <w:p w14:paraId="49D77B82" w14:textId="77777777" w:rsidR="00DF2EB4" w:rsidRPr="004B412D" w:rsidRDefault="0053725C" w:rsidP="004B412D">
      <w:pPr>
        <w:pStyle w:val="Heading2"/>
        <w:spacing w:line="360" w:lineRule="auto"/>
        <w:jc w:val="both"/>
        <w:rPr>
          <w:szCs w:val="24"/>
        </w:rPr>
      </w:pPr>
      <w:bookmarkStart w:id="20" w:name="_Toc180757339"/>
      <w:r w:rsidRPr="004B412D">
        <w:rPr>
          <w:szCs w:val="24"/>
        </w:rPr>
        <w:t>Conclusion</w:t>
      </w:r>
      <w:bookmarkEnd w:id="20"/>
    </w:p>
    <w:p w14:paraId="6AA9F3A7" w14:textId="54261A1B" w:rsidR="00DF2EB4"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 xml:space="preserve">Upon reflecting on the session, I realized that mentoring is a dynamic process that requires constant adaptation depending on the needs of the mentee. Active listening, providing constructive feedback, and encouraging the mentee to share their thoughts are key elements for a successful mentoring relationship. This experience reinforced the idea that mentoring is not </w:t>
      </w:r>
      <w:r w:rsidRPr="00506C73">
        <w:rPr>
          <w:rFonts w:asciiTheme="majorBidi" w:hAnsiTheme="majorBidi" w:cstheme="majorBidi"/>
          <w:sz w:val="24"/>
          <w:szCs w:val="24"/>
        </w:rPr>
        <w:lastRenderedPageBreak/>
        <w:t>just about giving advice, but about empowering the mentee to reflect on their own development and make informed decisions about how to improve.</w:t>
      </w:r>
    </w:p>
    <w:p w14:paraId="14F54E2C" w14:textId="77777777" w:rsidR="00DF2EB4" w:rsidRPr="004B412D" w:rsidRDefault="0053725C" w:rsidP="004B412D">
      <w:pPr>
        <w:pStyle w:val="Heading2"/>
        <w:spacing w:line="360" w:lineRule="auto"/>
        <w:jc w:val="both"/>
        <w:rPr>
          <w:szCs w:val="24"/>
        </w:rPr>
      </w:pPr>
      <w:bookmarkStart w:id="21" w:name="_Toc180757340"/>
      <w:r w:rsidRPr="004B412D">
        <w:rPr>
          <w:szCs w:val="24"/>
        </w:rPr>
        <w:t>Action Plan</w:t>
      </w:r>
      <w:bookmarkEnd w:id="21"/>
    </w:p>
    <w:p w14:paraId="21C4B52B" w14:textId="40E6D5DF" w:rsidR="00DF2EB4"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To continue developing my skills as a mentor, I plan to further educate myself on feedback and listening techniques. I will also seek out training on how to facilitate discussions effectively, particularly using tools like the Johari Window model in different mentoring situations. After each mentoring session, I will ask my peers for feedback to learn about my strengths and areas for improvement. This will help me refine my approach and ensure that I am continuously improving my mentoring skills.</w:t>
      </w:r>
    </w:p>
    <w:p w14:paraId="1266FB88" w14:textId="77777777" w:rsidR="00AD0663" w:rsidRPr="004B412D" w:rsidRDefault="0053725C" w:rsidP="004B412D">
      <w:pPr>
        <w:pStyle w:val="Heading1"/>
        <w:spacing w:line="360" w:lineRule="auto"/>
        <w:jc w:val="both"/>
        <w:rPr>
          <w:szCs w:val="24"/>
        </w:rPr>
      </w:pPr>
      <w:bookmarkStart w:id="22" w:name="_Toc180757341"/>
      <w:r w:rsidRPr="004B412D">
        <w:rPr>
          <w:szCs w:val="24"/>
        </w:rPr>
        <w:t>Conclusion</w:t>
      </w:r>
      <w:bookmarkEnd w:id="22"/>
    </w:p>
    <w:p w14:paraId="13CC39C5" w14:textId="391202A8" w:rsidR="00515342" w:rsidRPr="004B412D" w:rsidRDefault="00506C73" w:rsidP="004B412D">
      <w:pPr>
        <w:spacing w:line="360" w:lineRule="auto"/>
        <w:ind w:firstLine="720"/>
        <w:jc w:val="both"/>
        <w:rPr>
          <w:rFonts w:asciiTheme="majorBidi" w:hAnsiTheme="majorBidi" w:cstheme="majorBidi"/>
          <w:sz w:val="24"/>
          <w:szCs w:val="24"/>
        </w:rPr>
      </w:pPr>
      <w:r w:rsidRPr="00506C73">
        <w:rPr>
          <w:rFonts w:asciiTheme="majorBidi" w:hAnsiTheme="majorBidi" w:cstheme="majorBidi"/>
          <w:sz w:val="24"/>
          <w:szCs w:val="24"/>
        </w:rPr>
        <w:t xml:space="preserve">In reflecting on both Practical 1 and Practical 2, I have gained valuable insights into the roles of coaching and mentoring. Coaching and mentoring play distinct yet interconnected roles; coaching tends to be more focused on short-term goals and </w:t>
      </w:r>
      <w:proofErr w:type="spellStart"/>
      <w:r w:rsidRPr="00506C73">
        <w:rPr>
          <w:rFonts w:asciiTheme="majorBidi" w:hAnsiTheme="majorBidi" w:cstheme="majorBidi"/>
          <w:sz w:val="24"/>
          <w:szCs w:val="24"/>
        </w:rPr>
        <w:t>behavior</w:t>
      </w:r>
      <w:proofErr w:type="spellEnd"/>
      <w:r w:rsidRPr="00506C73">
        <w:rPr>
          <w:rFonts w:asciiTheme="majorBidi" w:hAnsiTheme="majorBidi" w:cstheme="majorBidi"/>
          <w:sz w:val="24"/>
          <w:szCs w:val="24"/>
        </w:rPr>
        <w:t xml:space="preserve"> modification, while mentoring is a longer-term process aimed at broader personal and professional development (</w:t>
      </w:r>
      <w:proofErr w:type="spellStart"/>
      <w:r w:rsidRPr="00506C73">
        <w:rPr>
          <w:rFonts w:asciiTheme="majorBidi" w:hAnsiTheme="majorBidi" w:cstheme="majorBidi"/>
          <w:sz w:val="24"/>
          <w:szCs w:val="24"/>
        </w:rPr>
        <w:t>Parsloe</w:t>
      </w:r>
      <w:proofErr w:type="spellEnd"/>
      <w:r w:rsidRPr="00506C73">
        <w:rPr>
          <w:rFonts w:asciiTheme="majorBidi" w:hAnsiTheme="majorBidi" w:cstheme="majorBidi"/>
          <w:sz w:val="24"/>
          <w:szCs w:val="24"/>
        </w:rPr>
        <w:t xml:space="preserve"> &amp; </w:t>
      </w:r>
      <w:proofErr w:type="spellStart"/>
      <w:r w:rsidRPr="00506C73">
        <w:rPr>
          <w:rFonts w:asciiTheme="majorBidi" w:hAnsiTheme="majorBidi" w:cstheme="majorBidi"/>
          <w:sz w:val="24"/>
          <w:szCs w:val="24"/>
        </w:rPr>
        <w:t>Leedham</w:t>
      </w:r>
      <w:proofErr w:type="spellEnd"/>
      <w:r w:rsidRPr="00506C73">
        <w:rPr>
          <w:rFonts w:asciiTheme="majorBidi" w:hAnsiTheme="majorBidi" w:cstheme="majorBidi"/>
          <w:sz w:val="24"/>
          <w:szCs w:val="24"/>
        </w:rPr>
        <w:t>, 2016). Through the use of coaching and mentoring techniques such as the GROW model and the Johari Window model, I was able to assist my peers in achieving specific goals while also helping them explore their personal growth. Both experiences reinforced the importance of effective communication, active listening, and creating a supportive environment for learning. By applying Gibbs’ Reflective Cycle, I have been able to assess my own strengths and areas for improvement in both coaching and mentoring, ensuring that I can continue to develop these skills in future practical applications.</w:t>
      </w:r>
    </w:p>
    <w:p w14:paraId="1CD0F83C" w14:textId="77777777" w:rsidR="00515342" w:rsidRPr="004B412D" w:rsidRDefault="0053725C" w:rsidP="004B412D">
      <w:pPr>
        <w:spacing w:line="360" w:lineRule="auto"/>
        <w:jc w:val="both"/>
        <w:rPr>
          <w:rFonts w:asciiTheme="majorBidi" w:hAnsiTheme="majorBidi" w:cstheme="majorBidi"/>
          <w:sz w:val="24"/>
          <w:szCs w:val="24"/>
        </w:rPr>
      </w:pPr>
      <w:r w:rsidRPr="004B412D">
        <w:rPr>
          <w:rFonts w:asciiTheme="majorBidi" w:hAnsiTheme="majorBidi" w:cstheme="majorBidi"/>
          <w:sz w:val="24"/>
          <w:szCs w:val="24"/>
        </w:rPr>
        <w:br w:type="page"/>
      </w:r>
    </w:p>
    <w:p w14:paraId="17CFDC15" w14:textId="77777777" w:rsidR="00AD0663" w:rsidRPr="004B412D" w:rsidRDefault="0053725C" w:rsidP="004B412D">
      <w:pPr>
        <w:pStyle w:val="Heading1"/>
        <w:spacing w:line="360" w:lineRule="auto"/>
        <w:jc w:val="center"/>
        <w:rPr>
          <w:szCs w:val="24"/>
        </w:rPr>
      </w:pPr>
      <w:bookmarkStart w:id="23" w:name="_Toc180757342"/>
      <w:r w:rsidRPr="004B412D">
        <w:rPr>
          <w:szCs w:val="24"/>
        </w:rPr>
        <w:lastRenderedPageBreak/>
        <w:t>References</w:t>
      </w:r>
      <w:bookmarkEnd w:id="23"/>
    </w:p>
    <w:p w14:paraId="1C3AD3A5"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Argyris, Y.A., Nelson, V.R., Wiseley, K., Shen, R. and Roscizewski, A., 2023. Do social media campaigns foster vaccination adherence? A systematic review of prior intervention-based campaigns on social media. </w:t>
      </w:r>
      <w:r w:rsidRPr="004B412D">
        <w:rPr>
          <w:rFonts w:asciiTheme="majorBidi" w:hAnsiTheme="majorBidi" w:cstheme="majorBidi"/>
          <w:i/>
          <w:iCs/>
          <w:color w:val="222222"/>
          <w:sz w:val="24"/>
          <w:szCs w:val="24"/>
          <w:shd w:val="clear" w:color="auto" w:fill="FFFFFF"/>
        </w:rPr>
        <w:t>Telematics and Informatics</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76</w:t>
      </w:r>
      <w:r w:rsidRPr="004B412D">
        <w:rPr>
          <w:rFonts w:asciiTheme="majorBidi" w:hAnsiTheme="majorBidi" w:cstheme="majorBidi"/>
          <w:color w:val="222222"/>
          <w:sz w:val="24"/>
          <w:szCs w:val="24"/>
          <w:shd w:val="clear" w:color="auto" w:fill="FFFFFF"/>
        </w:rPr>
        <w:t>, p.101918.</w:t>
      </w:r>
    </w:p>
    <w:p w14:paraId="17D61565"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Evans, D., Bratton, S. and McKee, J., 2021. </w:t>
      </w:r>
      <w:r w:rsidRPr="004B412D">
        <w:rPr>
          <w:rFonts w:asciiTheme="majorBidi" w:hAnsiTheme="majorBidi" w:cstheme="majorBidi"/>
          <w:i/>
          <w:iCs/>
          <w:color w:val="222222"/>
          <w:sz w:val="24"/>
          <w:szCs w:val="24"/>
          <w:shd w:val="clear" w:color="auto" w:fill="FFFFFF"/>
        </w:rPr>
        <w:t>Social media marketing</w:t>
      </w:r>
      <w:r w:rsidRPr="004B412D">
        <w:rPr>
          <w:rFonts w:asciiTheme="majorBidi" w:hAnsiTheme="majorBidi" w:cstheme="majorBidi"/>
          <w:color w:val="222222"/>
          <w:sz w:val="24"/>
          <w:szCs w:val="24"/>
          <w:shd w:val="clear" w:color="auto" w:fill="FFFFFF"/>
        </w:rPr>
        <w:t>. AG Printing &amp; Publishing.</w:t>
      </w:r>
    </w:p>
    <w:p w14:paraId="0AFF7CDE"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Han, A.T. and Laurian, L., 2023. Tracking plan implementation using elected officials’ social media communications and votes. </w:t>
      </w:r>
      <w:r w:rsidRPr="004B412D">
        <w:rPr>
          <w:rFonts w:asciiTheme="majorBidi" w:hAnsiTheme="majorBidi" w:cstheme="majorBidi"/>
          <w:i/>
          <w:iCs/>
          <w:color w:val="222222"/>
          <w:sz w:val="24"/>
          <w:szCs w:val="24"/>
          <w:shd w:val="clear" w:color="auto" w:fill="FFFFFF"/>
        </w:rPr>
        <w:t>Environment and Planning B: Urban Analytics and City Science</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50</w:t>
      </w:r>
      <w:r w:rsidRPr="004B412D">
        <w:rPr>
          <w:rFonts w:asciiTheme="majorBidi" w:hAnsiTheme="majorBidi" w:cstheme="majorBidi"/>
          <w:color w:val="222222"/>
          <w:sz w:val="24"/>
          <w:szCs w:val="24"/>
          <w:shd w:val="clear" w:color="auto" w:fill="FFFFFF"/>
        </w:rPr>
        <w:t>(2), pp.416-433.</w:t>
      </w:r>
    </w:p>
    <w:p w14:paraId="0665F478"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Housley, W., Webb, H., Williams, M., Procter, R., Edwards, A., Jirotka, M., Burnap, P., Stahl, B.C., Rana, O. and Williams, M., 2018. Interaction and transformation on social media: The case of Twitter campaigns. </w:t>
      </w:r>
      <w:r w:rsidRPr="004B412D">
        <w:rPr>
          <w:rFonts w:asciiTheme="majorBidi" w:hAnsiTheme="majorBidi" w:cstheme="majorBidi"/>
          <w:i/>
          <w:iCs/>
          <w:color w:val="222222"/>
          <w:sz w:val="24"/>
          <w:szCs w:val="24"/>
          <w:shd w:val="clear" w:color="auto" w:fill="FFFFFF"/>
        </w:rPr>
        <w:t>Social Media+ Society</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4</w:t>
      </w:r>
      <w:r w:rsidRPr="004B412D">
        <w:rPr>
          <w:rFonts w:asciiTheme="majorBidi" w:hAnsiTheme="majorBidi" w:cstheme="majorBidi"/>
          <w:color w:val="222222"/>
          <w:sz w:val="24"/>
          <w:szCs w:val="24"/>
          <w:shd w:val="clear" w:color="auto" w:fill="FFFFFF"/>
        </w:rPr>
        <w:t>(1), p.2056305117750721.</w:t>
      </w:r>
    </w:p>
    <w:p w14:paraId="10604C54"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Iankovets, T., 2023. MEDIA PLANNING OF DIGITAL ADVERTISING CAMPAIGNS. </w:t>
      </w:r>
      <w:r w:rsidRPr="004B412D">
        <w:rPr>
          <w:rFonts w:asciiTheme="majorBidi" w:hAnsiTheme="majorBidi" w:cstheme="majorBidi"/>
          <w:i/>
          <w:iCs/>
          <w:color w:val="222222"/>
          <w:sz w:val="24"/>
          <w:szCs w:val="24"/>
          <w:shd w:val="clear" w:color="auto" w:fill="FFFFFF"/>
        </w:rPr>
        <w:t>Eastern-European Journal of Enterprise Technologies</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126</w:t>
      </w:r>
      <w:r w:rsidRPr="004B412D">
        <w:rPr>
          <w:rFonts w:asciiTheme="majorBidi" w:hAnsiTheme="majorBidi" w:cstheme="majorBidi"/>
          <w:color w:val="222222"/>
          <w:sz w:val="24"/>
          <w:szCs w:val="24"/>
          <w:shd w:val="clear" w:color="auto" w:fill="FFFFFF"/>
        </w:rPr>
        <w:t>(13).</w:t>
      </w:r>
    </w:p>
    <w:p w14:paraId="595CF6D9"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Isaenko, E., Makrinova, E., Rozdolskaya, I., Matuzenko, E. and Bozhuk, S., 2020, December. Research of social media channels as a digital analytical and planning technology of advertising campaigns. In </w:t>
      </w:r>
      <w:r w:rsidRPr="004B412D">
        <w:rPr>
          <w:rFonts w:asciiTheme="majorBidi" w:hAnsiTheme="majorBidi" w:cstheme="majorBidi"/>
          <w:i/>
          <w:iCs/>
          <w:color w:val="222222"/>
          <w:sz w:val="24"/>
          <w:szCs w:val="24"/>
          <w:shd w:val="clear" w:color="auto" w:fill="FFFFFF"/>
        </w:rPr>
        <w:t>IOP Conference Series: Materials Science and Engineering</w:t>
      </w:r>
      <w:r w:rsidRPr="004B412D">
        <w:rPr>
          <w:rFonts w:asciiTheme="majorBidi" w:hAnsiTheme="majorBidi" w:cstheme="majorBidi"/>
          <w:color w:val="222222"/>
          <w:sz w:val="24"/>
          <w:szCs w:val="24"/>
          <w:shd w:val="clear" w:color="auto" w:fill="FFFFFF"/>
        </w:rPr>
        <w:t> (Vol. 986, No. 1, p. 012014). IOP Publishing.</w:t>
      </w:r>
    </w:p>
    <w:p w14:paraId="5E76D5D8"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Kedi, W.E., Ejimuda, C., Idemudia, C. and Ijomah, T.I., 2024. Machine learning software for optimizing SME social media marketing campaigns. </w:t>
      </w:r>
      <w:r w:rsidRPr="004B412D">
        <w:rPr>
          <w:rFonts w:asciiTheme="majorBidi" w:hAnsiTheme="majorBidi" w:cstheme="majorBidi"/>
          <w:i/>
          <w:iCs/>
          <w:color w:val="222222"/>
          <w:sz w:val="24"/>
          <w:szCs w:val="24"/>
          <w:shd w:val="clear" w:color="auto" w:fill="FFFFFF"/>
        </w:rPr>
        <w:t>Computer Science &amp; IT Research Journal</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5</w:t>
      </w:r>
      <w:r w:rsidRPr="004B412D">
        <w:rPr>
          <w:rFonts w:asciiTheme="majorBidi" w:hAnsiTheme="majorBidi" w:cstheme="majorBidi"/>
          <w:color w:val="222222"/>
          <w:sz w:val="24"/>
          <w:szCs w:val="24"/>
          <w:shd w:val="clear" w:color="auto" w:fill="FFFFFF"/>
        </w:rPr>
        <w:t>(7), pp.1634-1647.</w:t>
      </w:r>
    </w:p>
    <w:p w14:paraId="0FF6B8B5" w14:textId="77777777" w:rsidR="00B51E1E" w:rsidRPr="004B412D" w:rsidRDefault="0053725C" w:rsidP="004B412D">
      <w:pPr>
        <w:spacing w:line="360" w:lineRule="auto"/>
        <w:ind w:left="720" w:hanging="720"/>
        <w:jc w:val="both"/>
        <w:rPr>
          <w:rFonts w:asciiTheme="majorBidi" w:hAnsiTheme="majorBidi" w:cstheme="majorBidi"/>
          <w:sz w:val="24"/>
          <w:szCs w:val="24"/>
        </w:rPr>
      </w:pPr>
      <w:r w:rsidRPr="004B412D">
        <w:rPr>
          <w:rFonts w:asciiTheme="majorBidi" w:hAnsiTheme="majorBidi" w:cstheme="majorBidi"/>
          <w:color w:val="222222"/>
          <w:sz w:val="24"/>
          <w:szCs w:val="24"/>
          <w:shd w:val="clear" w:color="auto" w:fill="FFFFFF"/>
        </w:rPr>
        <w:t>Kim, C.M., 2020. </w:t>
      </w:r>
      <w:r w:rsidRPr="004B412D">
        <w:rPr>
          <w:rFonts w:asciiTheme="majorBidi" w:hAnsiTheme="majorBidi" w:cstheme="majorBidi"/>
          <w:i/>
          <w:iCs/>
          <w:color w:val="222222"/>
          <w:sz w:val="24"/>
          <w:szCs w:val="24"/>
          <w:shd w:val="clear" w:color="auto" w:fill="FFFFFF"/>
        </w:rPr>
        <w:t>Social media campaigns: Strategies for public relations and marketing</w:t>
      </w:r>
      <w:r w:rsidRPr="004B412D">
        <w:rPr>
          <w:rFonts w:asciiTheme="majorBidi" w:hAnsiTheme="majorBidi" w:cstheme="majorBidi"/>
          <w:color w:val="222222"/>
          <w:sz w:val="24"/>
          <w:szCs w:val="24"/>
          <w:shd w:val="clear" w:color="auto" w:fill="FFFFFF"/>
        </w:rPr>
        <w:t>. Routledge.</w:t>
      </w:r>
    </w:p>
    <w:p w14:paraId="0718A730"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Mahoney, L.M. and Tang, T., 2024. </w:t>
      </w:r>
      <w:r w:rsidRPr="004B412D">
        <w:rPr>
          <w:rFonts w:asciiTheme="majorBidi" w:hAnsiTheme="majorBidi" w:cstheme="majorBidi"/>
          <w:i/>
          <w:iCs/>
          <w:color w:val="222222"/>
          <w:sz w:val="24"/>
          <w:szCs w:val="24"/>
          <w:shd w:val="clear" w:color="auto" w:fill="FFFFFF"/>
        </w:rPr>
        <w:t>Strategic social media: From marketing to social change</w:t>
      </w:r>
      <w:r w:rsidRPr="004B412D">
        <w:rPr>
          <w:rFonts w:asciiTheme="majorBidi" w:hAnsiTheme="majorBidi" w:cstheme="majorBidi"/>
          <w:color w:val="222222"/>
          <w:sz w:val="24"/>
          <w:szCs w:val="24"/>
          <w:shd w:val="clear" w:color="auto" w:fill="FFFFFF"/>
        </w:rPr>
        <w:t>. John Wiley &amp; Sons.</w:t>
      </w:r>
    </w:p>
    <w:p w14:paraId="57D28F17"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Pedersen, E.A., Loft, L.H., Jacobsen, S.U., Søborg, B. and Bigaard, J., 2020. Strategic health communication on social media: Insights from a Danish social media campaign to address HPV vaccination hesitancy. </w:t>
      </w:r>
      <w:r w:rsidRPr="004B412D">
        <w:rPr>
          <w:rFonts w:asciiTheme="majorBidi" w:hAnsiTheme="majorBidi" w:cstheme="majorBidi"/>
          <w:i/>
          <w:iCs/>
          <w:color w:val="222222"/>
          <w:sz w:val="24"/>
          <w:szCs w:val="24"/>
          <w:shd w:val="clear" w:color="auto" w:fill="FFFFFF"/>
        </w:rPr>
        <w:t>Vaccine</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38</w:t>
      </w:r>
      <w:r w:rsidRPr="004B412D">
        <w:rPr>
          <w:rFonts w:asciiTheme="majorBidi" w:hAnsiTheme="majorBidi" w:cstheme="majorBidi"/>
          <w:color w:val="222222"/>
          <w:sz w:val="24"/>
          <w:szCs w:val="24"/>
          <w:shd w:val="clear" w:color="auto" w:fill="FFFFFF"/>
        </w:rPr>
        <w:t>(31), pp.4909-4915.</w:t>
      </w:r>
    </w:p>
    <w:p w14:paraId="43C8371A"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lastRenderedPageBreak/>
        <w:t>Record, R.A., Greiner, L.H., Wipfli, H., Strickland, J., Owens, J., Pugel, J. and Matt, G.E., 2023. Evaluation of a social media campaign designed to increase awareness of thirdhand smoke among California adults. </w:t>
      </w:r>
      <w:r w:rsidRPr="004B412D">
        <w:rPr>
          <w:rFonts w:asciiTheme="majorBidi" w:hAnsiTheme="majorBidi" w:cstheme="majorBidi"/>
          <w:i/>
          <w:iCs/>
          <w:color w:val="222222"/>
          <w:sz w:val="24"/>
          <w:szCs w:val="24"/>
          <w:shd w:val="clear" w:color="auto" w:fill="FFFFFF"/>
        </w:rPr>
        <w:t>Health communication</w:t>
      </w:r>
      <w:r w:rsidRPr="004B412D">
        <w:rPr>
          <w:rFonts w:asciiTheme="majorBidi" w:hAnsiTheme="majorBidi" w:cstheme="majorBidi"/>
          <w:color w:val="222222"/>
          <w:sz w:val="24"/>
          <w:szCs w:val="24"/>
          <w:shd w:val="clear" w:color="auto" w:fill="FFFFFF"/>
        </w:rPr>
        <w:t>, </w:t>
      </w:r>
      <w:r w:rsidRPr="004B412D">
        <w:rPr>
          <w:rFonts w:asciiTheme="majorBidi" w:hAnsiTheme="majorBidi" w:cstheme="majorBidi"/>
          <w:i/>
          <w:iCs/>
          <w:color w:val="222222"/>
          <w:sz w:val="24"/>
          <w:szCs w:val="24"/>
          <w:shd w:val="clear" w:color="auto" w:fill="FFFFFF"/>
        </w:rPr>
        <w:t>38</w:t>
      </w:r>
      <w:r w:rsidRPr="004B412D">
        <w:rPr>
          <w:rFonts w:asciiTheme="majorBidi" w:hAnsiTheme="majorBidi" w:cstheme="majorBidi"/>
          <w:color w:val="222222"/>
          <w:sz w:val="24"/>
          <w:szCs w:val="24"/>
          <w:shd w:val="clear" w:color="auto" w:fill="FFFFFF"/>
        </w:rPr>
        <w:t>(3), pp.437-446.</w:t>
      </w:r>
    </w:p>
    <w:p w14:paraId="72F6C0CD" w14:textId="77777777" w:rsidR="00B51E1E" w:rsidRPr="004B412D" w:rsidRDefault="0053725C" w:rsidP="004B412D">
      <w:pPr>
        <w:spacing w:line="360" w:lineRule="auto"/>
        <w:ind w:left="720" w:hanging="720"/>
        <w:jc w:val="both"/>
        <w:rPr>
          <w:rFonts w:asciiTheme="majorBidi" w:hAnsiTheme="majorBidi" w:cstheme="majorBidi"/>
          <w:color w:val="222222"/>
          <w:sz w:val="24"/>
          <w:szCs w:val="24"/>
          <w:shd w:val="clear" w:color="auto" w:fill="FFFFFF"/>
        </w:rPr>
      </w:pPr>
      <w:r w:rsidRPr="004B412D">
        <w:rPr>
          <w:rFonts w:asciiTheme="majorBidi" w:hAnsiTheme="majorBidi" w:cstheme="majorBidi"/>
          <w:color w:val="222222"/>
          <w:sz w:val="24"/>
          <w:szCs w:val="24"/>
          <w:shd w:val="clear" w:color="auto" w:fill="FFFFFF"/>
        </w:rPr>
        <w:t>Smith, R.D., 2020. </w:t>
      </w:r>
      <w:r w:rsidRPr="004B412D">
        <w:rPr>
          <w:rFonts w:asciiTheme="majorBidi" w:hAnsiTheme="majorBidi" w:cstheme="majorBidi"/>
          <w:i/>
          <w:iCs/>
          <w:color w:val="222222"/>
          <w:sz w:val="24"/>
          <w:szCs w:val="24"/>
          <w:shd w:val="clear" w:color="auto" w:fill="FFFFFF"/>
        </w:rPr>
        <w:t>Strategic planning for public relations</w:t>
      </w:r>
      <w:r w:rsidRPr="004B412D">
        <w:rPr>
          <w:rFonts w:asciiTheme="majorBidi" w:hAnsiTheme="majorBidi" w:cstheme="majorBidi"/>
          <w:color w:val="222222"/>
          <w:sz w:val="24"/>
          <w:szCs w:val="24"/>
          <w:shd w:val="clear" w:color="auto" w:fill="FFFFFF"/>
        </w:rPr>
        <w:t>. Routledge.</w:t>
      </w:r>
    </w:p>
    <w:p w14:paraId="7F4F68F0" w14:textId="77777777" w:rsidR="00DE3D6C" w:rsidRPr="004B412D" w:rsidRDefault="00DE3D6C" w:rsidP="004B412D">
      <w:pPr>
        <w:spacing w:line="360" w:lineRule="auto"/>
        <w:ind w:left="720" w:hanging="720"/>
        <w:jc w:val="both"/>
        <w:rPr>
          <w:rFonts w:asciiTheme="majorBidi" w:hAnsiTheme="majorBidi" w:cstheme="majorBidi"/>
          <w:sz w:val="24"/>
          <w:szCs w:val="24"/>
        </w:rPr>
      </w:pPr>
    </w:p>
    <w:p w14:paraId="2479B1C1" w14:textId="77777777" w:rsidR="00DA4873" w:rsidRPr="004B412D" w:rsidRDefault="00DA4873" w:rsidP="004B412D">
      <w:pPr>
        <w:spacing w:line="360" w:lineRule="auto"/>
        <w:ind w:left="720" w:hanging="720"/>
        <w:jc w:val="both"/>
        <w:rPr>
          <w:rFonts w:asciiTheme="majorBidi" w:hAnsiTheme="majorBidi" w:cstheme="majorBidi"/>
          <w:sz w:val="24"/>
          <w:szCs w:val="24"/>
        </w:rPr>
      </w:pPr>
    </w:p>
    <w:p w14:paraId="6BA5089C" w14:textId="77777777" w:rsidR="00DA4873" w:rsidRPr="004B412D" w:rsidRDefault="00DA4873" w:rsidP="004B412D">
      <w:pPr>
        <w:spacing w:line="360" w:lineRule="auto"/>
        <w:ind w:left="720" w:hanging="720"/>
        <w:jc w:val="both"/>
        <w:rPr>
          <w:rFonts w:asciiTheme="majorBidi" w:hAnsiTheme="majorBidi" w:cstheme="majorBidi"/>
          <w:sz w:val="24"/>
          <w:szCs w:val="24"/>
        </w:rPr>
      </w:pPr>
    </w:p>
    <w:sectPr w:rsidR="00DA4873" w:rsidRPr="004B412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62117C" w14:textId="77777777" w:rsidR="00F01818" w:rsidRDefault="00F01818" w:rsidP="007C4B2A">
      <w:pPr>
        <w:spacing w:after="0" w:line="240" w:lineRule="auto"/>
      </w:pPr>
      <w:r>
        <w:separator/>
      </w:r>
    </w:p>
  </w:endnote>
  <w:endnote w:type="continuationSeparator" w:id="0">
    <w:p w14:paraId="0A0CBE8B" w14:textId="77777777" w:rsidR="00F01818" w:rsidRDefault="00F01818" w:rsidP="007C4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4963509"/>
      <w:docPartObj>
        <w:docPartGallery w:val="Page Numbers (Bottom of Page)"/>
        <w:docPartUnique/>
      </w:docPartObj>
    </w:sdtPr>
    <w:sdtEndPr>
      <w:rPr>
        <w:noProof/>
      </w:rPr>
    </w:sdtEndPr>
    <w:sdtContent>
      <w:p w14:paraId="47F93C36" w14:textId="3280E726" w:rsidR="007C4B2A" w:rsidRDefault="007C4B2A">
        <w:pPr>
          <w:pStyle w:val="Footer"/>
          <w:jc w:val="right"/>
        </w:pPr>
        <w:r>
          <w:fldChar w:fldCharType="begin"/>
        </w:r>
        <w:r>
          <w:instrText xml:space="preserve"> PAGE   \* MERGEFORMAT </w:instrText>
        </w:r>
        <w:r>
          <w:fldChar w:fldCharType="separate"/>
        </w:r>
        <w:r w:rsidR="00506C73">
          <w:rPr>
            <w:noProof/>
          </w:rPr>
          <w:t>11</w:t>
        </w:r>
        <w:r>
          <w:rPr>
            <w:noProof/>
          </w:rPr>
          <w:fldChar w:fldCharType="end"/>
        </w:r>
      </w:p>
    </w:sdtContent>
  </w:sdt>
  <w:p w14:paraId="3F87B211" w14:textId="77777777" w:rsidR="007C4B2A" w:rsidRDefault="007C4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3A2720" w14:textId="77777777" w:rsidR="00F01818" w:rsidRDefault="00F01818" w:rsidP="007C4B2A">
      <w:pPr>
        <w:spacing w:after="0" w:line="240" w:lineRule="auto"/>
      </w:pPr>
      <w:r>
        <w:separator/>
      </w:r>
    </w:p>
  </w:footnote>
  <w:footnote w:type="continuationSeparator" w:id="0">
    <w:p w14:paraId="7FC37102" w14:textId="77777777" w:rsidR="00F01818" w:rsidRDefault="00F01818" w:rsidP="007C4B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54E38"/>
    <w:multiLevelType w:val="hybridMultilevel"/>
    <w:tmpl w:val="E320D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EF7AA2"/>
    <w:multiLevelType w:val="multilevel"/>
    <w:tmpl w:val="B2C844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971B52"/>
    <w:multiLevelType w:val="hybridMultilevel"/>
    <w:tmpl w:val="890638AA"/>
    <w:lvl w:ilvl="0" w:tplc="05FCF5CE">
      <w:numFmt w:val="bullet"/>
      <w:lvlText w:val=""/>
      <w:lvlJc w:val="left"/>
      <w:pPr>
        <w:ind w:left="720" w:hanging="360"/>
      </w:pPr>
      <w:rPr>
        <w:rFonts w:ascii="Symbol" w:eastAsia="Times New Roman" w:hAnsi="Symbol" w:cs="Times New Roman" w:hint="default"/>
      </w:rPr>
    </w:lvl>
    <w:lvl w:ilvl="1" w:tplc="9CDC2156" w:tentative="1">
      <w:start w:val="1"/>
      <w:numFmt w:val="bullet"/>
      <w:lvlText w:val="o"/>
      <w:lvlJc w:val="left"/>
      <w:pPr>
        <w:ind w:left="1440" w:hanging="360"/>
      </w:pPr>
      <w:rPr>
        <w:rFonts w:ascii="Courier New" w:hAnsi="Courier New" w:cs="Courier New" w:hint="default"/>
      </w:rPr>
    </w:lvl>
    <w:lvl w:ilvl="2" w:tplc="3F5C2046" w:tentative="1">
      <w:start w:val="1"/>
      <w:numFmt w:val="bullet"/>
      <w:lvlText w:val=""/>
      <w:lvlJc w:val="left"/>
      <w:pPr>
        <w:ind w:left="2160" w:hanging="360"/>
      </w:pPr>
      <w:rPr>
        <w:rFonts w:ascii="Wingdings" w:hAnsi="Wingdings" w:hint="default"/>
      </w:rPr>
    </w:lvl>
    <w:lvl w:ilvl="3" w:tplc="702CA0BA" w:tentative="1">
      <w:start w:val="1"/>
      <w:numFmt w:val="bullet"/>
      <w:lvlText w:val=""/>
      <w:lvlJc w:val="left"/>
      <w:pPr>
        <w:ind w:left="2880" w:hanging="360"/>
      </w:pPr>
      <w:rPr>
        <w:rFonts w:ascii="Symbol" w:hAnsi="Symbol" w:hint="default"/>
      </w:rPr>
    </w:lvl>
    <w:lvl w:ilvl="4" w:tplc="6C1E3046" w:tentative="1">
      <w:start w:val="1"/>
      <w:numFmt w:val="bullet"/>
      <w:lvlText w:val="o"/>
      <w:lvlJc w:val="left"/>
      <w:pPr>
        <w:ind w:left="3600" w:hanging="360"/>
      </w:pPr>
      <w:rPr>
        <w:rFonts w:ascii="Courier New" w:hAnsi="Courier New" w:cs="Courier New" w:hint="default"/>
      </w:rPr>
    </w:lvl>
    <w:lvl w:ilvl="5" w:tplc="64FA2B76" w:tentative="1">
      <w:start w:val="1"/>
      <w:numFmt w:val="bullet"/>
      <w:lvlText w:val=""/>
      <w:lvlJc w:val="left"/>
      <w:pPr>
        <w:ind w:left="4320" w:hanging="360"/>
      </w:pPr>
      <w:rPr>
        <w:rFonts w:ascii="Wingdings" w:hAnsi="Wingdings" w:hint="default"/>
      </w:rPr>
    </w:lvl>
    <w:lvl w:ilvl="6" w:tplc="C6900A84" w:tentative="1">
      <w:start w:val="1"/>
      <w:numFmt w:val="bullet"/>
      <w:lvlText w:val=""/>
      <w:lvlJc w:val="left"/>
      <w:pPr>
        <w:ind w:left="5040" w:hanging="360"/>
      </w:pPr>
      <w:rPr>
        <w:rFonts w:ascii="Symbol" w:hAnsi="Symbol" w:hint="default"/>
      </w:rPr>
    </w:lvl>
    <w:lvl w:ilvl="7" w:tplc="ED4ABD7C" w:tentative="1">
      <w:start w:val="1"/>
      <w:numFmt w:val="bullet"/>
      <w:lvlText w:val="o"/>
      <w:lvlJc w:val="left"/>
      <w:pPr>
        <w:ind w:left="5760" w:hanging="360"/>
      </w:pPr>
      <w:rPr>
        <w:rFonts w:ascii="Courier New" w:hAnsi="Courier New" w:cs="Courier New" w:hint="default"/>
      </w:rPr>
    </w:lvl>
    <w:lvl w:ilvl="8" w:tplc="B3CC44E0" w:tentative="1">
      <w:start w:val="1"/>
      <w:numFmt w:val="bullet"/>
      <w:lvlText w:val=""/>
      <w:lvlJc w:val="left"/>
      <w:pPr>
        <w:ind w:left="6480" w:hanging="360"/>
      </w:pPr>
      <w:rPr>
        <w:rFonts w:ascii="Wingdings" w:hAnsi="Wingdings" w:hint="default"/>
      </w:rPr>
    </w:lvl>
  </w:abstractNum>
  <w:abstractNum w:abstractNumId="3" w15:restartNumberingAfterBreak="0">
    <w:nsid w:val="2BB86D13"/>
    <w:multiLevelType w:val="hybridMultilevel"/>
    <w:tmpl w:val="9654C2A2"/>
    <w:lvl w:ilvl="0" w:tplc="22346CEA">
      <w:start w:val="1"/>
      <w:numFmt w:val="bullet"/>
      <w:lvlText w:val=""/>
      <w:lvlJc w:val="left"/>
      <w:pPr>
        <w:ind w:left="720" w:hanging="360"/>
      </w:pPr>
      <w:rPr>
        <w:rFonts w:ascii="Symbol" w:hAnsi="Symbol" w:hint="default"/>
      </w:rPr>
    </w:lvl>
    <w:lvl w:ilvl="1" w:tplc="CB540C7E" w:tentative="1">
      <w:start w:val="1"/>
      <w:numFmt w:val="bullet"/>
      <w:lvlText w:val="o"/>
      <w:lvlJc w:val="left"/>
      <w:pPr>
        <w:ind w:left="1440" w:hanging="360"/>
      </w:pPr>
      <w:rPr>
        <w:rFonts w:ascii="Courier New" w:hAnsi="Courier New" w:cs="Courier New" w:hint="default"/>
      </w:rPr>
    </w:lvl>
    <w:lvl w:ilvl="2" w:tplc="B6149E88" w:tentative="1">
      <w:start w:val="1"/>
      <w:numFmt w:val="bullet"/>
      <w:lvlText w:val=""/>
      <w:lvlJc w:val="left"/>
      <w:pPr>
        <w:ind w:left="2160" w:hanging="360"/>
      </w:pPr>
      <w:rPr>
        <w:rFonts w:ascii="Wingdings" w:hAnsi="Wingdings" w:hint="default"/>
      </w:rPr>
    </w:lvl>
    <w:lvl w:ilvl="3" w:tplc="3DC40A5C" w:tentative="1">
      <w:start w:val="1"/>
      <w:numFmt w:val="bullet"/>
      <w:lvlText w:val=""/>
      <w:lvlJc w:val="left"/>
      <w:pPr>
        <w:ind w:left="2880" w:hanging="360"/>
      </w:pPr>
      <w:rPr>
        <w:rFonts w:ascii="Symbol" w:hAnsi="Symbol" w:hint="default"/>
      </w:rPr>
    </w:lvl>
    <w:lvl w:ilvl="4" w:tplc="BBA4F8CC" w:tentative="1">
      <w:start w:val="1"/>
      <w:numFmt w:val="bullet"/>
      <w:lvlText w:val="o"/>
      <w:lvlJc w:val="left"/>
      <w:pPr>
        <w:ind w:left="3600" w:hanging="360"/>
      </w:pPr>
      <w:rPr>
        <w:rFonts w:ascii="Courier New" w:hAnsi="Courier New" w:cs="Courier New" w:hint="default"/>
      </w:rPr>
    </w:lvl>
    <w:lvl w:ilvl="5" w:tplc="602E2A08" w:tentative="1">
      <w:start w:val="1"/>
      <w:numFmt w:val="bullet"/>
      <w:lvlText w:val=""/>
      <w:lvlJc w:val="left"/>
      <w:pPr>
        <w:ind w:left="4320" w:hanging="360"/>
      </w:pPr>
      <w:rPr>
        <w:rFonts w:ascii="Wingdings" w:hAnsi="Wingdings" w:hint="default"/>
      </w:rPr>
    </w:lvl>
    <w:lvl w:ilvl="6" w:tplc="F788D6E4" w:tentative="1">
      <w:start w:val="1"/>
      <w:numFmt w:val="bullet"/>
      <w:lvlText w:val=""/>
      <w:lvlJc w:val="left"/>
      <w:pPr>
        <w:ind w:left="5040" w:hanging="360"/>
      </w:pPr>
      <w:rPr>
        <w:rFonts w:ascii="Symbol" w:hAnsi="Symbol" w:hint="default"/>
      </w:rPr>
    </w:lvl>
    <w:lvl w:ilvl="7" w:tplc="62E08F0C" w:tentative="1">
      <w:start w:val="1"/>
      <w:numFmt w:val="bullet"/>
      <w:lvlText w:val="o"/>
      <w:lvlJc w:val="left"/>
      <w:pPr>
        <w:ind w:left="5760" w:hanging="360"/>
      </w:pPr>
      <w:rPr>
        <w:rFonts w:ascii="Courier New" w:hAnsi="Courier New" w:cs="Courier New" w:hint="default"/>
      </w:rPr>
    </w:lvl>
    <w:lvl w:ilvl="8" w:tplc="2402B086" w:tentative="1">
      <w:start w:val="1"/>
      <w:numFmt w:val="bullet"/>
      <w:lvlText w:val=""/>
      <w:lvlJc w:val="left"/>
      <w:pPr>
        <w:ind w:left="6480" w:hanging="360"/>
      </w:pPr>
      <w:rPr>
        <w:rFonts w:ascii="Wingdings" w:hAnsi="Wingdings" w:hint="default"/>
      </w:rPr>
    </w:lvl>
  </w:abstractNum>
  <w:abstractNum w:abstractNumId="4" w15:restartNumberingAfterBreak="0">
    <w:nsid w:val="2F5747BB"/>
    <w:multiLevelType w:val="multilevel"/>
    <w:tmpl w:val="14A68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14CDE"/>
    <w:multiLevelType w:val="multilevel"/>
    <w:tmpl w:val="314450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827FD1"/>
    <w:multiLevelType w:val="hybridMultilevel"/>
    <w:tmpl w:val="6F187ABA"/>
    <w:lvl w:ilvl="0" w:tplc="5DDC4F6C">
      <w:start w:val="1"/>
      <w:numFmt w:val="decimal"/>
      <w:lvlText w:val="%1."/>
      <w:lvlJc w:val="left"/>
      <w:pPr>
        <w:ind w:left="720" w:hanging="360"/>
      </w:pPr>
    </w:lvl>
    <w:lvl w:ilvl="1" w:tplc="73006B48" w:tentative="1">
      <w:start w:val="1"/>
      <w:numFmt w:val="lowerLetter"/>
      <w:lvlText w:val="%2."/>
      <w:lvlJc w:val="left"/>
      <w:pPr>
        <w:ind w:left="1440" w:hanging="360"/>
      </w:pPr>
    </w:lvl>
    <w:lvl w:ilvl="2" w:tplc="326471F8" w:tentative="1">
      <w:start w:val="1"/>
      <w:numFmt w:val="lowerRoman"/>
      <w:lvlText w:val="%3."/>
      <w:lvlJc w:val="right"/>
      <w:pPr>
        <w:ind w:left="2160" w:hanging="180"/>
      </w:pPr>
    </w:lvl>
    <w:lvl w:ilvl="3" w:tplc="A1E8B932" w:tentative="1">
      <w:start w:val="1"/>
      <w:numFmt w:val="decimal"/>
      <w:lvlText w:val="%4."/>
      <w:lvlJc w:val="left"/>
      <w:pPr>
        <w:ind w:left="2880" w:hanging="360"/>
      </w:pPr>
    </w:lvl>
    <w:lvl w:ilvl="4" w:tplc="59CC6D84" w:tentative="1">
      <w:start w:val="1"/>
      <w:numFmt w:val="lowerLetter"/>
      <w:lvlText w:val="%5."/>
      <w:lvlJc w:val="left"/>
      <w:pPr>
        <w:ind w:left="3600" w:hanging="360"/>
      </w:pPr>
    </w:lvl>
    <w:lvl w:ilvl="5" w:tplc="DF88E56C" w:tentative="1">
      <w:start w:val="1"/>
      <w:numFmt w:val="lowerRoman"/>
      <w:lvlText w:val="%6."/>
      <w:lvlJc w:val="right"/>
      <w:pPr>
        <w:ind w:left="4320" w:hanging="180"/>
      </w:pPr>
    </w:lvl>
    <w:lvl w:ilvl="6" w:tplc="E29643B4" w:tentative="1">
      <w:start w:val="1"/>
      <w:numFmt w:val="decimal"/>
      <w:lvlText w:val="%7."/>
      <w:lvlJc w:val="left"/>
      <w:pPr>
        <w:ind w:left="5040" w:hanging="360"/>
      </w:pPr>
    </w:lvl>
    <w:lvl w:ilvl="7" w:tplc="CD68890A" w:tentative="1">
      <w:start w:val="1"/>
      <w:numFmt w:val="lowerLetter"/>
      <w:lvlText w:val="%8."/>
      <w:lvlJc w:val="left"/>
      <w:pPr>
        <w:ind w:left="5760" w:hanging="360"/>
      </w:pPr>
    </w:lvl>
    <w:lvl w:ilvl="8" w:tplc="C526FDAC" w:tentative="1">
      <w:start w:val="1"/>
      <w:numFmt w:val="lowerRoman"/>
      <w:lvlText w:val="%9."/>
      <w:lvlJc w:val="right"/>
      <w:pPr>
        <w:ind w:left="6480" w:hanging="180"/>
      </w:pPr>
    </w:lvl>
  </w:abstractNum>
  <w:abstractNum w:abstractNumId="7" w15:restartNumberingAfterBreak="0">
    <w:nsid w:val="6AB14624"/>
    <w:multiLevelType w:val="hybridMultilevel"/>
    <w:tmpl w:val="10DACC56"/>
    <w:lvl w:ilvl="0" w:tplc="401E3452">
      <w:start w:val="1"/>
      <w:numFmt w:val="decimal"/>
      <w:lvlText w:val="%1."/>
      <w:lvlJc w:val="left"/>
      <w:pPr>
        <w:ind w:left="720" w:hanging="360"/>
      </w:pPr>
      <w:rPr>
        <w:rFonts w:hint="default"/>
      </w:rPr>
    </w:lvl>
    <w:lvl w:ilvl="1" w:tplc="B8F88570" w:tentative="1">
      <w:start w:val="1"/>
      <w:numFmt w:val="lowerLetter"/>
      <w:lvlText w:val="%2."/>
      <w:lvlJc w:val="left"/>
      <w:pPr>
        <w:ind w:left="1440" w:hanging="360"/>
      </w:pPr>
    </w:lvl>
    <w:lvl w:ilvl="2" w:tplc="95B02080" w:tentative="1">
      <w:start w:val="1"/>
      <w:numFmt w:val="lowerRoman"/>
      <w:lvlText w:val="%3."/>
      <w:lvlJc w:val="right"/>
      <w:pPr>
        <w:ind w:left="2160" w:hanging="180"/>
      </w:pPr>
    </w:lvl>
    <w:lvl w:ilvl="3" w:tplc="3558BE82" w:tentative="1">
      <w:start w:val="1"/>
      <w:numFmt w:val="decimal"/>
      <w:lvlText w:val="%4."/>
      <w:lvlJc w:val="left"/>
      <w:pPr>
        <w:ind w:left="2880" w:hanging="360"/>
      </w:pPr>
    </w:lvl>
    <w:lvl w:ilvl="4" w:tplc="155E014E" w:tentative="1">
      <w:start w:val="1"/>
      <w:numFmt w:val="lowerLetter"/>
      <w:lvlText w:val="%5."/>
      <w:lvlJc w:val="left"/>
      <w:pPr>
        <w:ind w:left="3600" w:hanging="360"/>
      </w:pPr>
    </w:lvl>
    <w:lvl w:ilvl="5" w:tplc="7B840AC0" w:tentative="1">
      <w:start w:val="1"/>
      <w:numFmt w:val="lowerRoman"/>
      <w:lvlText w:val="%6."/>
      <w:lvlJc w:val="right"/>
      <w:pPr>
        <w:ind w:left="4320" w:hanging="180"/>
      </w:pPr>
    </w:lvl>
    <w:lvl w:ilvl="6" w:tplc="BF4679CA" w:tentative="1">
      <w:start w:val="1"/>
      <w:numFmt w:val="decimal"/>
      <w:lvlText w:val="%7."/>
      <w:lvlJc w:val="left"/>
      <w:pPr>
        <w:ind w:left="5040" w:hanging="360"/>
      </w:pPr>
    </w:lvl>
    <w:lvl w:ilvl="7" w:tplc="D5E65676" w:tentative="1">
      <w:start w:val="1"/>
      <w:numFmt w:val="lowerLetter"/>
      <w:lvlText w:val="%8."/>
      <w:lvlJc w:val="left"/>
      <w:pPr>
        <w:ind w:left="5760" w:hanging="360"/>
      </w:pPr>
    </w:lvl>
    <w:lvl w:ilvl="8" w:tplc="3E00E304" w:tentative="1">
      <w:start w:val="1"/>
      <w:numFmt w:val="lowerRoman"/>
      <w:lvlText w:val="%9."/>
      <w:lvlJc w:val="right"/>
      <w:pPr>
        <w:ind w:left="6480" w:hanging="180"/>
      </w:pPr>
    </w:lvl>
  </w:abstractNum>
  <w:abstractNum w:abstractNumId="8" w15:restartNumberingAfterBreak="0">
    <w:nsid w:val="71BD1CE1"/>
    <w:multiLevelType w:val="multilevel"/>
    <w:tmpl w:val="1F1CEA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num>
  <w:num w:numId="3">
    <w:abstractNumId w:val="1"/>
  </w:num>
  <w:num w:numId="4">
    <w:abstractNumId w:val="5"/>
  </w:num>
  <w:num w:numId="5">
    <w:abstractNumId w:val="7"/>
  </w:num>
  <w:num w:numId="6">
    <w:abstractNumId w:val="6"/>
  </w:num>
  <w:num w:numId="7">
    <w:abstractNumId w:val="3"/>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381"/>
    <w:rsid w:val="00004248"/>
    <w:rsid w:val="0002194D"/>
    <w:rsid w:val="00034728"/>
    <w:rsid w:val="00073047"/>
    <w:rsid w:val="00093381"/>
    <w:rsid w:val="000D54C2"/>
    <w:rsid w:val="000E1D8B"/>
    <w:rsid w:val="001A69B3"/>
    <w:rsid w:val="001A72B9"/>
    <w:rsid w:val="00223AE1"/>
    <w:rsid w:val="002E7BDD"/>
    <w:rsid w:val="003053C5"/>
    <w:rsid w:val="003B44C4"/>
    <w:rsid w:val="004712D4"/>
    <w:rsid w:val="00473227"/>
    <w:rsid w:val="004B412D"/>
    <w:rsid w:val="004C1783"/>
    <w:rsid w:val="004F7139"/>
    <w:rsid w:val="00506C73"/>
    <w:rsid w:val="00515342"/>
    <w:rsid w:val="0053725C"/>
    <w:rsid w:val="005825F1"/>
    <w:rsid w:val="00595C16"/>
    <w:rsid w:val="00596246"/>
    <w:rsid w:val="005A1F01"/>
    <w:rsid w:val="005E1DB4"/>
    <w:rsid w:val="005F0553"/>
    <w:rsid w:val="005F321A"/>
    <w:rsid w:val="006972D3"/>
    <w:rsid w:val="006A008D"/>
    <w:rsid w:val="006B7E3E"/>
    <w:rsid w:val="0073266D"/>
    <w:rsid w:val="00763A20"/>
    <w:rsid w:val="007B14C0"/>
    <w:rsid w:val="007C4B2A"/>
    <w:rsid w:val="008D1487"/>
    <w:rsid w:val="009226AE"/>
    <w:rsid w:val="00991ACC"/>
    <w:rsid w:val="009D33ED"/>
    <w:rsid w:val="009E6F65"/>
    <w:rsid w:val="00A25B23"/>
    <w:rsid w:val="00AA0623"/>
    <w:rsid w:val="00AD0663"/>
    <w:rsid w:val="00AF77E7"/>
    <w:rsid w:val="00B51E1E"/>
    <w:rsid w:val="00B52087"/>
    <w:rsid w:val="00C021CE"/>
    <w:rsid w:val="00C34D91"/>
    <w:rsid w:val="00C80DA8"/>
    <w:rsid w:val="00CD6C1D"/>
    <w:rsid w:val="00D03A76"/>
    <w:rsid w:val="00D748E3"/>
    <w:rsid w:val="00DA4873"/>
    <w:rsid w:val="00DE3D6C"/>
    <w:rsid w:val="00DF2EB4"/>
    <w:rsid w:val="00E0082D"/>
    <w:rsid w:val="00F01818"/>
    <w:rsid w:val="00F60939"/>
    <w:rsid w:val="00F8727F"/>
    <w:rsid w:val="00FC4B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02E22"/>
  <w15:chartTrackingRefBased/>
  <w15:docId w15:val="{0166583C-F8B6-4319-9D42-16F89C31D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248"/>
    <w:pPr>
      <w:keepNext/>
      <w:keepLines/>
      <w:spacing w:before="240" w:after="0"/>
      <w:outlineLvl w:val="0"/>
    </w:pPr>
    <w:rPr>
      <w:rFonts w:asciiTheme="majorBidi" w:eastAsiaTheme="majorEastAsia" w:hAnsiTheme="majorBidi" w:cstheme="majorBidi"/>
      <w:b/>
      <w:sz w:val="24"/>
      <w:szCs w:val="32"/>
    </w:rPr>
  </w:style>
  <w:style w:type="paragraph" w:styleId="Heading2">
    <w:name w:val="heading 2"/>
    <w:basedOn w:val="Normal"/>
    <w:next w:val="Normal"/>
    <w:link w:val="Heading2Char"/>
    <w:uiPriority w:val="9"/>
    <w:unhideWhenUsed/>
    <w:qFormat/>
    <w:rsid w:val="00004248"/>
    <w:pPr>
      <w:keepNext/>
      <w:keepLines/>
      <w:spacing w:before="40" w:after="0"/>
      <w:outlineLvl w:val="1"/>
    </w:pPr>
    <w:rPr>
      <w:rFonts w:asciiTheme="majorBidi" w:eastAsiaTheme="majorEastAsia" w:hAnsiTheme="majorBidi" w:cstheme="majorBidi"/>
      <w:i/>
      <w:sz w:val="24"/>
      <w:szCs w:val="26"/>
    </w:rPr>
  </w:style>
  <w:style w:type="paragraph" w:styleId="Heading3">
    <w:name w:val="heading 3"/>
    <w:basedOn w:val="Normal"/>
    <w:link w:val="Heading3Char"/>
    <w:uiPriority w:val="9"/>
    <w:qFormat/>
    <w:rsid w:val="00AA062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A062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A0623"/>
    <w:rPr>
      <w:b/>
      <w:bCs/>
    </w:rPr>
  </w:style>
  <w:style w:type="paragraph" w:styleId="NormalWeb">
    <w:name w:val="Normal (Web)"/>
    <w:basedOn w:val="Normal"/>
    <w:uiPriority w:val="99"/>
    <w:semiHidden/>
    <w:unhideWhenUsed/>
    <w:rsid w:val="00AA06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A0623"/>
    <w:pPr>
      <w:ind w:left="720"/>
      <w:contextualSpacing/>
    </w:pPr>
  </w:style>
  <w:style w:type="character" w:customStyle="1" w:styleId="Heading1Char">
    <w:name w:val="Heading 1 Char"/>
    <w:basedOn w:val="DefaultParagraphFont"/>
    <w:link w:val="Heading1"/>
    <w:uiPriority w:val="9"/>
    <w:rsid w:val="00004248"/>
    <w:rPr>
      <w:rFonts w:asciiTheme="majorBidi" w:eastAsiaTheme="majorEastAsia" w:hAnsiTheme="majorBidi" w:cstheme="majorBidi"/>
      <w:b/>
      <w:sz w:val="24"/>
      <w:szCs w:val="32"/>
    </w:rPr>
  </w:style>
  <w:style w:type="character" w:customStyle="1" w:styleId="Heading2Char">
    <w:name w:val="Heading 2 Char"/>
    <w:basedOn w:val="DefaultParagraphFont"/>
    <w:link w:val="Heading2"/>
    <w:uiPriority w:val="9"/>
    <w:rsid w:val="00004248"/>
    <w:rPr>
      <w:rFonts w:asciiTheme="majorBidi" w:eastAsiaTheme="majorEastAsia" w:hAnsiTheme="majorBidi" w:cstheme="majorBidi"/>
      <w:i/>
      <w:sz w:val="24"/>
      <w:szCs w:val="26"/>
    </w:rPr>
  </w:style>
  <w:style w:type="paragraph" w:styleId="TOCHeading">
    <w:name w:val="TOC Heading"/>
    <w:basedOn w:val="Heading1"/>
    <w:next w:val="Normal"/>
    <w:uiPriority w:val="39"/>
    <w:unhideWhenUsed/>
    <w:qFormat/>
    <w:rsid w:val="009D33ED"/>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D33ED"/>
    <w:pPr>
      <w:spacing w:after="100"/>
    </w:pPr>
  </w:style>
  <w:style w:type="paragraph" w:styleId="TOC3">
    <w:name w:val="toc 3"/>
    <w:basedOn w:val="Normal"/>
    <w:next w:val="Normal"/>
    <w:autoRedefine/>
    <w:uiPriority w:val="39"/>
    <w:unhideWhenUsed/>
    <w:rsid w:val="009D33ED"/>
    <w:pPr>
      <w:spacing w:after="100"/>
      <w:ind w:left="440"/>
    </w:pPr>
  </w:style>
  <w:style w:type="paragraph" w:styleId="TOC2">
    <w:name w:val="toc 2"/>
    <w:basedOn w:val="Normal"/>
    <w:next w:val="Normal"/>
    <w:autoRedefine/>
    <w:uiPriority w:val="39"/>
    <w:unhideWhenUsed/>
    <w:rsid w:val="009D33ED"/>
    <w:pPr>
      <w:spacing w:after="100"/>
      <w:ind w:left="220"/>
    </w:pPr>
  </w:style>
  <w:style w:type="character" w:styleId="Hyperlink">
    <w:name w:val="Hyperlink"/>
    <w:basedOn w:val="DefaultParagraphFont"/>
    <w:uiPriority w:val="99"/>
    <w:unhideWhenUsed/>
    <w:rsid w:val="009D33ED"/>
    <w:rPr>
      <w:color w:val="0563C1" w:themeColor="hyperlink"/>
      <w:u w:val="single"/>
    </w:rPr>
  </w:style>
  <w:style w:type="paragraph" w:styleId="Header">
    <w:name w:val="header"/>
    <w:basedOn w:val="Normal"/>
    <w:link w:val="HeaderChar"/>
    <w:uiPriority w:val="99"/>
    <w:unhideWhenUsed/>
    <w:rsid w:val="007C4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B2A"/>
  </w:style>
  <w:style w:type="paragraph" w:styleId="Footer">
    <w:name w:val="footer"/>
    <w:basedOn w:val="Normal"/>
    <w:link w:val="FooterChar"/>
    <w:uiPriority w:val="99"/>
    <w:unhideWhenUsed/>
    <w:rsid w:val="007C4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B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918014">
      <w:bodyDiv w:val="1"/>
      <w:marLeft w:val="0"/>
      <w:marRight w:val="0"/>
      <w:marTop w:val="0"/>
      <w:marBottom w:val="0"/>
      <w:divBdr>
        <w:top w:val="none" w:sz="0" w:space="0" w:color="auto"/>
        <w:left w:val="none" w:sz="0" w:space="0" w:color="auto"/>
        <w:bottom w:val="none" w:sz="0" w:space="0" w:color="auto"/>
        <w:right w:val="none" w:sz="0" w:space="0" w:color="auto"/>
      </w:divBdr>
    </w:div>
    <w:div w:id="1075856468">
      <w:bodyDiv w:val="1"/>
      <w:marLeft w:val="0"/>
      <w:marRight w:val="0"/>
      <w:marTop w:val="0"/>
      <w:marBottom w:val="0"/>
      <w:divBdr>
        <w:top w:val="none" w:sz="0" w:space="0" w:color="auto"/>
        <w:left w:val="none" w:sz="0" w:space="0" w:color="auto"/>
        <w:bottom w:val="none" w:sz="0" w:space="0" w:color="auto"/>
        <w:right w:val="none" w:sz="0" w:space="0" w:color="auto"/>
      </w:divBdr>
    </w:div>
    <w:div w:id="19756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A76DA8-1B1D-4CCC-999B-86B25AEE4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11</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19</cp:revision>
  <dcterms:created xsi:type="dcterms:W3CDTF">2024-10-10T04:30:00Z</dcterms:created>
  <dcterms:modified xsi:type="dcterms:W3CDTF">2024-11-16T10:25:00Z</dcterms:modified>
</cp:coreProperties>
</file>