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1016422554"/>
        <w:docPartObj>
          <w:docPartGallery w:val="Cover Pages"/>
          <w:docPartUnique/>
        </w:docPartObj>
      </w:sdtPr>
      <w:sdtContent>
        <w:p w14:paraId="27E06E38" w14:textId="37ED1BA7" w:rsidR="006A70FE" w:rsidRDefault="006A70FE">
          <w:r>
            <w:rPr>
              <w:noProof/>
            </w:rPr>
            <mc:AlternateContent>
              <mc:Choice Requires="wpg">
                <w:drawing>
                  <wp:anchor distT="0" distB="0" distL="114300" distR="114300" simplePos="0" relativeHeight="251659264" behindDoc="1" locked="0" layoutInCell="1" allowOverlap="1" wp14:anchorId="67F12C50" wp14:editId="2A3DEE54">
                    <wp:simplePos x="0" y="0"/>
                    <wp:positionH relativeFrom="page">
                      <wp:align>center</wp:align>
                    </wp:positionH>
                    <wp:positionV relativeFrom="page">
                      <wp:align>center</wp:align>
                    </wp:positionV>
                    <wp:extent cx="6858000" cy="9144000"/>
                    <wp:effectExtent l="0" t="0" r="2540" b="635"/>
                    <wp:wrapNone/>
                    <wp:docPr id="48" name="Group 85"/>
                    <wp:cNvGraphicFramePr/>
                    <a:graphic xmlns:a="http://schemas.openxmlformats.org/drawingml/2006/main">
                      <a:graphicData uri="http://schemas.microsoft.com/office/word/2010/wordprocessingGroup">
                        <wpg:wgp>
                          <wpg:cNvGrpSpPr/>
                          <wpg:grpSpPr>
                            <a:xfrm>
                              <a:off x="0" y="0"/>
                              <a:ext cx="6858000" cy="9144000"/>
                              <a:chOff x="0" y="0"/>
                              <a:chExt cx="6858000" cy="9144000"/>
                            </a:xfrm>
                          </wpg:grpSpPr>
                          <wpg:grpSp>
                            <wpg:cNvPr id="49" name="Group 49"/>
                            <wpg:cNvGrpSpPr/>
                            <wpg:grpSpPr>
                              <a:xfrm>
                                <a:off x="0" y="0"/>
                                <a:ext cx="6858000" cy="9144000"/>
                                <a:chOff x="0" y="0"/>
                                <a:chExt cx="6858000" cy="9144000"/>
                              </a:xfrm>
                            </wpg:grpSpPr>
                            <wps:wsp>
                              <wps:cNvPr id="54" name="Rectangle 54"/>
                              <wps:cNvSpPr/>
                              <wps:spPr>
                                <a:xfrm>
                                  <a:off x="0" y="0"/>
                                  <a:ext cx="6858000" cy="9144000"/>
                                </a:xfrm>
                                <a:prstGeom prst="rect">
                                  <a:avLst/>
                                </a:prstGeom>
                                <a:gradFill>
                                  <a:gsLst>
                                    <a:gs pos="10000">
                                      <a:schemeClr val="dk2">
                                        <a:tint val="97000"/>
                                        <a:hueMod val="92000"/>
                                        <a:satMod val="169000"/>
                                        <a:lumMod val="164000"/>
                                      </a:schemeClr>
                                    </a:gs>
                                    <a:gs pos="100000">
                                      <a:schemeClr val="dk2">
                                        <a:shade val="96000"/>
                                        <a:satMod val="120000"/>
                                        <a:lumMod val="90000"/>
                                      </a:schemeClr>
                                    </a:gs>
                                  </a:gsLst>
                                  <a:lin ang="6120000" scaled="1"/>
                                </a:gradFill>
                                <a:ln>
                                  <a:noFill/>
                                </a:ln>
                              </wps:spPr>
                              <wps:style>
                                <a:lnRef idx="2">
                                  <a:schemeClr val="accent1">
                                    <a:shade val="50000"/>
                                  </a:schemeClr>
                                </a:lnRef>
                                <a:fillRef idx="1002">
                                  <a:schemeClr val="dk2"/>
                                </a:fillRef>
                                <a:effectRef idx="0">
                                  <a:schemeClr val="accent1"/>
                                </a:effectRef>
                                <a:fontRef idx="minor">
                                  <a:schemeClr val="lt1"/>
                                </a:fontRef>
                              </wps:style>
                              <wps:txbx>
                                <w:txbxContent>
                                  <w:p w14:paraId="205C645A" w14:textId="77777777" w:rsidR="006A70FE" w:rsidRDefault="006A70FE">
                                    <w:pPr>
                                      <w:pStyle w:val="NoSpacing"/>
                                      <w:rPr>
                                        <w:color w:val="FFFFFF" w:themeColor="background1"/>
                                        <w:sz w:val="48"/>
                                        <w:szCs w:val="48"/>
                                      </w:rPr>
                                    </w:pPr>
                                  </w:p>
                                </w:txbxContent>
                              </wps:txbx>
                              <wps:bodyPr rot="0" spcFirstLastPara="0" vertOverflow="overflow" horzOverflow="overflow" vert="horz" wrap="square" lIns="685800" tIns="685800" rIns="914400" bIns="4572000" numCol="1" spcCol="0" rtlCol="0" fromWordArt="0" anchor="t" anchorCtr="0" forceAA="0" compatLnSpc="1">
                                <a:prstTxWarp prst="textNoShape">
                                  <a:avLst/>
                                </a:prstTxWarp>
                                <a:noAutofit/>
                              </wps:bodyPr>
                            </wps:wsp>
                            <wpg:grpSp>
                              <wpg:cNvPr id="55" name="Group 2"/>
                              <wpg:cNvGrpSpPr/>
                              <wpg:grpSpPr>
                                <a:xfrm>
                                  <a:off x="2524125" y="0"/>
                                  <a:ext cx="4329113" cy="4491038"/>
                                  <a:chOff x="0" y="0"/>
                                  <a:chExt cx="4329113" cy="4491038"/>
                                </a:xfrm>
                                <a:solidFill>
                                  <a:schemeClr val="bg1"/>
                                </a:solidFill>
                              </wpg:grpSpPr>
                              <wps:wsp>
                                <wps:cNvPr id="56" name="Freeform 56"/>
                                <wps:cNvSpPr>
                                  <a:spLocks/>
                                </wps:cNvSpPr>
                                <wps:spPr bwMode="auto">
                                  <a:xfrm>
                                    <a:off x="1501775" y="0"/>
                                    <a:ext cx="2827338" cy="2835275"/>
                                  </a:xfrm>
                                  <a:custGeom>
                                    <a:avLst/>
                                    <a:gdLst>
                                      <a:gd name="T0" fmla="*/ 4 w 1781"/>
                                      <a:gd name="T1" fmla="*/ 1786 h 1786"/>
                                      <a:gd name="T2" fmla="*/ 0 w 1781"/>
                                      <a:gd name="T3" fmla="*/ 1782 h 1786"/>
                                      <a:gd name="T4" fmla="*/ 1776 w 1781"/>
                                      <a:gd name="T5" fmla="*/ 0 h 1786"/>
                                      <a:gd name="T6" fmla="*/ 1781 w 1781"/>
                                      <a:gd name="T7" fmla="*/ 5 h 1786"/>
                                      <a:gd name="T8" fmla="*/ 4 w 1781"/>
                                      <a:gd name="T9" fmla="*/ 1786 h 1786"/>
                                    </a:gdLst>
                                    <a:ahLst/>
                                    <a:cxnLst>
                                      <a:cxn ang="0">
                                        <a:pos x="T0" y="T1"/>
                                      </a:cxn>
                                      <a:cxn ang="0">
                                        <a:pos x="T2" y="T3"/>
                                      </a:cxn>
                                      <a:cxn ang="0">
                                        <a:pos x="T4" y="T5"/>
                                      </a:cxn>
                                      <a:cxn ang="0">
                                        <a:pos x="T6" y="T7"/>
                                      </a:cxn>
                                      <a:cxn ang="0">
                                        <a:pos x="T8" y="T9"/>
                                      </a:cxn>
                                    </a:cxnLst>
                                    <a:rect l="0" t="0" r="r" b="b"/>
                                    <a:pathLst>
                                      <a:path w="1781" h="1786">
                                        <a:moveTo>
                                          <a:pt x="4" y="1786"/>
                                        </a:moveTo>
                                        <a:lnTo>
                                          <a:pt x="0" y="1782"/>
                                        </a:lnTo>
                                        <a:lnTo>
                                          <a:pt x="1776" y="0"/>
                                        </a:lnTo>
                                        <a:lnTo>
                                          <a:pt x="1781" y="5"/>
                                        </a:lnTo>
                                        <a:lnTo>
                                          <a:pt x="4" y="178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57" name="Freeform 57"/>
                                <wps:cNvSpPr>
                                  <a:spLocks/>
                                </wps:cNvSpPr>
                                <wps:spPr bwMode="auto">
                                  <a:xfrm>
                                    <a:off x="782637" y="227013"/>
                                    <a:ext cx="3546475" cy="3546475"/>
                                  </a:xfrm>
                                  <a:custGeom>
                                    <a:avLst/>
                                    <a:gdLst>
                                      <a:gd name="T0" fmla="*/ 5 w 2234"/>
                                      <a:gd name="T1" fmla="*/ 2234 h 2234"/>
                                      <a:gd name="T2" fmla="*/ 0 w 2234"/>
                                      <a:gd name="T3" fmla="*/ 2229 h 2234"/>
                                      <a:gd name="T4" fmla="*/ 2229 w 2234"/>
                                      <a:gd name="T5" fmla="*/ 0 h 2234"/>
                                      <a:gd name="T6" fmla="*/ 2234 w 2234"/>
                                      <a:gd name="T7" fmla="*/ 5 h 2234"/>
                                      <a:gd name="T8" fmla="*/ 5 w 2234"/>
                                      <a:gd name="T9" fmla="*/ 2234 h 2234"/>
                                    </a:gdLst>
                                    <a:ahLst/>
                                    <a:cxnLst>
                                      <a:cxn ang="0">
                                        <a:pos x="T0" y="T1"/>
                                      </a:cxn>
                                      <a:cxn ang="0">
                                        <a:pos x="T2" y="T3"/>
                                      </a:cxn>
                                      <a:cxn ang="0">
                                        <a:pos x="T4" y="T5"/>
                                      </a:cxn>
                                      <a:cxn ang="0">
                                        <a:pos x="T6" y="T7"/>
                                      </a:cxn>
                                      <a:cxn ang="0">
                                        <a:pos x="T8" y="T9"/>
                                      </a:cxn>
                                    </a:cxnLst>
                                    <a:rect l="0" t="0" r="r" b="b"/>
                                    <a:pathLst>
                                      <a:path w="2234" h="2234">
                                        <a:moveTo>
                                          <a:pt x="5" y="2234"/>
                                        </a:moveTo>
                                        <a:lnTo>
                                          <a:pt x="0" y="2229"/>
                                        </a:lnTo>
                                        <a:lnTo>
                                          <a:pt x="2229" y="0"/>
                                        </a:lnTo>
                                        <a:lnTo>
                                          <a:pt x="2234" y="5"/>
                                        </a:lnTo>
                                        <a:lnTo>
                                          <a:pt x="5" y="2234"/>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58" name="Freeform 58"/>
                                <wps:cNvSpPr>
                                  <a:spLocks/>
                                </wps:cNvSpPr>
                                <wps:spPr bwMode="auto">
                                  <a:xfrm>
                                    <a:off x="841375" y="109538"/>
                                    <a:ext cx="3487738" cy="3487738"/>
                                  </a:xfrm>
                                  <a:custGeom>
                                    <a:avLst/>
                                    <a:gdLst>
                                      <a:gd name="T0" fmla="*/ 9 w 2197"/>
                                      <a:gd name="T1" fmla="*/ 2197 h 2197"/>
                                      <a:gd name="T2" fmla="*/ 0 w 2197"/>
                                      <a:gd name="T3" fmla="*/ 2193 h 2197"/>
                                      <a:gd name="T4" fmla="*/ 2188 w 2197"/>
                                      <a:gd name="T5" fmla="*/ 0 h 2197"/>
                                      <a:gd name="T6" fmla="*/ 2197 w 2197"/>
                                      <a:gd name="T7" fmla="*/ 10 h 2197"/>
                                      <a:gd name="T8" fmla="*/ 9 w 2197"/>
                                      <a:gd name="T9" fmla="*/ 2197 h 2197"/>
                                    </a:gdLst>
                                    <a:ahLst/>
                                    <a:cxnLst>
                                      <a:cxn ang="0">
                                        <a:pos x="T0" y="T1"/>
                                      </a:cxn>
                                      <a:cxn ang="0">
                                        <a:pos x="T2" y="T3"/>
                                      </a:cxn>
                                      <a:cxn ang="0">
                                        <a:pos x="T4" y="T5"/>
                                      </a:cxn>
                                      <a:cxn ang="0">
                                        <a:pos x="T6" y="T7"/>
                                      </a:cxn>
                                      <a:cxn ang="0">
                                        <a:pos x="T8" y="T9"/>
                                      </a:cxn>
                                    </a:cxnLst>
                                    <a:rect l="0" t="0" r="r" b="b"/>
                                    <a:pathLst>
                                      <a:path w="2197" h="2197">
                                        <a:moveTo>
                                          <a:pt x="9" y="2197"/>
                                        </a:moveTo>
                                        <a:lnTo>
                                          <a:pt x="0" y="2193"/>
                                        </a:lnTo>
                                        <a:lnTo>
                                          <a:pt x="2188" y="0"/>
                                        </a:lnTo>
                                        <a:lnTo>
                                          <a:pt x="2197" y="10"/>
                                        </a:lnTo>
                                        <a:lnTo>
                                          <a:pt x="9" y="2197"/>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59" name="Freeform 59"/>
                                <wps:cNvSpPr>
                                  <a:spLocks/>
                                </wps:cNvSpPr>
                                <wps:spPr bwMode="auto">
                                  <a:xfrm>
                                    <a:off x="1216025" y="498475"/>
                                    <a:ext cx="3113088" cy="3121025"/>
                                  </a:xfrm>
                                  <a:custGeom>
                                    <a:avLst/>
                                    <a:gdLst>
                                      <a:gd name="T0" fmla="*/ 9 w 1961"/>
                                      <a:gd name="T1" fmla="*/ 1966 h 1966"/>
                                      <a:gd name="T2" fmla="*/ 0 w 1961"/>
                                      <a:gd name="T3" fmla="*/ 1957 h 1966"/>
                                      <a:gd name="T4" fmla="*/ 1952 w 1961"/>
                                      <a:gd name="T5" fmla="*/ 0 h 1966"/>
                                      <a:gd name="T6" fmla="*/ 1961 w 1961"/>
                                      <a:gd name="T7" fmla="*/ 9 h 1966"/>
                                      <a:gd name="T8" fmla="*/ 9 w 1961"/>
                                      <a:gd name="T9" fmla="*/ 1966 h 1966"/>
                                    </a:gdLst>
                                    <a:ahLst/>
                                    <a:cxnLst>
                                      <a:cxn ang="0">
                                        <a:pos x="T0" y="T1"/>
                                      </a:cxn>
                                      <a:cxn ang="0">
                                        <a:pos x="T2" y="T3"/>
                                      </a:cxn>
                                      <a:cxn ang="0">
                                        <a:pos x="T4" y="T5"/>
                                      </a:cxn>
                                      <a:cxn ang="0">
                                        <a:pos x="T6" y="T7"/>
                                      </a:cxn>
                                      <a:cxn ang="0">
                                        <a:pos x="T8" y="T9"/>
                                      </a:cxn>
                                    </a:cxnLst>
                                    <a:rect l="0" t="0" r="r" b="b"/>
                                    <a:pathLst>
                                      <a:path w="1961" h="1966">
                                        <a:moveTo>
                                          <a:pt x="9" y="1966"/>
                                        </a:moveTo>
                                        <a:lnTo>
                                          <a:pt x="0" y="1957"/>
                                        </a:lnTo>
                                        <a:lnTo>
                                          <a:pt x="1952" y="0"/>
                                        </a:lnTo>
                                        <a:lnTo>
                                          <a:pt x="1961" y="9"/>
                                        </a:lnTo>
                                        <a:lnTo>
                                          <a:pt x="9" y="196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0" name="Freeform 60"/>
                                <wps:cNvSpPr>
                                  <a:spLocks/>
                                </wps:cNvSpPr>
                                <wps:spPr bwMode="auto">
                                  <a:xfrm>
                                    <a:off x="0" y="153988"/>
                                    <a:ext cx="4329113" cy="4337050"/>
                                  </a:xfrm>
                                  <a:custGeom>
                                    <a:avLst/>
                                    <a:gdLst>
                                      <a:gd name="T0" fmla="*/ 0 w 2727"/>
                                      <a:gd name="T1" fmla="*/ 2732 h 2732"/>
                                      <a:gd name="T2" fmla="*/ 0 w 2727"/>
                                      <a:gd name="T3" fmla="*/ 2728 h 2732"/>
                                      <a:gd name="T4" fmla="*/ 2722 w 2727"/>
                                      <a:gd name="T5" fmla="*/ 0 h 2732"/>
                                      <a:gd name="T6" fmla="*/ 2727 w 2727"/>
                                      <a:gd name="T7" fmla="*/ 5 h 2732"/>
                                      <a:gd name="T8" fmla="*/ 0 w 2727"/>
                                      <a:gd name="T9" fmla="*/ 2732 h 2732"/>
                                    </a:gdLst>
                                    <a:ahLst/>
                                    <a:cxnLst>
                                      <a:cxn ang="0">
                                        <a:pos x="T0" y="T1"/>
                                      </a:cxn>
                                      <a:cxn ang="0">
                                        <a:pos x="T2" y="T3"/>
                                      </a:cxn>
                                      <a:cxn ang="0">
                                        <a:pos x="T4" y="T5"/>
                                      </a:cxn>
                                      <a:cxn ang="0">
                                        <a:pos x="T6" y="T7"/>
                                      </a:cxn>
                                      <a:cxn ang="0">
                                        <a:pos x="T8" y="T9"/>
                                      </a:cxn>
                                    </a:cxnLst>
                                    <a:rect l="0" t="0" r="r" b="b"/>
                                    <a:pathLst>
                                      <a:path w="2727" h="2732">
                                        <a:moveTo>
                                          <a:pt x="0" y="2732"/>
                                        </a:moveTo>
                                        <a:lnTo>
                                          <a:pt x="0" y="2728"/>
                                        </a:lnTo>
                                        <a:lnTo>
                                          <a:pt x="2722" y="0"/>
                                        </a:lnTo>
                                        <a:lnTo>
                                          <a:pt x="2727" y="5"/>
                                        </a:lnTo>
                                        <a:lnTo>
                                          <a:pt x="0" y="2732"/>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g:grpSp>
                          </wpg:grpSp>
                          <wps:wsp>
                            <wps:cNvPr id="61" name="Text Box 61"/>
                            <wps:cNvSpPr txBox="1"/>
                            <wps:spPr>
                              <a:xfrm>
                                <a:off x="9518" y="4838700"/>
                                <a:ext cx="6843395" cy="3789752"/>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aps/>
                                      <w:color w:val="FFFFFF" w:themeColor="background1"/>
                                      <w:sz w:val="64"/>
                                      <w:szCs w:val="64"/>
                                    </w:rPr>
                                    <w:alias w:val="Title"/>
                                    <w:tag w:val=""/>
                                    <w:id w:val="1841046763"/>
                                    <w:dataBinding w:prefixMappings="xmlns:ns0='http://purl.org/dc/elements/1.1/' xmlns:ns1='http://schemas.openxmlformats.org/package/2006/metadata/core-properties' " w:xpath="/ns1:coreProperties[1]/ns0:title[1]" w:storeItemID="{6C3C8BC8-F283-45AE-878A-BAB7291924A1}"/>
                                    <w:text/>
                                  </w:sdtPr>
                                  <w:sdtContent>
                                    <w:p w14:paraId="159329EE" w14:textId="561A6ED1" w:rsidR="006A70FE" w:rsidRDefault="006A70FE">
                                      <w:pPr>
                                        <w:pStyle w:val="NoSpacing"/>
                                        <w:rPr>
                                          <w:rFonts w:asciiTheme="majorHAnsi" w:eastAsiaTheme="majorEastAsia" w:hAnsiTheme="majorHAnsi" w:cstheme="majorBidi"/>
                                          <w:caps/>
                                          <w:color w:val="FFFFFF" w:themeColor="background1"/>
                                          <w:sz w:val="64"/>
                                          <w:szCs w:val="64"/>
                                        </w:rPr>
                                      </w:pPr>
                                      <w:r>
                                        <w:rPr>
                                          <w:rFonts w:asciiTheme="majorHAnsi" w:eastAsiaTheme="majorEastAsia" w:hAnsiTheme="majorHAnsi" w:cstheme="majorBidi"/>
                                          <w:caps/>
                                          <w:color w:val="FFFFFF" w:themeColor="background1"/>
                                          <w:sz w:val="64"/>
                                          <w:szCs w:val="64"/>
                                        </w:rPr>
                                        <w:t>the common-sense model of self-regulation in diabetes management outcomes.</w:t>
                                      </w:r>
                                    </w:p>
                                  </w:sdtContent>
                                </w:sdt>
                                <w:sdt>
                                  <w:sdtPr>
                                    <w:rPr>
                                      <w:color w:val="156082" w:themeColor="accent1"/>
                                      <w:sz w:val="36"/>
                                      <w:szCs w:val="36"/>
                                    </w:rPr>
                                    <w:alias w:val="Subtitle"/>
                                    <w:tag w:val=""/>
                                    <w:id w:val="-1686441493"/>
                                    <w:dataBinding w:prefixMappings="xmlns:ns0='http://purl.org/dc/elements/1.1/' xmlns:ns1='http://schemas.openxmlformats.org/package/2006/metadata/core-properties' " w:xpath="/ns1:coreProperties[1]/ns0:subject[1]" w:storeItemID="{6C3C8BC8-F283-45AE-878A-BAB7291924A1}"/>
                                    <w:text/>
                                  </w:sdtPr>
                                  <w:sdtContent>
                                    <w:p w14:paraId="49BC43B0" w14:textId="1CDB4DF9" w:rsidR="006A70FE" w:rsidRDefault="006A70FE">
                                      <w:pPr>
                                        <w:pStyle w:val="NoSpacing"/>
                                        <w:spacing w:before="120"/>
                                        <w:rPr>
                                          <w:color w:val="156082" w:themeColor="accent1"/>
                                          <w:sz w:val="36"/>
                                          <w:szCs w:val="36"/>
                                        </w:rPr>
                                      </w:pPr>
                                      <w:r>
                                        <w:rPr>
                                          <w:color w:val="156082" w:themeColor="accent1"/>
                                          <w:sz w:val="36"/>
                                          <w:szCs w:val="36"/>
                                        </w:rPr>
                                        <w:t>University of Wales Trinity Saint David</w:t>
                                      </w:r>
                                    </w:p>
                                  </w:sdtContent>
                                </w:sdt>
                              </w:txbxContent>
                            </wps:txbx>
                            <wps:bodyPr rot="0" spcFirstLastPara="0" vertOverflow="overflow" horzOverflow="overflow" vert="horz" wrap="square" lIns="685800" tIns="0" rIns="914400" bIns="0" numCol="1" spcCol="0" rtlCol="0" fromWordArt="0" anchor="b"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67F12C50" id="Group 85" o:spid="_x0000_s1026" style="position:absolute;margin-left:0;margin-top:0;width:540pt;height:10in;z-index:-251657216;mso-width-percent:882;mso-height-percent:909;mso-position-horizontal:center;mso-position-horizontal-relative:page;mso-position-vertical:center;mso-position-vertical-relative:page;mso-width-percent:882;mso-height-percent:909" coordsize="68580,91440"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">
                    <v:group id="Group 49" o:spid="_x0000_s1027" style="position:absolute;width:68580;height:91440" coordsize="68580,9144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">
                      <v:rect id="Rectangle 54" o:spid="_x0000_s1028" style="position:absolute;width:68580;height:91440;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" fillcolor="#102e4b [3122]" stroked="f" strokeweight="1pt">
                        <v:fill color2="#0c233a [2882]" angle="348" colors="0 #457c94;6554f #457c94" focus="100%" type="gradient"/>
                        <v:textbox inset="54pt,54pt,1in,5in">
                          <w:txbxContent>
                            <w:p w14:paraId="205C645A" w14:textId="77777777" w:rsidR="006A70FE" w:rsidRDefault="006A70FE">
                              <w:pPr>
                                <w:pStyle w:val="NoSpacing"/>
                                <w:rPr>
                                  <w:color w:val="FFFFFF" w:themeColor="background1"/>
                                  <w:sz w:val="48"/>
                                  <w:szCs w:val="48"/>
                                </w:rPr>
                              </w:pPr>
                            </w:p>
                          </w:txbxContent>
                        </v:textbox>
                      </v:rect>
                      <v:group id="Group 2" o:spid="_x0000_s1029" style="position:absolute;left:25241;width:43291;height:44910" coordsize="43291,4491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">
                        <v:shape id="Freeform 56" o:spid="_x0000_s1030" style="position:absolute;left:15017;width:28274;height:28352;visibility:visible;mso-wrap-style:square;v-text-anchor:top" coordsize="1781,178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" path="m4,1786l,1782,1776,r5,5l4,1786xe" filled="f" stroked="f">
                          <v:path arrowok="t" o:connecttype="custom" o:connectlocs="6350,2835275;0,2828925;2819400,0;2827338,7938;6350,2835275" o:connectangles="0,0,0,0,0"/>
                        </v:shape>
                        <v:shape id="Freeform 57" o:spid="_x0000_s1031" style="position:absolute;left:7826;top:2270;width:35465;height:35464;visibility:visible;mso-wrap-style:square;v-text-anchor:top" coordsize="2234,2234"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" path="m5,2234l,2229,2229,r5,5l5,2234xe" filled="f" stroked="f">
                          <v:path arrowok="t" o:connecttype="custom" o:connectlocs="7938,3546475;0,3538538;3538538,0;3546475,7938;7938,3546475" o:connectangles="0,0,0,0,0"/>
                        </v:shape>
                        <v:shape id="Freeform 58" o:spid="_x0000_s1032" style="position:absolute;left:8413;top:1095;width:34878;height:34877;visibility:visible;mso-wrap-style:square;v-text-anchor:top" coordsize="2197,2197"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" path="m9,2197l,2193,2188,r9,10l9,2197xe" filled="f" stroked="f">
                          <v:path arrowok="t" o:connecttype="custom" o:connectlocs="14288,3487738;0,3481388;3473450,0;3487738,15875;14288,3487738" o:connectangles="0,0,0,0,0"/>
                        </v:shape>
                        <v:shape id="Freeform 59" o:spid="_x0000_s1033" style="position:absolute;left:12160;top:4984;width:31131;height:31211;visibility:visible;mso-wrap-style:square;v-text-anchor:top" coordsize="1961,196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" path="m9,1966l,1957,1952,r9,9l9,1966xe" filled="f" stroked="f">
                          <v:path arrowok="t" o:connecttype="custom" o:connectlocs="14288,3121025;0,3106738;3098800,0;3113088,14288;14288,3121025" o:connectangles="0,0,0,0,0"/>
                        </v:shape>
                        <v:shape id="Freeform 60" o:spid="_x0000_s1034" style="position:absolute;top:1539;width:43291;height:43371;visibility:visible;mso-wrap-style:square;v-text-anchor:top" coordsize="2727,2732"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" path="m,2732r,-4l2722,r5,5l,2732xe" filled="f" stroked="f">
                          <v:path arrowok="t" o:connecttype="custom" o:connectlocs="0,4337050;0,4330700;4321175,0;4329113,7938;0,4337050" o:connectangles="0,0,0,0,0"/>
                        </v:shape>
                      </v:group>
                    </v:group>
                    <v:shapetype id="_x0000_t202" coordsize="21600,21600" o:spt="202" path="m,l,21600r21600,l21600,xe">
                      <v:stroke joinstyle="miter"/>
                      <v:path gradientshapeok="t" o:connecttype="rect"/>
                    </v:shapetype>
                    <v:shape id="Text Box 61" o:spid="_x0000_s1035" type="#_x0000_t202" style="position:absolute;left:95;top:48387;width:68434;height:37897;visibility:visible;mso-wrap-style:square;v-text-anchor:bottom"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" filled="f" stroked="f" strokeweight=".5pt">
                      <v:textbox inset="54pt,0,1in,0">
                        <w:txbxContent>
                          <w:sdt>
                            <w:sdtPr>
                              <w:rPr>
                                <w:rFonts w:asciiTheme="majorHAnsi" w:eastAsiaTheme="majorEastAsia" w:hAnsiTheme="majorHAnsi" w:cstheme="majorBidi"/>
                                <w:caps/>
                                <w:color w:val="FFFFFF" w:themeColor="background1"/>
                                <w:sz w:val="64"/>
                                <w:szCs w:val="64"/>
                              </w:rPr>
                              <w:alias w:val="Title"/>
                              <w:tag w:val=""/>
                              <w:id w:val="1841046763"/>
                              <w:dataBinding w:prefixMappings="xmlns:ns0='http://purl.org/dc/elements/1.1/' xmlns:ns1='http://schemas.openxmlformats.org/package/2006/metadata/core-properties' " w:xpath="/ns1:coreProperties[1]/ns0:title[1]" w:storeItemID="{6C3C8BC8-F283-45AE-878A-BAB7291924A1}"/>
                              <w:text/>
                            </w:sdtPr>
                            <w:sdtContent>
                              <w:p w14:paraId="159329EE" w14:textId="561A6ED1" w:rsidR="006A70FE" w:rsidRDefault="006A70FE">
                                <w:pPr>
                                  <w:pStyle w:val="NoSpacing"/>
                                  <w:rPr>
                                    <w:rFonts w:asciiTheme="majorHAnsi" w:eastAsiaTheme="majorEastAsia" w:hAnsiTheme="majorHAnsi" w:cstheme="majorBidi"/>
                                    <w:caps/>
                                    <w:color w:val="FFFFFF" w:themeColor="background1"/>
                                    <w:sz w:val="64"/>
                                    <w:szCs w:val="64"/>
                                  </w:rPr>
                                </w:pPr>
                                <w:r>
                                  <w:rPr>
                                    <w:rFonts w:asciiTheme="majorHAnsi" w:eastAsiaTheme="majorEastAsia" w:hAnsiTheme="majorHAnsi" w:cstheme="majorBidi"/>
                                    <w:caps/>
                                    <w:color w:val="FFFFFF" w:themeColor="background1"/>
                                    <w:sz w:val="64"/>
                                    <w:szCs w:val="64"/>
                                  </w:rPr>
                                  <w:t>the common-sense model of self-regulation in diabetes management outcomes.</w:t>
                                </w:r>
                              </w:p>
                            </w:sdtContent>
                          </w:sdt>
                          <w:sdt>
                            <w:sdtPr>
                              <w:rPr>
                                <w:color w:val="156082" w:themeColor="accent1"/>
                                <w:sz w:val="36"/>
                                <w:szCs w:val="36"/>
                              </w:rPr>
                              <w:alias w:val="Subtitle"/>
                              <w:tag w:val=""/>
                              <w:id w:val="-1686441493"/>
                              <w:dataBinding w:prefixMappings="xmlns:ns0='http://purl.org/dc/elements/1.1/' xmlns:ns1='http://schemas.openxmlformats.org/package/2006/metadata/core-properties' " w:xpath="/ns1:coreProperties[1]/ns0:subject[1]" w:storeItemID="{6C3C8BC8-F283-45AE-878A-BAB7291924A1}"/>
                              <w:text/>
                            </w:sdtPr>
                            <w:sdtContent>
                              <w:p w14:paraId="49BC43B0" w14:textId="1CDB4DF9" w:rsidR="006A70FE" w:rsidRDefault="006A70FE">
                                <w:pPr>
                                  <w:pStyle w:val="NoSpacing"/>
                                  <w:spacing w:before="120"/>
                                  <w:rPr>
                                    <w:color w:val="156082" w:themeColor="accent1"/>
                                    <w:sz w:val="36"/>
                                    <w:szCs w:val="36"/>
                                  </w:rPr>
                                </w:pPr>
                                <w:r>
                                  <w:rPr>
                                    <w:color w:val="156082" w:themeColor="accent1"/>
                                    <w:sz w:val="36"/>
                                    <w:szCs w:val="36"/>
                                  </w:rPr>
                                  <w:t>University of Wales Trinity Saint David</w:t>
                                </w:r>
                              </w:p>
                            </w:sdtContent>
                          </w:sdt>
                        </w:txbxContent>
                      </v:textbox>
                    </v:shape>
                    <w10:wrap anchorx="page" anchory="page"/>
                  </v:group>
                </w:pict>
              </mc:Fallback>
            </mc:AlternateContent>
          </w:r>
        </w:p>
        <w:p w14:paraId="36CF3B34" w14:textId="24ECCA42" w:rsidR="006A70FE" w:rsidRDefault="006A70FE">
          <w:r>
            <w:br w:type="page"/>
          </w:r>
        </w:p>
      </w:sdtContent>
    </w:sdt>
    <w:p w14:paraId="565F027D" w14:textId="6606AA70" w:rsidR="00B27B4E" w:rsidRPr="000C52CF" w:rsidRDefault="00777B84" w:rsidP="000C52CF">
      <w:pPr>
        <w:spacing w:line="480" w:lineRule="auto"/>
        <w:rPr>
          <w:rFonts w:ascii="Times New Roman" w:hAnsi="Times New Roman" w:cs="Times New Roman"/>
        </w:rPr>
      </w:pPr>
      <w:r>
        <w:lastRenderedPageBreak/>
        <w:tab/>
      </w:r>
      <w:r w:rsidRPr="000C52CF">
        <w:rPr>
          <w:rFonts w:ascii="Times New Roman" w:hAnsi="Times New Roman" w:cs="Times New Roman"/>
        </w:rPr>
        <w:t xml:space="preserve">Diabetes mellitus represents one of the most significant health challenges in the United Kingdom, affecting approximately 4.6 million people who have been </w:t>
      </w:r>
      <w:r w:rsidR="000E63D7" w:rsidRPr="000C52CF">
        <w:rPr>
          <w:rFonts w:ascii="Times New Roman" w:hAnsi="Times New Roman" w:cs="Times New Roman"/>
        </w:rPr>
        <w:t xml:space="preserve">formally </w:t>
      </w:r>
      <w:r w:rsidRPr="000C52CF">
        <w:rPr>
          <w:rFonts w:ascii="Times New Roman" w:hAnsi="Times New Roman" w:cs="Times New Roman"/>
        </w:rPr>
        <w:t xml:space="preserve">diagnosed </w:t>
      </w:r>
      <w:r w:rsidR="000E63D7" w:rsidRPr="000C52CF">
        <w:rPr>
          <w:rFonts w:ascii="Times New Roman" w:hAnsi="Times New Roman" w:cs="Times New Roman"/>
        </w:rPr>
        <w:t>and</w:t>
      </w:r>
      <w:r w:rsidRPr="000C52CF">
        <w:rPr>
          <w:rFonts w:ascii="Times New Roman" w:hAnsi="Times New Roman" w:cs="Times New Roman"/>
        </w:rPr>
        <w:t xml:space="preserve"> an estimated </w:t>
      </w:r>
      <w:r w:rsidR="00A32E97" w:rsidRPr="000C52CF">
        <w:rPr>
          <w:rFonts w:ascii="Times New Roman" w:hAnsi="Times New Roman" w:cs="Times New Roman"/>
        </w:rPr>
        <w:t>1.3 million people</w:t>
      </w:r>
      <w:r w:rsidRPr="000C52CF">
        <w:rPr>
          <w:rFonts w:ascii="Times New Roman" w:hAnsi="Times New Roman" w:cs="Times New Roman"/>
        </w:rPr>
        <w:t xml:space="preserve"> living with undiagnosed diabetes (Diabetes UK, 202</w:t>
      </w:r>
      <w:r w:rsidR="009C6DEB" w:rsidRPr="000C52CF">
        <w:rPr>
          <w:rFonts w:ascii="Times New Roman" w:hAnsi="Times New Roman" w:cs="Times New Roman"/>
        </w:rPr>
        <w:t>5</w:t>
      </w:r>
      <w:r w:rsidRPr="000C52CF">
        <w:rPr>
          <w:rFonts w:ascii="Times New Roman" w:hAnsi="Times New Roman" w:cs="Times New Roman"/>
        </w:rPr>
        <w:t xml:space="preserve">). </w:t>
      </w:r>
      <w:r w:rsidR="00A32E97" w:rsidRPr="000C52CF">
        <w:rPr>
          <w:rFonts w:ascii="Times New Roman" w:hAnsi="Times New Roman" w:cs="Times New Roman"/>
        </w:rPr>
        <w:t xml:space="preserve">The condition places considerable strain on both the individuals </w:t>
      </w:r>
      <w:r w:rsidR="000E63D7" w:rsidRPr="000C52CF">
        <w:rPr>
          <w:rFonts w:ascii="Times New Roman" w:hAnsi="Times New Roman" w:cs="Times New Roman"/>
        </w:rPr>
        <w:t>affect</w:t>
      </w:r>
      <w:r w:rsidR="00A32E97" w:rsidRPr="000C52CF">
        <w:rPr>
          <w:rFonts w:ascii="Times New Roman" w:hAnsi="Times New Roman" w:cs="Times New Roman"/>
        </w:rPr>
        <w:t xml:space="preserve">ed and the healthcare system, with the NHS spending approximately 10.7 billion pounds directly caring for those with diabetes, </w:t>
      </w:r>
      <w:r w:rsidR="00C71762" w:rsidRPr="000C52CF">
        <w:rPr>
          <w:rFonts w:ascii="Times New Roman" w:hAnsi="Times New Roman" w:cs="Times New Roman"/>
        </w:rPr>
        <w:t>while</w:t>
      </w:r>
      <w:r w:rsidR="00A32E97" w:rsidRPr="000C52CF">
        <w:rPr>
          <w:rFonts w:ascii="Times New Roman" w:hAnsi="Times New Roman" w:cs="Times New Roman"/>
        </w:rPr>
        <w:t xml:space="preserve"> indirect costs ad</w:t>
      </w:r>
      <w:r w:rsidR="00C71762" w:rsidRPr="000C52CF">
        <w:rPr>
          <w:rFonts w:ascii="Times New Roman" w:hAnsi="Times New Roman" w:cs="Times New Roman"/>
        </w:rPr>
        <w:t>d</w:t>
      </w:r>
      <w:r w:rsidR="00A32E97" w:rsidRPr="000C52CF">
        <w:rPr>
          <w:rFonts w:ascii="Times New Roman" w:hAnsi="Times New Roman" w:cs="Times New Roman"/>
        </w:rPr>
        <w:t xml:space="preserve"> a further 3.3 billion pounds</w:t>
      </w:r>
      <w:r w:rsidR="000E63D7" w:rsidRPr="000C52CF">
        <w:rPr>
          <w:rFonts w:ascii="Times New Roman" w:hAnsi="Times New Roman" w:cs="Times New Roman"/>
        </w:rPr>
        <w:t xml:space="preserve"> annually</w:t>
      </w:r>
      <w:r w:rsidR="00A32E97" w:rsidRPr="000C52CF">
        <w:rPr>
          <w:rFonts w:ascii="Times New Roman" w:hAnsi="Times New Roman" w:cs="Times New Roman"/>
        </w:rPr>
        <w:t xml:space="preserve"> </w:t>
      </w:r>
      <w:r w:rsidR="00A32E97" w:rsidRPr="000C52CF">
        <w:rPr>
          <w:rFonts w:ascii="Times New Roman" w:hAnsi="Times New Roman" w:cs="Times New Roman"/>
        </w:rPr>
        <w:t>(Hex et al., 2024)</w:t>
      </w:r>
      <w:r w:rsidR="00A32E97" w:rsidRPr="000C52CF">
        <w:rPr>
          <w:rFonts w:ascii="Times New Roman" w:hAnsi="Times New Roman" w:cs="Times New Roman"/>
        </w:rPr>
        <w:t>.</w:t>
      </w:r>
      <w:r w:rsidR="009C6DEB" w:rsidRPr="000C52CF">
        <w:rPr>
          <w:rFonts w:ascii="Times New Roman" w:hAnsi="Times New Roman" w:cs="Times New Roman"/>
        </w:rPr>
        <w:t xml:space="preserve"> </w:t>
      </w:r>
      <w:r w:rsidR="000C6C69" w:rsidRPr="000C52CF">
        <w:rPr>
          <w:rFonts w:ascii="Times New Roman" w:hAnsi="Times New Roman" w:cs="Times New Roman"/>
        </w:rPr>
        <w:t>Despite improvements in medical interventions and treatments</w:t>
      </w:r>
      <w:r w:rsidR="006240ED" w:rsidRPr="000C52CF">
        <w:rPr>
          <w:rFonts w:ascii="Times New Roman" w:hAnsi="Times New Roman" w:cs="Times New Roman"/>
        </w:rPr>
        <w:t xml:space="preserve"> </w:t>
      </w:r>
      <w:r w:rsidR="006240ED" w:rsidRPr="000C52CF">
        <w:rPr>
          <w:rFonts w:ascii="Times New Roman" w:hAnsi="Times New Roman" w:cs="Times New Roman"/>
        </w:rPr>
        <w:t>(Aloke et al., 2022)</w:t>
      </w:r>
      <w:r w:rsidR="000C6C69" w:rsidRPr="000C52CF">
        <w:rPr>
          <w:rFonts w:ascii="Times New Roman" w:hAnsi="Times New Roman" w:cs="Times New Roman"/>
        </w:rPr>
        <w:t xml:space="preserve">, </w:t>
      </w:r>
      <w:r w:rsidR="006240ED" w:rsidRPr="000C52CF">
        <w:rPr>
          <w:rFonts w:ascii="Times New Roman" w:hAnsi="Times New Roman" w:cs="Times New Roman"/>
        </w:rPr>
        <w:t>noticeable variation</w:t>
      </w:r>
      <w:r w:rsidR="000E63D7" w:rsidRPr="000C52CF">
        <w:rPr>
          <w:rFonts w:ascii="Times New Roman" w:hAnsi="Times New Roman" w:cs="Times New Roman"/>
        </w:rPr>
        <w:t>s</w:t>
      </w:r>
      <w:r w:rsidR="006240ED" w:rsidRPr="000C52CF">
        <w:rPr>
          <w:rFonts w:ascii="Times New Roman" w:hAnsi="Times New Roman" w:cs="Times New Roman"/>
        </w:rPr>
        <w:t xml:space="preserve"> in health outcomes</w:t>
      </w:r>
      <w:r w:rsidR="000E63D7" w:rsidRPr="000C52CF">
        <w:rPr>
          <w:rFonts w:ascii="Times New Roman" w:hAnsi="Times New Roman" w:cs="Times New Roman"/>
        </w:rPr>
        <w:t xml:space="preserve"> persist</w:t>
      </w:r>
      <w:r w:rsidR="006240ED" w:rsidRPr="000C52CF">
        <w:rPr>
          <w:rFonts w:ascii="Times New Roman" w:hAnsi="Times New Roman" w:cs="Times New Roman"/>
        </w:rPr>
        <w:t xml:space="preserve"> among those with diabetes, with some individuals managing to maintain glycaemic control and others being unable to manage, leading to further </w:t>
      </w:r>
      <w:r w:rsidR="000E63D7" w:rsidRPr="000C52CF">
        <w:rPr>
          <w:rFonts w:ascii="Times New Roman" w:hAnsi="Times New Roman" w:cs="Times New Roman"/>
        </w:rPr>
        <w:t xml:space="preserve">diabetes-related </w:t>
      </w:r>
      <w:r w:rsidR="006240ED" w:rsidRPr="000C52CF">
        <w:rPr>
          <w:rFonts w:ascii="Times New Roman" w:hAnsi="Times New Roman" w:cs="Times New Roman"/>
        </w:rPr>
        <w:t xml:space="preserve">health complications </w:t>
      </w:r>
      <w:r w:rsidR="006240ED" w:rsidRPr="000C52CF">
        <w:rPr>
          <w:rFonts w:ascii="Times New Roman" w:hAnsi="Times New Roman" w:cs="Times New Roman"/>
        </w:rPr>
        <w:t>(Adu et al., 2019</w:t>
      </w:r>
      <w:r w:rsidR="000E63D7" w:rsidRPr="000C52CF">
        <w:rPr>
          <w:rFonts w:ascii="Times New Roman" w:hAnsi="Times New Roman" w:cs="Times New Roman"/>
        </w:rPr>
        <w:t xml:space="preserve">; </w:t>
      </w:r>
      <w:r w:rsidR="000E63D7" w:rsidRPr="000C52CF">
        <w:rPr>
          <w:rFonts w:ascii="Times New Roman" w:hAnsi="Times New Roman" w:cs="Times New Roman"/>
        </w:rPr>
        <w:t>Martinez &amp; Zahra, 2022</w:t>
      </w:r>
      <w:r w:rsidR="006240ED" w:rsidRPr="000C52CF">
        <w:rPr>
          <w:rFonts w:ascii="Times New Roman" w:hAnsi="Times New Roman" w:cs="Times New Roman"/>
        </w:rPr>
        <w:t>)</w:t>
      </w:r>
      <w:r w:rsidR="006240ED" w:rsidRPr="000C52CF">
        <w:rPr>
          <w:rFonts w:ascii="Times New Roman" w:hAnsi="Times New Roman" w:cs="Times New Roman"/>
        </w:rPr>
        <w:t xml:space="preserve">. </w:t>
      </w:r>
    </w:p>
    <w:p w14:paraId="1ABCE509" w14:textId="77777777" w:rsidR="00B27B4E" w:rsidRPr="000C52CF" w:rsidRDefault="00B27B4E" w:rsidP="000C52CF">
      <w:pPr>
        <w:spacing w:line="480" w:lineRule="auto"/>
        <w:rPr>
          <w:rFonts w:ascii="Times New Roman" w:hAnsi="Times New Roman" w:cs="Times New Roman"/>
        </w:rPr>
      </w:pPr>
    </w:p>
    <w:p w14:paraId="45F61386" w14:textId="508324A7" w:rsidR="00B56052" w:rsidRPr="000C52CF" w:rsidRDefault="006240ED" w:rsidP="000C52CF">
      <w:pPr>
        <w:spacing w:line="480" w:lineRule="auto"/>
        <w:ind w:firstLine="720"/>
        <w:rPr>
          <w:rFonts w:ascii="Times New Roman" w:hAnsi="Times New Roman" w:cs="Times New Roman"/>
        </w:rPr>
      </w:pPr>
      <w:r w:rsidRPr="000C52CF">
        <w:rPr>
          <w:rFonts w:ascii="Times New Roman" w:hAnsi="Times New Roman" w:cs="Times New Roman"/>
        </w:rPr>
        <w:t xml:space="preserve">This disparity cannot be attributed solely to biological factors or treatment regimes, suggesting that psychological factors play a role in determining health outcomes for people with diabetes </w:t>
      </w:r>
      <w:r w:rsidRPr="000C52CF">
        <w:rPr>
          <w:rFonts w:ascii="Times New Roman" w:hAnsi="Times New Roman" w:cs="Times New Roman"/>
        </w:rPr>
        <w:t>(Davies, 2022)</w:t>
      </w:r>
      <w:r w:rsidRPr="000C52CF">
        <w:rPr>
          <w:rFonts w:ascii="Times New Roman" w:hAnsi="Times New Roman" w:cs="Times New Roman"/>
        </w:rPr>
        <w:t xml:space="preserve">. </w:t>
      </w:r>
      <w:r w:rsidR="00C71762" w:rsidRPr="000C52CF">
        <w:rPr>
          <w:rFonts w:ascii="Times New Roman" w:hAnsi="Times New Roman" w:cs="Times New Roman"/>
        </w:rPr>
        <w:t xml:space="preserve">Among the various theoretical frameworks available for examining the management of chronic illnesses, Leventhal’s Common-Sense Model (CSM) of self-regulation has proven valuable in understanding these variations (Leventhal et al., 1980). The CSM suggests that individuals develop both emotional and cognitive representations of their illnesses, which then influence their coping mechanisms and health-related behaviours. </w:t>
      </w:r>
      <w:r w:rsidR="00583407" w:rsidRPr="000C52CF">
        <w:rPr>
          <w:rFonts w:ascii="Times New Roman" w:hAnsi="Times New Roman" w:cs="Times New Roman"/>
        </w:rPr>
        <w:t>These illness perceptions are fundamental in determining how individuals manage their conditions and</w:t>
      </w:r>
      <w:r w:rsidR="000E63D7" w:rsidRPr="000C52CF">
        <w:rPr>
          <w:rFonts w:ascii="Times New Roman" w:hAnsi="Times New Roman" w:cs="Times New Roman"/>
        </w:rPr>
        <w:t xml:space="preserve"> in</w:t>
      </w:r>
      <w:r w:rsidR="00583407" w:rsidRPr="000C52CF">
        <w:rPr>
          <w:rFonts w:ascii="Times New Roman" w:hAnsi="Times New Roman" w:cs="Times New Roman"/>
        </w:rPr>
        <w:t xml:space="preserve"> predicting their health outcomes </w:t>
      </w:r>
      <w:r w:rsidR="00583407" w:rsidRPr="000C52CF">
        <w:rPr>
          <w:rFonts w:ascii="Times New Roman" w:hAnsi="Times New Roman" w:cs="Times New Roman"/>
        </w:rPr>
        <w:t>(Broadbent et al., 2006)</w:t>
      </w:r>
      <w:r w:rsidR="00583407" w:rsidRPr="000C52CF">
        <w:rPr>
          <w:rFonts w:ascii="Times New Roman" w:hAnsi="Times New Roman" w:cs="Times New Roman"/>
        </w:rPr>
        <w:t>.</w:t>
      </w:r>
    </w:p>
    <w:p w14:paraId="57320675" w14:textId="77777777" w:rsidR="00583407" w:rsidRPr="000C52CF" w:rsidRDefault="00583407" w:rsidP="000C52CF">
      <w:pPr>
        <w:spacing w:line="480" w:lineRule="auto"/>
        <w:rPr>
          <w:rFonts w:ascii="Times New Roman" w:hAnsi="Times New Roman" w:cs="Times New Roman"/>
        </w:rPr>
      </w:pPr>
    </w:p>
    <w:p w14:paraId="2B131B4B" w14:textId="39F503DF" w:rsidR="00155614" w:rsidRPr="000C52CF" w:rsidRDefault="000E63D7" w:rsidP="000C52CF">
      <w:pPr>
        <w:spacing w:line="480" w:lineRule="auto"/>
        <w:rPr>
          <w:rFonts w:ascii="Times New Roman" w:hAnsi="Times New Roman" w:cs="Times New Roman"/>
        </w:rPr>
      </w:pPr>
      <w:r w:rsidRPr="000C52CF">
        <w:rPr>
          <w:rFonts w:ascii="Times New Roman" w:hAnsi="Times New Roman" w:cs="Times New Roman"/>
        </w:rPr>
        <w:tab/>
        <w:t xml:space="preserve">The CSM is a framework for understanding how individuals interpret and respond to health threats such as diabetes. The CSM states that individuals develop cognitive and emotional representations of their illness. These representations are influenced by personal </w:t>
      </w:r>
      <w:r w:rsidRPr="000C52CF">
        <w:rPr>
          <w:rFonts w:ascii="Times New Roman" w:hAnsi="Times New Roman" w:cs="Times New Roman"/>
        </w:rPr>
        <w:lastRenderedPageBreak/>
        <w:t>experiences, social contexts, and information provided by healthcare professionals (Leventhal et al., 1980). Moreover, these representations do not remain static; they evolve as individuals experience new symptoms, receive additional medical advice, or undergo changes to their health (Leventhal et al., 2016).</w:t>
      </w:r>
    </w:p>
    <w:p w14:paraId="7BE6BDA3" w14:textId="77777777" w:rsidR="000E63D7" w:rsidRPr="000C52CF" w:rsidRDefault="000E63D7" w:rsidP="000C52CF">
      <w:pPr>
        <w:spacing w:line="480" w:lineRule="auto"/>
        <w:rPr>
          <w:rFonts w:ascii="Times New Roman" w:hAnsi="Times New Roman" w:cs="Times New Roman"/>
        </w:rPr>
      </w:pPr>
    </w:p>
    <w:p w14:paraId="27135916" w14:textId="78DB3623" w:rsidR="00207DBD" w:rsidRPr="000C52CF" w:rsidRDefault="00B27B4E" w:rsidP="000C52CF">
      <w:pPr>
        <w:spacing w:line="480" w:lineRule="auto"/>
        <w:ind w:firstLine="720"/>
        <w:rPr>
          <w:rFonts w:ascii="Times New Roman" w:hAnsi="Times New Roman" w:cs="Times New Roman"/>
        </w:rPr>
      </w:pPr>
      <w:r w:rsidRPr="000C52CF">
        <w:rPr>
          <w:rFonts w:ascii="Times New Roman" w:hAnsi="Times New Roman" w:cs="Times New Roman"/>
        </w:rPr>
        <w:t>The CSM outlines</w:t>
      </w:r>
      <w:r w:rsidR="008E3AFD" w:rsidRPr="000C52CF">
        <w:rPr>
          <w:rFonts w:ascii="Times New Roman" w:hAnsi="Times New Roman" w:cs="Times New Roman"/>
        </w:rPr>
        <w:t xml:space="preserve"> five core dimensions of illness representations: </w:t>
      </w:r>
      <w:r w:rsidR="00155614" w:rsidRPr="000C52CF">
        <w:rPr>
          <w:rFonts w:ascii="Times New Roman" w:hAnsi="Times New Roman" w:cs="Times New Roman"/>
        </w:rPr>
        <w:t xml:space="preserve">1. </w:t>
      </w:r>
      <w:r w:rsidR="00207DBD" w:rsidRPr="000C52CF">
        <w:rPr>
          <w:rFonts w:ascii="Times New Roman" w:hAnsi="Times New Roman" w:cs="Times New Roman"/>
          <w:i/>
          <w:iCs/>
        </w:rPr>
        <w:t>I</w:t>
      </w:r>
      <w:r w:rsidR="008E3AFD" w:rsidRPr="000C52CF">
        <w:rPr>
          <w:rFonts w:ascii="Times New Roman" w:hAnsi="Times New Roman" w:cs="Times New Roman"/>
          <w:i/>
          <w:iCs/>
        </w:rPr>
        <w:t>dentity</w:t>
      </w:r>
      <w:r w:rsidR="008E3AFD" w:rsidRPr="000C52CF">
        <w:rPr>
          <w:rFonts w:ascii="Times New Roman" w:hAnsi="Times New Roman" w:cs="Times New Roman"/>
        </w:rPr>
        <w:t xml:space="preserve"> refers to how individuals define their illnesses, including the symptoms they associate with the condition and how they label these experiences</w:t>
      </w:r>
      <w:r w:rsidR="00155614" w:rsidRPr="000C52CF">
        <w:rPr>
          <w:rFonts w:ascii="Times New Roman" w:hAnsi="Times New Roman" w:cs="Times New Roman"/>
        </w:rPr>
        <w:t xml:space="preserve">; 2. </w:t>
      </w:r>
      <w:r w:rsidR="00207DBD" w:rsidRPr="000C52CF">
        <w:rPr>
          <w:rFonts w:ascii="Times New Roman" w:hAnsi="Times New Roman" w:cs="Times New Roman"/>
          <w:i/>
          <w:iCs/>
        </w:rPr>
        <w:t>T</w:t>
      </w:r>
      <w:r w:rsidR="008E3AFD" w:rsidRPr="000C52CF">
        <w:rPr>
          <w:rFonts w:ascii="Times New Roman" w:hAnsi="Times New Roman" w:cs="Times New Roman"/>
          <w:i/>
          <w:iCs/>
        </w:rPr>
        <w:t>imeline</w:t>
      </w:r>
      <w:r w:rsidR="008E3AFD" w:rsidRPr="000C52CF">
        <w:rPr>
          <w:rFonts w:ascii="Times New Roman" w:hAnsi="Times New Roman" w:cs="Times New Roman"/>
        </w:rPr>
        <w:t xml:space="preserve"> involves the beliefs </w:t>
      </w:r>
      <w:r w:rsidR="000E63D7" w:rsidRPr="000C52CF">
        <w:rPr>
          <w:rFonts w:ascii="Times New Roman" w:hAnsi="Times New Roman" w:cs="Times New Roman"/>
        </w:rPr>
        <w:t>regarding</w:t>
      </w:r>
      <w:r w:rsidR="008E3AFD" w:rsidRPr="000C52CF">
        <w:rPr>
          <w:rFonts w:ascii="Times New Roman" w:hAnsi="Times New Roman" w:cs="Times New Roman"/>
        </w:rPr>
        <w:t xml:space="preserve"> the duration and course of the condition, such as when it started and when it may end</w:t>
      </w:r>
      <w:r w:rsidR="00155614" w:rsidRPr="000C52CF">
        <w:rPr>
          <w:rFonts w:ascii="Times New Roman" w:hAnsi="Times New Roman" w:cs="Times New Roman"/>
        </w:rPr>
        <w:t xml:space="preserve">; 3. </w:t>
      </w:r>
      <w:r w:rsidR="00207DBD" w:rsidRPr="000C52CF">
        <w:rPr>
          <w:rFonts w:ascii="Times New Roman" w:hAnsi="Times New Roman" w:cs="Times New Roman"/>
          <w:i/>
          <w:iCs/>
        </w:rPr>
        <w:t>C</w:t>
      </w:r>
      <w:r w:rsidR="00207DBD" w:rsidRPr="000C52CF">
        <w:rPr>
          <w:rFonts w:ascii="Times New Roman" w:hAnsi="Times New Roman" w:cs="Times New Roman"/>
          <w:i/>
          <w:iCs/>
        </w:rPr>
        <w:t xml:space="preserve">onsequences </w:t>
      </w:r>
      <w:r w:rsidR="00207DBD" w:rsidRPr="000C52CF">
        <w:rPr>
          <w:rFonts w:ascii="Times New Roman" w:hAnsi="Times New Roman" w:cs="Times New Roman"/>
        </w:rPr>
        <w:t xml:space="preserve">relate to how the illness will impact the </w:t>
      </w:r>
      <w:r w:rsidR="00155614" w:rsidRPr="000C52CF">
        <w:rPr>
          <w:rFonts w:ascii="Times New Roman" w:hAnsi="Times New Roman" w:cs="Times New Roman"/>
        </w:rPr>
        <w:t xml:space="preserve">individual's life; 4. </w:t>
      </w:r>
      <w:r w:rsidR="00207DBD" w:rsidRPr="000C52CF">
        <w:rPr>
          <w:rFonts w:ascii="Times New Roman" w:hAnsi="Times New Roman" w:cs="Times New Roman"/>
          <w:i/>
          <w:iCs/>
        </w:rPr>
        <w:t>C</w:t>
      </w:r>
      <w:r w:rsidR="008E3AFD" w:rsidRPr="000C52CF">
        <w:rPr>
          <w:rFonts w:ascii="Times New Roman" w:hAnsi="Times New Roman" w:cs="Times New Roman"/>
          <w:i/>
          <w:iCs/>
        </w:rPr>
        <w:t>ause</w:t>
      </w:r>
      <w:r w:rsidR="00207DBD" w:rsidRPr="000C52CF">
        <w:rPr>
          <w:rFonts w:ascii="Times New Roman" w:hAnsi="Times New Roman" w:cs="Times New Roman"/>
          <w:i/>
          <w:iCs/>
        </w:rPr>
        <w:t xml:space="preserve"> </w:t>
      </w:r>
      <w:r w:rsidR="00207DBD" w:rsidRPr="000C52CF">
        <w:rPr>
          <w:rFonts w:ascii="Times New Roman" w:hAnsi="Times New Roman" w:cs="Times New Roman"/>
        </w:rPr>
        <w:t>consists of</w:t>
      </w:r>
      <w:r w:rsidR="008E3AFD" w:rsidRPr="000C52CF">
        <w:rPr>
          <w:rFonts w:ascii="Times New Roman" w:hAnsi="Times New Roman" w:cs="Times New Roman"/>
        </w:rPr>
        <w:t xml:space="preserve"> the individual’s beliefs about how the illness occurred and what happened to trigger </w:t>
      </w:r>
      <w:r w:rsidR="00207DBD" w:rsidRPr="000C52CF">
        <w:rPr>
          <w:rFonts w:ascii="Times New Roman" w:hAnsi="Times New Roman" w:cs="Times New Roman"/>
        </w:rPr>
        <w:t>it or allow it to continue</w:t>
      </w:r>
      <w:r w:rsidR="00155614" w:rsidRPr="000C52CF">
        <w:rPr>
          <w:rFonts w:ascii="Times New Roman" w:hAnsi="Times New Roman" w:cs="Times New Roman"/>
        </w:rPr>
        <w:t xml:space="preserve"> and 5. </w:t>
      </w:r>
      <w:r w:rsidR="00B45A94" w:rsidRPr="000C52CF">
        <w:rPr>
          <w:rFonts w:ascii="Times New Roman" w:hAnsi="Times New Roman" w:cs="Times New Roman"/>
          <w:i/>
          <w:iCs/>
        </w:rPr>
        <w:t xml:space="preserve">Control </w:t>
      </w:r>
      <w:r w:rsidR="00B45A94" w:rsidRPr="000C52CF">
        <w:rPr>
          <w:rFonts w:ascii="Times New Roman" w:hAnsi="Times New Roman" w:cs="Times New Roman"/>
        </w:rPr>
        <w:t>relates to the degree of influence an individual perceives they have over managing their illness and symptoms</w:t>
      </w:r>
      <w:r w:rsidR="00155614" w:rsidRPr="000C52CF">
        <w:rPr>
          <w:rFonts w:ascii="Times New Roman" w:hAnsi="Times New Roman" w:cs="Times New Roman"/>
        </w:rPr>
        <w:t xml:space="preserve"> and</w:t>
      </w:r>
      <w:r w:rsidR="00B45A94" w:rsidRPr="000C52CF">
        <w:rPr>
          <w:rFonts w:ascii="Times New Roman" w:hAnsi="Times New Roman" w:cs="Times New Roman"/>
        </w:rPr>
        <w:t xml:space="preserve"> their assessment of the effectiveness of various strategies and treatments</w:t>
      </w:r>
      <w:r w:rsidR="00155614" w:rsidRPr="000C52CF">
        <w:rPr>
          <w:rFonts w:ascii="Times New Roman" w:hAnsi="Times New Roman" w:cs="Times New Roman"/>
        </w:rPr>
        <w:t xml:space="preserve"> </w:t>
      </w:r>
      <w:r w:rsidR="00155614" w:rsidRPr="000C52CF">
        <w:rPr>
          <w:rFonts w:ascii="Times New Roman" w:hAnsi="Times New Roman" w:cs="Times New Roman"/>
        </w:rPr>
        <w:t>(Hagger &amp; Orbell, 2003</w:t>
      </w:r>
      <w:r w:rsidR="00155614" w:rsidRPr="000C52CF">
        <w:rPr>
          <w:rFonts w:ascii="Times New Roman" w:hAnsi="Times New Roman" w:cs="Times New Roman"/>
        </w:rPr>
        <w:t xml:space="preserve">; </w:t>
      </w:r>
      <w:r w:rsidR="00155614" w:rsidRPr="000C52CF">
        <w:rPr>
          <w:rFonts w:ascii="Times New Roman" w:hAnsi="Times New Roman" w:cs="Times New Roman"/>
        </w:rPr>
        <w:t>Ringer, 2020)</w:t>
      </w:r>
      <w:r w:rsidR="00155614" w:rsidRPr="000C52CF">
        <w:rPr>
          <w:rFonts w:ascii="Times New Roman" w:hAnsi="Times New Roman" w:cs="Times New Roman"/>
        </w:rPr>
        <w:t>. With these cognitive dimensions, emotional responses like anxiety, fear and frustration run parallel and can individually shape coping strategies and health beh</w:t>
      </w:r>
      <w:r w:rsidR="002867DA" w:rsidRPr="000C52CF">
        <w:rPr>
          <w:rFonts w:ascii="Times New Roman" w:hAnsi="Times New Roman" w:cs="Times New Roman"/>
        </w:rPr>
        <w:t xml:space="preserve">aviours </w:t>
      </w:r>
      <w:r w:rsidR="002867DA" w:rsidRPr="000C52CF">
        <w:rPr>
          <w:rFonts w:ascii="Times New Roman" w:hAnsi="Times New Roman" w:cs="Times New Roman"/>
        </w:rPr>
        <w:t>(Cameron &amp; Leventhal, 2003)</w:t>
      </w:r>
      <w:r w:rsidR="002867DA" w:rsidRPr="000C52CF">
        <w:rPr>
          <w:rFonts w:ascii="Times New Roman" w:hAnsi="Times New Roman" w:cs="Times New Roman"/>
        </w:rPr>
        <w:t xml:space="preserve">. </w:t>
      </w:r>
    </w:p>
    <w:p w14:paraId="2EAC9209" w14:textId="77777777" w:rsidR="002867DA" w:rsidRPr="000C52CF" w:rsidRDefault="002867DA" w:rsidP="000C52CF">
      <w:pPr>
        <w:spacing w:line="480" w:lineRule="auto"/>
        <w:ind w:firstLine="720"/>
        <w:rPr>
          <w:rFonts w:ascii="Times New Roman" w:hAnsi="Times New Roman" w:cs="Times New Roman"/>
        </w:rPr>
      </w:pPr>
    </w:p>
    <w:p w14:paraId="0360DBF3" w14:textId="6B34470F" w:rsidR="002867DA" w:rsidRPr="000C52CF" w:rsidRDefault="002867DA" w:rsidP="000C52CF">
      <w:pPr>
        <w:spacing w:line="480" w:lineRule="auto"/>
        <w:ind w:firstLine="720"/>
        <w:rPr>
          <w:rFonts w:ascii="Times New Roman" w:hAnsi="Times New Roman" w:cs="Times New Roman"/>
        </w:rPr>
      </w:pPr>
      <w:r w:rsidRPr="000C52CF">
        <w:rPr>
          <w:rFonts w:ascii="Times New Roman" w:hAnsi="Times New Roman" w:cs="Times New Roman"/>
        </w:rPr>
        <w:t>The CSM identifies the key dimensions of illness representations</w:t>
      </w:r>
      <w:r w:rsidR="000045E5" w:rsidRPr="000C52CF">
        <w:rPr>
          <w:rFonts w:ascii="Times New Roman" w:hAnsi="Times New Roman" w:cs="Times New Roman"/>
        </w:rPr>
        <w:t xml:space="preserve"> and</w:t>
      </w:r>
      <w:r w:rsidRPr="000C52CF">
        <w:rPr>
          <w:rFonts w:ascii="Times New Roman" w:hAnsi="Times New Roman" w:cs="Times New Roman"/>
        </w:rPr>
        <w:t xml:space="preserve"> how these beliefs, coupled with emotions, translate into action. The model also </w:t>
      </w:r>
      <w:r w:rsidR="00A709EE" w:rsidRPr="000C52CF">
        <w:rPr>
          <w:rFonts w:ascii="Times New Roman" w:hAnsi="Times New Roman" w:cs="Times New Roman"/>
        </w:rPr>
        <w:t xml:space="preserve">includes </w:t>
      </w:r>
      <w:r w:rsidRPr="000C52CF">
        <w:rPr>
          <w:rFonts w:ascii="Times New Roman" w:hAnsi="Times New Roman" w:cs="Times New Roman"/>
        </w:rPr>
        <w:t xml:space="preserve">self-regulation, which it describes as a cyclical process involving three stages: </w:t>
      </w:r>
      <w:r w:rsidR="00A709EE" w:rsidRPr="000C52CF">
        <w:rPr>
          <w:rFonts w:ascii="Times New Roman" w:hAnsi="Times New Roman" w:cs="Times New Roman"/>
        </w:rPr>
        <w:t xml:space="preserve">firstly, the individual interprets the health threat; secondly, they develop and implement coping strategies, and thirdly, they appraise the effectiveness of the strategies, adjusting them as needed </w:t>
      </w:r>
      <w:r w:rsidR="00A709EE" w:rsidRPr="000C52CF">
        <w:rPr>
          <w:rFonts w:ascii="Times New Roman" w:hAnsi="Times New Roman" w:cs="Times New Roman"/>
        </w:rPr>
        <w:t>(Hagger &amp; Orbell, 2003)</w:t>
      </w:r>
      <w:r w:rsidR="00A709EE" w:rsidRPr="000C52CF">
        <w:rPr>
          <w:rFonts w:ascii="Times New Roman" w:hAnsi="Times New Roman" w:cs="Times New Roman"/>
        </w:rPr>
        <w:t xml:space="preserve">. </w:t>
      </w:r>
      <w:r w:rsidR="001768C5" w:rsidRPr="000C52CF">
        <w:rPr>
          <w:rFonts w:ascii="Times New Roman" w:hAnsi="Times New Roman" w:cs="Times New Roman"/>
        </w:rPr>
        <w:t>This process helps explain why people with the same medical diagnosis</w:t>
      </w:r>
      <w:r w:rsidR="006D2E66" w:rsidRPr="000C52CF">
        <w:rPr>
          <w:rFonts w:ascii="Times New Roman" w:hAnsi="Times New Roman" w:cs="Times New Roman"/>
        </w:rPr>
        <w:t xml:space="preserve">, </w:t>
      </w:r>
      <w:r w:rsidR="00B85B2D">
        <w:rPr>
          <w:rFonts w:ascii="Times New Roman" w:hAnsi="Times New Roman" w:cs="Times New Roman"/>
        </w:rPr>
        <w:t>such as</w:t>
      </w:r>
      <w:r w:rsidR="006D2E66" w:rsidRPr="000C52CF">
        <w:rPr>
          <w:rFonts w:ascii="Times New Roman" w:hAnsi="Times New Roman" w:cs="Times New Roman"/>
        </w:rPr>
        <w:t xml:space="preserve"> </w:t>
      </w:r>
      <w:r w:rsidR="006D2E66" w:rsidRPr="000C52CF">
        <w:rPr>
          <w:rFonts w:ascii="Times New Roman" w:hAnsi="Times New Roman" w:cs="Times New Roman"/>
        </w:rPr>
        <w:lastRenderedPageBreak/>
        <w:t xml:space="preserve">diabetes, can adopt different approaches to managing their condition and, as a result, experience various outcomes </w:t>
      </w:r>
      <w:r w:rsidR="006D2E66" w:rsidRPr="000C52CF">
        <w:rPr>
          <w:rFonts w:ascii="Times New Roman" w:hAnsi="Times New Roman" w:cs="Times New Roman"/>
        </w:rPr>
        <w:t>(Petrie &amp; Weinman, 2012)</w:t>
      </w:r>
      <w:r w:rsidR="006D2E66" w:rsidRPr="000C52CF">
        <w:rPr>
          <w:rFonts w:ascii="Times New Roman" w:hAnsi="Times New Roman" w:cs="Times New Roman"/>
        </w:rPr>
        <w:t xml:space="preserve">. </w:t>
      </w:r>
    </w:p>
    <w:p w14:paraId="6B722C77" w14:textId="77777777" w:rsidR="006D2E66" w:rsidRPr="000C52CF" w:rsidRDefault="006D2E66" w:rsidP="000C52CF">
      <w:pPr>
        <w:spacing w:line="480" w:lineRule="auto"/>
        <w:ind w:firstLine="720"/>
        <w:rPr>
          <w:rFonts w:ascii="Times New Roman" w:hAnsi="Times New Roman" w:cs="Times New Roman"/>
        </w:rPr>
      </w:pPr>
    </w:p>
    <w:p w14:paraId="011B6303" w14:textId="4F719DC6" w:rsidR="006D2E66" w:rsidRPr="000C52CF" w:rsidRDefault="006D2E66" w:rsidP="000C52CF">
      <w:pPr>
        <w:spacing w:line="480" w:lineRule="auto"/>
        <w:ind w:firstLine="720"/>
        <w:rPr>
          <w:rFonts w:ascii="Times New Roman" w:hAnsi="Times New Roman" w:cs="Times New Roman"/>
        </w:rPr>
      </w:pPr>
      <w:r w:rsidRPr="000C52CF">
        <w:rPr>
          <w:rFonts w:ascii="Times New Roman" w:hAnsi="Times New Roman" w:cs="Times New Roman"/>
        </w:rPr>
        <w:t xml:space="preserve">Diabetes is a typical chronic illness where self-management is crucial to health outcomes, making it an ideal condition for applying the CSM. The daily demands of diabetes, like monitoring blood glucose, taking medication, and managing one’s diet and exercise, require prolonged engagement and active coping strategies </w:t>
      </w:r>
      <w:r w:rsidRPr="000C52CF">
        <w:rPr>
          <w:rFonts w:ascii="Times New Roman" w:hAnsi="Times New Roman" w:cs="Times New Roman"/>
        </w:rPr>
        <w:t>(Glasgow et al., 2001)</w:t>
      </w:r>
      <w:r w:rsidRPr="000C52CF">
        <w:rPr>
          <w:rFonts w:ascii="Times New Roman" w:hAnsi="Times New Roman" w:cs="Times New Roman"/>
        </w:rPr>
        <w:t xml:space="preserve">. </w:t>
      </w:r>
      <w:r w:rsidR="00F76A17" w:rsidRPr="000C52CF">
        <w:rPr>
          <w:rFonts w:ascii="Times New Roman" w:hAnsi="Times New Roman" w:cs="Times New Roman"/>
        </w:rPr>
        <w:t xml:space="preserve">However, individuals with diabetes vary in their abilities to meet these demands, and the CSM offers a framework for understanding these differences </w:t>
      </w:r>
      <w:r w:rsidR="00F76A17" w:rsidRPr="000C52CF">
        <w:rPr>
          <w:rFonts w:ascii="Times New Roman" w:hAnsi="Times New Roman" w:cs="Times New Roman"/>
        </w:rPr>
        <w:t>(Davies, 2022)</w:t>
      </w:r>
      <w:r w:rsidR="00F76A17" w:rsidRPr="000C52CF">
        <w:rPr>
          <w:rFonts w:ascii="Times New Roman" w:hAnsi="Times New Roman" w:cs="Times New Roman"/>
        </w:rPr>
        <w:t>.</w:t>
      </w:r>
      <w:r w:rsidR="00917CA6" w:rsidRPr="000C52CF">
        <w:rPr>
          <w:rFonts w:ascii="Times New Roman" w:hAnsi="Times New Roman" w:cs="Times New Roman"/>
        </w:rPr>
        <w:t xml:space="preserve"> Research has consistently shown that </w:t>
      </w:r>
      <w:r w:rsidR="00F67E45" w:rsidRPr="000C52CF">
        <w:rPr>
          <w:rFonts w:ascii="Times New Roman" w:hAnsi="Times New Roman" w:cs="Times New Roman"/>
        </w:rPr>
        <w:t xml:space="preserve">illness perceptions, as laid out by the CSM, are good predictors of self-management and clinical outcomes in diabetes </w:t>
      </w:r>
      <w:r w:rsidR="00F67E45" w:rsidRPr="000C52CF">
        <w:rPr>
          <w:rFonts w:ascii="Times New Roman" w:hAnsi="Times New Roman" w:cs="Times New Roman"/>
        </w:rPr>
        <w:t>(Broadbent et al., 2011</w:t>
      </w:r>
      <w:r w:rsidR="00F67E45" w:rsidRPr="000C52CF">
        <w:rPr>
          <w:rFonts w:ascii="Times New Roman" w:hAnsi="Times New Roman" w:cs="Times New Roman"/>
        </w:rPr>
        <w:t xml:space="preserve">; </w:t>
      </w:r>
      <w:r w:rsidR="00F67E45" w:rsidRPr="000C52CF">
        <w:rPr>
          <w:rFonts w:ascii="Times New Roman" w:hAnsi="Times New Roman" w:cs="Times New Roman"/>
        </w:rPr>
        <w:t>Hagger &amp; Orbell, 2003)</w:t>
      </w:r>
      <w:r w:rsidR="00F67E45" w:rsidRPr="000C52CF">
        <w:rPr>
          <w:rFonts w:ascii="Times New Roman" w:hAnsi="Times New Roman" w:cs="Times New Roman"/>
        </w:rPr>
        <w:t>. For example, studies that use the illness perception questionnaire (</w:t>
      </w:r>
      <w:proofErr w:type="gramStart"/>
      <w:r w:rsidR="00F67E45" w:rsidRPr="000C52CF">
        <w:rPr>
          <w:rFonts w:ascii="Times New Roman" w:hAnsi="Times New Roman" w:cs="Times New Roman"/>
        </w:rPr>
        <w:t xml:space="preserve">IPQ) </w:t>
      </w:r>
      <w:r w:rsidR="007C3D78">
        <w:rPr>
          <w:rFonts w:ascii="Times New Roman" w:hAnsi="Times New Roman" w:cs="Times New Roman"/>
        </w:rPr>
        <w:t xml:space="preserve"> and</w:t>
      </w:r>
      <w:proofErr w:type="gramEnd"/>
      <w:r w:rsidR="007C3D78">
        <w:rPr>
          <w:rFonts w:ascii="Times New Roman" w:hAnsi="Times New Roman" w:cs="Times New Roman"/>
        </w:rPr>
        <w:t xml:space="preserve"> its revised version (IPQ-R) </w:t>
      </w:r>
      <w:r w:rsidR="00F67E45" w:rsidRPr="000C52CF">
        <w:rPr>
          <w:rFonts w:ascii="Times New Roman" w:hAnsi="Times New Roman" w:cs="Times New Roman"/>
        </w:rPr>
        <w:t xml:space="preserve">have shown that patients who perceive their diabetes as controllable and believe that the treatment will help them are more likely to follow their medicine regimen and make the necessary life changes to give them a better quality of life </w:t>
      </w:r>
      <w:r w:rsidR="00F67E45" w:rsidRPr="000C52CF">
        <w:rPr>
          <w:rFonts w:ascii="Times New Roman" w:hAnsi="Times New Roman" w:cs="Times New Roman"/>
        </w:rPr>
        <w:t>(Broadbent et al., 2011</w:t>
      </w:r>
      <w:r w:rsidR="007C3D78">
        <w:rPr>
          <w:rFonts w:ascii="Times New Roman" w:hAnsi="Times New Roman" w:cs="Times New Roman"/>
        </w:rPr>
        <w:t xml:space="preserve">; </w:t>
      </w:r>
      <w:r w:rsidR="007C3D78" w:rsidRPr="007C3D78">
        <w:rPr>
          <w:rFonts w:ascii="Times New Roman" w:hAnsi="Times New Roman" w:cs="Times New Roman"/>
        </w:rPr>
        <w:t>Moss-Morris et al., 2002</w:t>
      </w:r>
      <w:r w:rsidR="00F67E45" w:rsidRPr="000C52CF">
        <w:rPr>
          <w:rFonts w:ascii="Times New Roman" w:hAnsi="Times New Roman" w:cs="Times New Roman"/>
        </w:rPr>
        <w:t>)</w:t>
      </w:r>
      <w:r w:rsidR="00F67E45" w:rsidRPr="000C52CF">
        <w:rPr>
          <w:rFonts w:ascii="Times New Roman" w:hAnsi="Times New Roman" w:cs="Times New Roman"/>
        </w:rPr>
        <w:t xml:space="preserve">. </w:t>
      </w:r>
    </w:p>
    <w:p w14:paraId="5B50D3A4" w14:textId="77777777" w:rsidR="00B45A94" w:rsidRPr="000C52CF" w:rsidRDefault="00B45A94" w:rsidP="000C52CF">
      <w:pPr>
        <w:spacing w:line="480" w:lineRule="auto"/>
        <w:rPr>
          <w:rFonts w:ascii="Times New Roman" w:hAnsi="Times New Roman" w:cs="Times New Roman"/>
        </w:rPr>
      </w:pPr>
    </w:p>
    <w:p w14:paraId="3779789E" w14:textId="04170CFE" w:rsidR="00B45A94" w:rsidRPr="000C52CF" w:rsidRDefault="00771324" w:rsidP="000C52CF">
      <w:pPr>
        <w:spacing w:line="480" w:lineRule="auto"/>
        <w:ind w:firstLine="720"/>
        <w:rPr>
          <w:rFonts w:ascii="Times New Roman" w:hAnsi="Times New Roman" w:cs="Times New Roman"/>
        </w:rPr>
      </w:pPr>
      <w:r w:rsidRPr="000C52CF">
        <w:rPr>
          <w:rFonts w:ascii="Times New Roman" w:hAnsi="Times New Roman" w:cs="Times New Roman"/>
        </w:rPr>
        <w:t>Con</w:t>
      </w:r>
      <w:r w:rsidR="000E63D7" w:rsidRPr="000C52CF">
        <w:rPr>
          <w:rFonts w:ascii="Times New Roman" w:hAnsi="Times New Roman" w:cs="Times New Roman"/>
        </w:rPr>
        <w:t>verse</w:t>
      </w:r>
      <w:r w:rsidRPr="000C52CF">
        <w:rPr>
          <w:rFonts w:ascii="Times New Roman" w:hAnsi="Times New Roman" w:cs="Times New Roman"/>
        </w:rPr>
        <w:t>ly, individuals who view their illness negatively, such as perceiving their condition to have severe consequences or t</w:t>
      </w:r>
      <w:r w:rsidR="000E63D7" w:rsidRPr="000C52CF">
        <w:rPr>
          <w:rFonts w:ascii="Times New Roman" w:hAnsi="Times New Roman" w:cs="Times New Roman"/>
        </w:rPr>
        <w:t>hat</w:t>
      </w:r>
      <w:r w:rsidRPr="000C52CF">
        <w:rPr>
          <w:rFonts w:ascii="Times New Roman" w:hAnsi="Times New Roman" w:cs="Times New Roman"/>
        </w:rPr>
        <w:t xml:space="preserve"> </w:t>
      </w:r>
      <w:r w:rsidR="000E63D7" w:rsidRPr="000C52CF">
        <w:rPr>
          <w:rFonts w:ascii="Times New Roman" w:hAnsi="Times New Roman" w:cs="Times New Roman"/>
        </w:rPr>
        <w:t>it is</w:t>
      </w:r>
      <w:r w:rsidRPr="000C52CF">
        <w:rPr>
          <w:rFonts w:ascii="Times New Roman" w:hAnsi="Times New Roman" w:cs="Times New Roman"/>
        </w:rPr>
        <w:t xml:space="preserve"> unmanageable or uncontrollable, tend to exhibit poor self-care and </w:t>
      </w:r>
      <w:r w:rsidR="007C3D78">
        <w:rPr>
          <w:rFonts w:ascii="Times New Roman" w:hAnsi="Times New Roman" w:cs="Times New Roman"/>
        </w:rPr>
        <w:t xml:space="preserve">experience </w:t>
      </w:r>
      <w:r w:rsidRPr="000C52CF">
        <w:rPr>
          <w:rFonts w:ascii="Times New Roman" w:hAnsi="Times New Roman" w:cs="Times New Roman"/>
        </w:rPr>
        <w:t xml:space="preserve">higher levels of diabetes-related issues </w:t>
      </w:r>
      <w:r w:rsidRPr="000C52CF">
        <w:rPr>
          <w:rFonts w:ascii="Times New Roman" w:hAnsi="Times New Roman" w:cs="Times New Roman"/>
        </w:rPr>
        <w:t>(Petrie &amp; Weinman, 2012)</w:t>
      </w:r>
      <w:r w:rsidRPr="000C52CF">
        <w:rPr>
          <w:rFonts w:ascii="Times New Roman" w:hAnsi="Times New Roman" w:cs="Times New Roman"/>
        </w:rPr>
        <w:t xml:space="preserve">. </w:t>
      </w:r>
      <w:r w:rsidR="004C0A07" w:rsidRPr="000C52CF">
        <w:rPr>
          <w:rFonts w:ascii="Times New Roman" w:hAnsi="Times New Roman" w:cs="Times New Roman"/>
        </w:rPr>
        <w:t xml:space="preserve">Moss-Morris et al. (2002) found that having positive beliefs regarding personal control and treatment control was linked to </w:t>
      </w:r>
      <w:r w:rsidR="00600DE7" w:rsidRPr="000C52CF">
        <w:rPr>
          <w:rFonts w:ascii="Times New Roman" w:hAnsi="Times New Roman" w:cs="Times New Roman"/>
        </w:rPr>
        <w:t xml:space="preserve">better glycaemic </w:t>
      </w:r>
      <w:r w:rsidR="004C0A07" w:rsidRPr="000C52CF">
        <w:rPr>
          <w:rFonts w:ascii="Times New Roman" w:hAnsi="Times New Roman" w:cs="Times New Roman"/>
        </w:rPr>
        <w:t>regulation</w:t>
      </w:r>
      <w:r w:rsidR="00600DE7" w:rsidRPr="000C52CF">
        <w:rPr>
          <w:rFonts w:ascii="Times New Roman" w:hAnsi="Times New Roman" w:cs="Times New Roman"/>
        </w:rPr>
        <w:t xml:space="preserve"> in people with type 2 diabetes. Similarly, research by Poole and</w:t>
      </w:r>
      <w:r w:rsidR="008A52A1" w:rsidRPr="000C52CF">
        <w:rPr>
          <w:rFonts w:ascii="Times New Roman" w:hAnsi="Times New Roman" w:cs="Times New Roman"/>
        </w:rPr>
        <w:t xml:space="preserve"> Hackett (2024) demonstrated that negative emotional representations, </w:t>
      </w:r>
      <w:r w:rsidR="000E63D7" w:rsidRPr="000C52CF">
        <w:rPr>
          <w:rFonts w:ascii="Times New Roman" w:hAnsi="Times New Roman" w:cs="Times New Roman"/>
        </w:rPr>
        <w:t>such as</w:t>
      </w:r>
      <w:r w:rsidR="008A52A1" w:rsidRPr="000C52CF">
        <w:rPr>
          <w:rFonts w:ascii="Times New Roman" w:hAnsi="Times New Roman" w:cs="Times New Roman"/>
        </w:rPr>
        <w:t xml:space="preserve"> guilt and anxiety, are </w:t>
      </w:r>
      <w:r w:rsidR="000E63D7" w:rsidRPr="000C52CF">
        <w:rPr>
          <w:rFonts w:ascii="Times New Roman" w:hAnsi="Times New Roman" w:cs="Times New Roman"/>
        </w:rPr>
        <w:t>associat</w:t>
      </w:r>
      <w:r w:rsidR="008A52A1" w:rsidRPr="000C52CF">
        <w:rPr>
          <w:rFonts w:ascii="Times New Roman" w:hAnsi="Times New Roman" w:cs="Times New Roman"/>
        </w:rPr>
        <w:t xml:space="preserve">ed </w:t>
      </w:r>
      <w:r w:rsidR="000E63D7" w:rsidRPr="000C52CF">
        <w:rPr>
          <w:rFonts w:ascii="Times New Roman" w:hAnsi="Times New Roman" w:cs="Times New Roman"/>
        </w:rPr>
        <w:t>with</w:t>
      </w:r>
      <w:r w:rsidR="008A52A1" w:rsidRPr="000C52CF">
        <w:rPr>
          <w:rFonts w:ascii="Times New Roman" w:hAnsi="Times New Roman" w:cs="Times New Roman"/>
        </w:rPr>
        <w:t xml:space="preserve"> poor self-management and higher rates of depression. This, in turn, predicted worse clinical outcomes. </w:t>
      </w:r>
      <w:r w:rsidR="008A52A1" w:rsidRPr="000C52CF">
        <w:rPr>
          <w:rFonts w:ascii="Times New Roman" w:hAnsi="Times New Roman" w:cs="Times New Roman"/>
        </w:rPr>
        <w:lastRenderedPageBreak/>
        <w:t>These findings highlight the parallel role of cognitive and emotional illness representations in shaping health behaviours and psychological well-being.</w:t>
      </w:r>
    </w:p>
    <w:p w14:paraId="5A3CA2E5" w14:textId="77777777" w:rsidR="00D5085E" w:rsidRPr="000C52CF" w:rsidRDefault="00D5085E" w:rsidP="000C52CF">
      <w:pPr>
        <w:spacing w:line="480" w:lineRule="auto"/>
        <w:ind w:firstLine="720"/>
        <w:rPr>
          <w:rFonts w:ascii="Times New Roman" w:hAnsi="Times New Roman" w:cs="Times New Roman"/>
        </w:rPr>
      </w:pPr>
    </w:p>
    <w:p w14:paraId="3BFC1B4B" w14:textId="1B497FF3" w:rsidR="009E7883" w:rsidRPr="000C52CF" w:rsidRDefault="006D1F03" w:rsidP="000C52CF">
      <w:pPr>
        <w:spacing w:line="480" w:lineRule="auto"/>
        <w:ind w:firstLine="720"/>
        <w:rPr>
          <w:rFonts w:ascii="Times New Roman" w:hAnsi="Times New Roman" w:cs="Times New Roman"/>
        </w:rPr>
      </w:pPr>
      <w:r w:rsidRPr="000C52CF">
        <w:rPr>
          <w:rFonts w:ascii="Times New Roman" w:hAnsi="Times New Roman" w:cs="Times New Roman"/>
        </w:rPr>
        <w:t xml:space="preserve">The CSM also helps explain why education alone is insufficient for improving diabetes outcomes. Understanding diabetes is </w:t>
      </w:r>
      <w:r w:rsidR="007C3D78" w:rsidRPr="000C52CF">
        <w:rPr>
          <w:rFonts w:ascii="Times New Roman" w:hAnsi="Times New Roman" w:cs="Times New Roman"/>
        </w:rPr>
        <w:t>necessary but</w:t>
      </w:r>
      <w:r w:rsidRPr="000C52CF">
        <w:rPr>
          <w:rFonts w:ascii="Times New Roman" w:hAnsi="Times New Roman" w:cs="Times New Roman"/>
        </w:rPr>
        <w:t xml:space="preserve"> may not be enough to change behaviour.</w:t>
      </w:r>
      <w:r w:rsidRPr="000C52CF">
        <w:rPr>
          <w:rFonts w:ascii="Times New Roman" w:hAnsi="Times New Roman" w:cs="Times New Roman"/>
        </w:rPr>
        <w:t xml:space="preserve"> Individuals’ beliefs about the seriousness, how it can be controlled, and the causes of their illness can hinder or facilitate how the individual translates the knowledge into effective self-management </w:t>
      </w:r>
      <w:r w:rsidR="00C432AA" w:rsidRPr="000C52CF">
        <w:rPr>
          <w:rFonts w:ascii="Times New Roman" w:hAnsi="Times New Roman" w:cs="Times New Roman"/>
        </w:rPr>
        <w:t>(Broadbent et al., 2006)</w:t>
      </w:r>
      <w:r w:rsidR="00C432AA" w:rsidRPr="000C52CF">
        <w:rPr>
          <w:rFonts w:ascii="Times New Roman" w:hAnsi="Times New Roman" w:cs="Times New Roman"/>
        </w:rPr>
        <w:t xml:space="preserve">. For example, a patient who knows how important monitoring blood sugar levels is but believes their diabetes is not controllable will be unlikely to maintain monitoring regimes. Interventions that address cognitive and emotional representation, such as motivational interviewing, have been shown to improve self-management and psychological outcomes in individuals with diabetes </w:t>
      </w:r>
      <w:r w:rsidR="00C432AA" w:rsidRPr="000C52CF">
        <w:rPr>
          <w:rFonts w:ascii="Times New Roman" w:hAnsi="Times New Roman" w:cs="Times New Roman"/>
        </w:rPr>
        <w:t>(Keogh et al., 2007)</w:t>
      </w:r>
      <w:r w:rsidR="00C432AA" w:rsidRPr="000C52CF">
        <w:rPr>
          <w:rFonts w:ascii="Times New Roman" w:hAnsi="Times New Roman" w:cs="Times New Roman"/>
        </w:rPr>
        <w:t>.</w:t>
      </w:r>
    </w:p>
    <w:p w14:paraId="2D3C4AF7" w14:textId="77777777" w:rsidR="00C432AA" w:rsidRPr="000C52CF" w:rsidRDefault="00C432AA" w:rsidP="000C52CF">
      <w:pPr>
        <w:spacing w:line="480" w:lineRule="auto"/>
        <w:ind w:firstLine="720"/>
        <w:rPr>
          <w:rFonts w:ascii="Times New Roman" w:hAnsi="Times New Roman" w:cs="Times New Roman"/>
        </w:rPr>
      </w:pPr>
    </w:p>
    <w:p w14:paraId="14ACAE19" w14:textId="3510188C" w:rsidR="008A52A1" w:rsidRPr="000C52CF" w:rsidRDefault="00B241F8" w:rsidP="000C52CF">
      <w:pPr>
        <w:spacing w:line="480" w:lineRule="auto"/>
        <w:ind w:firstLine="720"/>
        <w:rPr>
          <w:rFonts w:ascii="Times New Roman" w:hAnsi="Times New Roman" w:cs="Times New Roman"/>
        </w:rPr>
      </w:pPr>
      <w:r w:rsidRPr="000C52CF">
        <w:rPr>
          <w:rFonts w:ascii="Times New Roman" w:hAnsi="Times New Roman" w:cs="Times New Roman"/>
        </w:rPr>
        <w:t xml:space="preserve">While </w:t>
      </w:r>
      <w:r w:rsidR="00F65CFB" w:rsidRPr="000C52CF">
        <w:rPr>
          <w:rFonts w:ascii="Times New Roman" w:hAnsi="Times New Roman" w:cs="Times New Roman"/>
        </w:rPr>
        <w:t>substantial evidence</w:t>
      </w:r>
      <w:r w:rsidRPr="000C52CF">
        <w:rPr>
          <w:rFonts w:ascii="Times New Roman" w:hAnsi="Times New Roman" w:cs="Times New Roman"/>
        </w:rPr>
        <w:t xml:space="preserve"> supports the CSM in predicting diabetes </w:t>
      </w:r>
      <w:r w:rsidR="007C3D78">
        <w:rPr>
          <w:rFonts w:ascii="Times New Roman" w:hAnsi="Times New Roman" w:cs="Times New Roman"/>
        </w:rPr>
        <w:t xml:space="preserve">health </w:t>
      </w:r>
      <w:r w:rsidRPr="000C52CF">
        <w:rPr>
          <w:rFonts w:ascii="Times New Roman" w:hAnsi="Times New Roman" w:cs="Times New Roman"/>
        </w:rPr>
        <w:t xml:space="preserve">outcomes, a critical evaluation reveals </w:t>
      </w:r>
      <w:r w:rsidR="000045E5" w:rsidRPr="000C52CF">
        <w:rPr>
          <w:rFonts w:ascii="Times New Roman" w:hAnsi="Times New Roman" w:cs="Times New Roman"/>
        </w:rPr>
        <w:t>the current research's strengths and limitations</w:t>
      </w:r>
      <w:r w:rsidRPr="000C52CF">
        <w:rPr>
          <w:rFonts w:ascii="Times New Roman" w:hAnsi="Times New Roman" w:cs="Times New Roman"/>
        </w:rPr>
        <w:t>. A significant strength of the research around the CSM is it</w:t>
      </w:r>
      <w:r w:rsidR="00F43251" w:rsidRPr="000C52CF">
        <w:rPr>
          <w:rFonts w:ascii="Times New Roman" w:hAnsi="Times New Roman" w:cs="Times New Roman"/>
        </w:rPr>
        <w:t>s</w:t>
      </w:r>
      <w:r w:rsidRPr="000C52CF">
        <w:rPr>
          <w:rFonts w:ascii="Times New Roman" w:hAnsi="Times New Roman" w:cs="Times New Roman"/>
        </w:rPr>
        <w:t xml:space="preserve"> methodological diversity. </w:t>
      </w:r>
      <w:r w:rsidR="00F65CFB" w:rsidRPr="000C52CF">
        <w:rPr>
          <w:rFonts w:ascii="Times New Roman" w:hAnsi="Times New Roman" w:cs="Times New Roman"/>
        </w:rPr>
        <w:t>Studies</w:t>
      </w:r>
      <w:r w:rsidRPr="000C52CF">
        <w:rPr>
          <w:rFonts w:ascii="Times New Roman" w:hAnsi="Times New Roman" w:cs="Times New Roman"/>
        </w:rPr>
        <w:t xml:space="preserve"> employ quantitative and qualitative approaches, cross-sectional and longitudinal designs</w:t>
      </w:r>
      <w:r w:rsidR="00F65CFB" w:rsidRPr="000C52CF">
        <w:rPr>
          <w:rFonts w:ascii="Times New Roman" w:hAnsi="Times New Roman" w:cs="Times New Roman"/>
        </w:rPr>
        <w:t>,</w:t>
      </w:r>
      <w:r w:rsidRPr="000C52CF">
        <w:rPr>
          <w:rFonts w:ascii="Times New Roman" w:hAnsi="Times New Roman" w:cs="Times New Roman"/>
        </w:rPr>
        <w:t xml:space="preserve"> and various validated measurement tools</w:t>
      </w:r>
      <w:r w:rsidR="00F43251" w:rsidRPr="000C52CF">
        <w:rPr>
          <w:rFonts w:ascii="Times New Roman" w:hAnsi="Times New Roman" w:cs="Times New Roman"/>
        </w:rPr>
        <w:t xml:space="preserve">. </w:t>
      </w:r>
      <w:r w:rsidR="00F65CFB" w:rsidRPr="000C52CF">
        <w:rPr>
          <w:rFonts w:ascii="Times New Roman" w:hAnsi="Times New Roman" w:cs="Times New Roman"/>
        </w:rPr>
        <w:t xml:space="preserve">The Illness Perception Questionnaire (IPQ) and its revised versions (IPQ-R) have demonstrated </w:t>
      </w:r>
      <w:r w:rsidR="00491D8C" w:rsidRPr="000C52CF">
        <w:rPr>
          <w:rFonts w:ascii="Times New Roman" w:hAnsi="Times New Roman" w:cs="Times New Roman"/>
        </w:rPr>
        <w:t>good internal consistency and retest reliability across different diabetes populations</w:t>
      </w:r>
      <w:r w:rsidR="006D448E">
        <w:rPr>
          <w:rFonts w:ascii="Times New Roman" w:hAnsi="Times New Roman" w:cs="Times New Roman"/>
        </w:rPr>
        <w:t>,</w:t>
      </w:r>
      <w:r w:rsidR="00491D8C" w:rsidRPr="000C52CF">
        <w:rPr>
          <w:rFonts w:ascii="Times New Roman" w:hAnsi="Times New Roman" w:cs="Times New Roman"/>
        </w:rPr>
        <w:t xml:space="preserve"> which adds credibility to research that links illness perceptions to health outcomes </w:t>
      </w:r>
      <w:r w:rsidR="00491D8C" w:rsidRPr="000C52CF">
        <w:rPr>
          <w:rFonts w:ascii="Times New Roman" w:hAnsi="Times New Roman" w:cs="Times New Roman"/>
        </w:rPr>
        <w:t>(Moss-Morris et al., 2002)</w:t>
      </w:r>
      <w:r w:rsidR="00491D8C" w:rsidRPr="000C52CF">
        <w:rPr>
          <w:rFonts w:ascii="Times New Roman" w:hAnsi="Times New Roman" w:cs="Times New Roman"/>
        </w:rPr>
        <w:t xml:space="preserve">. </w:t>
      </w:r>
      <w:r w:rsidR="00491D8C" w:rsidRPr="000C52CF">
        <w:rPr>
          <w:rFonts w:ascii="Times New Roman" w:hAnsi="Times New Roman" w:cs="Times New Roman"/>
        </w:rPr>
        <w:t>Additional research conducted by Knowles et al. (2019) identified links between illness representations and the outcomes of diabetes management, thereby supporting the CSM within the diabetes community.</w:t>
      </w:r>
    </w:p>
    <w:p w14:paraId="641A6C4B" w14:textId="77777777" w:rsidR="009E7883" w:rsidRPr="000C52CF" w:rsidRDefault="009E7883" w:rsidP="000C52CF">
      <w:pPr>
        <w:spacing w:line="480" w:lineRule="auto"/>
        <w:ind w:firstLine="720"/>
        <w:rPr>
          <w:rFonts w:ascii="Times New Roman" w:hAnsi="Times New Roman" w:cs="Times New Roman"/>
        </w:rPr>
      </w:pPr>
    </w:p>
    <w:p w14:paraId="59674BE1" w14:textId="017952D4" w:rsidR="00491D8C" w:rsidRPr="000C52CF" w:rsidRDefault="007F14E7" w:rsidP="000C52CF">
      <w:pPr>
        <w:spacing w:line="480" w:lineRule="auto"/>
        <w:ind w:firstLine="720"/>
        <w:rPr>
          <w:rFonts w:ascii="Times New Roman" w:hAnsi="Times New Roman" w:cs="Times New Roman"/>
        </w:rPr>
      </w:pPr>
      <w:r w:rsidRPr="000C52CF">
        <w:rPr>
          <w:rFonts w:ascii="Times New Roman" w:hAnsi="Times New Roman" w:cs="Times New Roman"/>
        </w:rPr>
        <w:lastRenderedPageBreak/>
        <w:t>The development of validated measurement tools has been crucial in applying the CSM to diabetes care. The IPQ and IPQ-R have enabled researchers to consistently assess patients’ illness representations by measuring key factors (Broadbent et al., 2015; Moss-Morris et al., 2002). Meta-analysis studies utilising these instruments have revealed strong correlations between illness perceptions and health outcomes such as glycaemic control, self-management, and psychological wellbeing (L. Hudson et al., 2014). The reliability and validity of these measures have facilitated large-scale studies and meta-analyses, reinforcing the evidence for the application of the CSM in diabetes care.</w:t>
      </w:r>
    </w:p>
    <w:p w14:paraId="7D63DC1D" w14:textId="77777777" w:rsidR="007F14E7" w:rsidRPr="000C52CF" w:rsidRDefault="007F14E7" w:rsidP="000C52CF">
      <w:pPr>
        <w:spacing w:line="480" w:lineRule="auto"/>
        <w:ind w:firstLine="720"/>
        <w:rPr>
          <w:rFonts w:ascii="Times New Roman" w:hAnsi="Times New Roman" w:cs="Times New Roman"/>
        </w:rPr>
      </w:pPr>
    </w:p>
    <w:p w14:paraId="4F402199" w14:textId="09A9ECD5" w:rsidR="00491D8C" w:rsidRPr="000C52CF" w:rsidRDefault="00B6011A" w:rsidP="000C52CF">
      <w:pPr>
        <w:spacing w:line="480" w:lineRule="auto"/>
        <w:ind w:firstLine="720"/>
        <w:rPr>
          <w:rFonts w:ascii="Times New Roman" w:hAnsi="Times New Roman" w:cs="Times New Roman"/>
        </w:rPr>
      </w:pPr>
      <w:r w:rsidRPr="000C52CF">
        <w:rPr>
          <w:rFonts w:ascii="Times New Roman" w:hAnsi="Times New Roman" w:cs="Times New Roman"/>
        </w:rPr>
        <w:t xml:space="preserve">However, there are some methodological limitations in the research surrounding the CSM. While the IPQ and </w:t>
      </w:r>
      <w:r w:rsidR="007F14E7" w:rsidRPr="000C52CF">
        <w:rPr>
          <w:rFonts w:ascii="Times New Roman" w:hAnsi="Times New Roman" w:cs="Times New Roman"/>
        </w:rPr>
        <w:t>IPQ-R</w:t>
      </w:r>
      <w:r w:rsidRPr="000C52CF">
        <w:rPr>
          <w:rFonts w:ascii="Times New Roman" w:hAnsi="Times New Roman" w:cs="Times New Roman"/>
        </w:rPr>
        <w:t xml:space="preserve"> add credibility, there are also limitations in using self-report instruments. Although widely used, these instruments are subject to biases and may not fully capture the complexity of internal cognitive processes, which can lead to concerns about validity (Broadbent et al., 2006). Another limitation is the use of cross-sectional designs. Many studies using the CSM measure illness perceptions and outcomes at a single point in time, which restricts how strongly causal links can be inferred between illness beliefs and activities such as treatment adherence or coping behaviours (Hagger &amp; Orbell, 2003). Further longitudinal data is needed. Without this, it is difficult to determine whether illness perceptions influence health behaviours or vice versa.</w:t>
      </w:r>
    </w:p>
    <w:p w14:paraId="077DFBC5" w14:textId="77777777" w:rsidR="00B6011A" w:rsidRPr="000C52CF" w:rsidRDefault="00B6011A" w:rsidP="000C52CF">
      <w:pPr>
        <w:spacing w:line="480" w:lineRule="auto"/>
        <w:ind w:firstLine="720"/>
        <w:rPr>
          <w:rFonts w:ascii="Times New Roman" w:hAnsi="Times New Roman" w:cs="Times New Roman"/>
        </w:rPr>
      </w:pPr>
    </w:p>
    <w:p w14:paraId="67285EC3" w14:textId="7C46B368" w:rsidR="00B6011A" w:rsidRPr="000C52CF" w:rsidRDefault="00B6011A" w:rsidP="000C52CF">
      <w:pPr>
        <w:spacing w:line="480" w:lineRule="auto"/>
        <w:ind w:firstLine="720"/>
        <w:rPr>
          <w:rFonts w:ascii="Times New Roman" w:hAnsi="Times New Roman" w:cs="Times New Roman"/>
        </w:rPr>
      </w:pPr>
      <w:r w:rsidRPr="000C52CF">
        <w:rPr>
          <w:rFonts w:ascii="Times New Roman" w:hAnsi="Times New Roman" w:cs="Times New Roman"/>
        </w:rPr>
        <w:t>Whilst illness perc</w:t>
      </w:r>
      <w:r w:rsidR="00B70F44" w:rsidRPr="000C52CF">
        <w:rPr>
          <w:rFonts w:ascii="Times New Roman" w:hAnsi="Times New Roman" w:cs="Times New Roman"/>
        </w:rPr>
        <w:t>ep</w:t>
      </w:r>
      <w:r w:rsidRPr="000C52CF">
        <w:rPr>
          <w:rFonts w:ascii="Times New Roman" w:hAnsi="Times New Roman" w:cs="Times New Roman"/>
        </w:rPr>
        <w:t>tions</w:t>
      </w:r>
      <w:r w:rsidR="00B70F44" w:rsidRPr="000C52CF">
        <w:rPr>
          <w:rFonts w:ascii="Times New Roman" w:hAnsi="Times New Roman" w:cs="Times New Roman"/>
        </w:rPr>
        <w:t xml:space="preserve"> in diabetes are mainly measured through self-report questionnaires like the IPQ and IPQ-R, there is a need for more objective measures of self-management behaviours and outcomes. Electronic monitoring of how individuals adhere to medication, or continuous glucose monitoring, could provide more robust evidence of the links between illness perceptions and health outcomes </w:t>
      </w:r>
      <w:r w:rsidR="00B70F44" w:rsidRPr="000C52CF">
        <w:rPr>
          <w:rFonts w:ascii="Times New Roman" w:hAnsi="Times New Roman" w:cs="Times New Roman"/>
        </w:rPr>
        <w:t>(Alyami et al., 2020)</w:t>
      </w:r>
      <w:r w:rsidR="00B70F44" w:rsidRPr="000C52CF">
        <w:rPr>
          <w:rFonts w:ascii="Times New Roman" w:hAnsi="Times New Roman" w:cs="Times New Roman"/>
        </w:rPr>
        <w:t xml:space="preserve">. </w:t>
      </w:r>
      <w:r w:rsidR="00E02216" w:rsidRPr="000C52CF">
        <w:rPr>
          <w:rFonts w:ascii="Times New Roman" w:hAnsi="Times New Roman" w:cs="Times New Roman"/>
        </w:rPr>
        <w:t xml:space="preserve">While illness </w:t>
      </w:r>
      <w:r w:rsidR="00E02216" w:rsidRPr="000C52CF">
        <w:rPr>
          <w:rFonts w:ascii="Times New Roman" w:hAnsi="Times New Roman" w:cs="Times New Roman"/>
        </w:rPr>
        <w:lastRenderedPageBreak/>
        <w:t xml:space="preserve">perceptions have been shown to be significantly associated with </w:t>
      </w:r>
      <w:r w:rsidR="006D448E">
        <w:rPr>
          <w:rFonts w:ascii="Times New Roman" w:hAnsi="Times New Roman" w:cs="Times New Roman"/>
        </w:rPr>
        <w:t xml:space="preserve">positive or negative </w:t>
      </w:r>
      <w:r w:rsidR="00E02216" w:rsidRPr="000C52CF">
        <w:rPr>
          <w:rFonts w:ascii="Times New Roman" w:hAnsi="Times New Roman" w:cs="Times New Roman"/>
        </w:rPr>
        <w:t xml:space="preserve">clinical outcomes, the strength of these associations is often modest, suggesting that other factors, such as physiological processes, social support and health care access, also play a substantial role in determining outcomes </w:t>
      </w:r>
      <w:r w:rsidR="00E02216" w:rsidRPr="000C52CF">
        <w:rPr>
          <w:rFonts w:ascii="Times New Roman" w:hAnsi="Times New Roman" w:cs="Times New Roman"/>
        </w:rPr>
        <w:t>(Hagger &amp; Orbell, 2003)</w:t>
      </w:r>
      <w:r w:rsidR="00E02216" w:rsidRPr="000C52CF">
        <w:rPr>
          <w:rFonts w:ascii="Times New Roman" w:hAnsi="Times New Roman" w:cs="Times New Roman"/>
        </w:rPr>
        <w:t>.</w:t>
      </w:r>
    </w:p>
    <w:p w14:paraId="47597CF3" w14:textId="77777777" w:rsidR="00E02216" w:rsidRPr="000C52CF" w:rsidRDefault="00E02216" w:rsidP="000C52CF">
      <w:pPr>
        <w:spacing w:line="480" w:lineRule="auto"/>
        <w:ind w:firstLine="720"/>
        <w:rPr>
          <w:rFonts w:ascii="Times New Roman" w:hAnsi="Times New Roman" w:cs="Times New Roman"/>
        </w:rPr>
      </w:pPr>
    </w:p>
    <w:p w14:paraId="67A66C01" w14:textId="55E942B2" w:rsidR="00E02216" w:rsidRPr="000C52CF" w:rsidRDefault="00F14C60" w:rsidP="000C52CF">
      <w:pPr>
        <w:spacing w:line="480" w:lineRule="auto"/>
        <w:ind w:firstLine="720"/>
        <w:rPr>
          <w:rFonts w:ascii="Times New Roman" w:hAnsi="Times New Roman" w:cs="Times New Roman"/>
        </w:rPr>
      </w:pPr>
      <w:r w:rsidRPr="000C52CF">
        <w:rPr>
          <w:rFonts w:ascii="Times New Roman" w:hAnsi="Times New Roman" w:cs="Times New Roman"/>
        </w:rPr>
        <w:t xml:space="preserve">A further limitation is the tendency to treat illness perceptions as static constructs, even though the CSM theory posits that they take a dynamic and cyclical structure </w:t>
      </w:r>
      <w:r w:rsidRPr="000C52CF">
        <w:rPr>
          <w:rFonts w:ascii="Times New Roman" w:hAnsi="Times New Roman" w:cs="Times New Roman"/>
        </w:rPr>
        <w:t>(Leventhal et al., 2016)</w:t>
      </w:r>
      <w:r w:rsidRPr="000C52CF">
        <w:rPr>
          <w:rFonts w:ascii="Times New Roman" w:hAnsi="Times New Roman" w:cs="Times New Roman"/>
        </w:rPr>
        <w:t xml:space="preserve">. There is a lack of studies that effectively show how these representations change in response to new experiences, feedback or disease progression. Moreover, much of the research focuses on the model's individual components rather than examining the complex interactions between cognitive representations, emotional responses, and coping strategies </w:t>
      </w:r>
      <w:r w:rsidRPr="000C52CF">
        <w:rPr>
          <w:rFonts w:ascii="Times New Roman" w:hAnsi="Times New Roman" w:cs="Times New Roman"/>
        </w:rPr>
        <w:t>(Broadbent et al., 2015)</w:t>
      </w:r>
      <w:r w:rsidRPr="000C52CF">
        <w:rPr>
          <w:rFonts w:ascii="Times New Roman" w:hAnsi="Times New Roman" w:cs="Times New Roman"/>
        </w:rPr>
        <w:t xml:space="preserve">. This approach may overlook the nuanced ways in which these factors interact and influence self-management and health outcomes. </w:t>
      </w:r>
    </w:p>
    <w:p w14:paraId="3FC2B514" w14:textId="77777777" w:rsidR="00F14C60" w:rsidRPr="000C52CF" w:rsidRDefault="00F14C60" w:rsidP="000C52CF">
      <w:pPr>
        <w:spacing w:line="480" w:lineRule="auto"/>
        <w:ind w:firstLine="720"/>
        <w:rPr>
          <w:rFonts w:ascii="Times New Roman" w:hAnsi="Times New Roman" w:cs="Times New Roman"/>
        </w:rPr>
      </w:pPr>
    </w:p>
    <w:p w14:paraId="2198B15E" w14:textId="4A24C796" w:rsidR="00F14C60" w:rsidRPr="000C52CF" w:rsidRDefault="00F14C60" w:rsidP="000C52CF">
      <w:pPr>
        <w:spacing w:line="480" w:lineRule="auto"/>
        <w:ind w:firstLine="720"/>
        <w:rPr>
          <w:rFonts w:ascii="Times New Roman" w:hAnsi="Times New Roman" w:cs="Times New Roman"/>
        </w:rPr>
      </w:pPr>
      <w:r w:rsidRPr="000C52CF">
        <w:rPr>
          <w:rFonts w:ascii="Times New Roman" w:hAnsi="Times New Roman" w:cs="Times New Roman"/>
        </w:rPr>
        <w:t>It is also worth mentioning the ecological validity of CSM research in diabetes. Many studies rely on standardised questionnaires administered in clinical settings</w:t>
      </w:r>
      <w:r w:rsidR="00417BBB" w:rsidRPr="000C52CF">
        <w:rPr>
          <w:rFonts w:ascii="Times New Roman" w:hAnsi="Times New Roman" w:cs="Times New Roman"/>
        </w:rPr>
        <w:t>,</w:t>
      </w:r>
      <w:r w:rsidRPr="000C52CF">
        <w:rPr>
          <w:rFonts w:ascii="Times New Roman" w:hAnsi="Times New Roman" w:cs="Times New Roman"/>
        </w:rPr>
        <w:t xml:space="preserve"> which may not fully capture how people think about and respond to their diabetes in everyday life</w:t>
      </w:r>
      <w:r w:rsidR="00417BBB" w:rsidRPr="000C52CF">
        <w:rPr>
          <w:rFonts w:ascii="Times New Roman" w:hAnsi="Times New Roman" w:cs="Times New Roman"/>
        </w:rPr>
        <w:t xml:space="preserve"> </w:t>
      </w:r>
      <w:r w:rsidR="00417BBB" w:rsidRPr="000C52CF">
        <w:rPr>
          <w:rFonts w:ascii="Times New Roman" w:hAnsi="Times New Roman" w:cs="Times New Roman"/>
        </w:rPr>
        <w:t>(Petrie &amp; Weinman, 2012)</w:t>
      </w:r>
      <w:r w:rsidRPr="000C52CF">
        <w:rPr>
          <w:rFonts w:ascii="Times New Roman" w:hAnsi="Times New Roman" w:cs="Times New Roman"/>
        </w:rPr>
        <w:t xml:space="preserve">. </w:t>
      </w:r>
      <w:r w:rsidR="00417BBB" w:rsidRPr="000C52CF">
        <w:rPr>
          <w:rFonts w:ascii="Times New Roman" w:hAnsi="Times New Roman" w:cs="Times New Roman"/>
        </w:rPr>
        <w:t xml:space="preserve">There is an increasing use of digital health tools, incorporating real-time data collection methods, which provides new ways to explore how people think about their illnesses and manage their health in everyday life </w:t>
      </w:r>
      <w:r w:rsidR="00417BBB" w:rsidRPr="000C52CF">
        <w:rPr>
          <w:rFonts w:ascii="Times New Roman" w:hAnsi="Times New Roman" w:cs="Times New Roman"/>
        </w:rPr>
        <w:t>(Heron &amp; Smyth, 2010)</w:t>
      </w:r>
      <w:r w:rsidR="00417BBB" w:rsidRPr="000C52CF">
        <w:rPr>
          <w:rFonts w:ascii="Times New Roman" w:hAnsi="Times New Roman" w:cs="Times New Roman"/>
        </w:rPr>
        <w:t>.</w:t>
      </w:r>
    </w:p>
    <w:p w14:paraId="2848F8B3" w14:textId="77777777" w:rsidR="00417BBB" w:rsidRPr="000C52CF" w:rsidRDefault="00417BBB" w:rsidP="000C52CF">
      <w:pPr>
        <w:spacing w:line="480" w:lineRule="auto"/>
        <w:ind w:firstLine="720"/>
        <w:rPr>
          <w:rFonts w:ascii="Times New Roman" w:hAnsi="Times New Roman" w:cs="Times New Roman"/>
        </w:rPr>
      </w:pPr>
    </w:p>
    <w:p w14:paraId="60F5F330" w14:textId="4AE016E7" w:rsidR="00417BBB" w:rsidRPr="000C52CF" w:rsidRDefault="00FE73FA" w:rsidP="000C52CF">
      <w:pPr>
        <w:spacing w:line="480" w:lineRule="auto"/>
        <w:ind w:firstLine="720"/>
        <w:rPr>
          <w:rFonts w:ascii="Times New Roman" w:hAnsi="Times New Roman" w:cs="Times New Roman"/>
        </w:rPr>
      </w:pPr>
      <w:r w:rsidRPr="000C52CF">
        <w:rPr>
          <w:rFonts w:ascii="Times New Roman" w:hAnsi="Times New Roman" w:cs="Times New Roman"/>
        </w:rPr>
        <w:t xml:space="preserve">The common-sense model explains why people manage diabetes differently, but translating this knowledge into effective treatments has had mixed results. Some interventions have shown small improvements in self-care and mental health. However, these approaches haven't consistently improved long-term health outcomes like blood sugar control </w:t>
      </w:r>
      <w:r w:rsidRPr="000C52CF">
        <w:rPr>
          <w:rFonts w:ascii="Times New Roman" w:hAnsi="Times New Roman" w:cs="Times New Roman"/>
        </w:rPr>
        <w:lastRenderedPageBreak/>
        <w:t xml:space="preserve">or complication rates </w:t>
      </w:r>
      <w:r w:rsidRPr="000C52CF">
        <w:rPr>
          <w:rFonts w:ascii="Times New Roman" w:hAnsi="Times New Roman" w:cs="Times New Roman"/>
        </w:rPr>
        <w:t>(Keogh et al., 2007</w:t>
      </w:r>
      <w:r w:rsidRPr="000C52CF">
        <w:rPr>
          <w:rFonts w:ascii="Times New Roman" w:hAnsi="Times New Roman" w:cs="Times New Roman"/>
        </w:rPr>
        <w:t xml:space="preserve">; </w:t>
      </w:r>
      <w:r w:rsidRPr="000C52CF">
        <w:rPr>
          <w:rFonts w:ascii="Times New Roman" w:hAnsi="Times New Roman" w:cs="Times New Roman"/>
        </w:rPr>
        <w:t>McSharry et al., 2011)</w:t>
      </w:r>
      <w:r w:rsidRPr="000C52CF">
        <w:rPr>
          <w:rFonts w:ascii="Times New Roman" w:hAnsi="Times New Roman" w:cs="Times New Roman"/>
        </w:rPr>
        <w:t>. This suggests that while the CSM is useful for understanding behaviour, additional models and more comprehensive approaches might be needed to see further changes to the health outcomes of those with diabetes.</w:t>
      </w:r>
    </w:p>
    <w:p w14:paraId="1C7CE439" w14:textId="77777777" w:rsidR="00FE73FA" w:rsidRPr="000C52CF" w:rsidRDefault="00FE73FA" w:rsidP="000C52CF">
      <w:pPr>
        <w:spacing w:line="480" w:lineRule="auto"/>
        <w:ind w:firstLine="720"/>
        <w:rPr>
          <w:rFonts w:ascii="Times New Roman" w:hAnsi="Times New Roman" w:cs="Times New Roman"/>
        </w:rPr>
      </w:pPr>
    </w:p>
    <w:p w14:paraId="4A61E437" w14:textId="169E3F74" w:rsidR="00FE73FA" w:rsidRPr="000C52CF" w:rsidRDefault="00C47749" w:rsidP="000C52CF">
      <w:pPr>
        <w:spacing w:line="480" w:lineRule="auto"/>
        <w:ind w:firstLine="720"/>
        <w:rPr>
          <w:rFonts w:ascii="Times New Roman" w:hAnsi="Times New Roman" w:cs="Times New Roman"/>
        </w:rPr>
      </w:pPr>
      <w:r w:rsidRPr="000C52CF">
        <w:rPr>
          <w:rFonts w:ascii="Times New Roman" w:hAnsi="Times New Roman" w:cs="Times New Roman"/>
        </w:rPr>
        <w:t xml:space="preserve">Research into how the CSM applies to diabetes has provided healthcare professionals with a framework for interacting with patients. Studies indicate that it is beneficial for health professionals to inquire about patients' beliefs and knowledge regarding their condition, as these factors are likely to influence their ability to manage diabetes effectively (Broadbent et al., 2006). Simple questionnaires like the IPQ </w:t>
      </w:r>
      <w:r w:rsidR="00565B76" w:rsidRPr="000C52CF">
        <w:rPr>
          <w:rFonts w:ascii="Times New Roman" w:hAnsi="Times New Roman" w:cs="Times New Roman"/>
        </w:rPr>
        <w:t xml:space="preserve">and IPQ-R </w:t>
      </w:r>
      <w:r w:rsidRPr="000C52CF">
        <w:rPr>
          <w:rFonts w:ascii="Times New Roman" w:hAnsi="Times New Roman" w:cs="Times New Roman"/>
        </w:rPr>
        <w:t xml:space="preserve">can be completed during patient appointments to determine if any unhelpful beliefs hinder positive health outcomes. This approach allows doctors and nurses to offer advice that is more personalised, rather than applying the same guidance to all patients </w:t>
      </w:r>
      <w:r w:rsidRPr="000C52CF">
        <w:rPr>
          <w:rFonts w:ascii="Times New Roman" w:hAnsi="Times New Roman" w:cs="Times New Roman"/>
        </w:rPr>
        <w:t>(Petrie &amp; Weinman, 2012)</w:t>
      </w:r>
      <w:r w:rsidRPr="000C52CF">
        <w:rPr>
          <w:rFonts w:ascii="Times New Roman" w:hAnsi="Times New Roman" w:cs="Times New Roman"/>
        </w:rPr>
        <w:t>.</w:t>
      </w:r>
    </w:p>
    <w:p w14:paraId="044E92F0" w14:textId="77777777" w:rsidR="00565B76" w:rsidRPr="000C52CF" w:rsidRDefault="00565B76" w:rsidP="000C52CF">
      <w:pPr>
        <w:spacing w:line="480" w:lineRule="auto"/>
        <w:ind w:firstLine="720"/>
        <w:rPr>
          <w:rFonts w:ascii="Times New Roman" w:hAnsi="Times New Roman" w:cs="Times New Roman"/>
        </w:rPr>
      </w:pPr>
    </w:p>
    <w:p w14:paraId="03F58D2E" w14:textId="71D5B61D" w:rsidR="00565B76" w:rsidRPr="000C52CF" w:rsidRDefault="005424FE" w:rsidP="000C52CF">
      <w:pPr>
        <w:spacing w:line="480" w:lineRule="auto"/>
        <w:ind w:firstLine="720"/>
        <w:rPr>
          <w:rFonts w:ascii="Times New Roman" w:hAnsi="Times New Roman" w:cs="Times New Roman"/>
        </w:rPr>
      </w:pPr>
      <w:r w:rsidRPr="000C52CF">
        <w:rPr>
          <w:rFonts w:ascii="Times New Roman" w:hAnsi="Times New Roman" w:cs="Times New Roman"/>
        </w:rPr>
        <w:t xml:space="preserve">The emotional component of the CSM plays a critical role in diabetes care. Research has shown that emotional distress and negative feelings related to having type 2 diabetes are linked to poorer glycaemic control and increased diabetes-related symptoms; therefore, it is important to address these emotional aspects for effective diabetes management (Gonzalez et al., 2015; </w:t>
      </w:r>
      <w:r w:rsidRPr="000C52CF">
        <w:rPr>
          <w:rFonts w:ascii="Times New Roman" w:hAnsi="Times New Roman" w:cs="Times New Roman"/>
        </w:rPr>
        <w:t>Poole &amp; Hackett, 2024</w:t>
      </w:r>
      <w:r w:rsidRPr="000C52CF">
        <w:rPr>
          <w:rFonts w:ascii="Times New Roman" w:hAnsi="Times New Roman" w:cs="Times New Roman"/>
        </w:rPr>
        <w:t>). To provide more effective support, healthcare professionals could adopt a more holistic approach that addresses the cognitive and emotional experiences of people with diabetes. This could involve integrating psychological support and interventions t</w:t>
      </w:r>
      <w:r w:rsidR="007A6BDB" w:rsidRPr="000C52CF">
        <w:rPr>
          <w:rFonts w:ascii="Times New Roman" w:hAnsi="Times New Roman" w:cs="Times New Roman"/>
        </w:rPr>
        <w:t>argeting</w:t>
      </w:r>
      <w:r w:rsidRPr="000C52CF">
        <w:rPr>
          <w:rFonts w:ascii="Times New Roman" w:hAnsi="Times New Roman" w:cs="Times New Roman"/>
        </w:rPr>
        <w:t xml:space="preserve"> emotional responses and distress into diabetes care (Alyami et al., 2020; Keogh et al., 2007).</w:t>
      </w:r>
    </w:p>
    <w:p w14:paraId="736C5616" w14:textId="77777777" w:rsidR="005424FE" w:rsidRPr="000C52CF" w:rsidRDefault="005424FE" w:rsidP="000C52CF">
      <w:pPr>
        <w:spacing w:line="480" w:lineRule="auto"/>
        <w:ind w:firstLine="720"/>
        <w:rPr>
          <w:rFonts w:ascii="Times New Roman" w:hAnsi="Times New Roman" w:cs="Times New Roman"/>
        </w:rPr>
      </w:pPr>
    </w:p>
    <w:p w14:paraId="21D54654" w14:textId="191023A2" w:rsidR="005424FE" w:rsidRPr="000C52CF" w:rsidRDefault="007A6BDB" w:rsidP="000C52CF">
      <w:pPr>
        <w:spacing w:line="480" w:lineRule="auto"/>
        <w:ind w:firstLine="720"/>
        <w:rPr>
          <w:rFonts w:ascii="Times New Roman" w:hAnsi="Times New Roman" w:cs="Times New Roman"/>
        </w:rPr>
      </w:pPr>
      <w:r w:rsidRPr="000C52CF">
        <w:rPr>
          <w:rFonts w:ascii="Times New Roman" w:hAnsi="Times New Roman" w:cs="Times New Roman"/>
        </w:rPr>
        <w:lastRenderedPageBreak/>
        <w:t xml:space="preserve">In future research, several enhancements are necessary; longitudinal studies will help clarify how beliefs among individuals with diabetes evolve over time and their long-term health implications (Broadbent et al., 2011). Additionally, researchers could explore more ways to investigate how individuals manage their conditions in their daily lives, given the complexity and variability of these processes. The emergence of new technologies, including digital health tools and continuous glucose monitors, provides opportunities to observe these behaviours in real-world contexts (Heron &amp; Smyth, 2010). Moreover, future research should look at how social and cultural backgrounds affect the way individuals think about their illness. Studies have found that where a person comes from can impact their beliefs about an illness, but most research on the CSM is primarily focused on Western countries </w:t>
      </w:r>
      <w:r w:rsidRPr="000C52CF">
        <w:rPr>
          <w:rFonts w:ascii="Times New Roman" w:hAnsi="Times New Roman" w:cs="Times New Roman"/>
        </w:rPr>
        <w:t>(Petrie &amp; Weinman, 2012)</w:t>
      </w:r>
      <w:r w:rsidRPr="000C52CF">
        <w:rPr>
          <w:rFonts w:ascii="Times New Roman" w:hAnsi="Times New Roman" w:cs="Times New Roman"/>
        </w:rPr>
        <w:t xml:space="preserve">. </w:t>
      </w:r>
    </w:p>
    <w:p w14:paraId="1FB7BD92" w14:textId="77777777" w:rsidR="00B475DA" w:rsidRPr="000C52CF" w:rsidRDefault="00B475DA" w:rsidP="000C52CF">
      <w:pPr>
        <w:spacing w:line="480" w:lineRule="auto"/>
        <w:ind w:firstLine="720"/>
        <w:rPr>
          <w:rFonts w:ascii="Times New Roman" w:hAnsi="Times New Roman" w:cs="Times New Roman"/>
        </w:rPr>
      </w:pPr>
    </w:p>
    <w:p w14:paraId="2A9155D3" w14:textId="61F6AE87" w:rsidR="00B475DA" w:rsidRPr="000C52CF" w:rsidRDefault="00B475DA" w:rsidP="000C52CF">
      <w:pPr>
        <w:spacing w:line="480" w:lineRule="auto"/>
        <w:ind w:firstLine="720"/>
        <w:rPr>
          <w:rFonts w:ascii="Times New Roman" w:hAnsi="Times New Roman" w:cs="Times New Roman"/>
        </w:rPr>
      </w:pPr>
      <w:r w:rsidRPr="000C52CF">
        <w:rPr>
          <w:rFonts w:ascii="Times New Roman" w:hAnsi="Times New Roman" w:cs="Times New Roman"/>
        </w:rPr>
        <w:t>Artificial Intelligence (AI) is a new addition to healthcare, and it is rapidly transforming the landscape. Its integration with the CSM could offer new opportunities for both researchers and clinical practice</w:t>
      </w:r>
      <w:r w:rsidR="00F16575" w:rsidRPr="000C52CF">
        <w:rPr>
          <w:rFonts w:ascii="Times New Roman" w:hAnsi="Times New Roman" w:cs="Times New Roman"/>
        </w:rPr>
        <w:t xml:space="preserve"> </w:t>
      </w:r>
      <w:r w:rsidR="00F16575" w:rsidRPr="000C52CF">
        <w:rPr>
          <w:rFonts w:ascii="Times New Roman" w:hAnsi="Times New Roman" w:cs="Times New Roman"/>
        </w:rPr>
        <w:t>(Alowais et al., 2023)</w:t>
      </w:r>
      <w:r w:rsidRPr="000C52CF">
        <w:rPr>
          <w:rFonts w:ascii="Times New Roman" w:hAnsi="Times New Roman" w:cs="Times New Roman"/>
        </w:rPr>
        <w:t xml:space="preserve">. Traditionally, individuals’ beliefs have been assessed through </w:t>
      </w:r>
      <w:r w:rsidR="00F16575" w:rsidRPr="000C52CF">
        <w:rPr>
          <w:rFonts w:ascii="Times New Roman" w:hAnsi="Times New Roman" w:cs="Times New Roman"/>
        </w:rPr>
        <w:t>questionnaires and interviews, but AI could take this further</w:t>
      </w:r>
      <w:r w:rsidR="00BF6608" w:rsidRPr="000C52CF">
        <w:rPr>
          <w:rFonts w:ascii="Times New Roman" w:hAnsi="Times New Roman" w:cs="Times New Roman"/>
        </w:rPr>
        <w:t xml:space="preserve"> by</w:t>
      </w:r>
      <w:r w:rsidR="00F16575" w:rsidRPr="000C52CF">
        <w:rPr>
          <w:rFonts w:ascii="Times New Roman" w:hAnsi="Times New Roman" w:cs="Times New Roman"/>
        </w:rPr>
        <w:t xml:space="preserve"> providing richer, more dynamic insights </w:t>
      </w:r>
      <w:r w:rsidR="00F16575" w:rsidRPr="000C52CF">
        <w:rPr>
          <w:rFonts w:ascii="Times New Roman" w:hAnsi="Times New Roman" w:cs="Times New Roman"/>
        </w:rPr>
        <w:t>(Guan et al., 2023)</w:t>
      </w:r>
      <w:r w:rsidR="00F16575" w:rsidRPr="000C52CF">
        <w:rPr>
          <w:rFonts w:ascii="Times New Roman" w:hAnsi="Times New Roman" w:cs="Times New Roman"/>
        </w:rPr>
        <w:t>. AI can analyse large amounts of data to identify patterns in how people perceive and respond to their diabetes and identify patterns in how people perceive and respond to their illnesses</w:t>
      </w:r>
      <w:r w:rsidR="00BF6608" w:rsidRPr="000C52CF">
        <w:rPr>
          <w:rFonts w:ascii="Times New Roman" w:hAnsi="Times New Roman" w:cs="Times New Roman"/>
        </w:rPr>
        <w:t xml:space="preserve">. For example, </w:t>
      </w:r>
      <w:r w:rsidR="006D448E">
        <w:rPr>
          <w:rFonts w:ascii="Times New Roman" w:hAnsi="Times New Roman" w:cs="Times New Roman"/>
        </w:rPr>
        <w:t>N</w:t>
      </w:r>
      <w:r w:rsidR="00BF6608" w:rsidRPr="000C52CF">
        <w:rPr>
          <w:rFonts w:ascii="Times New Roman" w:hAnsi="Times New Roman" w:cs="Times New Roman"/>
        </w:rPr>
        <w:t xml:space="preserve">atural </w:t>
      </w:r>
      <w:r w:rsidR="006D448E">
        <w:rPr>
          <w:rFonts w:ascii="Times New Roman" w:hAnsi="Times New Roman" w:cs="Times New Roman"/>
        </w:rPr>
        <w:t>L</w:t>
      </w:r>
      <w:r w:rsidR="00BF6608" w:rsidRPr="000C52CF">
        <w:rPr>
          <w:rFonts w:ascii="Times New Roman" w:hAnsi="Times New Roman" w:cs="Times New Roman"/>
        </w:rPr>
        <w:t xml:space="preserve">anguage </w:t>
      </w:r>
      <w:r w:rsidR="006D448E">
        <w:rPr>
          <w:rFonts w:ascii="Times New Roman" w:hAnsi="Times New Roman" w:cs="Times New Roman"/>
        </w:rPr>
        <w:t>P</w:t>
      </w:r>
      <w:r w:rsidR="00BF6608" w:rsidRPr="000C52CF">
        <w:rPr>
          <w:rFonts w:ascii="Times New Roman" w:hAnsi="Times New Roman" w:cs="Times New Roman"/>
        </w:rPr>
        <w:t xml:space="preserve">rocessing (NLP) algorithms can detect themes in patients' written or spoken words, revealing underlying beliefs that might not be captured in standard questionnaires </w:t>
      </w:r>
      <w:r w:rsidR="00BF6608" w:rsidRPr="000C52CF">
        <w:rPr>
          <w:rFonts w:ascii="Times New Roman" w:hAnsi="Times New Roman" w:cs="Times New Roman"/>
        </w:rPr>
        <w:t>(Jerfy et al., 2024)</w:t>
      </w:r>
      <w:r w:rsidR="00BF6608" w:rsidRPr="000C52CF">
        <w:rPr>
          <w:rFonts w:ascii="Times New Roman" w:hAnsi="Times New Roman" w:cs="Times New Roman"/>
        </w:rPr>
        <w:t xml:space="preserve">. By integrating further information from digital glucose monitors and lifestyle trackers (Fitbits, Apple Watches), AI can help clinicians identify patients whose illness perceptions may </w:t>
      </w:r>
      <w:r w:rsidR="0066240F" w:rsidRPr="000C52CF">
        <w:rPr>
          <w:rFonts w:ascii="Times New Roman" w:hAnsi="Times New Roman" w:cs="Times New Roman"/>
        </w:rPr>
        <w:t>hinder</w:t>
      </w:r>
      <w:r w:rsidR="00BF6608" w:rsidRPr="000C52CF">
        <w:rPr>
          <w:rFonts w:ascii="Times New Roman" w:hAnsi="Times New Roman" w:cs="Times New Roman"/>
        </w:rPr>
        <w:t xml:space="preserve"> their self-management. This could allow for more targeted interventions</w:t>
      </w:r>
      <w:r w:rsidR="0066240F" w:rsidRPr="000C52CF">
        <w:rPr>
          <w:rFonts w:ascii="Times New Roman" w:hAnsi="Times New Roman" w:cs="Times New Roman"/>
        </w:rPr>
        <w:t xml:space="preserve"> to address maladaptive beliefs </w:t>
      </w:r>
      <w:r w:rsidR="0066240F" w:rsidRPr="000C52CF">
        <w:rPr>
          <w:rFonts w:ascii="Times New Roman" w:hAnsi="Times New Roman" w:cs="Times New Roman"/>
        </w:rPr>
        <w:t>(Guan et al., 2023)</w:t>
      </w:r>
      <w:r w:rsidR="0066240F" w:rsidRPr="000C52CF">
        <w:rPr>
          <w:rFonts w:ascii="Times New Roman" w:hAnsi="Times New Roman" w:cs="Times New Roman"/>
        </w:rPr>
        <w:t>.</w:t>
      </w:r>
    </w:p>
    <w:p w14:paraId="7B44DD63" w14:textId="77777777" w:rsidR="0066240F" w:rsidRPr="000C52CF" w:rsidRDefault="0066240F" w:rsidP="000C52CF">
      <w:pPr>
        <w:spacing w:line="480" w:lineRule="auto"/>
        <w:ind w:firstLine="720"/>
        <w:rPr>
          <w:rFonts w:ascii="Times New Roman" w:hAnsi="Times New Roman" w:cs="Times New Roman"/>
        </w:rPr>
      </w:pPr>
    </w:p>
    <w:p w14:paraId="1742FC69" w14:textId="7504439F" w:rsidR="0066240F" w:rsidRPr="000C52CF" w:rsidRDefault="0066240F" w:rsidP="000C52CF">
      <w:pPr>
        <w:spacing w:line="480" w:lineRule="auto"/>
        <w:ind w:firstLine="720"/>
        <w:rPr>
          <w:rFonts w:ascii="Times New Roman" w:hAnsi="Times New Roman" w:cs="Times New Roman"/>
        </w:rPr>
      </w:pPr>
      <w:r w:rsidRPr="000C52CF">
        <w:rPr>
          <w:rFonts w:ascii="Times New Roman" w:hAnsi="Times New Roman" w:cs="Times New Roman"/>
        </w:rPr>
        <w:t xml:space="preserve">In conclusion, this essay has sought to provide a useful overview of how Leventhal’s </w:t>
      </w:r>
      <w:r w:rsidR="008D06EA" w:rsidRPr="000C52CF">
        <w:rPr>
          <w:rFonts w:ascii="Times New Roman" w:hAnsi="Times New Roman" w:cs="Times New Roman"/>
        </w:rPr>
        <w:t>Common-Sense</w:t>
      </w:r>
      <w:r w:rsidRPr="000C52CF">
        <w:rPr>
          <w:rFonts w:ascii="Times New Roman" w:hAnsi="Times New Roman" w:cs="Times New Roman"/>
        </w:rPr>
        <w:t xml:space="preserve"> Model </w:t>
      </w:r>
      <w:r w:rsidR="008D06EA" w:rsidRPr="000C52CF">
        <w:rPr>
          <w:rFonts w:ascii="Times New Roman" w:hAnsi="Times New Roman" w:cs="Times New Roman"/>
        </w:rPr>
        <w:t xml:space="preserve">(CSM) </w:t>
      </w:r>
      <w:r w:rsidRPr="000C52CF">
        <w:rPr>
          <w:rFonts w:ascii="Times New Roman" w:hAnsi="Times New Roman" w:cs="Times New Roman"/>
        </w:rPr>
        <w:t xml:space="preserve">can be applied to understanding diabetes management, which is a major health issue in the United Kingdom. The CSM is a valuable framework for understanding how people’s perceptions of illness affect their health behaviours and outcomes, particularly in the case of those with diabetes. </w:t>
      </w:r>
      <w:r w:rsidR="007B3777" w:rsidRPr="000C52CF">
        <w:rPr>
          <w:rFonts w:ascii="Times New Roman" w:hAnsi="Times New Roman" w:cs="Times New Roman"/>
        </w:rPr>
        <w:t xml:space="preserve">The research highlights the role of cognitive and emotional illness perceptions in determining self-management and clinical outcomes of those with diabetes. People who view their diabetes as manageable and believe that treatment will be effective are more likely to follow medication plans and make the necessary proactive lifestyle changes, leading to improved glycaemic control and overall well-being. On the other hand, those who hold negative perceptions of their illness, viewing it as unmanageable or having negative consequences, can result in poor self-care and higher instances of diabetes related complications. </w:t>
      </w:r>
    </w:p>
    <w:p w14:paraId="416F50B0" w14:textId="77777777" w:rsidR="007B3777" w:rsidRPr="000C52CF" w:rsidRDefault="007B3777" w:rsidP="000C52CF">
      <w:pPr>
        <w:spacing w:line="480" w:lineRule="auto"/>
        <w:ind w:firstLine="720"/>
        <w:rPr>
          <w:rFonts w:ascii="Times New Roman" w:hAnsi="Times New Roman" w:cs="Times New Roman"/>
        </w:rPr>
      </w:pPr>
    </w:p>
    <w:p w14:paraId="0A5E9D12" w14:textId="50356AF4" w:rsidR="007B3777" w:rsidRPr="000C52CF" w:rsidRDefault="007B3777" w:rsidP="000C52CF">
      <w:pPr>
        <w:spacing w:line="480" w:lineRule="auto"/>
        <w:ind w:firstLine="720"/>
        <w:rPr>
          <w:rFonts w:ascii="Times New Roman" w:hAnsi="Times New Roman" w:cs="Times New Roman"/>
        </w:rPr>
      </w:pPr>
      <w:r w:rsidRPr="000C52CF">
        <w:rPr>
          <w:rFonts w:ascii="Times New Roman" w:hAnsi="Times New Roman" w:cs="Times New Roman"/>
        </w:rPr>
        <w:t xml:space="preserve">It is crucial not to rely on education </w:t>
      </w:r>
      <w:r w:rsidR="006D448E">
        <w:rPr>
          <w:rFonts w:ascii="Times New Roman" w:hAnsi="Times New Roman" w:cs="Times New Roman"/>
        </w:rPr>
        <w:t xml:space="preserve">alone </w:t>
      </w:r>
      <w:r w:rsidRPr="000C52CF">
        <w:rPr>
          <w:rFonts w:ascii="Times New Roman" w:hAnsi="Times New Roman" w:cs="Times New Roman"/>
        </w:rPr>
        <w:t xml:space="preserve">to improve diabetes outcomes, as people’s beliefs can help or hinder applying that knowledge to self-management. Interventions that </w:t>
      </w:r>
      <w:r w:rsidR="008D06EA" w:rsidRPr="000C52CF">
        <w:rPr>
          <w:rFonts w:ascii="Times New Roman" w:hAnsi="Times New Roman" w:cs="Times New Roman"/>
        </w:rPr>
        <w:t xml:space="preserve">address both cognitive and emotional perceptions, like motivational interviewing, have shown potential in improving self-management and psychological well-being in those with diabetes. </w:t>
      </w:r>
    </w:p>
    <w:p w14:paraId="082A5409" w14:textId="77777777" w:rsidR="008D06EA" w:rsidRPr="000C52CF" w:rsidRDefault="008D06EA" w:rsidP="000C52CF">
      <w:pPr>
        <w:spacing w:line="480" w:lineRule="auto"/>
        <w:ind w:firstLine="720"/>
        <w:rPr>
          <w:rFonts w:ascii="Times New Roman" w:hAnsi="Times New Roman" w:cs="Times New Roman"/>
        </w:rPr>
      </w:pPr>
    </w:p>
    <w:p w14:paraId="5A31E239" w14:textId="6B6FA50B" w:rsidR="008D06EA" w:rsidRPr="000C52CF" w:rsidRDefault="008D06EA" w:rsidP="000C52CF">
      <w:pPr>
        <w:spacing w:line="480" w:lineRule="auto"/>
        <w:ind w:firstLine="720"/>
        <w:rPr>
          <w:rFonts w:ascii="Times New Roman" w:hAnsi="Times New Roman" w:cs="Times New Roman"/>
        </w:rPr>
      </w:pPr>
      <w:r w:rsidRPr="000C52CF">
        <w:rPr>
          <w:rFonts w:ascii="Times New Roman" w:hAnsi="Times New Roman" w:cs="Times New Roman"/>
        </w:rPr>
        <w:t>Despite the strengths of the CSM, the model has several limitations</w:t>
      </w:r>
      <w:r w:rsidR="006D448E">
        <w:rPr>
          <w:rFonts w:ascii="Times New Roman" w:hAnsi="Times New Roman" w:cs="Times New Roman"/>
        </w:rPr>
        <w:t xml:space="preserve">: </w:t>
      </w:r>
      <w:r w:rsidRPr="000C52CF">
        <w:rPr>
          <w:rFonts w:ascii="Times New Roman" w:hAnsi="Times New Roman" w:cs="Times New Roman"/>
        </w:rPr>
        <w:t xml:space="preserve">It is heavily reliant on self-reporting measures, cross-sectional designs and treating illness perceptions as static, when they are largely more dynamic. Future research could explore more objective measures of self-measurement, incorporate longitudinal studies, and research the impact of </w:t>
      </w:r>
      <w:r w:rsidRPr="000C52CF">
        <w:rPr>
          <w:rFonts w:ascii="Times New Roman" w:hAnsi="Times New Roman" w:cs="Times New Roman"/>
        </w:rPr>
        <w:lastRenderedPageBreak/>
        <w:t xml:space="preserve">social and cultural factors on illness beliefs. </w:t>
      </w:r>
      <w:r w:rsidR="00444456" w:rsidRPr="000C52CF">
        <w:rPr>
          <w:rFonts w:ascii="Times New Roman" w:hAnsi="Times New Roman" w:cs="Times New Roman"/>
        </w:rPr>
        <w:t xml:space="preserve">Additionally, integrating Artificial Intelligence (AI) with the CSM could enhance and improve intervention strategies. </w:t>
      </w:r>
    </w:p>
    <w:p w14:paraId="6323D9CC" w14:textId="77777777" w:rsidR="00444456" w:rsidRPr="000C52CF" w:rsidRDefault="00444456" w:rsidP="000C52CF">
      <w:pPr>
        <w:spacing w:line="480" w:lineRule="auto"/>
        <w:ind w:firstLine="720"/>
        <w:rPr>
          <w:rFonts w:ascii="Times New Roman" w:hAnsi="Times New Roman" w:cs="Times New Roman"/>
        </w:rPr>
      </w:pPr>
    </w:p>
    <w:p w14:paraId="2610BBD9" w14:textId="43115FED" w:rsidR="0066240F" w:rsidRPr="000C52CF" w:rsidRDefault="00444456" w:rsidP="000C52CF">
      <w:pPr>
        <w:spacing w:line="480" w:lineRule="auto"/>
        <w:ind w:firstLine="720"/>
        <w:rPr>
          <w:rFonts w:ascii="Times New Roman" w:hAnsi="Times New Roman" w:cs="Times New Roman"/>
        </w:rPr>
      </w:pPr>
      <w:r w:rsidRPr="000C52CF">
        <w:rPr>
          <w:rFonts w:ascii="Times New Roman" w:hAnsi="Times New Roman" w:cs="Times New Roman"/>
        </w:rPr>
        <w:t xml:space="preserve">Overall, the research on the CSM supports its value in managing diabetes and suggests that adopting a holistic approach, which addresses both cognitive and emotional aspects, could result in better health outcomes, not only for those with diabetes but also for numerous other health conditions. </w:t>
      </w:r>
    </w:p>
    <w:p w14:paraId="7851B675" w14:textId="77777777" w:rsidR="0066240F" w:rsidRDefault="0066240F" w:rsidP="00491D8C">
      <w:pPr>
        <w:ind w:firstLine="720"/>
        <w:rPr>
          <w:rFonts w:ascii="Calibri Light" w:hAnsi="Calibri Light" w:cs="Calibri Light"/>
        </w:rPr>
      </w:pPr>
    </w:p>
    <w:p w14:paraId="3376E124" w14:textId="72A7F505" w:rsidR="000C52CF" w:rsidRPr="000C52CF" w:rsidRDefault="000C52CF">
      <w:pPr>
        <w:rPr>
          <w:rFonts w:ascii="Times New Roman" w:hAnsi="Times New Roman" w:cs="Times New Roman"/>
        </w:rPr>
      </w:pPr>
      <w:r>
        <w:rPr>
          <w:rFonts w:ascii="Calibri Light" w:hAnsi="Calibri Light" w:cs="Calibri Light"/>
        </w:rPr>
        <w:br w:type="page"/>
      </w:r>
    </w:p>
    <w:p w14:paraId="306FC3F1" w14:textId="5CEDF9A8" w:rsidR="000C52CF" w:rsidRPr="000C52CF" w:rsidRDefault="000C52CF" w:rsidP="000C52CF">
      <w:pPr>
        <w:spacing w:line="480" w:lineRule="auto"/>
        <w:jc w:val="center"/>
        <w:rPr>
          <w:rFonts w:ascii="Times New Roman" w:hAnsi="Times New Roman" w:cs="Times New Roman"/>
          <w:b/>
          <w:bCs/>
        </w:rPr>
      </w:pPr>
      <w:r w:rsidRPr="000C52CF">
        <w:rPr>
          <w:rFonts w:ascii="Times New Roman" w:hAnsi="Times New Roman" w:cs="Times New Roman"/>
          <w:b/>
          <w:bCs/>
        </w:rPr>
        <w:lastRenderedPageBreak/>
        <w:t>Reference List</w:t>
      </w:r>
    </w:p>
    <w:p w14:paraId="42CC25EF" w14:textId="77777777" w:rsidR="000C52CF" w:rsidRDefault="000C52CF" w:rsidP="000C52CF">
      <w:pPr>
        <w:spacing w:line="480" w:lineRule="auto"/>
        <w:ind w:firstLine="720"/>
        <w:jc w:val="center"/>
        <w:rPr>
          <w:rFonts w:ascii="Calibri Light" w:hAnsi="Calibri Light" w:cs="Calibri Light"/>
          <w:b/>
          <w:bCs/>
        </w:rPr>
      </w:pPr>
    </w:p>
    <w:p w14:paraId="332A2A72" w14:textId="6CF11A26" w:rsidR="000C52CF" w:rsidRDefault="000C52CF" w:rsidP="000C52CF">
      <w:pPr>
        <w:pStyle w:val="NormalWeb"/>
        <w:spacing w:line="480" w:lineRule="auto"/>
        <w:ind w:left="567" w:hanging="567"/>
      </w:pPr>
      <w:r>
        <w:t xml:space="preserve">Adu, M. D., </w:t>
      </w:r>
      <w:proofErr w:type="spellStart"/>
      <w:r>
        <w:t>Malabu</w:t>
      </w:r>
      <w:proofErr w:type="spellEnd"/>
      <w:r>
        <w:t xml:space="preserve">, U. H., </w:t>
      </w:r>
      <w:proofErr w:type="spellStart"/>
      <w:r>
        <w:t>Malau-Aduli</w:t>
      </w:r>
      <w:proofErr w:type="spellEnd"/>
      <w:r>
        <w:t xml:space="preserve">, A. E., &amp; </w:t>
      </w:r>
      <w:proofErr w:type="spellStart"/>
      <w:r>
        <w:t>Malau-Aduli</w:t>
      </w:r>
      <w:proofErr w:type="spellEnd"/>
      <w:r>
        <w:t xml:space="preserve">, B. S. (2019). Enablers and barriers to effective diabetes self-management: A multi-national investigation. </w:t>
      </w:r>
      <w:r>
        <w:rPr>
          <w:i/>
          <w:iCs/>
        </w:rPr>
        <w:t>PLOS ONE</w:t>
      </w:r>
      <w:r>
        <w:t xml:space="preserve">, </w:t>
      </w:r>
      <w:r>
        <w:rPr>
          <w:i/>
          <w:iCs/>
        </w:rPr>
        <w:t>14</w:t>
      </w:r>
      <w:r>
        <w:t xml:space="preserve">(6). </w:t>
      </w:r>
      <w:hyperlink r:id="rId5" w:history="1">
        <w:r w:rsidRPr="000C52CF">
          <w:rPr>
            <w:rStyle w:val="Hyperlink"/>
          </w:rPr>
          <w:t>https://doi.org/10.1371/jou</w:t>
        </w:r>
        <w:r w:rsidRPr="000C52CF">
          <w:rPr>
            <w:rStyle w:val="Hyperlink"/>
          </w:rPr>
          <w:t>r</w:t>
        </w:r>
        <w:r w:rsidRPr="000C52CF">
          <w:rPr>
            <w:rStyle w:val="Hyperlink"/>
          </w:rPr>
          <w:t>nal.pone.0217771</w:t>
        </w:r>
      </w:hyperlink>
      <w:r>
        <w:t xml:space="preserve"> </w:t>
      </w:r>
    </w:p>
    <w:p w14:paraId="73AB3080" w14:textId="77DC16C7" w:rsidR="000C52CF" w:rsidRDefault="000C52CF" w:rsidP="000C52CF">
      <w:pPr>
        <w:pStyle w:val="NormalWeb"/>
        <w:spacing w:line="480" w:lineRule="auto"/>
        <w:ind w:left="567" w:hanging="567"/>
      </w:pPr>
      <w:r>
        <w:t xml:space="preserve">Aloke, C., </w:t>
      </w:r>
      <w:proofErr w:type="spellStart"/>
      <w:r>
        <w:t>Egwu</w:t>
      </w:r>
      <w:proofErr w:type="spellEnd"/>
      <w:r>
        <w:t xml:space="preserve">, C. O., Aja, P. M., Obasi, N. A., Chukwu, J., </w:t>
      </w:r>
      <w:proofErr w:type="spellStart"/>
      <w:r>
        <w:t>Akumadu</w:t>
      </w:r>
      <w:proofErr w:type="spellEnd"/>
      <w:r>
        <w:t xml:space="preserve">, B. O., </w:t>
      </w:r>
      <w:proofErr w:type="spellStart"/>
      <w:r>
        <w:t>Ogbu</w:t>
      </w:r>
      <w:proofErr w:type="spellEnd"/>
      <w:r>
        <w:t xml:space="preserve">, P. N., &amp; </w:t>
      </w:r>
      <w:proofErr w:type="spellStart"/>
      <w:r>
        <w:t>Achilonu</w:t>
      </w:r>
      <w:proofErr w:type="spellEnd"/>
      <w:r>
        <w:t xml:space="preserve">, I. (2022). Current advances in the management of diabetes mellitus. </w:t>
      </w:r>
      <w:r>
        <w:rPr>
          <w:i/>
          <w:iCs/>
        </w:rPr>
        <w:t>Biomedicines</w:t>
      </w:r>
      <w:r>
        <w:t xml:space="preserve">, </w:t>
      </w:r>
      <w:r>
        <w:rPr>
          <w:i/>
          <w:iCs/>
        </w:rPr>
        <w:t>10</w:t>
      </w:r>
      <w:r>
        <w:t xml:space="preserve">(10), 2436. </w:t>
      </w:r>
      <w:hyperlink r:id="rId6" w:history="1">
        <w:r w:rsidRPr="000C52CF">
          <w:rPr>
            <w:rStyle w:val="Hyperlink"/>
          </w:rPr>
          <w:t>https://doi.org/10.3</w:t>
        </w:r>
        <w:r w:rsidRPr="000C52CF">
          <w:rPr>
            <w:rStyle w:val="Hyperlink"/>
          </w:rPr>
          <w:t>3</w:t>
        </w:r>
        <w:r w:rsidRPr="000C52CF">
          <w:rPr>
            <w:rStyle w:val="Hyperlink"/>
          </w:rPr>
          <w:t>90/biomedicines10102436</w:t>
        </w:r>
      </w:hyperlink>
      <w:r>
        <w:t xml:space="preserve"> </w:t>
      </w:r>
    </w:p>
    <w:p w14:paraId="09709D95" w14:textId="7DEF792C" w:rsidR="000C52CF" w:rsidRDefault="000C52CF" w:rsidP="000C52CF">
      <w:pPr>
        <w:pStyle w:val="NormalWeb"/>
        <w:spacing w:line="480" w:lineRule="auto"/>
        <w:ind w:left="567" w:hanging="567"/>
      </w:pPr>
      <w:r>
        <w:t xml:space="preserve">Alowais, S. A., Alghamdi, S. S., </w:t>
      </w:r>
      <w:proofErr w:type="spellStart"/>
      <w:r>
        <w:t>Alsuhebany</w:t>
      </w:r>
      <w:proofErr w:type="spellEnd"/>
      <w:r>
        <w:t xml:space="preserve">, N., </w:t>
      </w:r>
      <w:proofErr w:type="spellStart"/>
      <w:r>
        <w:t>Alqahtani</w:t>
      </w:r>
      <w:proofErr w:type="spellEnd"/>
      <w:r>
        <w:t xml:space="preserve">, T., Alshaya, A. I., </w:t>
      </w:r>
      <w:proofErr w:type="spellStart"/>
      <w:r>
        <w:t>Almohareb</w:t>
      </w:r>
      <w:proofErr w:type="spellEnd"/>
      <w:r>
        <w:t xml:space="preserve">, S. N., </w:t>
      </w:r>
      <w:proofErr w:type="spellStart"/>
      <w:r>
        <w:t>Aldairem</w:t>
      </w:r>
      <w:proofErr w:type="spellEnd"/>
      <w:r>
        <w:t xml:space="preserve">, A., </w:t>
      </w:r>
      <w:proofErr w:type="spellStart"/>
      <w:r>
        <w:t>Alrashed</w:t>
      </w:r>
      <w:proofErr w:type="spellEnd"/>
      <w:r>
        <w:t xml:space="preserve">, M., Bin Saleh, K., </w:t>
      </w:r>
      <w:proofErr w:type="spellStart"/>
      <w:r>
        <w:t>Badreldin</w:t>
      </w:r>
      <w:proofErr w:type="spellEnd"/>
      <w:r>
        <w:t xml:space="preserve">, H. A., Al Yami, M. S., Al Harbi, S., &amp; </w:t>
      </w:r>
      <w:proofErr w:type="spellStart"/>
      <w:r>
        <w:t>Albekairy</w:t>
      </w:r>
      <w:proofErr w:type="spellEnd"/>
      <w:r>
        <w:t xml:space="preserve">, A. M. (2023). Revolutionizing Healthcare: The role of Artificial Intelligence in Clinical Practice. </w:t>
      </w:r>
      <w:r>
        <w:rPr>
          <w:i/>
          <w:iCs/>
        </w:rPr>
        <w:t>BMC Medical Education</w:t>
      </w:r>
      <w:r>
        <w:t xml:space="preserve">, </w:t>
      </w:r>
      <w:r>
        <w:rPr>
          <w:i/>
          <w:iCs/>
        </w:rPr>
        <w:t>23</w:t>
      </w:r>
      <w:r>
        <w:t xml:space="preserve">(1). </w:t>
      </w:r>
      <w:hyperlink r:id="rId7" w:history="1">
        <w:r w:rsidRPr="000C52CF">
          <w:rPr>
            <w:rStyle w:val="Hyperlink"/>
          </w:rPr>
          <w:t>https://doi.org/10.1186/s12909-023-0</w:t>
        </w:r>
        <w:r w:rsidRPr="000C52CF">
          <w:rPr>
            <w:rStyle w:val="Hyperlink"/>
          </w:rPr>
          <w:t>4</w:t>
        </w:r>
        <w:r w:rsidRPr="000C52CF">
          <w:rPr>
            <w:rStyle w:val="Hyperlink"/>
          </w:rPr>
          <w:t>698-z</w:t>
        </w:r>
      </w:hyperlink>
      <w:r>
        <w:t xml:space="preserve"> </w:t>
      </w:r>
    </w:p>
    <w:p w14:paraId="405A1301" w14:textId="72A901AF" w:rsidR="000C52CF" w:rsidRDefault="000C52CF" w:rsidP="000C52CF">
      <w:pPr>
        <w:pStyle w:val="NormalWeb"/>
        <w:spacing w:line="480" w:lineRule="auto"/>
        <w:ind w:left="567" w:hanging="567"/>
      </w:pPr>
      <w:r>
        <w:t xml:space="preserve">Alyami, M., </w:t>
      </w:r>
      <w:proofErr w:type="spellStart"/>
      <w:r>
        <w:t>Serlachius</w:t>
      </w:r>
      <w:proofErr w:type="spellEnd"/>
      <w:r>
        <w:t xml:space="preserve">, A., O’Donovan, C. E., van der Werf, B., &amp; Broadbent, E. (2020). A systematic review of illness perception interventions in type 2 diabetes: Effects on glycaemic control and illness perceptions. </w:t>
      </w:r>
      <w:r>
        <w:rPr>
          <w:i/>
          <w:iCs/>
        </w:rPr>
        <w:t>Diabetic Medicine</w:t>
      </w:r>
      <w:r>
        <w:t xml:space="preserve">, </w:t>
      </w:r>
      <w:r>
        <w:rPr>
          <w:i/>
          <w:iCs/>
        </w:rPr>
        <w:t>38</w:t>
      </w:r>
      <w:r>
        <w:t xml:space="preserve">(3). </w:t>
      </w:r>
      <w:hyperlink r:id="rId8" w:history="1">
        <w:r w:rsidRPr="000C52CF">
          <w:rPr>
            <w:rStyle w:val="Hyperlink"/>
          </w:rPr>
          <w:t>https://doi.org/10.111</w:t>
        </w:r>
        <w:r w:rsidRPr="000C52CF">
          <w:rPr>
            <w:rStyle w:val="Hyperlink"/>
          </w:rPr>
          <w:t>1</w:t>
        </w:r>
        <w:r w:rsidRPr="000C52CF">
          <w:rPr>
            <w:rStyle w:val="Hyperlink"/>
          </w:rPr>
          <w:t>/dme.14495</w:t>
        </w:r>
      </w:hyperlink>
      <w:r>
        <w:t xml:space="preserve"> </w:t>
      </w:r>
    </w:p>
    <w:p w14:paraId="5A97D7D7" w14:textId="08C583C6" w:rsidR="000C52CF" w:rsidRDefault="000C52CF" w:rsidP="000C52CF">
      <w:pPr>
        <w:pStyle w:val="NormalWeb"/>
        <w:spacing w:line="480" w:lineRule="auto"/>
        <w:ind w:left="567" w:hanging="567"/>
      </w:pPr>
      <w:r>
        <w:t xml:space="preserve">Broadbent, E., Donkin, L., &amp; Stroh, J. C. (2011). Illness and treatment perceptions are associated with adherence to medications, diet, and exercise in diabetic patients. </w:t>
      </w:r>
      <w:r>
        <w:rPr>
          <w:i/>
          <w:iCs/>
        </w:rPr>
        <w:t>Diabetes Care</w:t>
      </w:r>
      <w:r>
        <w:t xml:space="preserve">, </w:t>
      </w:r>
      <w:r>
        <w:rPr>
          <w:i/>
          <w:iCs/>
        </w:rPr>
        <w:t>34</w:t>
      </w:r>
      <w:r>
        <w:t xml:space="preserve">(2), 338–340. </w:t>
      </w:r>
      <w:hyperlink r:id="rId9" w:history="1">
        <w:r w:rsidRPr="000C52CF">
          <w:rPr>
            <w:rStyle w:val="Hyperlink"/>
          </w:rPr>
          <w:t>https://doi.org</w:t>
        </w:r>
        <w:r w:rsidRPr="000C52CF">
          <w:rPr>
            <w:rStyle w:val="Hyperlink"/>
          </w:rPr>
          <w:t>/</w:t>
        </w:r>
        <w:r w:rsidRPr="000C52CF">
          <w:rPr>
            <w:rStyle w:val="Hyperlink"/>
          </w:rPr>
          <w:t>10.2337/dc10-1779</w:t>
        </w:r>
      </w:hyperlink>
      <w:r>
        <w:t xml:space="preserve"> </w:t>
      </w:r>
    </w:p>
    <w:p w14:paraId="0E404214" w14:textId="6DC4383E" w:rsidR="000C52CF" w:rsidRDefault="000C52CF" w:rsidP="000C52CF">
      <w:pPr>
        <w:pStyle w:val="NormalWeb"/>
        <w:spacing w:line="480" w:lineRule="auto"/>
        <w:ind w:left="567" w:hanging="567"/>
      </w:pPr>
      <w:r>
        <w:lastRenderedPageBreak/>
        <w:t xml:space="preserve">Broadbent, E., Petrie, K. J., Main, J., &amp; Weinman, J. (2006). The brief illness perception questionnaire. </w:t>
      </w:r>
      <w:r>
        <w:rPr>
          <w:i/>
          <w:iCs/>
        </w:rPr>
        <w:t>Journal of Psychosomatic Research</w:t>
      </w:r>
      <w:r>
        <w:t xml:space="preserve">, </w:t>
      </w:r>
      <w:r>
        <w:rPr>
          <w:i/>
          <w:iCs/>
        </w:rPr>
        <w:t>60</w:t>
      </w:r>
      <w:r>
        <w:t xml:space="preserve">(6), 631–637. </w:t>
      </w:r>
      <w:hyperlink r:id="rId10" w:history="1">
        <w:r w:rsidRPr="000C52CF">
          <w:rPr>
            <w:rStyle w:val="Hyperlink"/>
          </w:rPr>
          <w:t>https://doi.org/10.1016/j.jpsychore</w:t>
        </w:r>
        <w:r w:rsidRPr="000C52CF">
          <w:rPr>
            <w:rStyle w:val="Hyperlink"/>
          </w:rPr>
          <w:t>s</w:t>
        </w:r>
        <w:r w:rsidRPr="000C52CF">
          <w:rPr>
            <w:rStyle w:val="Hyperlink"/>
          </w:rPr>
          <w:t>.2005.10.020</w:t>
        </w:r>
      </w:hyperlink>
      <w:r>
        <w:t xml:space="preserve"> </w:t>
      </w:r>
    </w:p>
    <w:p w14:paraId="5233AD1D" w14:textId="2441B07C" w:rsidR="000C52CF" w:rsidRDefault="000C52CF" w:rsidP="000C52CF">
      <w:pPr>
        <w:pStyle w:val="NormalWeb"/>
        <w:spacing w:line="480" w:lineRule="auto"/>
        <w:ind w:left="567" w:hanging="567"/>
      </w:pPr>
      <w:r>
        <w:t xml:space="preserve">Broadbent, E., Wilkes, C., </w:t>
      </w:r>
      <w:proofErr w:type="spellStart"/>
      <w:r>
        <w:t>Koschwanez</w:t>
      </w:r>
      <w:proofErr w:type="spellEnd"/>
      <w:r>
        <w:t xml:space="preserve">, H., Weinman, J., Norton, S., &amp; Petrie, K. J. (2015). A systematic review and meta-analysis of the Brief Illness Perception Questionnaire. </w:t>
      </w:r>
      <w:r>
        <w:rPr>
          <w:i/>
          <w:iCs/>
        </w:rPr>
        <w:t>Psychology &amp;amp; Health</w:t>
      </w:r>
      <w:r>
        <w:t xml:space="preserve">, </w:t>
      </w:r>
      <w:r>
        <w:rPr>
          <w:i/>
          <w:iCs/>
        </w:rPr>
        <w:t>30</w:t>
      </w:r>
      <w:r>
        <w:t xml:space="preserve">(11), 1361–1385. </w:t>
      </w:r>
      <w:hyperlink r:id="rId11" w:history="1">
        <w:r w:rsidRPr="000C52CF">
          <w:rPr>
            <w:rStyle w:val="Hyperlink"/>
          </w:rPr>
          <w:t>https://doi.org/10.1080/08870446.2015.1070851</w:t>
        </w:r>
      </w:hyperlink>
      <w:r>
        <w:t xml:space="preserve"> </w:t>
      </w:r>
    </w:p>
    <w:p w14:paraId="2385260D" w14:textId="77777777" w:rsidR="000C52CF" w:rsidRDefault="000C52CF" w:rsidP="000C52CF">
      <w:pPr>
        <w:pStyle w:val="NormalWeb"/>
        <w:spacing w:line="480" w:lineRule="auto"/>
        <w:ind w:left="567" w:hanging="567"/>
      </w:pPr>
      <w:r>
        <w:t xml:space="preserve">Cameron, L. D., &amp; Leventhal, H. (2003). </w:t>
      </w:r>
      <w:r>
        <w:rPr>
          <w:i/>
          <w:iCs/>
        </w:rPr>
        <w:t>The self-regulation of health and illness behaviour</w:t>
      </w:r>
      <w:r>
        <w:t xml:space="preserve">. Routledge. </w:t>
      </w:r>
    </w:p>
    <w:p w14:paraId="46118582" w14:textId="6C83ED7C" w:rsidR="000C52CF" w:rsidRDefault="000C52CF" w:rsidP="000C52CF">
      <w:pPr>
        <w:pStyle w:val="NormalWeb"/>
        <w:spacing w:line="480" w:lineRule="auto"/>
        <w:ind w:left="567" w:hanging="567"/>
      </w:pPr>
      <w:r>
        <w:t xml:space="preserve">Davies, M. (2022). Psychological aspects of diabetes management. </w:t>
      </w:r>
      <w:r>
        <w:rPr>
          <w:i/>
          <w:iCs/>
        </w:rPr>
        <w:t>Medicine</w:t>
      </w:r>
      <w:r>
        <w:t xml:space="preserve">, </w:t>
      </w:r>
      <w:r>
        <w:rPr>
          <w:i/>
          <w:iCs/>
        </w:rPr>
        <w:t>50</w:t>
      </w:r>
      <w:r>
        <w:t xml:space="preserve">(11), 749–751. </w:t>
      </w:r>
      <w:hyperlink r:id="rId12" w:history="1">
        <w:r w:rsidRPr="000C52CF">
          <w:rPr>
            <w:rStyle w:val="Hyperlink"/>
          </w:rPr>
          <w:t>https://doi.org/10.101</w:t>
        </w:r>
        <w:r w:rsidRPr="000C52CF">
          <w:rPr>
            <w:rStyle w:val="Hyperlink"/>
          </w:rPr>
          <w:t>6</w:t>
        </w:r>
        <w:r w:rsidRPr="000C52CF">
          <w:rPr>
            <w:rStyle w:val="Hyperlink"/>
          </w:rPr>
          <w:t>/j.mpmed.2022.08.011</w:t>
        </w:r>
      </w:hyperlink>
      <w:r>
        <w:t xml:space="preserve"> </w:t>
      </w:r>
    </w:p>
    <w:p w14:paraId="293B9C54" w14:textId="42FD6DB9" w:rsidR="000C52CF" w:rsidRDefault="000C52CF" w:rsidP="000C52CF">
      <w:pPr>
        <w:pStyle w:val="NormalWeb"/>
        <w:spacing w:line="480" w:lineRule="auto"/>
        <w:ind w:left="567" w:hanging="567"/>
      </w:pPr>
      <w:r>
        <w:t xml:space="preserve">Diabetes UK. (2025). </w:t>
      </w:r>
      <w:r>
        <w:rPr>
          <w:i/>
          <w:iCs/>
        </w:rPr>
        <w:t xml:space="preserve">How many people in the UK have </w:t>
      </w:r>
      <w:proofErr w:type="gramStart"/>
      <w:r>
        <w:rPr>
          <w:i/>
          <w:iCs/>
        </w:rPr>
        <w:t>diabetes?</w:t>
      </w:r>
      <w:r>
        <w:t>.</w:t>
      </w:r>
      <w:proofErr w:type="gramEnd"/>
      <w:r>
        <w:t xml:space="preserve"> Diabetes UK. </w:t>
      </w:r>
      <w:hyperlink r:id="rId13" w:history="1">
        <w:r w:rsidRPr="000C52CF">
          <w:rPr>
            <w:rStyle w:val="Hyperlink"/>
          </w:rPr>
          <w:t>https://www.diabetes.org.uk/professionals/position-statements-reports/statistics</w:t>
        </w:r>
      </w:hyperlink>
      <w:r>
        <w:t xml:space="preserve"> </w:t>
      </w:r>
    </w:p>
    <w:p w14:paraId="6EE8FCA8" w14:textId="22F73CD3" w:rsidR="000C52CF" w:rsidRDefault="000C52CF" w:rsidP="000C52CF">
      <w:pPr>
        <w:pStyle w:val="NormalWeb"/>
        <w:spacing w:line="480" w:lineRule="auto"/>
        <w:ind w:left="567" w:hanging="567"/>
      </w:pPr>
      <w:r>
        <w:t xml:space="preserve">Glasgow, R. E., </w:t>
      </w:r>
      <w:proofErr w:type="spellStart"/>
      <w:r>
        <w:t>Toobert</w:t>
      </w:r>
      <w:proofErr w:type="spellEnd"/>
      <w:r>
        <w:t xml:space="preserve">, D. J., &amp; Gillette, C. D. (2001). Psychosocial barriers to diabetes self-management and quality of life. </w:t>
      </w:r>
      <w:r>
        <w:rPr>
          <w:i/>
          <w:iCs/>
        </w:rPr>
        <w:t>Diabetes Spectrum</w:t>
      </w:r>
      <w:r>
        <w:t xml:space="preserve">, </w:t>
      </w:r>
      <w:r>
        <w:rPr>
          <w:i/>
          <w:iCs/>
        </w:rPr>
        <w:t>14</w:t>
      </w:r>
      <w:r>
        <w:t xml:space="preserve">(1), 33–41. </w:t>
      </w:r>
      <w:hyperlink r:id="rId14" w:history="1">
        <w:r w:rsidRPr="000C52CF">
          <w:rPr>
            <w:rStyle w:val="Hyperlink"/>
          </w:rPr>
          <w:t>https://doi.org/10.2337/diaspec</w:t>
        </w:r>
        <w:r w:rsidRPr="000C52CF">
          <w:rPr>
            <w:rStyle w:val="Hyperlink"/>
          </w:rPr>
          <w:t>t</w:t>
        </w:r>
        <w:r w:rsidRPr="000C52CF">
          <w:rPr>
            <w:rStyle w:val="Hyperlink"/>
          </w:rPr>
          <w:t>.14.1.33</w:t>
        </w:r>
      </w:hyperlink>
      <w:r>
        <w:t xml:space="preserve"> </w:t>
      </w:r>
    </w:p>
    <w:p w14:paraId="7B31B76F" w14:textId="1893DA79" w:rsidR="000C52CF" w:rsidRDefault="000C52CF" w:rsidP="000C52CF">
      <w:pPr>
        <w:pStyle w:val="NormalWeb"/>
        <w:spacing w:line="480" w:lineRule="auto"/>
        <w:ind w:left="567" w:hanging="567"/>
      </w:pPr>
      <w:r>
        <w:t xml:space="preserve">Gonzalez, J. S., </w:t>
      </w:r>
      <w:proofErr w:type="spellStart"/>
      <w:r>
        <w:t>Shreck</w:t>
      </w:r>
      <w:proofErr w:type="spellEnd"/>
      <w:r>
        <w:t xml:space="preserve">, E., Psaros, C., &amp; </w:t>
      </w:r>
      <w:proofErr w:type="spellStart"/>
      <w:r>
        <w:t>Safren</w:t>
      </w:r>
      <w:proofErr w:type="spellEnd"/>
      <w:r>
        <w:t xml:space="preserve">, S. A. (2015). Distress and type 2 diabetes-treatment adherence: A mediating role for perceived control. </w:t>
      </w:r>
      <w:r>
        <w:rPr>
          <w:i/>
          <w:iCs/>
        </w:rPr>
        <w:t>Health Psychology</w:t>
      </w:r>
      <w:r>
        <w:t xml:space="preserve">, </w:t>
      </w:r>
      <w:r>
        <w:rPr>
          <w:i/>
          <w:iCs/>
        </w:rPr>
        <w:t>34</w:t>
      </w:r>
      <w:r>
        <w:t xml:space="preserve">(5), 505–513. </w:t>
      </w:r>
      <w:hyperlink r:id="rId15" w:history="1">
        <w:r w:rsidRPr="000C52CF">
          <w:rPr>
            <w:rStyle w:val="Hyperlink"/>
          </w:rPr>
          <w:t>https://doi.org/10</w:t>
        </w:r>
        <w:r w:rsidRPr="000C52CF">
          <w:rPr>
            <w:rStyle w:val="Hyperlink"/>
          </w:rPr>
          <w:t>.</w:t>
        </w:r>
        <w:r w:rsidRPr="000C52CF">
          <w:rPr>
            <w:rStyle w:val="Hyperlink"/>
          </w:rPr>
          <w:t>1037/hea0000131</w:t>
        </w:r>
      </w:hyperlink>
      <w:r>
        <w:t xml:space="preserve"> </w:t>
      </w:r>
    </w:p>
    <w:p w14:paraId="3D5707A6" w14:textId="3E3202D9" w:rsidR="000C52CF" w:rsidRDefault="000C52CF" w:rsidP="000C52CF">
      <w:pPr>
        <w:pStyle w:val="NormalWeb"/>
        <w:spacing w:line="480" w:lineRule="auto"/>
        <w:ind w:left="567" w:hanging="567"/>
      </w:pPr>
      <w:r>
        <w:t xml:space="preserve">Guan, Z., Li, H., Liu, R., Cai, C., Liu, Y., Li, J., Wang, X., Huang, S., Wu, L., Liu, D., Yu, S., Wang, Z., Shu, J., Hou, X., Yang, X., Jia, W., &amp; Sheng, B. (2023). Artificial </w:t>
      </w:r>
      <w:r>
        <w:lastRenderedPageBreak/>
        <w:t xml:space="preserve">Intelligence in diabetes management: Advancements, opportunities, and challenges. </w:t>
      </w:r>
      <w:r>
        <w:rPr>
          <w:i/>
          <w:iCs/>
        </w:rPr>
        <w:t>Cell Reports Medicine</w:t>
      </w:r>
      <w:r>
        <w:t xml:space="preserve">, </w:t>
      </w:r>
      <w:r>
        <w:rPr>
          <w:i/>
          <w:iCs/>
        </w:rPr>
        <w:t>4</w:t>
      </w:r>
      <w:r>
        <w:t xml:space="preserve">(10), 101213. </w:t>
      </w:r>
      <w:hyperlink r:id="rId16" w:history="1">
        <w:r w:rsidRPr="000C52CF">
          <w:rPr>
            <w:rStyle w:val="Hyperlink"/>
          </w:rPr>
          <w:t>http</w:t>
        </w:r>
        <w:r w:rsidRPr="000C52CF">
          <w:rPr>
            <w:rStyle w:val="Hyperlink"/>
          </w:rPr>
          <w:t>s</w:t>
        </w:r>
        <w:r w:rsidRPr="000C52CF">
          <w:rPr>
            <w:rStyle w:val="Hyperlink"/>
          </w:rPr>
          <w:t>://doi.org/10.1016/j.xcrm.2023.101213</w:t>
        </w:r>
      </w:hyperlink>
      <w:r>
        <w:t xml:space="preserve"> </w:t>
      </w:r>
    </w:p>
    <w:p w14:paraId="4ECD3B8D" w14:textId="73DF8559" w:rsidR="000C52CF" w:rsidRDefault="000C52CF" w:rsidP="000C52CF">
      <w:pPr>
        <w:pStyle w:val="NormalWeb"/>
        <w:spacing w:line="480" w:lineRule="auto"/>
        <w:ind w:left="567" w:hanging="567"/>
      </w:pPr>
      <w:r>
        <w:t xml:space="preserve">Hagger, M. S., &amp; Orbell, S. (2003). A meta-analytic review of the common-sense model of illness representations. </w:t>
      </w:r>
      <w:r>
        <w:rPr>
          <w:i/>
          <w:iCs/>
        </w:rPr>
        <w:t>Psychology &amp;amp; Health</w:t>
      </w:r>
      <w:r>
        <w:t xml:space="preserve">, </w:t>
      </w:r>
      <w:r>
        <w:rPr>
          <w:i/>
          <w:iCs/>
        </w:rPr>
        <w:t>18</w:t>
      </w:r>
      <w:r>
        <w:t xml:space="preserve">(2), 141–184. </w:t>
      </w:r>
      <w:hyperlink r:id="rId17" w:history="1">
        <w:r w:rsidRPr="000C52CF">
          <w:rPr>
            <w:rStyle w:val="Hyperlink"/>
          </w:rPr>
          <w:t>https://doi.org/10.1080/088704403</w:t>
        </w:r>
        <w:r w:rsidRPr="000C52CF">
          <w:rPr>
            <w:rStyle w:val="Hyperlink"/>
          </w:rPr>
          <w:t>1</w:t>
        </w:r>
        <w:r w:rsidRPr="000C52CF">
          <w:rPr>
            <w:rStyle w:val="Hyperlink"/>
          </w:rPr>
          <w:t>00081321</w:t>
        </w:r>
      </w:hyperlink>
      <w:r>
        <w:t xml:space="preserve"> </w:t>
      </w:r>
    </w:p>
    <w:p w14:paraId="32727EAB" w14:textId="027906D3" w:rsidR="000C52CF" w:rsidRDefault="000C52CF" w:rsidP="000C52CF">
      <w:pPr>
        <w:pStyle w:val="NormalWeb"/>
        <w:spacing w:line="480" w:lineRule="auto"/>
        <w:ind w:left="567" w:hanging="567"/>
      </w:pPr>
      <w:r>
        <w:t xml:space="preserve">Heron, K. E., &amp; Smyth, J. M. (2010). Ecological momentary interventions: Incorporating mobile technology into Psychosocial and Health Behaviour Treatments. </w:t>
      </w:r>
      <w:r>
        <w:rPr>
          <w:i/>
          <w:iCs/>
        </w:rPr>
        <w:t>British Journal of Health Psychology</w:t>
      </w:r>
      <w:r>
        <w:t xml:space="preserve">, </w:t>
      </w:r>
      <w:r>
        <w:rPr>
          <w:i/>
          <w:iCs/>
        </w:rPr>
        <w:t>15</w:t>
      </w:r>
      <w:r>
        <w:t xml:space="preserve">(1), 1–39. </w:t>
      </w:r>
      <w:hyperlink r:id="rId18" w:history="1">
        <w:r w:rsidRPr="000C52CF">
          <w:rPr>
            <w:rStyle w:val="Hyperlink"/>
          </w:rPr>
          <w:t>https://d</w:t>
        </w:r>
        <w:r w:rsidRPr="000C52CF">
          <w:rPr>
            <w:rStyle w:val="Hyperlink"/>
          </w:rPr>
          <w:t>o</w:t>
        </w:r>
        <w:r w:rsidRPr="000C52CF">
          <w:rPr>
            <w:rStyle w:val="Hyperlink"/>
          </w:rPr>
          <w:t>i.org/10.1348/135910709x466063</w:t>
        </w:r>
      </w:hyperlink>
      <w:r>
        <w:t xml:space="preserve"> </w:t>
      </w:r>
    </w:p>
    <w:p w14:paraId="6D7235EB" w14:textId="32EF3EF3" w:rsidR="000C52CF" w:rsidRDefault="000C52CF" w:rsidP="000C52CF">
      <w:pPr>
        <w:pStyle w:val="NormalWeb"/>
        <w:spacing w:line="480" w:lineRule="auto"/>
        <w:ind w:left="567" w:hanging="567"/>
      </w:pPr>
      <w:r>
        <w:t xml:space="preserve">Hex, N., MacDonald, R., Pocock, J., </w:t>
      </w:r>
      <w:proofErr w:type="spellStart"/>
      <w:r>
        <w:t>Uzdzinska</w:t>
      </w:r>
      <w:proofErr w:type="spellEnd"/>
      <w:r>
        <w:t xml:space="preserve">, B., Taylor, M., Atkin, M., Wild, S. H., </w:t>
      </w:r>
      <w:proofErr w:type="spellStart"/>
      <w:r>
        <w:t>Beba</w:t>
      </w:r>
      <w:proofErr w:type="spellEnd"/>
      <w:r>
        <w:t xml:space="preserve">, H., &amp; Jones, R. (2024). Estimation of the direct health and indirect societal costs of diabetes in the </w:t>
      </w:r>
      <w:proofErr w:type="spellStart"/>
      <w:r>
        <w:t>uk</w:t>
      </w:r>
      <w:proofErr w:type="spellEnd"/>
      <w:r>
        <w:t xml:space="preserve"> using a cost of illness model. </w:t>
      </w:r>
      <w:r>
        <w:rPr>
          <w:i/>
          <w:iCs/>
        </w:rPr>
        <w:t>Diabetic Medicine</w:t>
      </w:r>
      <w:r>
        <w:t xml:space="preserve">, </w:t>
      </w:r>
      <w:r>
        <w:rPr>
          <w:i/>
          <w:iCs/>
        </w:rPr>
        <w:t>41</w:t>
      </w:r>
      <w:r>
        <w:t xml:space="preserve">(9). </w:t>
      </w:r>
      <w:hyperlink r:id="rId19" w:history="1">
        <w:r w:rsidRPr="000C52CF">
          <w:rPr>
            <w:rStyle w:val="Hyperlink"/>
          </w:rPr>
          <w:t>https://doi.org/10.1111/dme</w:t>
        </w:r>
        <w:r w:rsidRPr="000C52CF">
          <w:rPr>
            <w:rStyle w:val="Hyperlink"/>
          </w:rPr>
          <w:t>.</w:t>
        </w:r>
        <w:r w:rsidRPr="000C52CF">
          <w:rPr>
            <w:rStyle w:val="Hyperlink"/>
          </w:rPr>
          <w:t>15326</w:t>
        </w:r>
      </w:hyperlink>
      <w:r>
        <w:t xml:space="preserve"> </w:t>
      </w:r>
    </w:p>
    <w:p w14:paraId="518B635E" w14:textId="31F29CD6" w:rsidR="000C52CF" w:rsidRDefault="000C52CF" w:rsidP="000C52CF">
      <w:pPr>
        <w:pStyle w:val="NormalWeb"/>
        <w:spacing w:line="480" w:lineRule="auto"/>
        <w:ind w:left="567" w:hanging="567"/>
      </w:pPr>
      <w:r>
        <w:t xml:space="preserve">Hudson, J. L., Bundy, C., Coventry, P. A., &amp; Dickens, C. (2014). Exploring the relationship between cognitive illness representations and poor emotional health and their combined association with diabetes self-care. A systematic review with meta-analysis. </w:t>
      </w:r>
      <w:r>
        <w:rPr>
          <w:i/>
          <w:iCs/>
        </w:rPr>
        <w:t>Journal of Psychosomatic Research</w:t>
      </w:r>
      <w:r>
        <w:t xml:space="preserve">, </w:t>
      </w:r>
      <w:r>
        <w:rPr>
          <w:i/>
          <w:iCs/>
        </w:rPr>
        <w:t>76</w:t>
      </w:r>
      <w:r>
        <w:t xml:space="preserve">(4), 265–274. </w:t>
      </w:r>
      <w:hyperlink r:id="rId20" w:history="1">
        <w:r w:rsidRPr="000C52CF">
          <w:rPr>
            <w:rStyle w:val="Hyperlink"/>
          </w:rPr>
          <w:t>https://doi.org/10.1016/j.j</w:t>
        </w:r>
        <w:r w:rsidRPr="000C52CF">
          <w:rPr>
            <w:rStyle w:val="Hyperlink"/>
          </w:rPr>
          <w:t>p</w:t>
        </w:r>
        <w:r w:rsidRPr="000C52CF">
          <w:rPr>
            <w:rStyle w:val="Hyperlink"/>
          </w:rPr>
          <w:t>sychores.2014.02.004</w:t>
        </w:r>
      </w:hyperlink>
      <w:r>
        <w:t xml:space="preserve"> </w:t>
      </w:r>
    </w:p>
    <w:p w14:paraId="6B6FF5AC" w14:textId="2B010179" w:rsidR="000C52CF" w:rsidRDefault="000C52CF" w:rsidP="000C52CF">
      <w:pPr>
        <w:pStyle w:val="NormalWeb"/>
        <w:spacing w:line="480" w:lineRule="auto"/>
        <w:ind w:left="567" w:hanging="567"/>
      </w:pPr>
      <w:r>
        <w:t xml:space="preserve">Jerfy, A., Selden, O., &amp; </w:t>
      </w:r>
      <w:proofErr w:type="spellStart"/>
      <w:r>
        <w:t>Balkrishnan</w:t>
      </w:r>
      <w:proofErr w:type="spellEnd"/>
      <w:r>
        <w:t xml:space="preserve">, R. (2024). The growing impact of natural language processing in healthcare and Public Health. </w:t>
      </w:r>
      <w:r>
        <w:rPr>
          <w:i/>
          <w:iCs/>
        </w:rPr>
        <w:t>INQUIRY: The Journal of Health Care Organization, Provision, and Financing</w:t>
      </w:r>
      <w:r>
        <w:t xml:space="preserve">, </w:t>
      </w:r>
      <w:r>
        <w:rPr>
          <w:i/>
          <w:iCs/>
        </w:rPr>
        <w:t>61</w:t>
      </w:r>
      <w:r>
        <w:t xml:space="preserve">. </w:t>
      </w:r>
      <w:hyperlink r:id="rId21" w:history="1">
        <w:r w:rsidRPr="000C52CF">
          <w:rPr>
            <w:rStyle w:val="Hyperlink"/>
          </w:rPr>
          <w:t>https://doi.org/10.1177/</w:t>
        </w:r>
        <w:r w:rsidRPr="000C52CF">
          <w:rPr>
            <w:rStyle w:val="Hyperlink"/>
          </w:rPr>
          <w:t>0</w:t>
        </w:r>
        <w:r w:rsidRPr="000C52CF">
          <w:rPr>
            <w:rStyle w:val="Hyperlink"/>
          </w:rPr>
          <w:t>0469580241290095</w:t>
        </w:r>
      </w:hyperlink>
      <w:r>
        <w:t xml:space="preserve"> </w:t>
      </w:r>
    </w:p>
    <w:p w14:paraId="4130B03C" w14:textId="36077818" w:rsidR="000C52CF" w:rsidRDefault="000C52CF" w:rsidP="000C52CF">
      <w:pPr>
        <w:pStyle w:val="NormalWeb"/>
        <w:spacing w:line="480" w:lineRule="auto"/>
        <w:ind w:left="567" w:hanging="567"/>
      </w:pPr>
      <w:r>
        <w:lastRenderedPageBreak/>
        <w:t xml:space="preserve">Keogh, K. M., White, P., Smith, S. M., McGilloway, S., O’Dowd, T., &amp; Gibney, J. (2007). Changing illness perceptions in patients with poorly controlled type 2 diabetes, a randomised controlled trial of a family-based intervention: Protocol and pilot study. </w:t>
      </w:r>
      <w:r>
        <w:rPr>
          <w:i/>
          <w:iCs/>
        </w:rPr>
        <w:t>BMC Family Practice</w:t>
      </w:r>
      <w:r>
        <w:t xml:space="preserve">, </w:t>
      </w:r>
      <w:r>
        <w:rPr>
          <w:i/>
          <w:iCs/>
        </w:rPr>
        <w:t>8</w:t>
      </w:r>
      <w:r>
        <w:t xml:space="preserve">(1). </w:t>
      </w:r>
      <w:hyperlink r:id="rId22" w:history="1">
        <w:r w:rsidRPr="000C52CF">
          <w:rPr>
            <w:rStyle w:val="Hyperlink"/>
          </w:rPr>
          <w:t>https:/</w:t>
        </w:r>
        <w:r w:rsidRPr="000C52CF">
          <w:rPr>
            <w:rStyle w:val="Hyperlink"/>
          </w:rPr>
          <w:t>/</w:t>
        </w:r>
        <w:r w:rsidRPr="000C52CF">
          <w:rPr>
            <w:rStyle w:val="Hyperlink"/>
          </w:rPr>
          <w:t>doi.org/10.1186/1471-2296-8-36</w:t>
        </w:r>
      </w:hyperlink>
      <w:r>
        <w:t xml:space="preserve"> </w:t>
      </w:r>
    </w:p>
    <w:p w14:paraId="03E5C518" w14:textId="71187BBA" w:rsidR="000C52CF" w:rsidRDefault="000C52CF" w:rsidP="000C52CF">
      <w:pPr>
        <w:pStyle w:val="NormalWeb"/>
        <w:spacing w:line="480" w:lineRule="auto"/>
        <w:ind w:left="567" w:hanging="567"/>
      </w:pPr>
      <w:r>
        <w:t xml:space="preserve">Knowles, S. R., </w:t>
      </w:r>
      <w:proofErr w:type="spellStart"/>
      <w:r>
        <w:t>Apputhurai</w:t>
      </w:r>
      <w:proofErr w:type="spellEnd"/>
      <w:r>
        <w:t xml:space="preserve">, P., O’Brien, C. L., Ski, C. F., Thompson, D. R., &amp; Castle, D. J. (2019). Exploring the relationships between illness perceptions, self-efficacy, coping strategies, psychological distress and quality of life in a cohort of adults with diabetes mellitus. </w:t>
      </w:r>
      <w:r>
        <w:rPr>
          <w:i/>
          <w:iCs/>
        </w:rPr>
        <w:t>Psychology, Health &amp;amp; Medicine</w:t>
      </w:r>
      <w:r>
        <w:t xml:space="preserve">, </w:t>
      </w:r>
      <w:r>
        <w:rPr>
          <w:i/>
          <w:iCs/>
        </w:rPr>
        <w:t>25</w:t>
      </w:r>
      <w:r>
        <w:t xml:space="preserve">(2), 214–228. </w:t>
      </w:r>
      <w:hyperlink r:id="rId23" w:history="1">
        <w:r w:rsidRPr="000C52CF">
          <w:rPr>
            <w:rStyle w:val="Hyperlink"/>
          </w:rPr>
          <w:t>https://doi.org/10.1080/13548506</w:t>
        </w:r>
        <w:r w:rsidRPr="000C52CF">
          <w:rPr>
            <w:rStyle w:val="Hyperlink"/>
          </w:rPr>
          <w:t>.</w:t>
        </w:r>
        <w:r w:rsidRPr="000C52CF">
          <w:rPr>
            <w:rStyle w:val="Hyperlink"/>
          </w:rPr>
          <w:t>2019.1695865</w:t>
        </w:r>
      </w:hyperlink>
      <w:r>
        <w:t xml:space="preserve"> </w:t>
      </w:r>
    </w:p>
    <w:p w14:paraId="1AF78A67" w14:textId="3B5F4A28" w:rsidR="000C52CF" w:rsidRDefault="000C52CF" w:rsidP="000C52CF">
      <w:pPr>
        <w:pStyle w:val="NormalWeb"/>
        <w:spacing w:line="480" w:lineRule="auto"/>
        <w:ind w:left="567" w:hanging="567"/>
      </w:pPr>
      <w:r w:rsidRPr="000C52CF">
        <w:t xml:space="preserve">Leventhal, H., Meyer, D., &amp; </w:t>
      </w:r>
      <w:proofErr w:type="spellStart"/>
      <w:r w:rsidRPr="000C52CF">
        <w:t>Nerenz</w:t>
      </w:r>
      <w:proofErr w:type="spellEnd"/>
      <w:r w:rsidRPr="000C52CF">
        <w:t xml:space="preserve">, D. (1980). The </w:t>
      </w:r>
      <w:proofErr w:type="gramStart"/>
      <w:r w:rsidRPr="000C52CF">
        <w:t>common sense</w:t>
      </w:r>
      <w:proofErr w:type="gramEnd"/>
      <w:r w:rsidRPr="000C52CF">
        <w:t xml:space="preserve"> representation of illness danger. In S. Rachman (Ed.), Medical psychology (Vol II, pp.7-30), New York: Pergamon Press.</w:t>
      </w:r>
    </w:p>
    <w:p w14:paraId="20C6CE49" w14:textId="3262F6C1" w:rsidR="000C52CF" w:rsidRDefault="000C52CF" w:rsidP="000C52CF">
      <w:pPr>
        <w:pStyle w:val="NormalWeb"/>
        <w:spacing w:line="480" w:lineRule="auto"/>
        <w:ind w:left="567" w:hanging="567"/>
      </w:pPr>
      <w:r>
        <w:t xml:space="preserve">Leventhal, H., Phillips, L. A., &amp; Burns, E. (2016). The common-sense model of self-regulation (CSM): A Dynamic Framework for understanding illness self-management. </w:t>
      </w:r>
      <w:r>
        <w:rPr>
          <w:i/>
          <w:iCs/>
        </w:rPr>
        <w:t xml:space="preserve">Journal of </w:t>
      </w:r>
      <w:proofErr w:type="spellStart"/>
      <w:r>
        <w:rPr>
          <w:i/>
          <w:iCs/>
        </w:rPr>
        <w:t>Behavioral</w:t>
      </w:r>
      <w:proofErr w:type="spellEnd"/>
      <w:r>
        <w:rPr>
          <w:i/>
          <w:iCs/>
        </w:rPr>
        <w:t xml:space="preserve"> Medicine</w:t>
      </w:r>
      <w:r>
        <w:t xml:space="preserve">, </w:t>
      </w:r>
      <w:r>
        <w:rPr>
          <w:i/>
          <w:iCs/>
        </w:rPr>
        <w:t>39</w:t>
      </w:r>
      <w:r>
        <w:t xml:space="preserve">(6), 935–946. </w:t>
      </w:r>
      <w:hyperlink r:id="rId24" w:history="1">
        <w:r w:rsidRPr="000C52CF">
          <w:rPr>
            <w:rStyle w:val="Hyperlink"/>
          </w:rPr>
          <w:t>https</w:t>
        </w:r>
        <w:r w:rsidRPr="000C52CF">
          <w:rPr>
            <w:rStyle w:val="Hyperlink"/>
          </w:rPr>
          <w:t>:</w:t>
        </w:r>
        <w:r w:rsidRPr="000C52CF">
          <w:rPr>
            <w:rStyle w:val="Hyperlink"/>
          </w:rPr>
          <w:t>//doi.org/10.1007/s10865-016-9782-2</w:t>
        </w:r>
      </w:hyperlink>
      <w:r>
        <w:t xml:space="preserve"> </w:t>
      </w:r>
    </w:p>
    <w:p w14:paraId="05E49293" w14:textId="14829C5E" w:rsidR="000C52CF" w:rsidRDefault="000C52CF" w:rsidP="000C52CF">
      <w:pPr>
        <w:pStyle w:val="NormalWeb"/>
        <w:spacing w:line="480" w:lineRule="auto"/>
        <w:ind w:left="567" w:hanging="567"/>
      </w:pPr>
      <w:r>
        <w:t xml:space="preserve">Martinez, L., &amp; Zahra, T. (2022). Chronic complications of diabetes. </w:t>
      </w:r>
      <w:r>
        <w:rPr>
          <w:i/>
          <w:iCs/>
        </w:rPr>
        <w:t>EMJ Diabetes</w:t>
      </w:r>
      <w:r>
        <w:t xml:space="preserve">. </w:t>
      </w:r>
      <w:hyperlink r:id="rId25" w:history="1">
        <w:r w:rsidRPr="000C52CF">
          <w:rPr>
            <w:rStyle w:val="Hyperlink"/>
          </w:rPr>
          <w:t>https://doi.org/10.33590/emjdiabet/21-0</w:t>
        </w:r>
        <w:r w:rsidRPr="000C52CF">
          <w:rPr>
            <w:rStyle w:val="Hyperlink"/>
          </w:rPr>
          <w:t>0</w:t>
        </w:r>
        <w:r w:rsidRPr="000C52CF">
          <w:rPr>
            <w:rStyle w:val="Hyperlink"/>
          </w:rPr>
          <w:t>180</w:t>
        </w:r>
      </w:hyperlink>
      <w:r>
        <w:t xml:space="preserve"> </w:t>
      </w:r>
    </w:p>
    <w:p w14:paraId="2CD7D2E4" w14:textId="56616985" w:rsidR="000C52CF" w:rsidRDefault="000C52CF" w:rsidP="000C52CF">
      <w:pPr>
        <w:pStyle w:val="NormalWeb"/>
        <w:spacing w:line="480" w:lineRule="auto"/>
        <w:ind w:left="567" w:hanging="567"/>
      </w:pPr>
      <w:r>
        <w:t xml:space="preserve">McSharry, J., Moss‐Morris, R., &amp; Kendrick, T. (2011). Illness perceptions and glycaemic control in diabetes: A systematic review with meta‐analysis. </w:t>
      </w:r>
      <w:r>
        <w:rPr>
          <w:i/>
          <w:iCs/>
        </w:rPr>
        <w:t>Diabetic Medicine</w:t>
      </w:r>
      <w:r>
        <w:t xml:space="preserve">, </w:t>
      </w:r>
      <w:r>
        <w:rPr>
          <w:i/>
          <w:iCs/>
        </w:rPr>
        <w:t>28</w:t>
      </w:r>
      <w:r>
        <w:t xml:space="preserve">(11), 1300–1310. </w:t>
      </w:r>
      <w:hyperlink r:id="rId26" w:history="1">
        <w:r w:rsidRPr="000C52CF">
          <w:rPr>
            <w:rStyle w:val="Hyperlink"/>
          </w:rPr>
          <w:t>https://doi.org/10.111</w:t>
        </w:r>
        <w:r w:rsidRPr="000C52CF">
          <w:rPr>
            <w:rStyle w:val="Hyperlink"/>
          </w:rPr>
          <w:t>1</w:t>
        </w:r>
        <w:r w:rsidRPr="000C52CF">
          <w:rPr>
            <w:rStyle w:val="Hyperlink"/>
          </w:rPr>
          <w:t>/j.1464-5491.2011.03298.x</w:t>
        </w:r>
      </w:hyperlink>
      <w:r>
        <w:t xml:space="preserve"> </w:t>
      </w:r>
    </w:p>
    <w:p w14:paraId="6EC24539" w14:textId="2A405E9E" w:rsidR="000C52CF" w:rsidRDefault="000C52CF" w:rsidP="000C52CF">
      <w:pPr>
        <w:pStyle w:val="NormalWeb"/>
        <w:spacing w:line="480" w:lineRule="auto"/>
        <w:ind w:left="567" w:hanging="567"/>
      </w:pPr>
      <w:r>
        <w:lastRenderedPageBreak/>
        <w:t xml:space="preserve">Moss-Morris, R., Weinman, J., Petrie, K., Horne, R., Cameron, L., &amp; Buick, D. (2002). The Revised Illness Perception Questionnaire (IPQ-R). </w:t>
      </w:r>
      <w:r>
        <w:rPr>
          <w:i/>
          <w:iCs/>
        </w:rPr>
        <w:t>Psychology &amp;amp; Health</w:t>
      </w:r>
      <w:r>
        <w:t xml:space="preserve">, </w:t>
      </w:r>
      <w:r>
        <w:rPr>
          <w:i/>
          <w:iCs/>
        </w:rPr>
        <w:t>17</w:t>
      </w:r>
      <w:r>
        <w:t xml:space="preserve">(1), 1–16. </w:t>
      </w:r>
      <w:hyperlink r:id="rId27" w:history="1">
        <w:r w:rsidRPr="000C52CF">
          <w:rPr>
            <w:rStyle w:val="Hyperlink"/>
          </w:rPr>
          <w:t>https://doi.org/10.1080/0</w:t>
        </w:r>
        <w:r w:rsidRPr="000C52CF">
          <w:rPr>
            <w:rStyle w:val="Hyperlink"/>
          </w:rPr>
          <w:t>8</w:t>
        </w:r>
        <w:r w:rsidRPr="000C52CF">
          <w:rPr>
            <w:rStyle w:val="Hyperlink"/>
          </w:rPr>
          <w:t>870440290001494</w:t>
        </w:r>
      </w:hyperlink>
      <w:r>
        <w:t xml:space="preserve"> </w:t>
      </w:r>
    </w:p>
    <w:p w14:paraId="2DE69817" w14:textId="34E7AB75" w:rsidR="000C52CF" w:rsidRDefault="000C52CF" w:rsidP="000C52CF">
      <w:pPr>
        <w:pStyle w:val="NormalWeb"/>
        <w:spacing w:line="480" w:lineRule="auto"/>
        <w:ind w:left="567" w:hanging="567"/>
      </w:pPr>
      <w:r>
        <w:t xml:space="preserve">Petrie, K. J., &amp; Weinman, J. (2012). Patients’ perceptions of their illness: The Dynamo of Volition in Health Care. </w:t>
      </w:r>
      <w:r>
        <w:rPr>
          <w:i/>
          <w:iCs/>
        </w:rPr>
        <w:t>Current Directions in Psychological Science</w:t>
      </w:r>
      <w:r>
        <w:t xml:space="preserve">, </w:t>
      </w:r>
      <w:r>
        <w:rPr>
          <w:i/>
          <w:iCs/>
        </w:rPr>
        <w:t>21</w:t>
      </w:r>
      <w:r>
        <w:t xml:space="preserve">(1), 60–65. </w:t>
      </w:r>
      <w:hyperlink r:id="rId28" w:history="1">
        <w:r w:rsidRPr="000C52CF">
          <w:rPr>
            <w:rStyle w:val="Hyperlink"/>
          </w:rPr>
          <w:t>https://doi.org/10.1177/09</w:t>
        </w:r>
        <w:r w:rsidRPr="000C52CF">
          <w:rPr>
            <w:rStyle w:val="Hyperlink"/>
          </w:rPr>
          <w:t>6</w:t>
        </w:r>
        <w:r w:rsidRPr="000C52CF">
          <w:rPr>
            <w:rStyle w:val="Hyperlink"/>
          </w:rPr>
          <w:t>3721411429456</w:t>
        </w:r>
      </w:hyperlink>
      <w:r>
        <w:t xml:space="preserve"> </w:t>
      </w:r>
    </w:p>
    <w:p w14:paraId="026571EB" w14:textId="0E374D83" w:rsidR="000C52CF" w:rsidRDefault="000C52CF" w:rsidP="000C52CF">
      <w:pPr>
        <w:pStyle w:val="NormalWeb"/>
        <w:spacing w:line="480" w:lineRule="auto"/>
        <w:ind w:left="567" w:hanging="567"/>
      </w:pPr>
      <w:r>
        <w:t xml:space="preserve">Poole, L., &amp; Hackett, R. A. (2024). Diabetes distress: The psychological burden of living with diabetes. </w:t>
      </w:r>
      <w:r>
        <w:rPr>
          <w:i/>
          <w:iCs/>
        </w:rPr>
        <w:t>The Lancet Diabetes &amp;amp; Endocrinology</w:t>
      </w:r>
      <w:r>
        <w:t xml:space="preserve">, </w:t>
      </w:r>
      <w:r>
        <w:rPr>
          <w:i/>
          <w:iCs/>
        </w:rPr>
        <w:t>12</w:t>
      </w:r>
      <w:r>
        <w:t xml:space="preserve">(7), 439–441. </w:t>
      </w:r>
      <w:hyperlink r:id="rId29" w:history="1">
        <w:r w:rsidRPr="000C52CF">
          <w:rPr>
            <w:rStyle w:val="Hyperlink"/>
          </w:rPr>
          <w:t>https://doi.org/10.1016</w:t>
        </w:r>
        <w:r w:rsidRPr="000C52CF">
          <w:rPr>
            <w:rStyle w:val="Hyperlink"/>
          </w:rPr>
          <w:t>/</w:t>
        </w:r>
        <w:r w:rsidRPr="000C52CF">
          <w:rPr>
            <w:rStyle w:val="Hyperlink"/>
          </w:rPr>
          <w:t>s2213-8587(24)00126-8</w:t>
        </w:r>
      </w:hyperlink>
      <w:r>
        <w:t xml:space="preserve"> </w:t>
      </w:r>
    </w:p>
    <w:p w14:paraId="08CFE365" w14:textId="114DA011" w:rsidR="000C52CF" w:rsidRDefault="000C52CF" w:rsidP="000C52CF">
      <w:pPr>
        <w:pStyle w:val="NormalWeb"/>
        <w:spacing w:line="480" w:lineRule="auto"/>
        <w:ind w:left="567" w:hanging="567"/>
      </w:pPr>
      <w:r>
        <w:t xml:space="preserve">Ringer, N. (2020). Utilizing the common-sense model of illness representations to explore children’s perceptions </w:t>
      </w:r>
      <w:proofErr w:type="gramStart"/>
      <w:r>
        <w:t>of, and</w:t>
      </w:r>
      <w:proofErr w:type="gramEnd"/>
      <w:r>
        <w:t xml:space="preserve"> coping with ADHD. </w:t>
      </w:r>
      <w:r>
        <w:rPr>
          <w:i/>
          <w:iCs/>
        </w:rPr>
        <w:t>Journal of Mental Health</w:t>
      </w:r>
      <w:r>
        <w:t xml:space="preserve">, </w:t>
      </w:r>
      <w:r>
        <w:rPr>
          <w:i/>
          <w:iCs/>
        </w:rPr>
        <w:t>30</w:t>
      </w:r>
      <w:r>
        <w:t xml:space="preserve">(2), 216–223. </w:t>
      </w:r>
      <w:hyperlink r:id="rId30" w:history="1">
        <w:r w:rsidRPr="000C52CF">
          <w:rPr>
            <w:rStyle w:val="Hyperlink"/>
          </w:rPr>
          <w:t>https://</w:t>
        </w:r>
        <w:r w:rsidRPr="000C52CF">
          <w:rPr>
            <w:rStyle w:val="Hyperlink"/>
          </w:rPr>
          <w:t>d</w:t>
        </w:r>
        <w:r w:rsidRPr="000C52CF">
          <w:rPr>
            <w:rStyle w:val="Hyperlink"/>
          </w:rPr>
          <w:t>oi.org/10.1080/09638237.2020.1714010</w:t>
        </w:r>
      </w:hyperlink>
      <w:r>
        <w:t xml:space="preserve"> </w:t>
      </w:r>
    </w:p>
    <w:p w14:paraId="78094D2E" w14:textId="77777777" w:rsidR="000C52CF" w:rsidRDefault="000C52CF" w:rsidP="000C52CF">
      <w:pPr>
        <w:ind w:firstLine="720"/>
        <w:rPr>
          <w:rFonts w:ascii="Calibri Light" w:hAnsi="Calibri Light" w:cs="Calibri Light"/>
          <w:b/>
          <w:bCs/>
        </w:rPr>
      </w:pPr>
    </w:p>
    <w:p w14:paraId="0C6A61DC" w14:textId="77777777" w:rsidR="000C52CF" w:rsidRDefault="000C52CF" w:rsidP="000C52CF">
      <w:pPr>
        <w:ind w:firstLine="720"/>
        <w:jc w:val="center"/>
        <w:rPr>
          <w:rFonts w:ascii="Calibri Light" w:hAnsi="Calibri Light" w:cs="Calibri Light"/>
          <w:b/>
          <w:bCs/>
        </w:rPr>
      </w:pPr>
    </w:p>
    <w:p w14:paraId="6935AE5D" w14:textId="7AA33C77" w:rsidR="000C52CF" w:rsidRPr="000C52CF" w:rsidRDefault="000C52CF" w:rsidP="000C52CF">
      <w:pPr>
        <w:ind w:firstLine="720"/>
        <w:rPr>
          <w:rFonts w:ascii="Calibri Light" w:hAnsi="Calibri Light" w:cs="Calibri Light"/>
        </w:rPr>
      </w:pPr>
    </w:p>
    <w:sectPr w:rsidR="000C52CF" w:rsidRPr="000C52CF" w:rsidSect="006A70FE">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B6F711B"/>
    <w:multiLevelType w:val="hybridMultilevel"/>
    <w:tmpl w:val="EB40AC9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CE20F1B"/>
    <w:multiLevelType w:val="hybridMultilevel"/>
    <w:tmpl w:val="4FACDD5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5D705C5F"/>
    <w:multiLevelType w:val="hybridMultilevel"/>
    <w:tmpl w:val="09B6D56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num w:numId="1" w16cid:durableId="2095978738">
    <w:abstractNumId w:val="0"/>
  </w:num>
  <w:num w:numId="2" w16cid:durableId="1385107412">
    <w:abstractNumId w:val="2"/>
  </w:num>
  <w:num w:numId="3" w16cid:durableId="1139151810">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2"/>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A70FE"/>
    <w:rsid w:val="000045E5"/>
    <w:rsid w:val="00005CAA"/>
    <w:rsid w:val="0001224F"/>
    <w:rsid w:val="000251A5"/>
    <w:rsid w:val="000C52CF"/>
    <w:rsid w:val="000C6C69"/>
    <w:rsid w:val="000E63D7"/>
    <w:rsid w:val="001131A7"/>
    <w:rsid w:val="00155614"/>
    <w:rsid w:val="001768C5"/>
    <w:rsid w:val="00207DBD"/>
    <w:rsid w:val="002867DA"/>
    <w:rsid w:val="00417BBB"/>
    <w:rsid w:val="0042687A"/>
    <w:rsid w:val="00444456"/>
    <w:rsid w:val="00491D8C"/>
    <w:rsid w:val="004C0A07"/>
    <w:rsid w:val="005424FE"/>
    <w:rsid w:val="00565B76"/>
    <w:rsid w:val="00583407"/>
    <w:rsid w:val="00591AC2"/>
    <w:rsid w:val="00600DE7"/>
    <w:rsid w:val="006240ED"/>
    <w:rsid w:val="00660F4E"/>
    <w:rsid w:val="0066240F"/>
    <w:rsid w:val="006A70FE"/>
    <w:rsid w:val="006D1F03"/>
    <w:rsid w:val="006D2E66"/>
    <w:rsid w:val="006D448E"/>
    <w:rsid w:val="00771324"/>
    <w:rsid w:val="00777B84"/>
    <w:rsid w:val="007A6BDB"/>
    <w:rsid w:val="007B3777"/>
    <w:rsid w:val="007C3D78"/>
    <w:rsid w:val="007F14E7"/>
    <w:rsid w:val="008A52A1"/>
    <w:rsid w:val="008D06EA"/>
    <w:rsid w:val="008E3AFD"/>
    <w:rsid w:val="00917CA6"/>
    <w:rsid w:val="009C6DEB"/>
    <w:rsid w:val="009E7883"/>
    <w:rsid w:val="00A32E97"/>
    <w:rsid w:val="00A709EE"/>
    <w:rsid w:val="00B241F8"/>
    <w:rsid w:val="00B27B4E"/>
    <w:rsid w:val="00B45A94"/>
    <w:rsid w:val="00B475DA"/>
    <w:rsid w:val="00B56052"/>
    <w:rsid w:val="00B6011A"/>
    <w:rsid w:val="00B70F44"/>
    <w:rsid w:val="00B82D48"/>
    <w:rsid w:val="00B85B2D"/>
    <w:rsid w:val="00BF6608"/>
    <w:rsid w:val="00C432AA"/>
    <w:rsid w:val="00C47749"/>
    <w:rsid w:val="00C71762"/>
    <w:rsid w:val="00D5085E"/>
    <w:rsid w:val="00E02216"/>
    <w:rsid w:val="00E17AF9"/>
    <w:rsid w:val="00E569B2"/>
    <w:rsid w:val="00F14C60"/>
    <w:rsid w:val="00F16575"/>
    <w:rsid w:val="00F43251"/>
    <w:rsid w:val="00F446E8"/>
    <w:rsid w:val="00F65CFB"/>
    <w:rsid w:val="00F67E45"/>
    <w:rsid w:val="00F76A17"/>
    <w:rsid w:val="00FE73F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5485E65"/>
  <w15:chartTrackingRefBased/>
  <w15:docId w15:val="{A996687F-A49A-2440-B4ED-42852B48139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A70FE"/>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6A70FE"/>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6A70FE"/>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6A70FE"/>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6A70FE"/>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6A70FE"/>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A70FE"/>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A70FE"/>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A70FE"/>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A70FE"/>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6A70FE"/>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6A70FE"/>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6A70FE"/>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6A70FE"/>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6A70F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A70F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A70F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A70FE"/>
    <w:rPr>
      <w:rFonts w:eastAsiaTheme="majorEastAsia" w:cstheme="majorBidi"/>
      <w:color w:val="272727" w:themeColor="text1" w:themeTint="D8"/>
    </w:rPr>
  </w:style>
  <w:style w:type="paragraph" w:styleId="Title">
    <w:name w:val="Title"/>
    <w:basedOn w:val="Normal"/>
    <w:next w:val="Normal"/>
    <w:link w:val="TitleChar"/>
    <w:uiPriority w:val="10"/>
    <w:qFormat/>
    <w:rsid w:val="006A70FE"/>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A70F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A70FE"/>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A70F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A70FE"/>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6A70FE"/>
    <w:rPr>
      <w:i/>
      <w:iCs/>
      <w:color w:val="404040" w:themeColor="text1" w:themeTint="BF"/>
    </w:rPr>
  </w:style>
  <w:style w:type="paragraph" w:styleId="ListParagraph">
    <w:name w:val="List Paragraph"/>
    <w:basedOn w:val="Normal"/>
    <w:uiPriority w:val="34"/>
    <w:qFormat/>
    <w:rsid w:val="006A70FE"/>
    <w:pPr>
      <w:ind w:left="720"/>
      <w:contextualSpacing/>
    </w:pPr>
  </w:style>
  <w:style w:type="character" w:styleId="IntenseEmphasis">
    <w:name w:val="Intense Emphasis"/>
    <w:basedOn w:val="DefaultParagraphFont"/>
    <w:uiPriority w:val="21"/>
    <w:qFormat/>
    <w:rsid w:val="006A70FE"/>
    <w:rPr>
      <w:i/>
      <w:iCs/>
      <w:color w:val="0F4761" w:themeColor="accent1" w:themeShade="BF"/>
    </w:rPr>
  </w:style>
  <w:style w:type="paragraph" w:styleId="IntenseQuote">
    <w:name w:val="Intense Quote"/>
    <w:basedOn w:val="Normal"/>
    <w:next w:val="Normal"/>
    <w:link w:val="IntenseQuoteChar"/>
    <w:uiPriority w:val="30"/>
    <w:qFormat/>
    <w:rsid w:val="006A70FE"/>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6A70FE"/>
    <w:rPr>
      <w:i/>
      <w:iCs/>
      <w:color w:val="0F4761" w:themeColor="accent1" w:themeShade="BF"/>
    </w:rPr>
  </w:style>
  <w:style w:type="character" w:styleId="IntenseReference">
    <w:name w:val="Intense Reference"/>
    <w:basedOn w:val="DefaultParagraphFont"/>
    <w:uiPriority w:val="32"/>
    <w:qFormat/>
    <w:rsid w:val="006A70FE"/>
    <w:rPr>
      <w:b/>
      <w:bCs/>
      <w:smallCaps/>
      <w:color w:val="0F4761" w:themeColor="accent1" w:themeShade="BF"/>
      <w:spacing w:val="5"/>
    </w:rPr>
  </w:style>
  <w:style w:type="paragraph" w:styleId="NoSpacing">
    <w:name w:val="No Spacing"/>
    <w:link w:val="NoSpacingChar"/>
    <w:uiPriority w:val="1"/>
    <w:qFormat/>
    <w:rsid w:val="006A70FE"/>
    <w:rPr>
      <w:rFonts w:eastAsiaTheme="minorEastAsia"/>
      <w:kern w:val="0"/>
      <w:sz w:val="22"/>
      <w:szCs w:val="22"/>
      <w:lang w:val="en-US" w:eastAsia="zh-CN"/>
      <w14:ligatures w14:val="none"/>
    </w:rPr>
  </w:style>
  <w:style w:type="character" w:customStyle="1" w:styleId="NoSpacingChar">
    <w:name w:val="No Spacing Char"/>
    <w:basedOn w:val="DefaultParagraphFont"/>
    <w:link w:val="NoSpacing"/>
    <w:uiPriority w:val="1"/>
    <w:rsid w:val="006A70FE"/>
    <w:rPr>
      <w:rFonts w:eastAsiaTheme="minorEastAsia"/>
      <w:kern w:val="0"/>
      <w:sz w:val="22"/>
      <w:szCs w:val="22"/>
      <w:lang w:val="en-US" w:eastAsia="zh-CN"/>
      <w14:ligatures w14:val="none"/>
    </w:rPr>
  </w:style>
  <w:style w:type="paragraph" w:styleId="NormalWeb">
    <w:name w:val="Normal (Web)"/>
    <w:basedOn w:val="Normal"/>
    <w:uiPriority w:val="99"/>
    <w:semiHidden/>
    <w:unhideWhenUsed/>
    <w:rsid w:val="000C52CF"/>
    <w:pPr>
      <w:spacing w:before="100" w:beforeAutospacing="1" w:after="100" w:afterAutospacing="1"/>
    </w:pPr>
    <w:rPr>
      <w:rFonts w:ascii="Times New Roman" w:eastAsia="Times New Roman" w:hAnsi="Times New Roman" w:cs="Times New Roman"/>
      <w:kern w:val="0"/>
      <w:lang w:eastAsia="en-GB"/>
      <w14:ligatures w14:val="none"/>
    </w:rPr>
  </w:style>
  <w:style w:type="character" w:styleId="Hyperlink">
    <w:name w:val="Hyperlink"/>
    <w:basedOn w:val="DefaultParagraphFont"/>
    <w:uiPriority w:val="99"/>
    <w:unhideWhenUsed/>
    <w:rsid w:val="000C52CF"/>
    <w:rPr>
      <w:color w:val="467886" w:themeColor="hyperlink"/>
      <w:u w:val="single"/>
    </w:rPr>
  </w:style>
  <w:style w:type="character" w:styleId="UnresolvedMention">
    <w:name w:val="Unresolved Mention"/>
    <w:basedOn w:val="DefaultParagraphFont"/>
    <w:uiPriority w:val="99"/>
    <w:semiHidden/>
    <w:unhideWhenUsed/>
    <w:rsid w:val="000C52CF"/>
    <w:rPr>
      <w:color w:val="605E5C"/>
      <w:shd w:val="clear" w:color="auto" w:fill="E1DFDD"/>
    </w:rPr>
  </w:style>
  <w:style w:type="character" w:styleId="FollowedHyperlink">
    <w:name w:val="FollowedHyperlink"/>
    <w:basedOn w:val="DefaultParagraphFont"/>
    <w:uiPriority w:val="99"/>
    <w:semiHidden/>
    <w:unhideWhenUsed/>
    <w:rsid w:val="000C52CF"/>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646282154">
      <w:bodyDiv w:val="1"/>
      <w:marLeft w:val="0"/>
      <w:marRight w:val="0"/>
      <w:marTop w:val="0"/>
      <w:marBottom w:val="0"/>
      <w:divBdr>
        <w:top w:val="none" w:sz="0" w:space="0" w:color="auto"/>
        <w:left w:val="none" w:sz="0" w:space="0" w:color="auto"/>
        <w:bottom w:val="none" w:sz="0" w:space="0" w:color="auto"/>
        <w:right w:val="none" w:sz="0" w:space="0" w:color="auto"/>
      </w:divBdr>
    </w:div>
    <w:div w:id="856968514">
      <w:bodyDiv w:val="1"/>
      <w:marLeft w:val="0"/>
      <w:marRight w:val="0"/>
      <w:marTop w:val="0"/>
      <w:marBottom w:val="0"/>
      <w:divBdr>
        <w:top w:val="none" w:sz="0" w:space="0" w:color="auto"/>
        <w:left w:val="none" w:sz="0" w:space="0" w:color="auto"/>
        <w:bottom w:val="none" w:sz="0" w:space="0" w:color="auto"/>
        <w:right w:val="none" w:sz="0" w:space="0" w:color="auto"/>
      </w:divBdr>
    </w:div>
    <w:div w:id="106641686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111/dme.14495" TargetMode="External"/><Relationship Id="rId13" Type="http://schemas.openxmlformats.org/officeDocument/2006/relationships/hyperlink" Target="https://www.diabetes.org.uk/professionals/position-statements-reports/statistics" TargetMode="External"/><Relationship Id="rId18" Type="http://schemas.openxmlformats.org/officeDocument/2006/relationships/hyperlink" Target="https://doi.org/10.1348/135910709x466063" TargetMode="External"/><Relationship Id="rId26" Type="http://schemas.openxmlformats.org/officeDocument/2006/relationships/hyperlink" Target="https://doi.org/10.1111/j.1464-5491.2011.03298.x" TargetMode="External"/><Relationship Id="rId3" Type="http://schemas.openxmlformats.org/officeDocument/2006/relationships/settings" Target="settings.xml"/><Relationship Id="rId21" Type="http://schemas.openxmlformats.org/officeDocument/2006/relationships/hyperlink" Target="https://doi.org/10.1177/00469580241290095" TargetMode="External"/><Relationship Id="rId7" Type="http://schemas.openxmlformats.org/officeDocument/2006/relationships/hyperlink" Target="https://doi.org/10.1186/s12909-023-04698-z" TargetMode="External"/><Relationship Id="rId12" Type="http://schemas.openxmlformats.org/officeDocument/2006/relationships/hyperlink" Target="https://doi.org/10.1016/j.mpmed.2022.08.011" TargetMode="External"/><Relationship Id="rId17" Type="http://schemas.openxmlformats.org/officeDocument/2006/relationships/hyperlink" Target="https://doi.org/10.1080/088704403100081321" TargetMode="External"/><Relationship Id="rId25" Type="http://schemas.openxmlformats.org/officeDocument/2006/relationships/hyperlink" Target="https://doi.org/10.33590/emjdiabet/21-00180" TargetMode="External"/><Relationship Id="rId2" Type="http://schemas.openxmlformats.org/officeDocument/2006/relationships/styles" Target="styles.xml"/><Relationship Id="rId16" Type="http://schemas.openxmlformats.org/officeDocument/2006/relationships/hyperlink" Target="https://doi.org/10.1016/j.xcrm.2023.101213" TargetMode="External"/><Relationship Id="rId20" Type="http://schemas.openxmlformats.org/officeDocument/2006/relationships/hyperlink" Target="https://doi.org/10.1016/j.jpsychores.2014.02.004" TargetMode="External"/><Relationship Id="rId29" Type="http://schemas.openxmlformats.org/officeDocument/2006/relationships/hyperlink" Target="https://doi.org/10.1016/s2213-8587(24)00126-8" TargetMode="External"/><Relationship Id="rId1" Type="http://schemas.openxmlformats.org/officeDocument/2006/relationships/numbering" Target="numbering.xml"/><Relationship Id="rId6" Type="http://schemas.openxmlformats.org/officeDocument/2006/relationships/hyperlink" Target="https://doi.org/10.3390/biomedicines10102436" TargetMode="External"/><Relationship Id="rId11" Type="http://schemas.openxmlformats.org/officeDocument/2006/relationships/hyperlink" Target="https://doi.org/10.1080/08870446.2015.1070851" TargetMode="External"/><Relationship Id="rId24" Type="http://schemas.openxmlformats.org/officeDocument/2006/relationships/hyperlink" Target="https://doi.org/10.1007/s10865-016-9782-2" TargetMode="External"/><Relationship Id="rId32" Type="http://schemas.openxmlformats.org/officeDocument/2006/relationships/theme" Target="theme/theme1.xml"/><Relationship Id="rId5" Type="http://schemas.openxmlformats.org/officeDocument/2006/relationships/hyperlink" Target="https://doi.org/10.1371/journal.pone.0217771" TargetMode="External"/><Relationship Id="rId15" Type="http://schemas.openxmlformats.org/officeDocument/2006/relationships/hyperlink" Target="https://doi.org/10.1037/hea0000131" TargetMode="External"/><Relationship Id="rId23" Type="http://schemas.openxmlformats.org/officeDocument/2006/relationships/hyperlink" Target="https://doi.org/10.1080/13548506.2019.1695865" TargetMode="External"/><Relationship Id="rId28" Type="http://schemas.openxmlformats.org/officeDocument/2006/relationships/hyperlink" Target="https://doi.org/10.1177/0963721411429456" TargetMode="External"/><Relationship Id="rId10" Type="http://schemas.openxmlformats.org/officeDocument/2006/relationships/hyperlink" Target="https://doi.org/10.1016/j.jpsychores.2005.10.020" TargetMode="External"/><Relationship Id="rId19" Type="http://schemas.openxmlformats.org/officeDocument/2006/relationships/hyperlink" Target="https://doi.org/10.1111/dme.15326" TargetMode="External"/><Relationship Id="rId31"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doi.org/10.2337/dc10-1779" TargetMode="External"/><Relationship Id="rId14" Type="http://schemas.openxmlformats.org/officeDocument/2006/relationships/hyperlink" Target="https://doi.org/10.2337/diaspect.14.1.33" TargetMode="External"/><Relationship Id="rId22" Type="http://schemas.openxmlformats.org/officeDocument/2006/relationships/hyperlink" Target="https://doi.org/10.1186/1471-2296-8-36" TargetMode="External"/><Relationship Id="rId27" Type="http://schemas.openxmlformats.org/officeDocument/2006/relationships/hyperlink" Target="https://doi.org/10.1080/08870440290001494" TargetMode="External"/><Relationship Id="rId30" Type="http://schemas.openxmlformats.org/officeDocument/2006/relationships/hyperlink" Target="https://doi.org/10.1080/09638237.2020.1714010"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385</TotalTime>
  <Pages>16</Pages>
  <Words>3860</Words>
  <Characters>22005</Characters>
  <Application>Microsoft Office Word</Application>
  <DocSecurity>0</DocSecurity>
  <Lines>183</Lines>
  <Paragraphs>51</Paragraphs>
  <ScaleCrop>false</ScaleCrop>
  <HeadingPairs>
    <vt:vector size="2" baseType="variant">
      <vt:variant>
        <vt:lpstr>Title</vt:lpstr>
      </vt:variant>
      <vt:variant>
        <vt:i4>1</vt:i4>
      </vt:variant>
    </vt:vector>
  </HeadingPairs>
  <TitlesOfParts>
    <vt:vector size="1" baseType="lpstr">
      <vt:lpstr>the common-sense model of self-regulation in diabetes management outcomes.</vt:lpstr>
    </vt:vector>
  </TitlesOfParts>
  <Company/>
  <LinksUpToDate>false</LinksUpToDate>
  <CharactersWithSpaces>25814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common-sense model of self-regulation in diabetes management outcomes.</dc:title>
  <dc:subject>University of Wales Trinity Saint David</dc:subject>
  <dc:creator>Rebecca Suter (0252227)</dc:creator>
  <cp:keywords/>
  <dc:description/>
  <cp:lastModifiedBy>Rebecca Suter (0252227)</cp:lastModifiedBy>
  <cp:revision>10</cp:revision>
  <cp:lastPrinted>2025-04-29T17:50:00Z</cp:lastPrinted>
  <dcterms:created xsi:type="dcterms:W3CDTF">2025-04-29T11:14:00Z</dcterms:created>
  <dcterms:modified xsi:type="dcterms:W3CDTF">2025-04-29T22:06:00Z</dcterms:modified>
</cp:coreProperties>
</file>