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7514A" w14:textId="6D798940" w:rsidR="00B944EF" w:rsidRDefault="00B944EF">
      <w:pPr>
        <w:rPr>
          <w:b/>
          <w:bCs/>
        </w:rPr>
      </w:pPr>
      <w:r>
        <w:rPr>
          <w:b/>
          <w:bCs/>
        </w:rPr>
        <w:t>Task 1 – Will Outline</w:t>
      </w:r>
    </w:p>
    <w:p w14:paraId="1CA8D540" w14:textId="2F00F081" w:rsidR="0007491F" w:rsidRPr="00261601" w:rsidRDefault="0007491F">
      <w:pPr>
        <w:rPr>
          <w:b/>
          <w:bCs/>
        </w:rPr>
      </w:pPr>
      <w:r w:rsidRPr="00261601">
        <w:rPr>
          <w:b/>
          <w:bCs/>
        </w:rPr>
        <w:t>Opening Formalities</w:t>
      </w:r>
      <w:r w:rsidR="00261601">
        <w:rPr>
          <w:b/>
          <w:bCs/>
        </w:rPr>
        <w:t>:</w:t>
      </w:r>
    </w:p>
    <w:p w14:paraId="209C7B15" w14:textId="1F86FACA" w:rsidR="0007491F" w:rsidRDefault="0007491F">
      <w:r>
        <w:t>“I, Margaret Hughes</w:t>
      </w:r>
    </w:p>
    <w:p w14:paraId="712845FB" w14:textId="220B2D06" w:rsidR="0007491F" w:rsidRDefault="0007491F">
      <w:r>
        <w:t>Of, 24 Gower View Road Swansea, SA34 4AP”</w:t>
      </w:r>
    </w:p>
    <w:p w14:paraId="02BA7DF9" w14:textId="72F6A2C5" w:rsidR="0007491F" w:rsidRDefault="0007491F">
      <w:r>
        <w:t>The signing of the will in writing is required by law to validate its contents, both by testator/testatrix and two witnesses</w:t>
      </w:r>
      <w:r w:rsidR="00261601">
        <w:t xml:space="preserve"> </w:t>
      </w:r>
      <w:r w:rsidR="00261601">
        <w:t>(s.9 Wills Act 1837)</w:t>
      </w:r>
      <w:r w:rsidR="00261601">
        <w:t>. Witnesses are to sign a standard attestation clause to signify their witnessing of the testator/testatrix’s signing</w:t>
      </w:r>
      <w:r>
        <w:t xml:space="preserve"> </w:t>
      </w:r>
    </w:p>
    <w:p w14:paraId="1835E8E6" w14:textId="2A5D566B" w:rsidR="00261601" w:rsidRDefault="00261601">
      <w:r>
        <w:t xml:space="preserve">Although it is not necessary, to avoid confusion, the inclusion of a revocation clause </w:t>
      </w:r>
      <w:r w:rsidR="004A2109">
        <w:t>is considered best practice (</w:t>
      </w:r>
      <w:r w:rsidR="004A2109">
        <w:t>IHTM12072</w:t>
      </w:r>
      <w:r w:rsidR="004A2109">
        <w:t xml:space="preserve">, Inheritance Tax Manual (2026)), which generally go as follows; </w:t>
      </w:r>
    </w:p>
    <w:p w14:paraId="328AFD19" w14:textId="0ECAE21A" w:rsidR="00B944EF" w:rsidRDefault="004A2109">
      <w:r>
        <w:t>“I … Revoke all former wills and testamentary dispositions made by me and declare this to be my final will and testament”</w:t>
      </w:r>
    </w:p>
    <w:p w14:paraId="635E7DDE" w14:textId="1EA878F9" w:rsidR="00261601" w:rsidRPr="00261601" w:rsidRDefault="00261601">
      <w:pPr>
        <w:rPr>
          <w:b/>
          <w:bCs/>
        </w:rPr>
      </w:pPr>
      <w:r w:rsidRPr="00261601">
        <w:rPr>
          <w:b/>
          <w:bCs/>
        </w:rPr>
        <w:t xml:space="preserve">Executors and Trustees </w:t>
      </w:r>
    </w:p>
    <w:p w14:paraId="1995713B" w14:textId="77777777" w:rsidR="004A2109" w:rsidRDefault="004A2109">
      <w:r>
        <w:t>“I appoint…</w:t>
      </w:r>
    </w:p>
    <w:p w14:paraId="4377BB11" w14:textId="61F34CC4" w:rsidR="004A2109" w:rsidRDefault="004A2109">
      <w:r>
        <w:t>As executor of this will, and trustee” Or,</w:t>
      </w:r>
    </w:p>
    <w:p w14:paraId="494044F2" w14:textId="77777777" w:rsidR="004A2109" w:rsidRDefault="004A2109">
      <w:r>
        <w:t xml:space="preserve"> “I appoint… </w:t>
      </w:r>
    </w:p>
    <w:p w14:paraId="08179DB8" w14:textId="6C8BC638" w:rsidR="004A2109" w:rsidRDefault="004A2109">
      <w:r>
        <w:t>as sole executor of this will, and trustee”</w:t>
      </w:r>
    </w:p>
    <w:p w14:paraId="616F0163" w14:textId="1850CAD3" w:rsidR="004A2109" w:rsidRDefault="004A2109">
      <w:r>
        <w:t>Margaret has expressed that she would like to appoint her daughter Anna as her executor and trustee of the various trusts that would be created by the will. She is however unsure if she should appoint a substitute executor in the place of Anna</w:t>
      </w:r>
      <w:r w:rsidR="001C01D6">
        <w:t xml:space="preserve">. </w:t>
      </w:r>
    </w:p>
    <w:p w14:paraId="00DBF76B" w14:textId="16B14089" w:rsidR="00261601" w:rsidRPr="00261601" w:rsidRDefault="00261601">
      <w:pPr>
        <w:rPr>
          <w:b/>
          <w:bCs/>
        </w:rPr>
      </w:pPr>
      <w:r w:rsidRPr="00261601">
        <w:rPr>
          <w:b/>
          <w:bCs/>
        </w:rPr>
        <w:t>Specific Gifts:</w:t>
      </w:r>
    </w:p>
    <w:p w14:paraId="53AC022B" w14:textId="31FFF764" w:rsidR="00261601" w:rsidRDefault="00261601">
      <w:r>
        <w:t xml:space="preserve">Margaret’s jewellery and car are to be passed only to her daughter, Anna. </w:t>
      </w:r>
    </w:p>
    <w:p w14:paraId="3CFDEBBB" w14:textId="4AC97662" w:rsidR="001C01D6" w:rsidRDefault="001C01D6">
      <w:r>
        <w:t>Margaret’s investments, held in an ISA, are to be passed only to her son, Daniel</w:t>
      </w:r>
    </w:p>
    <w:p w14:paraId="3451C47E" w14:textId="54578051" w:rsidR="001C01D6" w:rsidRDefault="001C01D6">
      <w:r>
        <w:t>Equal shares in the residence lived in by Margaret are to be passed to both Anna and Daniel</w:t>
      </w:r>
    </w:p>
    <w:p w14:paraId="79686AAE" w14:textId="6E81D026" w:rsidR="002A5D7A" w:rsidRDefault="001C01D6">
      <w:r>
        <w:t xml:space="preserve">The nature of these gifts as specific are due to Margaret’s usage of “My” when describing the assets, implying that the items to be passed down are the </w:t>
      </w:r>
      <w:proofErr w:type="gramStart"/>
      <w:r>
        <w:t xml:space="preserve">particular </w:t>
      </w:r>
      <w:r w:rsidR="00CD0F10">
        <w:t>items</w:t>
      </w:r>
      <w:proofErr w:type="gramEnd"/>
      <w:r w:rsidR="00CD0F10">
        <w:t xml:space="preserve"> owned by Margaret and held within the estate upon her passing, not those that would be widely available or replaceable. These items are not to be replaced with a cash sum</w:t>
      </w:r>
      <w:r w:rsidR="00C20049">
        <w:t xml:space="preserve"> or identical item</w:t>
      </w:r>
      <w:r w:rsidR="00CD0F10">
        <w:t xml:space="preserve"> if not owned at the time of death </w:t>
      </w:r>
      <w:r w:rsidR="00C20049">
        <w:t>(Bothamley v Sherson (1875)</w:t>
      </w:r>
      <w:r w:rsidR="00AB7271">
        <w:t>,</w:t>
      </w:r>
      <w:r w:rsidR="00AB7271" w:rsidRPr="00AB7271">
        <w:t xml:space="preserve"> </w:t>
      </w:r>
      <w:r w:rsidR="00AB7271">
        <w:t>s.24 Wills Act 1837</w:t>
      </w:r>
      <w:proofErr w:type="gramStart"/>
      <w:r w:rsidR="00C20049">
        <w:t>)</w:t>
      </w:r>
      <w:r w:rsidR="00C20049">
        <w:t>, and</w:t>
      </w:r>
      <w:proofErr w:type="gramEnd"/>
      <w:r w:rsidR="00C20049">
        <w:t xml:space="preserve"> thus will adeem if not present within the estate</w:t>
      </w:r>
      <w:r w:rsidR="00AB7271">
        <w:t xml:space="preserve"> </w:t>
      </w:r>
      <w:r w:rsidR="00AB7271">
        <w:t>(Re Macdougall (1927))</w:t>
      </w:r>
      <w:r w:rsidR="00AB7271">
        <w:t xml:space="preserve">. </w:t>
      </w:r>
    </w:p>
    <w:p w14:paraId="07A0B8A9" w14:textId="2E711B1E" w:rsidR="001C01D6" w:rsidRPr="002A5D7A" w:rsidRDefault="001C01D6">
      <w:pPr>
        <w:rPr>
          <w:b/>
          <w:bCs/>
        </w:rPr>
      </w:pPr>
      <w:r w:rsidRPr="002A5D7A">
        <w:rPr>
          <w:b/>
          <w:bCs/>
        </w:rPr>
        <w:t>Pecuniary Gifts</w:t>
      </w:r>
      <w:r w:rsidR="00AB7271" w:rsidRPr="002A5D7A">
        <w:rPr>
          <w:b/>
          <w:bCs/>
        </w:rPr>
        <w:t xml:space="preserve"> </w:t>
      </w:r>
    </w:p>
    <w:p w14:paraId="2037CFDA" w14:textId="1A9FC7CE" w:rsidR="00AB7271" w:rsidRDefault="00AB7271">
      <w:r>
        <w:t xml:space="preserve">£20,000 are to be left to Margaret’s granddaughter, Daniel’s daughter, Emily, upon her turning 18 years of age. </w:t>
      </w:r>
    </w:p>
    <w:p w14:paraId="6F4E2AE6" w14:textId="051B374C" w:rsidR="006C7BD1" w:rsidRDefault="00990A50">
      <w:r>
        <w:t xml:space="preserve">This is to be considered in the same manner as a general legacy, not a demonstrative legacy, as no specific point of origin of the funds are mentioned </w:t>
      </w:r>
      <w:r>
        <w:t>(Ashburner v Maguire (1786))</w:t>
      </w:r>
      <w:r w:rsidR="002A5D7A">
        <w:t xml:space="preserve">, suggesting it should be taken from the estate funds </w:t>
      </w:r>
      <w:r w:rsidR="002A5D7A">
        <w:t>(s.51(1)(ix), Administration of Estates Act 1925)</w:t>
      </w:r>
      <w:r>
        <w:t>.</w:t>
      </w:r>
      <w:r w:rsidR="002A5D7A">
        <w:t xml:space="preserve"> This gift should be given </w:t>
      </w:r>
      <w:r w:rsidR="006C7BD1">
        <w:t>d</w:t>
      </w:r>
      <w:r>
        <w:t xml:space="preserve">ue to the requirement to withhold this gift until Emily reaches age 18, </w:t>
      </w:r>
      <w:r w:rsidR="00522594">
        <w:t xml:space="preserve">it must </w:t>
      </w:r>
      <w:r w:rsidR="00522594">
        <w:lastRenderedPageBreak/>
        <w:t>be held in trust by the trustees of the will due to the contained contingency</w:t>
      </w:r>
      <w:r w:rsidR="002A5D7A">
        <w:t>, likely through protective trust due to the age of the beneficiary (s.33 Trustee Act 1925)</w:t>
      </w:r>
      <w:r w:rsidR="00522594">
        <w:t xml:space="preserve">. </w:t>
      </w:r>
    </w:p>
    <w:p w14:paraId="61DA0535" w14:textId="29BAAED6" w:rsidR="006C7BD1" w:rsidRPr="006C7BD1" w:rsidRDefault="006C7BD1">
      <w:pPr>
        <w:rPr>
          <w:b/>
          <w:bCs/>
        </w:rPr>
      </w:pPr>
      <w:r w:rsidRPr="006C7BD1">
        <w:rPr>
          <w:b/>
          <w:bCs/>
        </w:rPr>
        <w:t>Residual Gifts</w:t>
      </w:r>
    </w:p>
    <w:p w14:paraId="674F181D" w14:textId="00250AE5" w:rsidR="00C2034F" w:rsidRPr="00BC0728" w:rsidRDefault="006C7BD1">
      <w:r>
        <w:t xml:space="preserve">Margaret expressed wishes to pass “everything in equal shares” suggesting the possibility anything left after costs, taxes and gifts to be paid to both Anna and Daniel equally. This is suggested by the mention of </w:t>
      </w:r>
      <w:proofErr w:type="gramStart"/>
      <w:r>
        <w:t>particular shares</w:t>
      </w:r>
      <w:proofErr w:type="gramEnd"/>
      <w:r>
        <w:t xml:space="preserve">. </w:t>
      </w:r>
    </w:p>
    <w:p w14:paraId="68AF0A00" w14:textId="54D8B2D5" w:rsidR="00C2034F" w:rsidRPr="00D664A6" w:rsidRDefault="00C2034F">
      <w:pPr>
        <w:rPr>
          <w:b/>
          <w:bCs/>
        </w:rPr>
      </w:pPr>
      <w:r w:rsidRPr="00D664A6">
        <w:rPr>
          <w:b/>
          <w:bCs/>
        </w:rPr>
        <w:t>Charitable gifts</w:t>
      </w:r>
    </w:p>
    <w:p w14:paraId="40E9329D" w14:textId="281FB415" w:rsidR="00E86BA1" w:rsidRDefault="00C2034F">
      <w:r>
        <w:t>Margaret has suggested that she would like to leave £10,000 to dog’s trust</w:t>
      </w:r>
      <w:r w:rsidR="00D664A6">
        <w:t>, which will be treated as a general legacy, and be paid from the estate funds</w:t>
      </w:r>
      <w:r>
        <w:t xml:space="preserve">. </w:t>
      </w:r>
    </w:p>
    <w:p w14:paraId="4A9F3C74" w14:textId="3F59268E" w:rsidR="00E86BA1" w:rsidRPr="00B1287E" w:rsidRDefault="006709BD">
      <w:pPr>
        <w:rPr>
          <w:b/>
          <w:bCs/>
        </w:rPr>
      </w:pPr>
      <w:r w:rsidRPr="00B1287E">
        <w:rPr>
          <w:b/>
          <w:bCs/>
        </w:rPr>
        <w:t>Trusts for Daniel and Emily</w:t>
      </w:r>
    </w:p>
    <w:p w14:paraId="70B50BE9" w14:textId="19B17A0C" w:rsidR="006709BD" w:rsidRDefault="006709BD">
      <w:r>
        <w:t xml:space="preserve">The gifts passed to Daniel and Emily would likely need to be given through </w:t>
      </w:r>
      <w:r w:rsidR="00A76486">
        <w:t>a bare</w:t>
      </w:r>
      <w:r>
        <w:t xml:space="preserve"> trust. Hese trusts protect the assets contained within to ensure they are properly administered by trustees on behalf of beneficiaries, and to ensure that trust property is not lost. Both trusts would be contingent upon age. This means that the assets, in the case of Daniel; Margaret’s investments, an equal share of residual funds and an equal interest in Margaret’s residence, would be held by the trustee until age 55, and in the case of Emily; £20,000, would be held by the trustee until age 18</w:t>
      </w:r>
      <w:r w:rsidR="00A76486">
        <w:t xml:space="preserve"> in a Bare trust</w:t>
      </w:r>
      <w:r>
        <w:t xml:space="preserve">, </w:t>
      </w:r>
      <w:r w:rsidR="008B0ADF">
        <w:t xml:space="preserve">to be released in full. This trust would be administered by the trustees named in the will, specifically Anna, should she choose to do so. </w:t>
      </w:r>
    </w:p>
    <w:p w14:paraId="73961A20" w14:textId="0154B583" w:rsidR="006C7BD1" w:rsidRDefault="006A54BB">
      <w:r>
        <w:t xml:space="preserve">Both Daniel and Emily will need to have their legacies held in trust. </w:t>
      </w:r>
    </w:p>
    <w:p w14:paraId="5F78DF69" w14:textId="7B81A959" w:rsidR="006A54BB" w:rsidRDefault="006A54BB">
      <w:r>
        <w:t xml:space="preserve">Emily will need to have her </w:t>
      </w:r>
      <w:r w:rsidR="00F932C4">
        <w:t xml:space="preserve">legacy held in a bare trust, which allows </w:t>
      </w:r>
      <w:r w:rsidR="007716BC">
        <w:t>trusts to manage assets on behalf of a beneficiary until they turn 18, at which point they are granted full ownership and control of the assets (Saunders v Vautier (1841)).</w:t>
      </w:r>
    </w:p>
    <w:p w14:paraId="6CF74B6D" w14:textId="634C48A5" w:rsidR="002A5D7A" w:rsidRDefault="007716BC">
      <w:r>
        <w:t xml:space="preserve">A discretionary trust would likely be the best choice </w:t>
      </w:r>
      <w:r w:rsidR="00F51B9E">
        <w:t xml:space="preserve">for Daniel’s legacies, being the equal interest in the house, estate funds and shares. This type of trust would be used for its versatility, as Margaret has stated she is unsure of that she is unsure if she does want to hold Daniel’s legacies on trust. A discretionary trust would allow </w:t>
      </w:r>
      <w:r w:rsidR="00F57CAC">
        <w:t>Margaret</w:t>
      </w:r>
      <w:r w:rsidR="00F51B9E">
        <w:t xml:space="preserve"> significant control of the Dee</w:t>
      </w:r>
      <w:r w:rsidR="00F57CAC">
        <w:t xml:space="preserve">d as settlor. </w:t>
      </w:r>
    </w:p>
    <w:p w14:paraId="62F205B3" w14:textId="18D8DDDA" w:rsidR="002A5D7A" w:rsidRPr="00B944EF" w:rsidRDefault="00B1287E">
      <w:pPr>
        <w:rPr>
          <w:b/>
          <w:bCs/>
        </w:rPr>
      </w:pPr>
      <w:r w:rsidRPr="00B944EF">
        <w:rPr>
          <w:b/>
          <w:bCs/>
        </w:rPr>
        <w:t>Tax Planning</w:t>
      </w:r>
    </w:p>
    <w:p w14:paraId="429FCC41" w14:textId="46F2AECA" w:rsidR="00AB7271" w:rsidRDefault="005522CF">
      <w:r>
        <w:t xml:space="preserve">Inheritance tax is only payable on estates that surpass the nil-rate band, which is a threshold currently set at £325,000. Only the portion that surpasses the nil-rate band is subject to the 40% inheritance tax. </w:t>
      </w:r>
      <w:r w:rsidR="00E12472">
        <w:t xml:space="preserve">Additionally, a second residential nil-rate band can be applied on top of the regular nil-rate band where the testator or testatrix has passed down their primary residence, increasing the total nil-rate tax allowance for inheritance tax to £500,000 in total. Given the estimated value of the estate, from known figures provided, £120,000 inheritance tax would be due. </w:t>
      </w:r>
    </w:p>
    <w:p w14:paraId="2206A6A1" w14:textId="150C14F4" w:rsidR="00C2034F" w:rsidRDefault="00C2034F">
      <w:r>
        <w:t xml:space="preserve">Spousal exemption allows that transfer of property to be free of inheritance </w:t>
      </w:r>
      <w:r w:rsidR="00D664A6">
        <w:t>tax</w:t>
      </w:r>
      <w:r w:rsidR="00AC1F07">
        <w:t xml:space="preserve">. This means that Margaret’s late husband Derek’s nil-rate and residential nil-rate tax bands would pass to Margaret, increasing her tax-free threshold to £1,000,000 inclusive of both nil rate and residential nil-rate tax bands, making her </w:t>
      </w:r>
      <w:r w:rsidR="00DA740A">
        <w:t xml:space="preserve">legacies entirely inheritance tax exempt (How Inheritance Tax Works: Thresholds, Rules and Allowances, HM Government). The residential nil-rate tax band element can be increased further by </w:t>
      </w:r>
      <w:r w:rsidR="00F02A98">
        <w:t xml:space="preserve">passing the residence to the child of the </w:t>
      </w:r>
      <w:r w:rsidR="00F02A98">
        <w:lastRenderedPageBreak/>
        <w:t xml:space="preserve">owner. In this case, the total nil-rate on the residential property would increase to £500,000 or £1,150,000 inclusive of the non-residential nil-rate tax band. </w:t>
      </w:r>
    </w:p>
    <w:p w14:paraId="696E831B" w14:textId="1CA6802A" w:rsidR="00D664A6" w:rsidRDefault="00D664A6">
      <w:r>
        <w:t xml:space="preserve">Capital gains tax will not be payable on the receipt of a </w:t>
      </w:r>
      <w:proofErr w:type="gramStart"/>
      <w:r>
        <w:t>legacy,</w:t>
      </w:r>
      <w:proofErr w:type="gramEnd"/>
      <w:r>
        <w:t xml:space="preserve"> however, </w:t>
      </w:r>
      <w:r w:rsidR="00A76486">
        <w:t>beneficiaries will be liable for any capital gains accrued by the asset once it is in the possession of the beneficiary. This tax will be paid on disposal of the asset.</w:t>
      </w:r>
      <w:r w:rsidR="00DA740A">
        <w:t xml:space="preserve"> These taxes may also accrue while the asset is held in trust. </w:t>
      </w:r>
      <w:r w:rsidR="00A76486">
        <w:t xml:space="preserve"> </w:t>
      </w:r>
    </w:p>
    <w:p w14:paraId="75CC1966" w14:textId="3CB27FA4" w:rsidR="00D664A6" w:rsidRDefault="00D664A6">
      <w:r>
        <w:t xml:space="preserve">Charitable gifts are entirely exempt from inheritance and capital gains tax. </w:t>
      </w:r>
      <w:r w:rsidR="00F57CAC">
        <w:t xml:space="preserve">This means that </w:t>
      </w:r>
      <w:r w:rsidR="00B944EF">
        <w:t>the £10,000 left to Dog’s trust by Margaret will be removed from the estate’s total tax liability</w:t>
      </w:r>
      <w:r w:rsidR="00DA740A">
        <w:t>. T</w:t>
      </w:r>
      <w:r w:rsidR="00B944EF">
        <w:t xml:space="preserve">he amount left to dog’s trust does not meet the threshold to gain the 4% discount offered on final inheritance tax liability, as it would require the charitable gift to be at least 10% of the value of the estate. </w:t>
      </w:r>
    </w:p>
    <w:p w14:paraId="29704CE7" w14:textId="2F8950E5" w:rsidR="00F713D3" w:rsidRPr="000834C2" w:rsidRDefault="000834C2">
      <w:pPr>
        <w:rPr>
          <w:b/>
          <w:bCs/>
        </w:rPr>
      </w:pPr>
      <w:r w:rsidRPr="000834C2">
        <w:rPr>
          <w:b/>
          <w:bCs/>
        </w:rPr>
        <w:t>HMRC Compliance</w:t>
      </w:r>
    </w:p>
    <w:p w14:paraId="5A08C667" w14:textId="7DE9D8BD" w:rsidR="000834C2" w:rsidRDefault="002A4EE0">
      <w:r>
        <w:t xml:space="preserve">As the </w:t>
      </w:r>
      <w:r w:rsidR="00AA77D4">
        <w:t xml:space="preserve">total inheritance tax liability is </w:t>
      </w:r>
      <w:r w:rsidR="00F02A98">
        <w:t xml:space="preserve">not </w:t>
      </w:r>
      <w:r w:rsidR="00AA77D4">
        <w:t xml:space="preserve">likely to be over £10,000, the estate will have to be registered with HMRC as a </w:t>
      </w:r>
      <w:r w:rsidR="00F02A98">
        <w:t>simple</w:t>
      </w:r>
      <w:r w:rsidR="00AA77D4">
        <w:t xml:space="preserve"> estate and will </w:t>
      </w:r>
      <w:r w:rsidR="00F02A98">
        <w:t>not require</w:t>
      </w:r>
      <w:r w:rsidR="00AA77D4">
        <w:t xml:space="preserve"> yearly tax returns if the estate has not been fully distributed within the first year via form SA900</w:t>
      </w:r>
      <w:r w:rsidR="00EF442E">
        <w:t xml:space="preserve"> (Dealing with the estate of someone who’s died, HM Government)</w:t>
      </w:r>
      <w:r w:rsidR="00AA77D4">
        <w:t>.</w:t>
      </w:r>
      <w:r w:rsidR="00EF442E">
        <w:t xml:space="preserve"> The </w:t>
      </w:r>
      <w:r w:rsidR="00F02A98">
        <w:t>estate will still need to be registered</w:t>
      </w:r>
      <w:r w:rsidR="00EF442E">
        <w:t xml:space="preserve">. </w:t>
      </w:r>
    </w:p>
    <w:p w14:paraId="0B3C0F4E" w14:textId="484A8C8C" w:rsidR="00EF442E" w:rsidRDefault="00EF442E">
      <w:r>
        <w:t>All trusts, regardless of taxable status must be registered with HMRC within 90 days of the creation of the trust</w:t>
      </w:r>
      <w:r w:rsidR="003F023F">
        <w:t xml:space="preserve"> (Register a Trust as a Trustee, HMRC</w:t>
      </w:r>
      <w:r w:rsidR="00035AC7">
        <w:t xml:space="preserve"> (2023))</w:t>
      </w:r>
      <w:r>
        <w:t xml:space="preserve">. The registration will require a unique taxpayer number. </w:t>
      </w:r>
      <w:r w:rsidR="00432658">
        <w:t>It is the responsibility of trustees to register the trust, keep beneficiaries updated with any new income or tax liabilities, as we</w:t>
      </w:r>
      <w:r w:rsidR="00E4192E">
        <w:t>ll as filing the estate’s tax returns</w:t>
      </w:r>
      <w:r w:rsidR="008F7FED">
        <w:t xml:space="preserve"> (Trusts and Taxes, HM Government)</w:t>
      </w:r>
      <w:r w:rsidR="00E4192E">
        <w:t xml:space="preserve">. The to fulfil </w:t>
      </w:r>
      <w:r w:rsidR="008F7FED">
        <w:t xml:space="preserve">these obligations would fall to Anna due to her position as both sole trustee and executor. </w:t>
      </w:r>
    </w:p>
    <w:p w14:paraId="1C6028CD" w14:textId="77777777" w:rsidR="00261601" w:rsidRDefault="00261601"/>
    <w:p w14:paraId="0494C4A8" w14:textId="6C044F79" w:rsidR="008F7FED" w:rsidRDefault="008F7FED">
      <w:r>
        <w:t xml:space="preserve">Task 2 </w:t>
      </w:r>
    </w:p>
    <w:p w14:paraId="213A89FA" w14:textId="28602F5D" w:rsidR="00AF1116" w:rsidRDefault="00F24AF6">
      <w:r>
        <w:t xml:space="preserve">After the passing of her mother, Margaret, Anna will need to take steps to properly execute her mother’s will. </w:t>
      </w:r>
    </w:p>
    <w:p w14:paraId="7FA55FC8" w14:textId="00024307" w:rsidR="00AF1116" w:rsidRPr="00AF1116" w:rsidRDefault="00AF1116">
      <w:pPr>
        <w:rPr>
          <w:b/>
          <w:bCs/>
        </w:rPr>
      </w:pPr>
      <w:r w:rsidRPr="00AF1116">
        <w:rPr>
          <w:b/>
          <w:bCs/>
        </w:rPr>
        <w:t>Validity</w:t>
      </w:r>
    </w:p>
    <w:p w14:paraId="7881D069" w14:textId="0C761068" w:rsidR="00AF1116" w:rsidRDefault="00F24AF6">
      <w:r>
        <w:t xml:space="preserve">The validity of the will must be checked to ensure the wishes of the testator are accurate. </w:t>
      </w:r>
      <w:r w:rsidR="009E5E84">
        <w:t xml:space="preserve">The most important factor in validating a will is signing. Checking that the will has been adequately signed by both the testator and the witnesses (s.9 Wills Act 1837) is a requirement for valid execution. </w:t>
      </w:r>
      <w:r w:rsidR="0046461D">
        <w:t xml:space="preserve">The presence of witnesses is likely the largest issue that is posed to Margaret’s will, as she had not previously mentioned any person who could or would be a witness to her signature. </w:t>
      </w:r>
      <w:r w:rsidR="00AF3141">
        <w:t xml:space="preserve">Checking for the presence of an attestation clause, while not mandatory under s.9 of the Wills Act 1837, does provide clarity on both the intention to create a will and correct formatting and witnessing. </w:t>
      </w:r>
    </w:p>
    <w:p w14:paraId="5A879FC1" w14:textId="0CB8DE84" w:rsidR="00AF1116" w:rsidRPr="00AF1116" w:rsidRDefault="00AF1116">
      <w:pPr>
        <w:rPr>
          <w:b/>
          <w:bCs/>
        </w:rPr>
      </w:pPr>
      <w:r w:rsidRPr="00AF1116">
        <w:rPr>
          <w:b/>
          <w:bCs/>
        </w:rPr>
        <w:t>Executors and eligibility</w:t>
      </w:r>
    </w:p>
    <w:p w14:paraId="501A3AA5" w14:textId="33544738" w:rsidR="009E5E84" w:rsidRDefault="00AF1116">
      <w:r>
        <w:t>- Anna is entitled to act as sole executor</w:t>
      </w:r>
    </w:p>
    <w:p w14:paraId="2192EB8A" w14:textId="28A6BA41" w:rsidR="00AF1116" w:rsidRDefault="00AF1116">
      <w:r>
        <w:t xml:space="preserve">- Acting as sole executor may prevent Anna from properly administering trusts, </w:t>
      </w:r>
      <w:r w:rsidR="009E1D72">
        <w:t>2 trustees are needed for most trusts, up to 4</w:t>
      </w:r>
      <w:r>
        <w:t xml:space="preserve"> are recommended</w:t>
      </w:r>
      <w:r w:rsidR="009E1D72">
        <w:t xml:space="preserve"> (Trusts, The Law Society)</w:t>
      </w:r>
    </w:p>
    <w:p w14:paraId="6F6E68A9" w14:textId="7928C9A0" w:rsidR="00AF1116" w:rsidRDefault="00AF1116">
      <w:r>
        <w:lastRenderedPageBreak/>
        <w:t xml:space="preserve">- Acting as sole trustee </w:t>
      </w:r>
      <w:r w:rsidR="009E1D72">
        <w:t xml:space="preserve">or executor </w:t>
      </w:r>
      <w:r>
        <w:t xml:space="preserve">may make her unable to step down as trustee </w:t>
      </w:r>
      <w:r w:rsidR="009E1D72">
        <w:t>without first attempting to appoint a new trustee (s.39 Trustee Act 1925)</w:t>
      </w:r>
    </w:p>
    <w:p w14:paraId="2976869C" w14:textId="6A6AFD25" w:rsidR="009E1D72" w:rsidRDefault="009E1D72">
      <w:r>
        <w:t>SRA Code of Conduct</w:t>
      </w:r>
    </w:p>
    <w:p w14:paraId="7E705991" w14:textId="041071ED" w:rsidR="009E1D72" w:rsidRDefault="009E1D72">
      <w:r>
        <w:t xml:space="preserve">- SRA CoC binds solicitors to act in a timely manner, in the best interests of their client, and to take account of the client’s particular </w:t>
      </w:r>
      <w:r w:rsidR="001E4C8A">
        <w:t>circumstances and attributes (SRA Code of Conduct)</w:t>
      </w:r>
    </w:p>
    <w:p w14:paraId="2EDF646D" w14:textId="0D05D001" w:rsidR="00C46043" w:rsidRDefault="001E4C8A">
      <w:r>
        <w:t xml:space="preserve">- </w:t>
      </w:r>
      <w:r w:rsidR="00C46043">
        <w:t>Cost of service must be clearly shown (Price Transparency, SRA)</w:t>
      </w:r>
    </w:p>
    <w:p w14:paraId="26063D04" w14:textId="652A4ED2" w:rsidR="00C46043" w:rsidRPr="00F063E6" w:rsidRDefault="00DA740A">
      <w:pPr>
        <w:rPr>
          <w:b/>
          <w:bCs/>
        </w:rPr>
      </w:pPr>
      <w:r>
        <w:rPr>
          <w:b/>
          <w:bCs/>
        </w:rPr>
        <w:t xml:space="preserve">Assets and </w:t>
      </w:r>
      <w:r w:rsidR="00C46043" w:rsidRPr="00F063E6">
        <w:rPr>
          <w:b/>
          <w:bCs/>
        </w:rPr>
        <w:t>Valuations</w:t>
      </w:r>
    </w:p>
    <w:p w14:paraId="78F64F53" w14:textId="3047B065" w:rsidR="00C46043" w:rsidRDefault="00C46043">
      <w:r>
        <w:t xml:space="preserve">The following assets will likely need professional valuation to find the total value of the estate due to their nature of fluctuating value </w:t>
      </w:r>
    </w:p>
    <w:p w14:paraId="40C1D105" w14:textId="350CB371" w:rsidR="00C46043" w:rsidRDefault="00C46043">
      <w:r>
        <w:t>- Investments, stock and bonds</w:t>
      </w:r>
    </w:p>
    <w:p w14:paraId="720D0F50" w14:textId="7713BF40" w:rsidR="00C46043" w:rsidRDefault="00C46043">
      <w:r>
        <w:t>- Residential property, property market fluctuations</w:t>
      </w:r>
    </w:p>
    <w:p w14:paraId="6080430A" w14:textId="4DBCA6CB" w:rsidR="00C46043" w:rsidRDefault="00C46043">
      <w:r>
        <w:t xml:space="preserve">- Jewellery, gold and silver valuation </w:t>
      </w:r>
    </w:p>
    <w:p w14:paraId="4B788C60" w14:textId="095833ED" w:rsidR="00C62143" w:rsidRDefault="00C62143">
      <w:r>
        <w:t xml:space="preserve">All valuations need to be undertaken as soon as possible to correctly facilitate Inheritance Tax calculations and value calculations for probate, </w:t>
      </w:r>
      <w:r w:rsidR="00222B31">
        <w:t xml:space="preserve">however if investments are held through an </w:t>
      </w:r>
      <w:proofErr w:type="gramStart"/>
      <w:r w:rsidR="00222B31">
        <w:t>ISA</w:t>
      </w:r>
      <w:proofErr w:type="gramEnd"/>
      <w:r w:rsidR="00222B31">
        <w:t xml:space="preserve"> they should be subject to on demand valuations</w:t>
      </w:r>
    </w:p>
    <w:p w14:paraId="0FB65B5B" w14:textId="5F8D2739" w:rsidR="00F063E6" w:rsidRPr="00F063E6" w:rsidRDefault="00F063E6">
      <w:pPr>
        <w:rPr>
          <w:b/>
          <w:bCs/>
        </w:rPr>
      </w:pPr>
      <w:r w:rsidRPr="00F063E6">
        <w:rPr>
          <w:b/>
          <w:bCs/>
        </w:rPr>
        <w:t>Estate Value</w:t>
      </w:r>
    </w:p>
    <w:p w14:paraId="72F9240E" w14:textId="0C7BAB7B" w:rsidR="00F063E6" w:rsidRDefault="00F063E6">
      <w:r>
        <w:t xml:space="preserve">- Value of estate for probate is gross value, meaning the total value of all assets before tax and liabilities are </w:t>
      </w:r>
      <w:r w:rsidR="00C62143">
        <w:t xml:space="preserve">removed </w:t>
      </w:r>
      <w:r>
        <w:t xml:space="preserve"> </w:t>
      </w:r>
    </w:p>
    <w:p w14:paraId="4E871355" w14:textId="3FC60969" w:rsidR="00F063E6" w:rsidRDefault="00F063E6">
      <w:r>
        <w:t xml:space="preserve">- Value of estate for </w:t>
      </w:r>
      <w:r w:rsidR="006B2DDB">
        <w:t>Inheritance Tax is net value</w:t>
      </w:r>
      <w:r w:rsidR="00C62143">
        <w:t>, meaning the total value of all assets after tax and liabilities are removed</w:t>
      </w:r>
    </w:p>
    <w:p w14:paraId="788D4700" w14:textId="2B08E27F" w:rsidR="00C62143" w:rsidRDefault="00DA740A">
      <w:r>
        <w:t xml:space="preserve">Under current taxation rules, Margaret’s estate will likely be tax exempt, as </w:t>
      </w:r>
      <w:r w:rsidR="00F02A98">
        <w:t xml:space="preserve">both the standard and residential nil-rate </w:t>
      </w:r>
      <w:r w:rsidR="001137A7">
        <w:t xml:space="preserve">tax bands that would have gone unused by Derek would be applied to Margaret’s estate, as property passed to a spouse is tax exempt. In total, the nil-rate threshold of Margaret’s estate would be £1,000,000 which well surpasses the total value of the estate, however, the residential nil-rate tax band would still fall below the total value of Margaret’s home, leaving it partially subject to inheritance tax, however, due to the property being passed directly to her children, the residential nil-rate tax band would increase to £500,000, or £1,150,000 inclusive of standard nil-rate tax bands, meaning that the entirety of the estate, from current estimates of value, would be exempt from inheritance tax </w:t>
      </w:r>
      <w:r w:rsidR="001137A7">
        <w:t>(How Inheritance Tax Works: Thresholds, Rules and Allowances, HM Government)</w:t>
      </w:r>
      <w:r w:rsidR="001137A7">
        <w:t xml:space="preserve">. </w:t>
      </w:r>
    </w:p>
    <w:p w14:paraId="3E6515B2" w14:textId="77777777" w:rsidR="00C46043" w:rsidRDefault="00C46043"/>
    <w:p w14:paraId="260F2DDE" w14:textId="603AC91B" w:rsidR="001137A7" w:rsidRDefault="001137A7">
      <w:r>
        <w:t>References</w:t>
      </w:r>
    </w:p>
    <w:p w14:paraId="612C4D70" w14:textId="5A69E4BE" w:rsidR="001137A7" w:rsidRDefault="00985830">
      <w:r>
        <w:t xml:space="preserve">His Majesty’s Revenue and Customs [HMRC] </w:t>
      </w:r>
      <w:r w:rsidRPr="00985830">
        <w:rPr>
          <w:i/>
          <w:iCs/>
        </w:rPr>
        <w:t>IHTM12072 – Succession; Wills; Revocation of a Will; By subsequent Will or codicil (England, Wales, and Northern Ireland)</w:t>
      </w:r>
      <w:r>
        <w:t xml:space="preserve"> available at: </w:t>
      </w:r>
      <w:hyperlink r:id="rId7" w:history="1">
        <w:r w:rsidRPr="006A0A8F">
          <w:rPr>
            <w:rStyle w:val="Hyperlink"/>
          </w:rPr>
          <w:t>https://www.gov.uk/hmrc-internal-manuals/inheritance-tax-manual/ihtm12072</w:t>
        </w:r>
      </w:hyperlink>
      <w:r w:rsidR="00CC092D">
        <w:t xml:space="preserve"> </w:t>
      </w:r>
      <w:r w:rsidR="00CC092D">
        <w:t>(Accessed: 15/05/26)</w:t>
      </w:r>
    </w:p>
    <w:p w14:paraId="5371B111" w14:textId="6E266A80" w:rsidR="00CC092D" w:rsidRDefault="00CC092D">
      <w:r>
        <w:lastRenderedPageBreak/>
        <w:t xml:space="preserve">His Majesty’s Revenue and Customs [HMRC] (2023) </w:t>
      </w:r>
      <w:r w:rsidRPr="00CC092D">
        <w:rPr>
          <w:i/>
          <w:iCs/>
        </w:rPr>
        <w:t>Register a trust as a trustee</w:t>
      </w:r>
      <w:r>
        <w:t xml:space="preserve"> available at: </w:t>
      </w:r>
      <w:hyperlink r:id="rId8" w:history="1">
        <w:r w:rsidRPr="006A0A8F">
          <w:rPr>
            <w:rStyle w:val="Hyperlink"/>
          </w:rPr>
          <w:t>https://www.gov.uk/guidance/register-a-trust-as-a-trustee#when-to-register-trusts-that-are-not-taxable</w:t>
        </w:r>
      </w:hyperlink>
      <w:r>
        <w:t xml:space="preserve"> </w:t>
      </w:r>
      <w:r>
        <w:t>(Accessed: 15/05/26)</w:t>
      </w:r>
    </w:p>
    <w:p w14:paraId="4DB1933F" w14:textId="3C7802AC" w:rsidR="00985830" w:rsidRDefault="00985830">
      <w:r>
        <w:t>S.9 Wills Act 1837</w:t>
      </w:r>
    </w:p>
    <w:p w14:paraId="42C93407" w14:textId="315D2C6E" w:rsidR="00985830" w:rsidRDefault="00985830">
      <w:r>
        <w:t xml:space="preserve">Bothamley v Sherson (1875) LR 20 </w:t>
      </w:r>
      <w:proofErr w:type="spellStart"/>
      <w:r>
        <w:t>Eq</w:t>
      </w:r>
      <w:proofErr w:type="spellEnd"/>
      <w:r>
        <w:t xml:space="preserve"> 304</w:t>
      </w:r>
    </w:p>
    <w:p w14:paraId="2ADF07A5" w14:textId="5C9EBE6B" w:rsidR="00985830" w:rsidRDefault="00985830">
      <w:r>
        <w:t>Re Macdougall (1927) 3 DLR 464</w:t>
      </w:r>
    </w:p>
    <w:p w14:paraId="6CD8EBBE" w14:textId="3FFD8EAA" w:rsidR="00985830" w:rsidRDefault="00985830">
      <w:r>
        <w:t>Ashburner v Maguire (1786) 2 Bro CC 108</w:t>
      </w:r>
    </w:p>
    <w:p w14:paraId="08DC74D0" w14:textId="7622B281" w:rsidR="00985830" w:rsidRDefault="00985830">
      <w:r>
        <w:t>s.51(1)(ix) Administration of Estates Act 1925</w:t>
      </w:r>
    </w:p>
    <w:p w14:paraId="6F1400EC" w14:textId="1BF4D70B" w:rsidR="00985830" w:rsidRDefault="00985830">
      <w:r>
        <w:t>s.33 Trustee Act 1925</w:t>
      </w:r>
    </w:p>
    <w:p w14:paraId="6EA2AE45" w14:textId="7E2685D7" w:rsidR="00040FF2" w:rsidRDefault="00040FF2">
      <w:r>
        <w:t>s.39 Trustee Act 1925</w:t>
      </w:r>
    </w:p>
    <w:p w14:paraId="31AAFECD" w14:textId="17BB0A7D" w:rsidR="00985830" w:rsidRDefault="00985830">
      <w:r>
        <w:t xml:space="preserve">Saunders v Vautier </w:t>
      </w:r>
      <w:r w:rsidR="00CC092D">
        <w:t>(1841) 41 ER 482</w:t>
      </w:r>
    </w:p>
    <w:p w14:paraId="4FF3B193" w14:textId="22A4071D" w:rsidR="00CC092D" w:rsidRDefault="00CC092D">
      <w:r>
        <w:t xml:space="preserve">His Majesty’s Government [gov.uk] </w:t>
      </w:r>
      <w:r w:rsidRPr="00CC092D">
        <w:rPr>
          <w:i/>
          <w:iCs/>
        </w:rPr>
        <w:t>How Inheritance Tax works; thresholds, rules and allowances</w:t>
      </w:r>
      <w:r>
        <w:rPr>
          <w:i/>
          <w:iCs/>
        </w:rPr>
        <w:t xml:space="preserve"> </w:t>
      </w:r>
      <w:r w:rsidRPr="00CC092D">
        <w:t>available at;</w:t>
      </w:r>
      <w:r>
        <w:t xml:space="preserve"> </w:t>
      </w:r>
      <w:hyperlink r:id="rId9" w:history="1">
        <w:r w:rsidRPr="006A0A8F">
          <w:rPr>
            <w:rStyle w:val="Hyperlink"/>
          </w:rPr>
          <w:t>https://www.gov.uk/inheritance-tax</w:t>
        </w:r>
      </w:hyperlink>
      <w:r>
        <w:t xml:space="preserve"> (Accessed: 15/05/26)</w:t>
      </w:r>
    </w:p>
    <w:p w14:paraId="57012A1E" w14:textId="7DAB0DC5" w:rsidR="00CC092D" w:rsidRDefault="00CC092D">
      <w:r>
        <w:t xml:space="preserve">His Majesty’s Government [gov.uk] </w:t>
      </w:r>
      <w:r w:rsidRPr="00CC092D">
        <w:rPr>
          <w:i/>
          <w:iCs/>
        </w:rPr>
        <w:t>Dealing with the estate of someone who’s died</w:t>
      </w:r>
      <w:r>
        <w:t xml:space="preserve"> available at: </w:t>
      </w:r>
      <w:hyperlink r:id="rId10" w:history="1">
        <w:r w:rsidRPr="006A0A8F">
          <w:rPr>
            <w:rStyle w:val="Hyperlink"/>
          </w:rPr>
          <w:t>https://www.gov.uk/probate-estate</w:t>
        </w:r>
      </w:hyperlink>
      <w:r>
        <w:t xml:space="preserve"> </w:t>
      </w:r>
      <w:r>
        <w:t>(Accessed: 15/05/26)</w:t>
      </w:r>
    </w:p>
    <w:p w14:paraId="2948F009" w14:textId="4DB8AE26" w:rsidR="00CC092D" w:rsidRDefault="00CC092D">
      <w:r>
        <w:t xml:space="preserve">His Majesty’s Government [gov.uk] </w:t>
      </w:r>
      <w:r w:rsidRPr="00CC092D">
        <w:rPr>
          <w:i/>
          <w:iCs/>
        </w:rPr>
        <w:t>Trusts and taxes</w:t>
      </w:r>
      <w:r>
        <w:t xml:space="preserve"> available at: </w:t>
      </w:r>
      <w:hyperlink r:id="rId11" w:history="1">
        <w:r w:rsidRPr="006A0A8F">
          <w:rPr>
            <w:rStyle w:val="Hyperlink"/>
          </w:rPr>
          <w:t>https://www.gov.uk/trusts-taxes/trustees-tax-responsibilities</w:t>
        </w:r>
      </w:hyperlink>
      <w:r>
        <w:t xml:space="preserve"> </w:t>
      </w:r>
      <w:r>
        <w:t>(Accessed: 15/05/26)</w:t>
      </w:r>
    </w:p>
    <w:p w14:paraId="47F54BA4" w14:textId="01CADC7A" w:rsidR="00CC092D" w:rsidRDefault="00CC092D">
      <w:r>
        <w:t>The Law Society</w:t>
      </w:r>
      <w:r w:rsidR="00040FF2">
        <w:t xml:space="preserve"> [N/A] </w:t>
      </w:r>
      <w:r w:rsidR="00040FF2" w:rsidRPr="00040FF2">
        <w:rPr>
          <w:i/>
          <w:iCs/>
        </w:rPr>
        <w:t>Trusts</w:t>
      </w:r>
      <w:r w:rsidR="00040FF2">
        <w:t xml:space="preserve"> available at: </w:t>
      </w:r>
      <w:hyperlink r:id="rId12" w:history="1">
        <w:r w:rsidR="00040FF2" w:rsidRPr="006A0A8F">
          <w:rPr>
            <w:rStyle w:val="Hyperlink"/>
          </w:rPr>
          <w:t>https://www.lawsociety.org.uk/public/for-public-visitors/common-legal-issues/trusts#h3-heading8</w:t>
        </w:r>
      </w:hyperlink>
      <w:r w:rsidR="00040FF2">
        <w:t xml:space="preserve"> </w:t>
      </w:r>
      <w:r w:rsidR="00040FF2">
        <w:t>(Accessed: 15/05/26)</w:t>
      </w:r>
    </w:p>
    <w:p w14:paraId="1B7FA411" w14:textId="6E59DA07" w:rsidR="00040FF2" w:rsidRDefault="00040FF2" w:rsidP="00040FF2">
      <w:r>
        <w:t xml:space="preserve">Solicitor’s Regulatory Authority [SRA] (2024) </w:t>
      </w:r>
      <w:r w:rsidRPr="00040FF2">
        <w:rPr>
          <w:i/>
          <w:iCs/>
        </w:rPr>
        <w:t xml:space="preserve">Code of Conduct </w:t>
      </w:r>
      <w:r w:rsidRPr="00040FF2">
        <w:rPr>
          <w:i/>
          <w:iCs/>
        </w:rPr>
        <w:t>for Solicitors, RELs, RFLs and RSLs</w:t>
      </w:r>
      <w:r>
        <w:t xml:space="preserve"> available at: </w:t>
      </w:r>
      <w:hyperlink r:id="rId13" w:history="1">
        <w:r w:rsidRPr="002E3075">
          <w:rPr>
            <w:rStyle w:val="Hyperlink"/>
          </w:rPr>
          <w:t>https://www.sra.org.uk/solicitors/standards-regulations/code-conduct-solicitors/</w:t>
        </w:r>
      </w:hyperlink>
      <w:r>
        <w:t xml:space="preserve"> </w:t>
      </w:r>
      <w:r>
        <w:t>(Accessed: 15/05/26)</w:t>
      </w:r>
    </w:p>
    <w:p w14:paraId="244DC55D" w14:textId="559E7463" w:rsidR="00040FF2" w:rsidRDefault="007C0AB4" w:rsidP="00040FF2">
      <w:r>
        <w:t>Solicitor’s Regulatory Authority [SRA]</w:t>
      </w:r>
      <w:r>
        <w:t xml:space="preserve"> (2018) </w:t>
      </w:r>
      <w:r w:rsidRPr="007C0AB4">
        <w:rPr>
          <w:i/>
          <w:iCs/>
        </w:rPr>
        <w:t>Price Transparency</w:t>
      </w:r>
      <w:r>
        <w:t xml:space="preserve"> available at: </w:t>
      </w:r>
      <w:hyperlink r:id="rId14" w:history="1">
        <w:r w:rsidRPr="002E3075">
          <w:rPr>
            <w:rStyle w:val="Hyperlink"/>
          </w:rPr>
          <w:t>https://www.sra.org.uk/solicitors/resources/fees/transparency-price-service/</w:t>
        </w:r>
      </w:hyperlink>
      <w:r>
        <w:t xml:space="preserve"> </w:t>
      </w:r>
      <w:r>
        <w:t>(Accessed: 15/05/26)</w:t>
      </w:r>
    </w:p>
    <w:p w14:paraId="50D41C6C" w14:textId="77777777" w:rsidR="007C0AB4" w:rsidRDefault="007C0AB4" w:rsidP="00040FF2"/>
    <w:p w14:paraId="524EE78E" w14:textId="77777777" w:rsidR="00040FF2" w:rsidRPr="00040FF2" w:rsidRDefault="00040FF2" w:rsidP="00040FF2"/>
    <w:p w14:paraId="65E12911" w14:textId="0AC5DB4C" w:rsidR="00040FF2" w:rsidRDefault="00040FF2"/>
    <w:p w14:paraId="5CE8EB3C" w14:textId="77777777" w:rsidR="00040FF2" w:rsidRDefault="00040FF2"/>
    <w:p w14:paraId="6D391AFC" w14:textId="77777777" w:rsidR="00CC092D" w:rsidRPr="00C46043" w:rsidRDefault="00CC092D"/>
    <w:sectPr w:rsidR="00CC092D" w:rsidRPr="00C46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655"/>
    <w:rsid w:val="00035AC7"/>
    <w:rsid w:val="00040FF2"/>
    <w:rsid w:val="0006503E"/>
    <w:rsid w:val="0007491F"/>
    <w:rsid w:val="000834C2"/>
    <w:rsid w:val="001137A7"/>
    <w:rsid w:val="001378E7"/>
    <w:rsid w:val="001C01D6"/>
    <w:rsid w:val="001E4C8A"/>
    <w:rsid w:val="00206448"/>
    <w:rsid w:val="00222B31"/>
    <w:rsid w:val="00261601"/>
    <w:rsid w:val="002A4EE0"/>
    <w:rsid w:val="002A5D7A"/>
    <w:rsid w:val="002B2D75"/>
    <w:rsid w:val="002C14B0"/>
    <w:rsid w:val="002E6EC4"/>
    <w:rsid w:val="003627AF"/>
    <w:rsid w:val="00374904"/>
    <w:rsid w:val="00376C50"/>
    <w:rsid w:val="003F023F"/>
    <w:rsid w:val="003F66E2"/>
    <w:rsid w:val="00432658"/>
    <w:rsid w:val="00444F19"/>
    <w:rsid w:val="0046461D"/>
    <w:rsid w:val="00470B68"/>
    <w:rsid w:val="004A2109"/>
    <w:rsid w:val="004C4A50"/>
    <w:rsid w:val="004C6637"/>
    <w:rsid w:val="00522594"/>
    <w:rsid w:val="00530EE8"/>
    <w:rsid w:val="0054388A"/>
    <w:rsid w:val="005522CF"/>
    <w:rsid w:val="005B0422"/>
    <w:rsid w:val="00603655"/>
    <w:rsid w:val="0060488B"/>
    <w:rsid w:val="006709BD"/>
    <w:rsid w:val="006A54BB"/>
    <w:rsid w:val="006B2DDB"/>
    <w:rsid w:val="006C7BD1"/>
    <w:rsid w:val="006D4435"/>
    <w:rsid w:val="00702405"/>
    <w:rsid w:val="007716BC"/>
    <w:rsid w:val="007772CC"/>
    <w:rsid w:val="007C0AB4"/>
    <w:rsid w:val="007D7663"/>
    <w:rsid w:val="007E23D9"/>
    <w:rsid w:val="007F488C"/>
    <w:rsid w:val="00822CC6"/>
    <w:rsid w:val="008558E9"/>
    <w:rsid w:val="008B0ADF"/>
    <w:rsid w:val="008F7FED"/>
    <w:rsid w:val="00985830"/>
    <w:rsid w:val="00990A50"/>
    <w:rsid w:val="009E1D72"/>
    <w:rsid w:val="009E5E84"/>
    <w:rsid w:val="00A50A58"/>
    <w:rsid w:val="00A76486"/>
    <w:rsid w:val="00AA77D4"/>
    <w:rsid w:val="00AB7271"/>
    <w:rsid w:val="00AC1F07"/>
    <w:rsid w:val="00AF1116"/>
    <w:rsid w:val="00AF3141"/>
    <w:rsid w:val="00B1287E"/>
    <w:rsid w:val="00B62B7F"/>
    <w:rsid w:val="00B760C2"/>
    <w:rsid w:val="00B944EF"/>
    <w:rsid w:val="00BB1AE8"/>
    <w:rsid w:val="00BC0728"/>
    <w:rsid w:val="00BE5A0B"/>
    <w:rsid w:val="00C12B38"/>
    <w:rsid w:val="00C20049"/>
    <w:rsid w:val="00C2034F"/>
    <w:rsid w:val="00C46043"/>
    <w:rsid w:val="00C62143"/>
    <w:rsid w:val="00C85290"/>
    <w:rsid w:val="00CA4781"/>
    <w:rsid w:val="00CB1DF7"/>
    <w:rsid w:val="00CC092D"/>
    <w:rsid w:val="00CD0F10"/>
    <w:rsid w:val="00CF2555"/>
    <w:rsid w:val="00D664A6"/>
    <w:rsid w:val="00DA1E8A"/>
    <w:rsid w:val="00DA3476"/>
    <w:rsid w:val="00DA740A"/>
    <w:rsid w:val="00DC4C28"/>
    <w:rsid w:val="00DC68D1"/>
    <w:rsid w:val="00DD38C1"/>
    <w:rsid w:val="00DF0CEE"/>
    <w:rsid w:val="00DF176E"/>
    <w:rsid w:val="00E12472"/>
    <w:rsid w:val="00E4192E"/>
    <w:rsid w:val="00E533AC"/>
    <w:rsid w:val="00E82FD1"/>
    <w:rsid w:val="00E86BA1"/>
    <w:rsid w:val="00EE6811"/>
    <w:rsid w:val="00EF442E"/>
    <w:rsid w:val="00F02A98"/>
    <w:rsid w:val="00F063E6"/>
    <w:rsid w:val="00F14B33"/>
    <w:rsid w:val="00F24AF6"/>
    <w:rsid w:val="00F40B64"/>
    <w:rsid w:val="00F51B9E"/>
    <w:rsid w:val="00F57CAC"/>
    <w:rsid w:val="00F62331"/>
    <w:rsid w:val="00F713D3"/>
    <w:rsid w:val="00F932C4"/>
    <w:rsid w:val="00FF7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A3B72"/>
  <w15:chartTrackingRefBased/>
  <w15:docId w15:val="{76FDA5D3-FA42-43B9-A2FC-F73A724C3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6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36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6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6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6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6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6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6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6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6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36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6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6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6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6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6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6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655"/>
    <w:rPr>
      <w:rFonts w:eastAsiaTheme="majorEastAsia" w:cstheme="majorBidi"/>
      <w:color w:val="272727" w:themeColor="text1" w:themeTint="D8"/>
    </w:rPr>
  </w:style>
  <w:style w:type="paragraph" w:styleId="Title">
    <w:name w:val="Title"/>
    <w:basedOn w:val="Normal"/>
    <w:next w:val="Normal"/>
    <w:link w:val="TitleChar"/>
    <w:uiPriority w:val="10"/>
    <w:qFormat/>
    <w:rsid w:val="006036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6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6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6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655"/>
    <w:pPr>
      <w:spacing w:before="160"/>
      <w:jc w:val="center"/>
    </w:pPr>
    <w:rPr>
      <w:i/>
      <w:iCs/>
      <w:color w:val="404040" w:themeColor="text1" w:themeTint="BF"/>
    </w:rPr>
  </w:style>
  <w:style w:type="character" w:customStyle="1" w:styleId="QuoteChar">
    <w:name w:val="Quote Char"/>
    <w:basedOn w:val="DefaultParagraphFont"/>
    <w:link w:val="Quote"/>
    <w:uiPriority w:val="29"/>
    <w:rsid w:val="00603655"/>
    <w:rPr>
      <w:i/>
      <w:iCs/>
      <w:color w:val="404040" w:themeColor="text1" w:themeTint="BF"/>
    </w:rPr>
  </w:style>
  <w:style w:type="paragraph" w:styleId="ListParagraph">
    <w:name w:val="List Paragraph"/>
    <w:basedOn w:val="Normal"/>
    <w:uiPriority w:val="34"/>
    <w:qFormat/>
    <w:rsid w:val="00603655"/>
    <w:pPr>
      <w:ind w:left="720"/>
      <w:contextualSpacing/>
    </w:pPr>
  </w:style>
  <w:style w:type="character" w:styleId="IntenseEmphasis">
    <w:name w:val="Intense Emphasis"/>
    <w:basedOn w:val="DefaultParagraphFont"/>
    <w:uiPriority w:val="21"/>
    <w:qFormat/>
    <w:rsid w:val="00603655"/>
    <w:rPr>
      <w:i/>
      <w:iCs/>
      <w:color w:val="0F4761" w:themeColor="accent1" w:themeShade="BF"/>
    </w:rPr>
  </w:style>
  <w:style w:type="paragraph" w:styleId="IntenseQuote">
    <w:name w:val="Intense Quote"/>
    <w:basedOn w:val="Normal"/>
    <w:next w:val="Normal"/>
    <w:link w:val="IntenseQuoteChar"/>
    <w:uiPriority w:val="30"/>
    <w:qFormat/>
    <w:rsid w:val="006036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655"/>
    <w:rPr>
      <w:i/>
      <w:iCs/>
      <w:color w:val="0F4761" w:themeColor="accent1" w:themeShade="BF"/>
    </w:rPr>
  </w:style>
  <w:style w:type="character" w:styleId="IntenseReference">
    <w:name w:val="Intense Reference"/>
    <w:basedOn w:val="DefaultParagraphFont"/>
    <w:uiPriority w:val="32"/>
    <w:qFormat/>
    <w:rsid w:val="00603655"/>
    <w:rPr>
      <w:b/>
      <w:bCs/>
      <w:smallCaps/>
      <w:color w:val="0F4761" w:themeColor="accent1" w:themeShade="BF"/>
      <w:spacing w:val="5"/>
    </w:rPr>
  </w:style>
  <w:style w:type="character" w:styleId="Hyperlink">
    <w:name w:val="Hyperlink"/>
    <w:basedOn w:val="DefaultParagraphFont"/>
    <w:uiPriority w:val="99"/>
    <w:unhideWhenUsed/>
    <w:rsid w:val="00985830"/>
    <w:rPr>
      <w:color w:val="467886" w:themeColor="hyperlink"/>
      <w:u w:val="single"/>
    </w:rPr>
  </w:style>
  <w:style w:type="character" w:styleId="UnresolvedMention">
    <w:name w:val="Unresolved Mention"/>
    <w:basedOn w:val="DefaultParagraphFont"/>
    <w:uiPriority w:val="99"/>
    <w:semiHidden/>
    <w:unhideWhenUsed/>
    <w:rsid w:val="009858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register-a-trust-as-a-trustee#when-to-register-trusts-that-are-not-taxable" TargetMode="External"/><Relationship Id="rId13" Type="http://schemas.openxmlformats.org/officeDocument/2006/relationships/hyperlink" Target="https://www.sra.org.uk/solicitors/standards-regulations/code-conduct-solicitors/" TargetMode="External"/><Relationship Id="rId3" Type="http://schemas.openxmlformats.org/officeDocument/2006/relationships/customXml" Target="../customXml/item3.xml"/><Relationship Id="rId7" Type="http://schemas.openxmlformats.org/officeDocument/2006/relationships/hyperlink" Target="https://www.gov.uk/hmrc-internal-manuals/inheritance-tax-manual/ihtm12072" TargetMode="External"/><Relationship Id="rId12" Type="http://schemas.openxmlformats.org/officeDocument/2006/relationships/hyperlink" Target="https://www.lawsociety.org.uk/public/for-public-visitors/common-legal-issues/trusts#h3-heading8"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trusts-taxes/trustees-tax-responsibilitie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gov.uk/probate-estate" TargetMode="External"/><Relationship Id="rId4" Type="http://schemas.openxmlformats.org/officeDocument/2006/relationships/styles" Target="styles.xml"/><Relationship Id="rId9" Type="http://schemas.openxmlformats.org/officeDocument/2006/relationships/hyperlink" Target="https://www.gov.uk/inheritance-tax" TargetMode="External"/><Relationship Id="rId14" Type="http://schemas.openxmlformats.org/officeDocument/2006/relationships/hyperlink" Target="https://www.sra.org.uk/solicitors/resources/fees/transparency-pric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8d75ba1a1879be67972bc35cd10d92a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144ccd26d9ba2e2a13c982885c5a583"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4C9733-5A30-46A3-BBF0-CAAACB0846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22316C-F4F2-4D1D-9FA2-88A00286FE44}">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D1E83E28-49AF-4923-B8C6-D5759BBA3D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1941</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 (2305593)</dc:creator>
  <cp:keywords/>
  <dc:description/>
  <cp:lastModifiedBy>Gabrial Harris (2305593)</cp:lastModifiedBy>
  <cp:revision>2</cp:revision>
  <dcterms:created xsi:type="dcterms:W3CDTF">2026-05-15T22:53:00Z</dcterms:created>
  <dcterms:modified xsi:type="dcterms:W3CDTF">2026-05-15T22:53:00Z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