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747947973"/>
        <w:docPartObj>
          <w:docPartGallery w:val="Cover Pages"/>
          <w:docPartUnique/>
        </w:docPartObj>
      </w:sdtPr>
      <w:sdtEndPr>
        <w:rPr>
          <w:color w:val="auto"/>
        </w:rPr>
      </w:sdtEndPr>
      <w:sdtContent>
        <w:p w14:paraId="340C24B7" w14:textId="78D985A3" w:rsidR="008F6AF9" w:rsidRDefault="008F6AF9">
          <w:pPr>
            <w:pStyle w:val="NoSpacing"/>
            <w:spacing w:before="1540" w:after="240"/>
            <w:jc w:val="center"/>
            <w:rPr>
              <w:color w:val="4472C4" w:themeColor="accent1"/>
            </w:rPr>
          </w:pPr>
          <w:r>
            <w:rPr>
              <w:noProof/>
              <w:color w:val="4472C4" w:themeColor="accent1"/>
            </w:rPr>
            <w:drawing>
              <wp:inline distT="0" distB="0" distL="0" distR="0" wp14:anchorId="491B4CB2" wp14:editId="375A189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51847CFBD840A4835BD69BBD7C872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E941BE" w14:textId="30086F94" w:rsidR="008F6AF9" w:rsidRDefault="00CE06B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Minimum energy efficiency standards</w:t>
              </w:r>
            </w:p>
          </w:sdtContent>
        </w:sdt>
        <w:sdt>
          <w:sdtPr>
            <w:rPr>
              <w:color w:val="4472C4" w:themeColor="accent1"/>
              <w:sz w:val="28"/>
              <w:szCs w:val="28"/>
            </w:rPr>
            <w:alias w:val="Subtitle"/>
            <w:tag w:val=""/>
            <w:id w:val="328029620"/>
            <w:placeholder>
              <w:docPart w:val="7D5146DF984140198818FB555B1DB0B2"/>
            </w:placeholder>
            <w:dataBinding w:prefixMappings="xmlns:ns0='http://purl.org/dc/elements/1.1/' xmlns:ns1='http://schemas.openxmlformats.org/package/2006/metadata/core-properties' " w:xpath="/ns1:coreProperties[1]/ns0:subject[1]" w:storeItemID="{6C3C8BC8-F283-45AE-878A-BAB7291924A1}"/>
            <w:text/>
          </w:sdtPr>
          <w:sdtContent>
            <w:p w14:paraId="1F8BF7E2" w14:textId="30F93542" w:rsidR="008F6AF9" w:rsidRDefault="004C602A">
              <w:pPr>
                <w:pStyle w:val="NoSpacing"/>
                <w:jc w:val="center"/>
                <w:rPr>
                  <w:color w:val="4472C4" w:themeColor="accent1"/>
                  <w:sz w:val="28"/>
                  <w:szCs w:val="28"/>
                </w:rPr>
              </w:pPr>
              <w:r>
                <w:rPr>
                  <w:color w:val="4472C4" w:themeColor="accent1"/>
                  <w:sz w:val="28"/>
                  <w:szCs w:val="28"/>
                </w:rPr>
                <w:t>The effect of MEES on the private rental sector</w:t>
              </w:r>
            </w:p>
          </w:sdtContent>
        </w:sdt>
        <w:p w14:paraId="57B1551E" w14:textId="77777777" w:rsidR="008F6AF9" w:rsidRDefault="008F6AF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66F119C" wp14:editId="3E0347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D92648" w14:textId="2A368CEE" w:rsidR="008F6AF9" w:rsidRDefault="000B6310">
                                    <w:pPr>
                                      <w:pStyle w:val="NoSpacing"/>
                                      <w:spacing w:after="40"/>
                                      <w:jc w:val="center"/>
                                      <w:rPr>
                                        <w:caps/>
                                        <w:color w:val="4472C4" w:themeColor="accent1"/>
                                        <w:sz w:val="28"/>
                                        <w:szCs w:val="28"/>
                                      </w:rPr>
                                    </w:pPr>
                                    <w:r>
                                      <w:rPr>
                                        <w:caps/>
                                        <w:color w:val="4472C4" w:themeColor="accent1"/>
                                        <w:sz w:val="28"/>
                                        <w:szCs w:val="28"/>
                                      </w:rPr>
                                      <w:t>Eleanor Black</w:t>
                                    </w:r>
                                  </w:p>
                                </w:sdtContent>
                              </w:sdt>
                              <w:p w14:paraId="009E58C0" w14:textId="625F0954" w:rsidR="008F6AF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B6310">
                                      <w:rPr>
                                        <w:caps/>
                                        <w:color w:val="4472C4" w:themeColor="accent1"/>
                                      </w:rPr>
                                      <w:t>12/11/2023</w:t>
                                    </w:r>
                                  </w:sdtContent>
                                </w:sdt>
                              </w:p>
                              <w:p w14:paraId="55BF60E4" w14:textId="4483E42B" w:rsidR="008F6AF9"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B6310">
                                      <w:rPr>
                                        <w:color w:val="4472C4" w:themeColor="accent1"/>
                                      </w:rPr>
                                      <w:t>ABCA 5</w:t>
                                    </w:r>
                                    <w:r w:rsidR="00604E9D">
                                      <w:rPr>
                                        <w:color w:val="4472C4" w:themeColor="accent1"/>
                                      </w:rPr>
                                      <w:t>009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6F119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D92648" w14:textId="2A368CEE" w:rsidR="008F6AF9" w:rsidRDefault="000B6310">
                              <w:pPr>
                                <w:pStyle w:val="NoSpacing"/>
                                <w:spacing w:after="40"/>
                                <w:jc w:val="center"/>
                                <w:rPr>
                                  <w:caps/>
                                  <w:color w:val="4472C4" w:themeColor="accent1"/>
                                  <w:sz w:val="28"/>
                                  <w:szCs w:val="28"/>
                                </w:rPr>
                              </w:pPr>
                              <w:r>
                                <w:rPr>
                                  <w:caps/>
                                  <w:color w:val="4472C4" w:themeColor="accent1"/>
                                  <w:sz w:val="28"/>
                                  <w:szCs w:val="28"/>
                                </w:rPr>
                                <w:t>Eleanor Black</w:t>
                              </w:r>
                            </w:p>
                          </w:sdtContent>
                        </w:sdt>
                        <w:p w14:paraId="009E58C0" w14:textId="625F0954" w:rsidR="008F6AF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B6310">
                                <w:rPr>
                                  <w:caps/>
                                  <w:color w:val="4472C4" w:themeColor="accent1"/>
                                </w:rPr>
                                <w:t>12/11/2023</w:t>
                              </w:r>
                            </w:sdtContent>
                          </w:sdt>
                        </w:p>
                        <w:p w14:paraId="55BF60E4" w14:textId="4483E42B" w:rsidR="008F6AF9"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B6310">
                                <w:rPr>
                                  <w:color w:val="4472C4" w:themeColor="accent1"/>
                                </w:rPr>
                                <w:t>ABCA 5</w:t>
                              </w:r>
                              <w:r w:rsidR="00604E9D">
                                <w:rPr>
                                  <w:color w:val="4472C4" w:themeColor="accent1"/>
                                </w:rPr>
                                <w:t>009</w:t>
                              </w:r>
                            </w:sdtContent>
                          </w:sdt>
                        </w:p>
                      </w:txbxContent>
                    </v:textbox>
                    <w10:wrap anchorx="margin" anchory="page"/>
                  </v:shape>
                </w:pict>
              </mc:Fallback>
            </mc:AlternateContent>
          </w:r>
          <w:r>
            <w:rPr>
              <w:noProof/>
              <w:color w:val="4472C4" w:themeColor="accent1"/>
            </w:rPr>
            <w:drawing>
              <wp:inline distT="0" distB="0" distL="0" distR="0" wp14:anchorId="1EDE555B" wp14:editId="527D544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61D01A" w14:textId="4638A03F" w:rsidR="008F6AF9" w:rsidRDefault="008F6AF9">
          <w:r>
            <w:br w:type="page"/>
          </w:r>
        </w:p>
      </w:sdtContent>
    </w:sdt>
    <w:p w14:paraId="38783C39" w14:textId="136AE3BA" w:rsidR="003620AA" w:rsidRDefault="003620AA" w:rsidP="003620AA">
      <w:pPr>
        <w:jc w:val="center"/>
        <w:rPr>
          <w:color w:val="0070C0"/>
          <w:sz w:val="40"/>
          <w:szCs w:val="40"/>
        </w:rPr>
      </w:pPr>
      <w:r w:rsidRPr="003620AA">
        <w:rPr>
          <w:color w:val="0070C0"/>
          <w:sz w:val="40"/>
          <w:szCs w:val="40"/>
        </w:rPr>
        <w:lastRenderedPageBreak/>
        <w:t>CONTENTS</w:t>
      </w:r>
    </w:p>
    <w:p w14:paraId="074BDB91" w14:textId="77777777" w:rsidR="003620AA" w:rsidRDefault="003620AA" w:rsidP="003620AA">
      <w:pPr>
        <w:jc w:val="center"/>
        <w:rPr>
          <w:color w:val="0070C0"/>
          <w:sz w:val="40"/>
          <w:szCs w:val="40"/>
        </w:rPr>
      </w:pPr>
    </w:p>
    <w:p w14:paraId="31662704" w14:textId="7617977A" w:rsidR="003620AA" w:rsidRDefault="00921D0F" w:rsidP="003C71F6">
      <w:pPr>
        <w:jc w:val="center"/>
        <w:rPr>
          <w:color w:val="0070C0"/>
          <w:sz w:val="28"/>
          <w:szCs w:val="28"/>
        </w:rPr>
      </w:pPr>
      <w:r>
        <w:rPr>
          <w:color w:val="0070C0"/>
          <w:sz w:val="28"/>
          <w:szCs w:val="28"/>
        </w:rPr>
        <w:t>1.0</w:t>
      </w:r>
      <w:r>
        <w:rPr>
          <w:color w:val="0070C0"/>
          <w:sz w:val="28"/>
          <w:szCs w:val="28"/>
        </w:rPr>
        <w:tab/>
      </w:r>
      <w:r w:rsidR="003620AA">
        <w:rPr>
          <w:color w:val="0070C0"/>
          <w:sz w:val="28"/>
          <w:szCs w:val="28"/>
        </w:rPr>
        <w:t xml:space="preserve">Aim </w:t>
      </w:r>
      <w:r w:rsidR="00A510C0">
        <w:rPr>
          <w:color w:val="0070C0"/>
          <w:sz w:val="28"/>
          <w:szCs w:val="28"/>
        </w:rPr>
        <w:tab/>
      </w:r>
      <w:r w:rsidR="00A510C0">
        <w:rPr>
          <w:color w:val="0070C0"/>
          <w:sz w:val="28"/>
          <w:szCs w:val="28"/>
        </w:rPr>
        <w:tab/>
      </w:r>
      <w:r w:rsidR="003620AA">
        <w:rPr>
          <w:color w:val="0070C0"/>
          <w:sz w:val="28"/>
          <w:szCs w:val="28"/>
        </w:rPr>
        <w:tab/>
      </w:r>
      <w:r w:rsidR="000D523E">
        <w:rPr>
          <w:color w:val="0070C0"/>
          <w:sz w:val="28"/>
          <w:szCs w:val="28"/>
        </w:rPr>
        <w:t xml:space="preserve">Page </w:t>
      </w:r>
      <w:r w:rsidR="00BF14B8">
        <w:rPr>
          <w:color w:val="0070C0"/>
          <w:sz w:val="28"/>
          <w:szCs w:val="28"/>
        </w:rPr>
        <w:t>2</w:t>
      </w:r>
    </w:p>
    <w:p w14:paraId="0FD87725" w14:textId="12E5DC36" w:rsidR="00A510C0" w:rsidRPr="00E962B8" w:rsidRDefault="00DA2CF5" w:rsidP="00E962B8">
      <w:pPr>
        <w:pStyle w:val="ListParagraph"/>
        <w:numPr>
          <w:ilvl w:val="0"/>
          <w:numId w:val="2"/>
        </w:numPr>
        <w:jc w:val="center"/>
        <w:rPr>
          <w:color w:val="0070C0"/>
          <w:sz w:val="20"/>
          <w:szCs w:val="20"/>
        </w:rPr>
      </w:pPr>
      <w:r>
        <w:rPr>
          <w:color w:val="0070C0"/>
          <w:sz w:val="20"/>
          <w:szCs w:val="20"/>
        </w:rPr>
        <w:t xml:space="preserve">1.1 </w:t>
      </w:r>
      <w:r>
        <w:rPr>
          <w:color w:val="0070C0"/>
          <w:sz w:val="20"/>
          <w:szCs w:val="20"/>
        </w:rPr>
        <w:tab/>
        <w:t>Objectives</w:t>
      </w:r>
      <w:r>
        <w:rPr>
          <w:color w:val="0070C0"/>
          <w:sz w:val="20"/>
          <w:szCs w:val="20"/>
        </w:rPr>
        <w:tab/>
      </w:r>
      <w:r w:rsidR="00E962B8">
        <w:rPr>
          <w:color w:val="0070C0"/>
          <w:sz w:val="20"/>
          <w:szCs w:val="20"/>
        </w:rPr>
        <w:t>Page 2</w:t>
      </w:r>
      <w:r w:rsidR="00E962B8">
        <w:rPr>
          <w:color w:val="0070C0"/>
          <w:sz w:val="20"/>
          <w:szCs w:val="20"/>
        </w:rPr>
        <w:tab/>
      </w:r>
    </w:p>
    <w:p w14:paraId="20AD1BF8" w14:textId="5295CAE6" w:rsidR="00B5151F" w:rsidRDefault="00E962B8" w:rsidP="00921D0F">
      <w:pPr>
        <w:jc w:val="center"/>
        <w:rPr>
          <w:color w:val="0070C0"/>
          <w:sz w:val="28"/>
          <w:szCs w:val="28"/>
        </w:rPr>
      </w:pPr>
      <w:r>
        <w:rPr>
          <w:color w:val="0070C0"/>
          <w:sz w:val="28"/>
          <w:szCs w:val="28"/>
        </w:rPr>
        <w:t>2.0</w:t>
      </w:r>
      <w:r>
        <w:rPr>
          <w:color w:val="0070C0"/>
          <w:sz w:val="28"/>
          <w:szCs w:val="28"/>
        </w:rPr>
        <w:tab/>
      </w:r>
      <w:r w:rsidR="00B5151F">
        <w:rPr>
          <w:color w:val="0070C0"/>
          <w:sz w:val="28"/>
          <w:szCs w:val="28"/>
        </w:rPr>
        <w:t>Introduction</w:t>
      </w:r>
      <w:r w:rsidR="00B5151F">
        <w:rPr>
          <w:color w:val="0070C0"/>
          <w:sz w:val="28"/>
          <w:szCs w:val="28"/>
        </w:rPr>
        <w:tab/>
      </w:r>
      <w:r w:rsidR="00B5151F">
        <w:rPr>
          <w:color w:val="0070C0"/>
          <w:sz w:val="28"/>
          <w:szCs w:val="28"/>
        </w:rPr>
        <w:tab/>
      </w:r>
      <w:r w:rsidR="00F52DD3">
        <w:rPr>
          <w:color w:val="0070C0"/>
          <w:sz w:val="28"/>
          <w:szCs w:val="28"/>
        </w:rPr>
        <w:t xml:space="preserve">Page </w:t>
      </w:r>
      <w:r w:rsidR="00BF14B8">
        <w:rPr>
          <w:color w:val="0070C0"/>
          <w:sz w:val="28"/>
          <w:szCs w:val="28"/>
        </w:rPr>
        <w:t>3</w:t>
      </w:r>
    </w:p>
    <w:p w14:paraId="5DDC5084" w14:textId="0F31CCAE" w:rsidR="00F52DD3" w:rsidRDefault="00747787" w:rsidP="003620AA">
      <w:pPr>
        <w:jc w:val="center"/>
        <w:rPr>
          <w:color w:val="0070C0"/>
          <w:sz w:val="28"/>
          <w:szCs w:val="28"/>
        </w:rPr>
      </w:pPr>
      <w:r>
        <w:rPr>
          <w:color w:val="0070C0"/>
          <w:sz w:val="28"/>
          <w:szCs w:val="28"/>
        </w:rPr>
        <w:t xml:space="preserve">3.0 </w:t>
      </w:r>
      <w:r>
        <w:rPr>
          <w:color w:val="0070C0"/>
          <w:sz w:val="28"/>
          <w:szCs w:val="28"/>
        </w:rPr>
        <w:tab/>
      </w:r>
      <w:r w:rsidR="00F52DD3">
        <w:rPr>
          <w:color w:val="0070C0"/>
          <w:sz w:val="28"/>
          <w:szCs w:val="28"/>
        </w:rPr>
        <w:t>Main body</w:t>
      </w:r>
      <w:r w:rsidR="00F52DD3">
        <w:rPr>
          <w:color w:val="0070C0"/>
          <w:sz w:val="28"/>
          <w:szCs w:val="28"/>
        </w:rPr>
        <w:tab/>
      </w:r>
      <w:r w:rsidR="00F52DD3">
        <w:rPr>
          <w:color w:val="0070C0"/>
          <w:sz w:val="28"/>
          <w:szCs w:val="28"/>
        </w:rPr>
        <w:tab/>
        <w:t xml:space="preserve">Page </w:t>
      </w:r>
      <w:r w:rsidR="002F32D5">
        <w:rPr>
          <w:color w:val="0070C0"/>
          <w:sz w:val="28"/>
          <w:szCs w:val="28"/>
        </w:rPr>
        <w:t>4</w:t>
      </w:r>
    </w:p>
    <w:p w14:paraId="7C15125D" w14:textId="36D384EF" w:rsidR="002F32D5" w:rsidRDefault="00747787" w:rsidP="003620AA">
      <w:pPr>
        <w:jc w:val="center"/>
        <w:rPr>
          <w:color w:val="0070C0"/>
          <w:sz w:val="28"/>
          <w:szCs w:val="28"/>
        </w:rPr>
      </w:pPr>
      <w:r>
        <w:rPr>
          <w:color w:val="0070C0"/>
          <w:sz w:val="28"/>
          <w:szCs w:val="28"/>
        </w:rPr>
        <w:t>4.0</w:t>
      </w:r>
      <w:r>
        <w:rPr>
          <w:color w:val="0070C0"/>
          <w:sz w:val="28"/>
          <w:szCs w:val="28"/>
        </w:rPr>
        <w:tab/>
      </w:r>
      <w:r w:rsidR="002F32D5">
        <w:rPr>
          <w:color w:val="0070C0"/>
          <w:sz w:val="28"/>
          <w:szCs w:val="28"/>
        </w:rPr>
        <w:t xml:space="preserve">Conclusion </w:t>
      </w:r>
      <w:r w:rsidR="002F32D5">
        <w:rPr>
          <w:color w:val="0070C0"/>
          <w:sz w:val="28"/>
          <w:szCs w:val="28"/>
        </w:rPr>
        <w:tab/>
      </w:r>
      <w:r w:rsidR="002F32D5">
        <w:rPr>
          <w:color w:val="0070C0"/>
          <w:sz w:val="28"/>
          <w:szCs w:val="28"/>
        </w:rPr>
        <w:tab/>
        <w:t>Page 5</w:t>
      </w:r>
    </w:p>
    <w:p w14:paraId="575A51F8" w14:textId="3583A3EA" w:rsidR="002F32D5" w:rsidRDefault="00747787" w:rsidP="003620AA">
      <w:pPr>
        <w:jc w:val="center"/>
        <w:rPr>
          <w:color w:val="0070C0"/>
          <w:sz w:val="28"/>
          <w:szCs w:val="28"/>
        </w:rPr>
      </w:pPr>
      <w:r>
        <w:rPr>
          <w:color w:val="0070C0"/>
          <w:sz w:val="28"/>
          <w:szCs w:val="28"/>
        </w:rPr>
        <w:t>5.0</w:t>
      </w:r>
      <w:r>
        <w:rPr>
          <w:color w:val="0070C0"/>
          <w:sz w:val="28"/>
          <w:szCs w:val="28"/>
        </w:rPr>
        <w:tab/>
      </w:r>
      <w:r w:rsidR="002F32D5">
        <w:rPr>
          <w:color w:val="0070C0"/>
          <w:sz w:val="28"/>
          <w:szCs w:val="28"/>
        </w:rPr>
        <w:t>Reference List</w:t>
      </w:r>
      <w:r w:rsidR="002F32D5">
        <w:rPr>
          <w:color w:val="0070C0"/>
          <w:sz w:val="28"/>
          <w:szCs w:val="28"/>
        </w:rPr>
        <w:tab/>
        <w:t>Page 6</w:t>
      </w:r>
    </w:p>
    <w:p w14:paraId="137CD1E3" w14:textId="5E141A79" w:rsidR="002F32D5" w:rsidRPr="003620AA" w:rsidRDefault="00747787" w:rsidP="003620AA">
      <w:pPr>
        <w:jc w:val="center"/>
        <w:rPr>
          <w:color w:val="0070C0"/>
          <w:sz w:val="28"/>
          <w:szCs w:val="28"/>
        </w:rPr>
      </w:pPr>
      <w:r>
        <w:rPr>
          <w:color w:val="0070C0"/>
          <w:sz w:val="28"/>
          <w:szCs w:val="28"/>
        </w:rPr>
        <w:t>6.0</w:t>
      </w:r>
      <w:r>
        <w:rPr>
          <w:color w:val="0070C0"/>
          <w:sz w:val="28"/>
          <w:szCs w:val="28"/>
        </w:rPr>
        <w:tab/>
      </w:r>
      <w:r w:rsidR="002F32D5">
        <w:rPr>
          <w:color w:val="0070C0"/>
          <w:sz w:val="28"/>
          <w:szCs w:val="28"/>
        </w:rPr>
        <w:t>Appendices</w:t>
      </w:r>
      <w:r w:rsidR="002F32D5">
        <w:rPr>
          <w:color w:val="0070C0"/>
          <w:sz w:val="28"/>
          <w:szCs w:val="28"/>
        </w:rPr>
        <w:tab/>
      </w:r>
      <w:r w:rsidR="002F32D5">
        <w:rPr>
          <w:color w:val="0070C0"/>
          <w:sz w:val="28"/>
          <w:szCs w:val="28"/>
        </w:rPr>
        <w:tab/>
        <w:t>Page 7</w:t>
      </w:r>
    </w:p>
    <w:p w14:paraId="7A7B5EAC" w14:textId="77777777" w:rsidR="003620AA" w:rsidRDefault="003620AA">
      <w:r>
        <w:br w:type="page"/>
      </w:r>
    </w:p>
    <w:p w14:paraId="35598E90" w14:textId="4F1BF550" w:rsidR="004321E2" w:rsidRPr="00CE06BE" w:rsidRDefault="007546D7" w:rsidP="00B33DA0">
      <w:pPr>
        <w:rPr>
          <w:color w:val="0070C0"/>
          <w:sz w:val="24"/>
          <w:szCs w:val="24"/>
        </w:rPr>
      </w:pPr>
      <w:r w:rsidRPr="0065193B">
        <w:rPr>
          <w:color w:val="0070C0"/>
          <w:sz w:val="18"/>
          <w:szCs w:val="18"/>
        </w:rPr>
        <w:lastRenderedPageBreak/>
        <w:t>[</w:t>
      </w:r>
      <w:r w:rsidR="004321E2" w:rsidRPr="0065193B">
        <w:rPr>
          <w:color w:val="0070C0"/>
          <w:sz w:val="18"/>
          <w:szCs w:val="18"/>
        </w:rPr>
        <w:t>1.0</w:t>
      </w:r>
      <w:r w:rsidRPr="0065193B">
        <w:rPr>
          <w:color w:val="0070C0"/>
          <w:sz w:val="18"/>
          <w:szCs w:val="18"/>
        </w:rPr>
        <w:t>]</w:t>
      </w:r>
      <w:r w:rsidR="00CE06BE">
        <w:rPr>
          <w:color w:val="0070C0"/>
          <w:sz w:val="18"/>
          <w:szCs w:val="18"/>
        </w:rPr>
        <w:t xml:space="preserve"> </w:t>
      </w:r>
      <w:r w:rsidR="00CE06BE">
        <w:rPr>
          <w:color w:val="0070C0"/>
          <w:sz w:val="24"/>
          <w:szCs w:val="24"/>
        </w:rPr>
        <w:t>Aim</w:t>
      </w:r>
    </w:p>
    <w:p w14:paraId="7563017B" w14:textId="77777777" w:rsidR="007546D7" w:rsidRDefault="00B33DA0" w:rsidP="00B33DA0">
      <w:r>
        <w:t>To summarise the existing knowledge of Minimum Energy Efficiency Standards (MEES) to understand the benefits and setbacks for both tenants and landlords in the private rented sector.</w:t>
      </w:r>
    </w:p>
    <w:p w14:paraId="14681FC5" w14:textId="7E9ED8F2" w:rsidR="00B33DA0" w:rsidRPr="00CE06BE" w:rsidRDefault="007546D7" w:rsidP="00B33DA0">
      <w:pPr>
        <w:rPr>
          <w:color w:val="0070C0"/>
          <w:sz w:val="20"/>
          <w:szCs w:val="20"/>
        </w:rPr>
      </w:pPr>
      <w:r w:rsidRPr="0065193B">
        <w:rPr>
          <w:color w:val="0070C0"/>
          <w:sz w:val="18"/>
          <w:szCs w:val="18"/>
        </w:rPr>
        <w:t>[1.1]</w:t>
      </w:r>
      <w:r w:rsidR="00CE06BE">
        <w:rPr>
          <w:color w:val="0070C0"/>
          <w:sz w:val="18"/>
          <w:szCs w:val="18"/>
        </w:rPr>
        <w:t xml:space="preserve"> </w:t>
      </w:r>
      <w:r w:rsidR="00CE06BE">
        <w:rPr>
          <w:color w:val="0070C0"/>
          <w:sz w:val="20"/>
          <w:szCs w:val="20"/>
        </w:rPr>
        <w:t>Objectives</w:t>
      </w:r>
    </w:p>
    <w:p w14:paraId="79978FE5" w14:textId="77777777" w:rsidR="00B33DA0" w:rsidRDefault="00B33DA0" w:rsidP="00B33DA0">
      <w:pPr>
        <w:pStyle w:val="ListParagraph"/>
        <w:numPr>
          <w:ilvl w:val="0"/>
          <w:numId w:val="1"/>
        </w:numPr>
      </w:pPr>
      <w:r>
        <w:t>To recognise the MEES legislature and how this is implemented in England and Wales.</w:t>
      </w:r>
    </w:p>
    <w:p w14:paraId="46784166" w14:textId="77777777" w:rsidR="00B33DA0" w:rsidRDefault="00B33DA0" w:rsidP="00B33DA0">
      <w:pPr>
        <w:pStyle w:val="ListParagraph"/>
        <w:numPr>
          <w:ilvl w:val="0"/>
          <w:numId w:val="1"/>
        </w:numPr>
      </w:pPr>
      <w:r>
        <w:t>To investigate why MEES is required to reduce fuel poverty in England and Wales.</w:t>
      </w:r>
    </w:p>
    <w:p w14:paraId="5FCAE6B7" w14:textId="4A408CE9" w:rsidR="002E58B2" w:rsidRDefault="00B33DA0" w:rsidP="00DD0567">
      <w:pPr>
        <w:pStyle w:val="ListParagraph"/>
        <w:numPr>
          <w:ilvl w:val="0"/>
          <w:numId w:val="1"/>
        </w:numPr>
      </w:pPr>
      <w:r>
        <w:t>To analyse the link between EPC rating and fuel poverty.</w:t>
      </w:r>
    </w:p>
    <w:p w14:paraId="617BEE28" w14:textId="77777777" w:rsidR="007546D7" w:rsidRDefault="007546D7"/>
    <w:p w14:paraId="5AD0441C" w14:textId="10A90405" w:rsidR="007546D7" w:rsidRPr="004674AA" w:rsidRDefault="0065193B">
      <w:pPr>
        <w:rPr>
          <w:color w:val="0070C0"/>
          <w:sz w:val="24"/>
          <w:szCs w:val="24"/>
        </w:rPr>
      </w:pPr>
      <w:r w:rsidRPr="0065193B">
        <w:rPr>
          <w:color w:val="0070C0"/>
          <w:sz w:val="18"/>
          <w:szCs w:val="18"/>
        </w:rPr>
        <w:t>[2.0]</w:t>
      </w:r>
      <w:r w:rsidR="00CE06BE">
        <w:rPr>
          <w:color w:val="0070C0"/>
          <w:sz w:val="18"/>
          <w:szCs w:val="18"/>
        </w:rPr>
        <w:t xml:space="preserve"> </w:t>
      </w:r>
      <w:r w:rsidR="004674AA">
        <w:rPr>
          <w:color w:val="0070C0"/>
          <w:sz w:val="24"/>
          <w:szCs w:val="24"/>
        </w:rPr>
        <w:t>Introduction</w:t>
      </w:r>
    </w:p>
    <w:p w14:paraId="05A8CE74" w14:textId="6A6C60F3" w:rsidR="007E56C6" w:rsidRDefault="00505556">
      <w:r>
        <w:t>The concept of Energy Performance Certificates (EPCs) was first introduced in 2003 by the Energy Performance of Buildings Directive (EPBD). This was an EU initiative with the aim to reduce the amount of energy used by buildings, whilst improving the energy efficiency. This concept was formally introduced in the UK in 2007 through EPCs</w:t>
      </w:r>
      <w:r w:rsidR="00FF6365">
        <w:t xml:space="preserve"> (Smith, 2019)</w:t>
      </w:r>
      <w:r>
        <w:t xml:space="preserve"> The certificate provides a brief assessment on how efficient a building is in terms of energy usage, </w:t>
      </w:r>
      <w:proofErr w:type="gramStart"/>
      <w:r w:rsidR="00FF6365">
        <w:t>taking into account</w:t>
      </w:r>
      <w:proofErr w:type="gramEnd"/>
      <w:r w:rsidR="00FF6365">
        <w:t xml:space="preserve"> </w:t>
      </w:r>
      <w:r>
        <w:t xml:space="preserve">insulation levels, heating systems and property age. </w:t>
      </w:r>
      <w:r w:rsidR="009344A3">
        <w:t>It also gives recommendations on how to improve energy efficiency, the costs associated with implementing them and the savings once done.</w:t>
      </w:r>
      <w:r w:rsidR="00FF6365">
        <w:t xml:space="preserve"> EPCs have a scale from A to G with A being the most energy efficient and G being the worst. Within these rating there are numbers, for example A100 to A92 and G1 to G20. Most properties in England and Wales fall in the D category. </w:t>
      </w:r>
    </w:p>
    <w:p w14:paraId="1FDA888B" w14:textId="77777777" w:rsidR="00100850" w:rsidRDefault="00100850"/>
    <w:p w14:paraId="43E2388C" w14:textId="6413296A" w:rsidR="00100850" w:rsidRPr="00100850" w:rsidRDefault="00100850">
      <w:pPr>
        <w:rPr>
          <w:color w:val="0070C0"/>
          <w:sz w:val="18"/>
          <w:szCs w:val="18"/>
        </w:rPr>
      </w:pPr>
      <w:r w:rsidRPr="00100850">
        <w:rPr>
          <w:color w:val="0070C0"/>
          <w:sz w:val="18"/>
          <w:szCs w:val="18"/>
        </w:rPr>
        <w:t>[3.0]</w:t>
      </w:r>
    </w:p>
    <w:p w14:paraId="466D34CB" w14:textId="12D5FA7C" w:rsidR="00FF6365" w:rsidRDefault="00FF6365">
      <w:r>
        <w:t xml:space="preserve">Ultimately, The EPC enables prospective homeowners to understand the energy costs associated with the property and any improvements that can be made. Additionally, new legislation introduced in 2018, safeguards renters by ensuring a minimum energy efficiency standard (MEES) is met. This means that every rental property must have a minimum EPC score of an E. If the property does not meet this requirement, then improvements set out on the EPC need to be implemented before the property can be let. Alternatively, exemptions can be applied for if the improvements </w:t>
      </w:r>
      <w:r w:rsidR="007E56C6">
        <w:t xml:space="preserve">have exceeded £3,500 (Practical Law, </w:t>
      </w:r>
      <w:proofErr w:type="spellStart"/>
      <w:r w:rsidR="007E56C6">
        <w:t>n.d</w:t>
      </w:r>
      <w:proofErr w:type="spellEnd"/>
      <w:r w:rsidR="007E56C6">
        <w:t>)</w:t>
      </w:r>
      <w:r w:rsidR="00E11387">
        <w:t xml:space="preserve">. </w:t>
      </w:r>
    </w:p>
    <w:p w14:paraId="128996F5" w14:textId="46F07644" w:rsidR="00D26C9C" w:rsidRDefault="00D26C9C">
      <w:r>
        <w:t xml:space="preserve">An additional aim of the MEES regulations is to reduce fuel poverty. </w:t>
      </w:r>
      <w:r w:rsidR="00896589">
        <w:t xml:space="preserve">This refers to households that spend 10% or more of their income </w:t>
      </w:r>
      <w:r w:rsidR="00647B8A">
        <w:t>on energy to sustain a comfortable heating regime.</w:t>
      </w:r>
      <w:r w:rsidR="00F6114A">
        <w:t xml:space="preserve"> Those who pay </w:t>
      </w:r>
      <w:proofErr w:type="gramStart"/>
      <w:r w:rsidR="00F6114A">
        <w:t>in excess of</w:t>
      </w:r>
      <w:proofErr w:type="gramEnd"/>
      <w:r w:rsidR="00F6114A">
        <w:t xml:space="preserve"> 20% to </w:t>
      </w:r>
      <w:r w:rsidR="004A544B">
        <w:t>heat their home are considered to be in severe fuel poverty.</w:t>
      </w:r>
      <w:r w:rsidR="00647B8A">
        <w:t xml:space="preserve"> </w:t>
      </w:r>
      <w:r w:rsidR="001206E6">
        <w:t xml:space="preserve">Following the April 2022 price cap increase, </w:t>
      </w:r>
      <w:r w:rsidR="00424CD4">
        <w:t xml:space="preserve">up to 45% of Welsh households were in fuel poverty, according to National Energy Action, </w:t>
      </w:r>
      <w:r w:rsidR="005E4854">
        <w:t>n.d</w:t>
      </w:r>
      <w:r w:rsidR="00547D21">
        <w:t xml:space="preserve">. </w:t>
      </w:r>
    </w:p>
    <w:p w14:paraId="5556ACFD" w14:textId="7C955C38" w:rsidR="00D07F9C" w:rsidRDefault="00D07F9C">
      <w:r>
        <w:t>It is thought that those in the private rental sector are most vulnerable to the energy crisis</w:t>
      </w:r>
      <w:r w:rsidR="00D56136">
        <w:t xml:space="preserve"> with over a quarter of renting households being in fuel poverty. This is partly due to </w:t>
      </w:r>
      <w:r w:rsidR="00DF0255">
        <w:t xml:space="preserve">landlords having little incentive to invest in energy efficiency, leaving tenants vulnerable. </w:t>
      </w:r>
      <w:r w:rsidR="00BA2665">
        <w:t>Matt Cop</w:t>
      </w:r>
      <w:r w:rsidR="000B63E7">
        <w:t xml:space="preserve">eland, heads of policy and public affairs at National Energy </w:t>
      </w:r>
      <w:r w:rsidR="00345A22">
        <w:t xml:space="preserve">Action mentioned that: “private renters are more likely to </w:t>
      </w:r>
      <w:r w:rsidR="00FE65B4">
        <w:t>be fuel poor than people in other tenure, and more likely to live in the leakiest properties</w:t>
      </w:r>
      <w:r w:rsidR="001572A6">
        <w:t xml:space="preserve">, often needing to spend thousands of pounds more than the average household </w:t>
      </w:r>
      <w:r w:rsidR="00A909C6">
        <w:t xml:space="preserve">just to keep a healthy temperature at home. Tightened minimum standards are key to </w:t>
      </w:r>
      <w:r w:rsidR="00557DED">
        <w:t>ensuring that all fuel poor private renters can live in a warm home.”</w:t>
      </w:r>
      <w:r w:rsidR="00EE071C">
        <w:t xml:space="preserve"> (</w:t>
      </w:r>
      <w:proofErr w:type="spellStart"/>
      <w:r w:rsidR="00EE071C">
        <w:t>Britchfield</w:t>
      </w:r>
      <w:proofErr w:type="spellEnd"/>
      <w:r w:rsidR="00EE071C">
        <w:t>, 2023).</w:t>
      </w:r>
      <w:r w:rsidR="00F37856">
        <w:t xml:space="preserve"> </w:t>
      </w:r>
      <w:r w:rsidR="00D86D4C">
        <w:t xml:space="preserve">However, these tighter regulations to </w:t>
      </w:r>
      <w:r w:rsidR="0037603D">
        <w:t xml:space="preserve">raise the </w:t>
      </w:r>
      <w:r w:rsidR="0037603D">
        <w:lastRenderedPageBreak/>
        <w:t xml:space="preserve">minimum EPC score from an E to a C was scrapped earlier this year, leaving both </w:t>
      </w:r>
      <w:r w:rsidR="00A35AFC">
        <w:t xml:space="preserve">landlords and tenants in a state of uncertainty over energy efficiency improvements. </w:t>
      </w:r>
    </w:p>
    <w:p w14:paraId="04ED6F5E" w14:textId="7A1F2167" w:rsidR="008F4D2F" w:rsidRDefault="00920649">
      <w:r>
        <w:t>According to Bahia</w:t>
      </w:r>
      <w:r w:rsidR="00EA769D">
        <w:t xml:space="preserve"> (2022), the average </w:t>
      </w:r>
      <w:r w:rsidR="00386997">
        <w:t>3-bedroom</w:t>
      </w:r>
      <w:r w:rsidR="00EA769D">
        <w:t xml:space="preserve"> home that is rated G on their EPC </w:t>
      </w:r>
      <w:r w:rsidR="00386997">
        <w:t>will spend £12,899 on their energy bill</w:t>
      </w:r>
      <w:r w:rsidR="007B4A26">
        <w:t xml:space="preserve">. Those rated </w:t>
      </w:r>
      <w:r w:rsidR="008119F8">
        <w:t>A, B</w:t>
      </w:r>
      <w:r w:rsidR="007B4A26">
        <w:t xml:space="preserve"> and C will spend </w:t>
      </w:r>
      <w:r w:rsidR="003C0001">
        <w:t xml:space="preserve">3 times less, paying just £4,255. Since the introduction of MEES in 2018, </w:t>
      </w:r>
      <w:r w:rsidR="008119F8">
        <w:t xml:space="preserve">tenants are safeguarded from renting highly inefficient properties where they will be spending a large portion of their income to heat the property. </w:t>
      </w:r>
      <w:r w:rsidR="00C72015">
        <w:t>However, is this enough</w:t>
      </w:r>
      <w:r w:rsidR="00DA45D5">
        <w:t xml:space="preserve"> to reduce fuel poverty and emissions in England and Wales</w:t>
      </w:r>
      <w:r w:rsidR="00F9473C">
        <w:t xml:space="preserve"> whilst ensuring </w:t>
      </w:r>
      <w:r w:rsidR="00671C05">
        <w:t xml:space="preserve">landlords </w:t>
      </w:r>
      <w:r w:rsidR="00D070BE">
        <w:t xml:space="preserve">are not put off by </w:t>
      </w:r>
      <w:r w:rsidR="001020CB">
        <w:t>increasing regulations</w:t>
      </w:r>
      <w:r w:rsidR="00A7794A">
        <w:t>,</w:t>
      </w:r>
      <w:r w:rsidR="004A13A2">
        <w:t xml:space="preserve"> leading to even </w:t>
      </w:r>
      <w:r w:rsidR="00A7794A">
        <w:t>an even more dire rental crisis.</w:t>
      </w:r>
    </w:p>
    <w:p w14:paraId="583AA5FE" w14:textId="77777777" w:rsidR="00FF6365" w:rsidRPr="00FF6365" w:rsidRDefault="00FF6365" w:rsidP="00FF6365"/>
    <w:p w14:paraId="3C5EA8B6" w14:textId="77777777" w:rsidR="00FF6365" w:rsidRDefault="00FF6365" w:rsidP="00FF6365"/>
    <w:p w14:paraId="7F3E79D6" w14:textId="77777777" w:rsidR="00DE0953" w:rsidRDefault="00DE0953" w:rsidP="00FF6365"/>
    <w:p w14:paraId="78D18B29" w14:textId="77777777" w:rsidR="00DE0953" w:rsidRDefault="00DE0953" w:rsidP="00FF6365"/>
    <w:p w14:paraId="0A35AC76" w14:textId="77777777" w:rsidR="00DE0953" w:rsidRDefault="00DE0953" w:rsidP="00FF6365"/>
    <w:p w14:paraId="6F9EC9D6" w14:textId="77777777" w:rsidR="00DE0953" w:rsidRDefault="00DE0953" w:rsidP="00FF6365"/>
    <w:p w14:paraId="7F15FFDE" w14:textId="77777777" w:rsidR="00DE0953" w:rsidRDefault="00DE0953" w:rsidP="00FF6365"/>
    <w:p w14:paraId="20B8FB37" w14:textId="77777777" w:rsidR="00DE0953" w:rsidRDefault="00DE0953" w:rsidP="00FF6365"/>
    <w:p w14:paraId="192AEAB7" w14:textId="77777777" w:rsidR="00DE0953" w:rsidRDefault="00DE0953" w:rsidP="00FF6365"/>
    <w:p w14:paraId="7814202B" w14:textId="77777777" w:rsidR="00DE0953" w:rsidRDefault="00DE0953" w:rsidP="00FF6365"/>
    <w:p w14:paraId="567E2843" w14:textId="77777777" w:rsidR="00DE0953" w:rsidRDefault="00DE0953" w:rsidP="00FF6365"/>
    <w:p w14:paraId="3DEE8594" w14:textId="77777777" w:rsidR="00DE0953" w:rsidRDefault="00DE0953" w:rsidP="00FF6365"/>
    <w:p w14:paraId="1F674C93" w14:textId="77777777" w:rsidR="00DE0953" w:rsidRDefault="00DE0953" w:rsidP="00FF6365"/>
    <w:p w14:paraId="40C0DA55" w14:textId="77777777" w:rsidR="00DE0953" w:rsidRDefault="00DE0953" w:rsidP="00FF6365"/>
    <w:p w14:paraId="1CD31B01" w14:textId="77777777" w:rsidR="00DE0953" w:rsidRDefault="00DE0953" w:rsidP="00FF6365"/>
    <w:p w14:paraId="78D9D07B" w14:textId="77777777" w:rsidR="00DE0953" w:rsidRDefault="00DE0953" w:rsidP="00FF6365"/>
    <w:p w14:paraId="0103A1E8" w14:textId="77777777" w:rsidR="00DE0953" w:rsidRDefault="00DE0953" w:rsidP="00FF6365"/>
    <w:p w14:paraId="1F302F02" w14:textId="77777777" w:rsidR="00DE0953" w:rsidRDefault="00DE0953" w:rsidP="00FF6365"/>
    <w:p w14:paraId="7D3A06C8" w14:textId="77777777" w:rsidR="00DE0953" w:rsidRDefault="00DE0953" w:rsidP="00FF6365"/>
    <w:p w14:paraId="7D7B48DB" w14:textId="77777777" w:rsidR="00DE0953" w:rsidRPr="00FF6365" w:rsidRDefault="00DE0953" w:rsidP="00FF6365"/>
    <w:p w14:paraId="0C06A735" w14:textId="77777777" w:rsidR="00FF6365" w:rsidRPr="00FF6365" w:rsidRDefault="00FF6365" w:rsidP="00FF6365"/>
    <w:p w14:paraId="76B81CC4" w14:textId="77777777" w:rsidR="00FF6365" w:rsidRPr="00FF6365" w:rsidRDefault="00FF6365" w:rsidP="00FF6365"/>
    <w:p w14:paraId="47EF47E5" w14:textId="77777777" w:rsidR="00FF6365" w:rsidRPr="00FF6365" w:rsidRDefault="00FF6365" w:rsidP="00FF6365"/>
    <w:p w14:paraId="12D3B5B4" w14:textId="77777777" w:rsidR="00DE0953" w:rsidRDefault="00DE0953" w:rsidP="00FF6365">
      <w:pPr>
        <w:pStyle w:val="NormalWeb"/>
        <w:spacing w:before="0" w:beforeAutospacing="0" w:after="0" w:afterAutospacing="0" w:line="360" w:lineRule="atLeast"/>
        <w:rPr>
          <w:rFonts w:ascii="Calibri" w:hAnsi="Calibri" w:cs="Calibri"/>
          <w:color w:val="000000"/>
          <w:sz w:val="22"/>
          <w:szCs w:val="22"/>
        </w:rPr>
      </w:pPr>
    </w:p>
    <w:p w14:paraId="7EE50DB1" w14:textId="77777777" w:rsidR="00DE0953" w:rsidRDefault="00DE0953" w:rsidP="00FF6365">
      <w:pPr>
        <w:pStyle w:val="NormalWeb"/>
        <w:spacing w:before="0" w:beforeAutospacing="0" w:after="0" w:afterAutospacing="0" w:line="360" w:lineRule="atLeast"/>
        <w:rPr>
          <w:rFonts w:ascii="Calibri" w:hAnsi="Calibri" w:cs="Calibri"/>
          <w:color w:val="000000"/>
          <w:sz w:val="22"/>
          <w:szCs w:val="22"/>
        </w:rPr>
      </w:pPr>
    </w:p>
    <w:p w14:paraId="462645BB" w14:textId="77777777" w:rsidR="00DE0953" w:rsidRDefault="00DE0953" w:rsidP="00FF6365">
      <w:pPr>
        <w:pStyle w:val="NormalWeb"/>
        <w:spacing w:before="0" w:beforeAutospacing="0" w:after="0" w:afterAutospacing="0" w:line="360" w:lineRule="atLeast"/>
        <w:rPr>
          <w:rFonts w:ascii="Calibri" w:hAnsi="Calibri" w:cs="Calibri"/>
          <w:color w:val="000000"/>
          <w:sz w:val="22"/>
          <w:szCs w:val="22"/>
        </w:rPr>
      </w:pPr>
    </w:p>
    <w:p w14:paraId="59CD1118" w14:textId="6030CB30" w:rsidR="00DE0953" w:rsidRDefault="00574521" w:rsidP="00FF6365">
      <w:pPr>
        <w:pStyle w:val="NormalWeb"/>
        <w:spacing w:before="0" w:beforeAutospacing="0" w:after="0" w:afterAutospacing="0" w:line="360" w:lineRule="atLeast"/>
        <w:rPr>
          <w:rFonts w:ascii="Calibri" w:hAnsi="Calibri" w:cs="Calibri"/>
          <w:color w:val="0070C0"/>
        </w:rPr>
      </w:pPr>
      <w:r w:rsidRPr="004674AA">
        <w:rPr>
          <w:rFonts w:ascii="Calibri" w:hAnsi="Calibri" w:cs="Calibri"/>
          <w:color w:val="0070C0"/>
          <w:sz w:val="18"/>
          <w:szCs w:val="18"/>
        </w:rPr>
        <w:t xml:space="preserve">5.0 </w:t>
      </w:r>
      <w:r w:rsidRPr="004674AA">
        <w:rPr>
          <w:rFonts w:ascii="Calibri" w:hAnsi="Calibri" w:cs="Calibri"/>
          <w:color w:val="0070C0"/>
        </w:rPr>
        <w:t>Reference List</w:t>
      </w:r>
    </w:p>
    <w:p w14:paraId="43D7E484" w14:textId="77777777" w:rsidR="00FF0423" w:rsidRDefault="00FF0423" w:rsidP="00FF6365">
      <w:pPr>
        <w:pStyle w:val="NormalWeb"/>
        <w:spacing w:before="0" w:beforeAutospacing="0" w:after="0" w:afterAutospacing="0" w:line="360" w:lineRule="atLeast"/>
        <w:rPr>
          <w:rFonts w:ascii="Calibri" w:hAnsi="Calibri" w:cs="Calibri"/>
          <w:color w:val="0070C0"/>
        </w:rPr>
      </w:pPr>
    </w:p>
    <w:p w14:paraId="1151A377" w14:textId="1FD93239" w:rsidR="00FF0423" w:rsidRPr="00FF0423" w:rsidRDefault="00FF0423" w:rsidP="00FF0423">
      <w:pPr>
        <w:pStyle w:val="NormalWeb"/>
        <w:spacing w:before="0" w:beforeAutospacing="0" w:after="0" w:afterAutospacing="0" w:line="360" w:lineRule="atLeast"/>
        <w:rPr>
          <w:rFonts w:ascii="Calibri" w:hAnsi="Calibri" w:cs="Calibri"/>
          <w:color w:val="000000"/>
          <w:sz w:val="22"/>
          <w:szCs w:val="22"/>
        </w:rPr>
      </w:pPr>
      <w:r w:rsidRPr="00FF0423">
        <w:rPr>
          <w:rFonts w:ascii="Calibri" w:hAnsi="Calibri" w:cs="Calibri"/>
          <w:color w:val="000000"/>
          <w:sz w:val="22"/>
          <w:szCs w:val="22"/>
        </w:rPr>
        <w:t>Bahia, I. (2022). </w:t>
      </w:r>
      <w:r w:rsidRPr="00FF0423">
        <w:rPr>
          <w:rFonts w:ascii="Calibri" w:hAnsi="Calibri" w:cs="Calibri"/>
          <w:i/>
          <w:iCs/>
          <w:color w:val="000000"/>
          <w:sz w:val="22"/>
          <w:szCs w:val="22"/>
        </w:rPr>
        <w:t>Cost of living: How the energy price cap affects different households</w:t>
      </w:r>
      <w:r w:rsidRPr="00FF0423">
        <w:rPr>
          <w:rFonts w:ascii="Calibri" w:hAnsi="Calibri" w:cs="Calibri"/>
          <w:color w:val="000000"/>
          <w:sz w:val="22"/>
          <w:szCs w:val="22"/>
        </w:rPr>
        <w:t>. [online] Policy in Practice. Available at: https://policyinpractice.co.uk/cost-of-living-how-the-energy-price-cap-affects-different-households/.</w:t>
      </w:r>
    </w:p>
    <w:p w14:paraId="79E4E8A7" w14:textId="77777777" w:rsidR="00FF0423" w:rsidRPr="004674AA" w:rsidRDefault="00FF0423" w:rsidP="00FF6365">
      <w:pPr>
        <w:pStyle w:val="NormalWeb"/>
        <w:spacing w:before="0" w:beforeAutospacing="0" w:after="0" w:afterAutospacing="0" w:line="360" w:lineRule="atLeast"/>
        <w:rPr>
          <w:rFonts w:ascii="Calibri" w:hAnsi="Calibri" w:cs="Calibri"/>
          <w:color w:val="0070C0"/>
        </w:rPr>
      </w:pPr>
    </w:p>
    <w:p w14:paraId="6F4EBFA3" w14:textId="454DEEC0" w:rsidR="005E4854" w:rsidRPr="002A3F84" w:rsidRDefault="008A3702" w:rsidP="00FF6365">
      <w:pPr>
        <w:pStyle w:val="NormalWeb"/>
        <w:spacing w:before="0" w:beforeAutospacing="0" w:after="0" w:afterAutospacing="0" w:line="360" w:lineRule="atLeast"/>
        <w:rPr>
          <w:rFonts w:ascii="Calibri" w:hAnsi="Calibri" w:cs="Calibri"/>
          <w:color w:val="000000"/>
          <w:sz w:val="22"/>
          <w:szCs w:val="22"/>
        </w:rPr>
      </w:pPr>
      <w:proofErr w:type="spellStart"/>
      <w:r w:rsidRPr="008A3702">
        <w:rPr>
          <w:rFonts w:ascii="Calibri" w:hAnsi="Calibri" w:cs="Calibri"/>
          <w:color w:val="000000"/>
          <w:sz w:val="22"/>
          <w:szCs w:val="22"/>
        </w:rPr>
        <w:t>Britchfield</w:t>
      </w:r>
      <w:proofErr w:type="spellEnd"/>
      <w:r w:rsidRPr="008A3702">
        <w:rPr>
          <w:rFonts w:ascii="Calibri" w:hAnsi="Calibri" w:cs="Calibri"/>
          <w:color w:val="000000"/>
          <w:sz w:val="22"/>
          <w:szCs w:val="22"/>
        </w:rPr>
        <w:t>, C. (2023). </w:t>
      </w:r>
      <w:r w:rsidRPr="008A3702">
        <w:rPr>
          <w:rFonts w:ascii="Calibri" w:hAnsi="Calibri" w:cs="Calibri"/>
          <w:i/>
          <w:iCs/>
          <w:color w:val="000000"/>
          <w:sz w:val="22"/>
          <w:szCs w:val="22"/>
        </w:rPr>
        <w:t>CUTTING ENERGY BILLS AND RAISING STANDARDS FOR PRIVATE RENTERS</w:t>
      </w:r>
      <w:r w:rsidRPr="008A3702">
        <w:rPr>
          <w:rFonts w:ascii="Calibri" w:hAnsi="Calibri" w:cs="Calibri"/>
          <w:color w:val="000000"/>
          <w:sz w:val="22"/>
          <w:szCs w:val="22"/>
        </w:rPr>
        <w:t>. [online] Available at: https://www.e3g.org/wp-content/uploads/E3G-briefing_Private-Rented-Sector-MEES_embargoed.pdf [Accessed 21 Nov. 2023].</w:t>
      </w:r>
    </w:p>
    <w:p w14:paraId="5BB6FF9D" w14:textId="77777777" w:rsidR="005E4854" w:rsidRPr="00FF6365" w:rsidRDefault="005E4854" w:rsidP="005E4854">
      <w:pPr>
        <w:pStyle w:val="NormalWeb"/>
        <w:spacing w:before="0" w:beforeAutospacing="0" w:after="0" w:afterAutospacing="0" w:line="360" w:lineRule="atLeast"/>
        <w:rPr>
          <w:rFonts w:asciiTheme="minorHAnsi" w:hAnsiTheme="minorHAnsi" w:cstheme="minorHAnsi"/>
          <w:color w:val="000000"/>
          <w:sz w:val="22"/>
          <w:szCs w:val="22"/>
        </w:rPr>
      </w:pPr>
    </w:p>
    <w:p w14:paraId="6BD46967" w14:textId="345BE38E" w:rsidR="005E4854" w:rsidRPr="005E4854" w:rsidRDefault="005E4854" w:rsidP="005E4854">
      <w:pPr>
        <w:pStyle w:val="NormalWeb"/>
        <w:spacing w:before="0" w:beforeAutospacing="0" w:after="0" w:afterAutospacing="0" w:line="360" w:lineRule="atLeast"/>
        <w:rPr>
          <w:rFonts w:asciiTheme="minorHAnsi" w:hAnsiTheme="minorHAnsi" w:cstheme="minorHAnsi"/>
          <w:color w:val="000000"/>
          <w:sz w:val="22"/>
          <w:szCs w:val="22"/>
        </w:rPr>
      </w:pPr>
      <w:r w:rsidRPr="005E4854">
        <w:rPr>
          <w:rFonts w:asciiTheme="minorHAnsi" w:hAnsiTheme="minorHAnsi" w:cstheme="minorHAnsi"/>
          <w:color w:val="000000"/>
          <w:sz w:val="22"/>
          <w:szCs w:val="22"/>
        </w:rPr>
        <w:t>National Energy Action (NEA). (n.d.). </w:t>
      </w:r>
      <w:r w:rsidRPr="005E4854">
        <w:rPr>
          <w:rFonts w:asciiTheme="minorHAnsi" w:hAnsiTheme="minorHAnsi" w:cstheme="minorHAnsi"/>
          <w:i/>
          <w:iCs/>
          <w:color w:val="000000"/>
          <w:sz w:val="22"/>
          <w:szCs w:val="22"/>
        </w:rPr>
        <w:t>Fuel Poverty in Wales</w:t>
      </w:r>
      <w:r w:rsidRPr="005E4854">
        <w:rPr>
          <w:rFonts w:asciiTheme="minorHAnsi" w:hAnsiTheme="minorHAnsi" w:cstheme="minorHAnsi"/>
          <w:color w:val="000000"/>
          <w:sz w:val="22"/>
          <w:szCs w:val="22"/>
        </w:rPr>
        <w:t>. [online] Available at: https://www.nea.org.uk/fuel-poverty-map/fuel-poverty-in-wales/#:~:text=How%20many%20people%20in%20Wales [Accessed 21 Nov. 2023].</w:t>
      </w:r>
    </w:p>
    <w:p w14:paraId="7A36A371" w14:textId="77777777" w:rsidR="005E4854" w:rsidRDefault="005E4854" w:rsidP="007E56C6">
      <w:pPr>
        <w:pStyle w:val="NormalWeb"/>
        <w:spacing w:before="0" w:beforeAutospacing="0" w:after="0" w:afterAutospacing="0" w:line="360" w:lineRule="atLeast"/>
        <w:rPr>
          <w:rFonts w:asciiTheme="minorHAnsi" w:hAnsiTheme="minorHAnsi" w:cstheme="minorHAnsi"/>
          <w:color w:val="000000"/>
          <w:sz w:val="22"/>
          <w:szCs w:val="22"/>
        </w:rPr>
      </w:pPr>
    </w:p>
    <w:p w14:paraId="6A4D12D9" w14:textId="53030243" w:rsidR="007E56C6" w:rsidRDefault="007E56C6" w:rsidP="00361D29">
      <w:pPr>
        <w:pStyle w:val="NormalWeb"/>
        <w:spacing w:before="0" w:beforeAutospacing="0" w:after="0" w:afterAutospacing="0" w:line="360" w:lineRule="atLeast"/>
        <w:rPr>
          <w:rFonts w:asciiTheme="minorHAnsi" w:hAnsiTheme="minorHAnsi" w:cstheme="minorHAnsi"/>
          <w:color w:val="000000"/>
          <w:sz w:val="22"/>
          <w:szCs w:val="22"/>
        </w:rPr>
      </w:pPr>
      <w:r w:rsidRPr="007E56C6">
        <w:rPr>
          <w:rFonts w:asciiTheme="minorHAnsi" w:hAnsiTheme="minorHAnsi" w:cstheme="minorHAnsi"/>
          <w:color w:val="000000"/>
          <w:sz w:val="22"/>
          <w:szCs w:val="22"/>
        </w:rPr>
        <w:t>Practical Law. (n.d.). </w:t>
      </w:r>
      <w:r w:rsidRPr="007E56C6">
        <w:rPr>
          <w:rFonts w:asciiTheme="minorHAnsi" w:hAnsiTheme="minorHAnsi" w:cstheme="minorHAnsi"/>
          <w:i/>
          <w:iCs/>
          <w:color w:val="000000"/>
          <w:sz w:val="22"/>
          <w:szCs w:val="22"/>
        </w:rPr>
        <w:t>MEES: minimum energy efficiency standards: overview</w:t>
      </w:r>
      <w:r w:rsidRPr="007E56C6">
        <w:rPr>
          <w:rFonts w:asciiTheme="minorHAnsi" w:hAnsiTheme="minorHAnsi" w:cstheme="minorHAnsi"/>
          <w:color w:val="000000"/>
          <w:sz w:val="22"/>
          <w:szCs w:val="22"/>
        </w:rPr>
        <w:t>. [online] Available at: https://uk.practicallaw.thomsonreuters.com/w-012-9627?transitionType=Default&amp;contextData=(sc.Default)&amp;firstPage=true#:~:text=The%20MEES%20Regulations%20require%20a [Accessed 20 Nov. 2023].</w:t>
      </w:r>
    </w:p>
    <w:p w14:paraId="3B4145D3" w14:textId="77777777" w:rsidR="00361D29" w:rsidRDefault="00361D29" w:rsidP="00361D29">
      <w:pPr>
        <w:pStyle w:val="NormalWeb"/>
        <w:spacing w:before="0" w:beforeAutospacing="0" w:after="0" w:afterAutospacing="0" w:line="360" w:lineRule="atLeast"/>
        <w:rPr>
          <w:rFonts w:asciiTheme="minorHAnsi" w:hAnsiTheme="minorHAnsi" w:cstheme="minorHAnsi"/>
          <w:color w:val="000000"/>
          <w:sz w:val="22"/>
          <w:szCs w:val="22"/>
        </w:rPr>
      </w:pPr>
    </w:p>
    <w:p w14:paraId="3BDA8988" w14:textId="41E91C32" w:rsidR="00DB7E6E" w:rsidRDefault="002A3F84" w:rsidP="00361D29">
      <w:pPr>
        <w:pStyle w:val="NormalWeb"/>
        <w:spacing w:before="0" w:beforeAutospacing="0" w:after="0" w:afterAutospacing="0" w:line="360" w:lineRule="atLeast"/>
        <w:rPr>
          <w:rFonts w:asciiTheme="minorHAnsi" w:hAnsiTheme="minorHAnsi" w:cstheme="minorHAnsi"/>
          <w:color w:val="000000"/>
          <w:sz w:val="22"/>
          <w:szCs w:val="22"/>
        </w:rPr>
      </w:pPr>
      <w:r w:rsidRPr="00FF6365">
        <w:rPr>
          <w:rFonts w:asciiTheme="minorHAnsi" w:hAnsiTheme="minorHAnsi" w:cstheme="minorHAnsi"/>
          <w:color w:val="000000"/>
          <w:sz w:val="22"/>
          <w:szCs w:val="22"/>
        </w:rPr>
        <w:t>Smith, J. (2019). </w:t>
      </w:r>
      <w:r w:rsidRPr="00FF6365">
        <w:rPr>
          <w:rFonts w:asciiTheme="minorHAnsi" w:hAnsiTheme="minorHAnsi" w:cstheme="minorHAnsi"/>
          <w:i/>
          <w:iCs/>
          <w:color w:val="000000"/>
          <w:sz w:val="22"/>
          <w:szCs w:val="22"/>
        </w:rPr>
        <w:t>How is an EPC Band Calculated?</w:t>
      </w:r>
      <w:r w:rsidRPr="00FF6365">
        <w:rPr>
          <w:rFonts w:asciiTheme="minorHAnsi" w:hAnsiTheme="minorHAnsi" w:cstheme="minorHAnsi"/>
          <w:color w:val="000000"/>
          <w:sz w:val="22"/>
          <w:szCs w:val="22"/>
        </w:rPr>
        <w:t> [online] Nexus Energy Solutions. Available at: https://nexusenergysolutions.co.uk/how-is-an-epc-band-calculated/#:~:text=There%20are%20seven%20of%20these [Accessed 20 Nov. 2023].</w:t>
      </w:r>
    </w:p>
    <w:p w14:paraId="326520DC" w14:textId="77777777" w:rsidR="002A3F84" w:rsidRDefault="002A3F84" w:rsidP="00361D29">
      <w:pPr>
        <w:pStyle w:val="NormalWeb"/>
        <w:spacing w:before="0" w:beforeAutospacing="0" w:after="0" w:afterAutospacing="0" w:line="360" w:lineRule="atLeast"/>
        <w:rPr>
          <w:rFonts w:asciiTheme="minorHAnsi" w:hAnsiTheme="minorHAnsi" w:cstheme="minorHAnsi"/>
          <w:color w:val="000000"/>
          <w:sz w:val="22"/>
          <w:szCs w:val="22"/>
        </w:rPr>
      </w:pPr>
    </w:p>
    <w:p w14:paraId="4FBF7441" w14:textId="77777777" w:rsidR="00361D29" w:rsidRPr="00361D29" w:rsidRDefault="00361D29" w:rsidP="00361D29">
      <w:pPr>
        <w:pStyle w:val="NormalWeb"/>
        <w:spacing w:before="0" w:beforeAutospacing="0" w:after="0" w:afterAutospacing="0" w:line="360" w:lineRule="atLeast"/>
        <w:rPr>
          <w:rFonts w:ascii="Calibri" w:hAnsi="Calibri" w:cs="Calibri"/>
          <w:color w:val="000000"/>
          <w:sz w:val="22"/>
          <w:szCs w:val="22"/>
        </w:rPr>
      </w:pPr>
      <w:r w:rsidRPr="00361D29">
        <w:rPr>
          <w:rFonts w:ascii="Calibri" w:hAnsi="Calibri" w:cs="Calibri"/>
          <w:color w:val="000000"/>
          <w:sz w:val="22"/>
          <w:szCs w:val="22"/>
        </w:rPr>
        <w:t>www.simplybusiness.co.uk. (n.d.). </w:t>
      </w:r>
      <w:r w:rsidRPr="00361D29">
        <w:rPr>
          <w:rFonts w:ascii="Calibri" w:hAnsi="Calibri" w:cs="Calibri"/>
          <w:i/>
          <w:iCs/>
          <w:color w:val="000000"/>
          <w:sz w:val="22"/>
          <w:szCs w:val="22"/>
        </w:rPr>
        <w:t>Energy efficiency changes for rental properties scrapped</w:t>
      </w:r>
      <w:r w:rsidRPr="00361D29">
        <w:rPr>
          <w:rFonts w:ascii="Calibri" w:hAnsi="Calibri" w:cs="Calibri"/>
          <w:color w:val="000000"/>
          <w:sz w:val="22"/>
          <w:szCs w:val="22"/>
        </w:rPr>
        <w:t>. [online] Available at: https://www.simplybusiness.co.uk/knowledge/articles/energy-efficiency-rules-for-rental-properties-scrapped/ [Accessed 21 Nov. 2023].</w:t>
      </w:r>
    </w:p>
    <w:p w14:paraId="7EDBC9D6" w14:textId="77777777" w:rsidR="00361D29" w:rsidRPr="00361D29" w:rsidRDefault="00361D29" w:rsidP="00361D29">
      <w:pPr>
        <w:pStyle w:val="NormalWeb"/>
        <w:rPr>
          <w:rFonts w:ascii="Calibri" w:hAnsi="Calibri" w:cs="Calibri"/>
          <w:color w:val="000000"/>
          <w:sz w:val="22"/>
          <w:szCs w:val="22"/>
        </w:rPr>
      </w:pPr>
      <w:r w:rsidRPr="00361D29">
        <w:rPr>
          <w:rFonts w:ascii="Calibri" w:hAnsi="Calibri" w:cs="Calibri"/>
          <w:color w:val="000000"/>
          <w:sz w:val="22"/>
          <w:szCs w:val="22"/>
        </w:rPr>
        <w:t>‌</w:t>
      </w:r>
    </w:p>
    <w:p w14:paraId="444D63B2" w14:textId="77777777" w:rsidR="00361D29" w:rsidRPr="00361D29" w:rsidRDefault="00361D29" w:rsidP="00361D29">
      <w:pPr>
        <w:pStyle w:val="NormalWeb"/>
        <w:spacing w:before="0" w:beforeAutospacing="0" w:after="0" w:afterAutospacing="0" w:line="360" w:lineRule="atLeast"/>
        <w:rPr>
          <w:rFonts w:asciiTheme="minorHAnsi" w:hAnsiTheme="minorHAnsi" w:cstheme="minorHAnsi"/>
          <w:color w:val="000000"/>
          <w:sz w:val="22"/>
          <w:szCs w:val="22"/>
        </w:rPr>
      </w:pPr>
    </w:p>
    <w:p w14:paraId="168D2EEF" w14:textId="77777777" w:rsidR="00FF6365" w:rsidRDefault="00FF6365" w:rsidP="00FF6365"/>
    <w:p w14:paraId="08BE8C5E" w14:textId="77777777" w:rsidR="00290699" w:rsidRDefault="00290699" w:rsidP="00FF6365"/>
    <w:p w14:paraId="6E31CB56" w14:textId="77777777" w:rsidR="00290699" w:rsidRDefault="00290699" w:rsidP="00FF6365"/>
    <w:p w14:paraId="0A83390D" w14:textId="77777777" w:rsidR="000A4183" w:rsidRDefault="000A4183" w:rsidP="00FF6365"/>
    <w:p w14:paraId="453304AF" w14:textId="77777777" w:rsidR="000A4183" w:rsidRDefault="000A4183" w:rsidP="00FF6365"/>
    <w:p w14:paraId="3D991C68" w14:textId="77777777" w:rsidR="000A4183" w:rsidRDefault="000A4183" w:rsidP="00FF6365"/>
    <w:p w14:paraId="795CE2D8" w14:textId="77777777" w:rsidR="000A4183" w:rsidRDefault="000A4183" w:rsidP="00FF6365"/>
    <w:p w14:paraId="2FD6123E" w14:textId="77777777" w:rsidR="000A4183" w:rsidRDefault="000A4183" w:rsidP="00FF6365">
      <w:pPr>
        <w:rPr>
          <w:sz w:val="18"/>
          <w:szCs w:val="18"/>
        </w:rPr>
      </w:pPr>
    </w:p>
    <w:p w14:paraId="2DCB195C" w14:textId="669A2174" w:rsidR="000A4183" w:rsidRPr="000A4183" w:rsidRDefault="000A4183" w:rsidP="00FF6365">
      <w:pPr>
        <w:rPr>
          <w:color w:val="0070C0"/>
          <w:sz w:val="24"/>
          <w:szCs w:val="24"/>
        </w:rPr>
      </w:pPr>
      <w:r w:rsidRPr="000A4183">
        <w:rPr>
          <w:color w:val="0070C0"/>
          <w:sz w:val="18"/>
          <w:szCs w:val="18"/>
        </w:rPr>
        <w:t xml:space="preserve">6.0 </w:t>
      </w:r>
      <w:r w:rsidRPr="000A4183">
        <w:rPr>
          <w:color w:val="0070C0"/>
          <w:sz w:val="24"/>
          <w:szCs w:val="24"/>
        </w:rPr>
        <w:t xml:space="preserve">Appendices </w:t>
      </w:r>
    </w:p>
    <w:p w14:paraId="7928DA11" w14:textId="77777777" w:rsidR="000A4183" w:rsidRPr="000A4183" w:rsidRDefault="000A4183" w:rsidP="00FF6365">
      <w:pPr>
        <w:rPr>
          <w:sz w:val="18"/>
          <w:szCs w:val="18"/>
        </w:rPr>
      </w:pPr>
    </w:p>
    <w:p w14:paraId="053AC31A" w14:textId="15DF6862" w:rsidR="00290699" w:rsidRPr="00FF6365" w:rsidRDefault="006035C0" w:rsidP="00FF6365">
      <w:hyperlink r:id="rId11" w:history="1">
        <w:r w:rsidRPr="00DA2340">
          <w:rPr>
            <w:rStyle w:val="Hyperlink"/>
          </w:rPr>
          <w:t>https://policyinpractice.co.uk/cost-of-living-how-the-energy-price-cap-affects-different-households/</w:t>
        </w:r>
      </w:hyperlink>
      <w:r>
        <w:t xml:space="preserve"> </w:t>
      </w:r>
      <w:r w:rsidR="00290699" w:rsidRPr="00290699">
        <w:drawing>
          <wp:inline distT="0" distB="0" distL="0" distR="0" wp14:anchorId="79A9B0FA" wp14:editId="7DF77063">
            <wp:extent cx="5397777" cy="1701887"/>
            <wp:effectExtent l="0" t="0" r="0" b="0"/>
            <wp:docPr id="9027083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08328" name="Picture 1" descr="A screenshot of a graph&#10;&#10;Description automatically generated"/>
                    <pic:cNvPicPr/>
                  </pic:nvPicPr>
                  <pic:blipFill>
                    <a:blip r:embed="rId12"/>
                    <a:stretch>
                      <a:fillRect/>
                    </a:stretch>
                  </pic:blipFill>
                  <pic:spPr>
                    <a:xfrm>
                      <a:off x="0" y="0"/>
                      <a:ext cx="5397777" cy="1701887"/>
                    </a:xfrm>
                    <a:prstGeom prst="rect">
                      <a:avLst/>
                    </a:prstGeom>
                  </pic:spPr>
                </pic:pic>
              </a:graphicData>
            </a:graphic>
          </wp:inline>
        </w:drawing>
      </w:r>
    </w:p>
    <w:sectPr w:rsidR="00290699" w:rsidRPr="00FF6365" w:rsidSect="008F6AF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3D87A" w14:textId="77777777" w:rsidR="00B639DE" w:rsidRDefault="00B639DE" w:rsidP="00BF14B8">
      <w:pPr>
        <w:spacing w:after="0" w:line="240" w:lineRule="auto"/>
      </w:pPr>
      <w:r>
        <w:separator/>
      </w:r>
    </w:p>
  </w:endnote>
  <w:endnote w:type="continuationSeparator" w:id="0">
    <w:p w14:paraId="699FF604" w14:textId="77777777" w:rsidR="00B639DE" w:rsidRDefault="00B639DE" w:rsidP="00BF1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619894"/>
      <w:docPartObj>
        <w:docPartGallery w:val="Page Numbers (Bottom of Page)"/>
        <w:docPartUnique/>
      </w:docPartObj>
    </w:sdtPr>
    <w:sdtEndPr>
      <w:rPr>
        <w:color w:val="7F7F7F" w:themeColor="background1" w:themeShade="7F"/>
        <w:spacing w:val="60"/>
      </w:rPr>
    </w:sdtEndPr>
    <w:sdtContent>
      <w:p w14:paraId="2008AE5B" w14:textId="4284BBE1" w:rsidR="001A193C" w:rsidRDefault="001A193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DD55ED" w14:textId="5FAC02ED" w:rsidR="00BF14B8" w:rsidRDefault="00BF1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F5C6F" w14:textId="77777777" w:rsidR="00B639DE" w:rsidRDefault="00B639DE" w:rsidP="00BF14B8">
      <w:pPr>
        <w:spacing w:after="0" w:line="240" w:lineRule="auto"/>
      </w:pPr>
      <w:r>
        <w:separator/>
      </w:r>
    </w:p>
  </w:footnote>
  <w:footnote w:type="continuationSeparator" w:id="0">
    <w:p w14:paraId="6865E257" w14:textId="77777777" w:rsidR="00B639DE" w:rsidRDefault="00B639DE" w:rsidP="00BF1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61CEB"/>
    <w:multiLevelType w:val="hybridMultilevel"/>
    <w:tmpl w:val="304420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3596A"/>
    <w:multiLevelType w:val="hybridMultilevel"/>
    <w:tmpl w:val="08E6D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1651234">
    <w:abstractNumId w:val="1"/>
  </w:num>
  <w:num w:numId="2" w16cid:durableId="1241409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56"/>
    <w:rsid w:val="000A4183"/>
    <w:rsid w:val="000B6310"/>
    <w:rsid w:val="000B63E7"/>
    <w:rsid w:val="000D523E"/>
    <w:rsid w:val="00100850"/>
    <w:rsid w:val="001020CB"/>
    <w:rsid w:val="001206E6"/>
    <w:rsid w:val="001572A6"/>
    <w:rsid w:val="001A193C"/>
    <w:rsid w:val="00290699"/>
    <w:rsid w:val="002A3F84"/>
    <w:rsid w:val="002E265D"/>
    <w:rsid w:val="002E58B2"/>
    <w:rsid w:val="002F32D5"/>
    <w:rsid w:val="00345A22"/>
    <w:rsid w:val="00361D29"/>
    <w:rsid w:val="003620AA"/>
    <w:rsid w:val="0037603D"/>
    <w:rsid w:val="00386997"/>
    <w:rsid w:val="003C0001"/>
    <w:rsid w:val="003C71F6"/>
    <w:rsid w:val="003E4F95"/>
    <w:rsid w:val="00421869"/>
    <w:rsid w:val="00424CD4"/>
    <w:rsid w:val="004321E2"/>
    <w:rsid w:val="004674AA"/>
    <w:rsid w:val="004A13A2"/>
    <w:rsid w:val="004A544B"/>
    <w:rsid w:val="004C602A"/>
    <w:rsid w:val="00505556"/>
    <w:rsid w:val="0052110E"/>
    <w:rsid w:val="00547B28"/>
    <w:rsid w:val="00547D21"/>
    <w:rsid w:val="00557DED"/>
    <w:rsid w:val="00574521"/>
    <w:rsid w:val="005E4854"/>
    <w:rsid w:val="006035C0"/>
    <w:rsid w:val="00604E9D"/>
    <w:rsid w:val="00647B8A"/>
    <w:rsid w:val="0065193B"/>
    <w:rsid w:val="00671C05"/>
    <w:rsid w:val="0068158F"/>
    <w:rsid w:val="00747787"/>
    <w:rsid w:val="007546D7"/>
    <w:rsid w:val="007B4A26"/>
    <w:rsid w:val="007E56C6"/>
    <w:rsid w:val="008119F8"/>
    <w:rsid w:val="00864DA3"/>
    <w:rsid w:val="00896589"/>
    <w:rsid w:val="008A3702"/>
    <w:rsid w:val="008F4D2F"/>
    <w:rsid w:val="008F6AF9"/>
    <w:rsid w:val="00920649"/>
    <w:rsid w:val="00921D0F"/>
    <w:rsid w:val="009344A3"/>
    <w:rsid w:val="00A35AFC"/>
    <w:rsid w:val="00A510C0"/>
    <w:rsid w:val="00A72B2F"/>
    <w:rsid w:val="00A7794A"/>
    <w:rsid w:val="00A909C6"/>
    <w:rsid w:val="00B1679D"/>
    <w:rsid w:val="00B33DA0"/>
    <w:rsid w:val="00B5151F"/>
    <w:rsid w:val="00B639DE"/>
    <w:rsid w:val="00BA2665"/>
    <w:rsid w:val="00BB2DFF"/>
    <w:rsid w:val="00BF14B8"/>
    <w:rsid w:val="00C41D1B"/>
    <w:rsid w:val="00C72015"/>
    <w:rsid w:val="00CD4DF6"/>
    <w:rsid w:val="00CE06BE"/>
    <w:rsid w:val="00D070BE"/>
    <w:rsid w:val="00D07F9C"/>
    <w:rsid w:val="00D26C9C"/>
    <w:rsid w:val="00D52F03"/>
    <w:rsid w:val="00D56136"/>
    <w:rsid w:val="00D77942"/>
    <w:rsid w:val="00D86D4C"/>
    <w:rsid w:val="00DA2CF5"/>
    <w:rsid w:val="00DA45D5"/>
    <w:rsid w:val="00DB7E6E"/>
    <w:rsid w:val="00DD0567"/>
    <w:rsid w:val="00DE0953"/>
    <w:rsid w:val="00DE6BAC"/>
    <w:rsid w:val="00DF0255"/>
    <w:rsid w:val="00E11387"/>
    <w:rsid w:val="00E962B8"/>
    <w:rsid w:val="00EA769D"/>
    <w:rsid w:val="00EE071C"/>
    <w:rsid w:val="00F37856"/>
    <w:rsid w:val="00F52DD3"/>
    <w:rsid w:val="00F6114A"/>
    <w:rsid w:val="00F9473C"/>
    <w:rsid w:val="00FE65B4"/>
    <w:rsid w:val="00FF0423"/>
    <w:rsid w:val="00FF6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145E9"/>
  <w15:chartTrackingRefBased/>
  <w15:docId w15:val="{1BA40FB4-B407-496B-82F1-E90F0521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63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B33DA0"/>
    <w:pPr>
      <w:ind w:left="720"/>
      <w:contextualSpacing/>
    </w:pPr>
  </w:style>
  <w:style w:type="paragraph" w:styleId="NoSpacing">
    <w:name w:val="No Spacing"/>
    <w:link w:val="NoSpacingChar"/>
    <w:uiPriority w:val="1"/>
    <w:qFormat/>
    <w:rsid w:val="008F6A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F6AF9"/>
    <w:rPr>
      <w:rFonts w:eastAsiaTheme="minorEastAsia"/>
      <w:kern w:val="0"/>
      <w:lang w:val="en-US"/>
      <w14:ligatures w14:val="none"/>
    </w:rPr>
  </w:style>
  <w:style w:type="paragraph" w:styleId="Header">
    <w:name w:val="header"/>
    <w:basedOn w:val="Normal"/>
    <w:link w:val="HeaderChar"/>
    <w:uiPriority w:val="99"/>
    <w:unhideWhenUsed/>
    <w:rsid w:val="00BF1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4B8"/>
  </w:style>
  <w:style w:type="paragraph" w:styleId="Footer">
    <w:name w:val="footer"/>
    <w:basedOn w:val="Normal"/>
    <w:link w:val="FooterChar"/>
    <w:uiPriority w:val="99"/>
    <w:unhideWhenUsed/>
    <w:rsid w:val="00BF1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4B8"/>
  </w:style>
  <w:style w:type="character" w:styleId="Hyperlink">
    <w:name w:val="Hyperlink"/>
    <w:basedOn w:val="DefaultParagraphFont"/>
    <w:uiPriority w:val="99"/>
    <w:unhideWhenUsed/>
    <w:rsid w:val="006035C0"/>
    <w:rPr>
      <w:color w:val="0563C1" w:themeColor="hyperlink"/>
      <w:u w:val="single"/>
    </w:rPr>
  </w:style>
  <w:style w:type="character" w:styleId="UnresolvedMention">
    <w:name w:val="Unresolved Mention"/>
    <w:basedOn w:val="DefaultParagraphFont"/>
    <w:uiPriority w:val="99"/>
    <w:semiHidden/>
    <w:unhideWhenUsed/>
    <w:rsid w:val="00603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340600">
      <w:bodyDiv w:val="1"/>
      <w:marLeft w:val="0"/>
      <w:marRight w:val="0"/>
      <w:marTop w:val="0"/>
      <w:marBottom w:val="0"/>
      <w:divBdr>
        <w:top w:val="none" w:sz="0" w:space="0" w:color="auto"/>
        <w:left w:val="none" w:sz="0" w:space="0" w:color="auto"/>
        <w:bottom w:val="none" w:sz="0" w:space="0" w:color="auto"/>
        <w:right w:val="none" w:sz="0" w:space="0" w:color="auto"/>
      </w:divBdr>
    </w:div>
    <w:div w:id="399979982">
      <w:bodyDiv w:val="1"/>
      <w:marLeft w:val="0"/>
      <w:marRight w:val="0"/>
      <w:marTop w:val="0"/>
      <w:marBottom w:val="0"/>
      <w:divBdr>
        <w:top w:val="none" w:sz="0" w:space="0" w:color="auto"/>
        <w:left w:val="none" w:sz="0" w:space="0" w:color="auto"/>
        <w:bottom w:val="none" w:sz="0" w:space="0" w:color="auto"/>
        <w:right w:val="none" w:sz="0" w:space="0" w:color="auto"/>
      </w:divBdr>
    </w:div>
    <w:div w:id="1112285527">
      <w:bodyDiv w:val="1"/>
      <w:marLeft w:val="0"/>
      <w:marRight w:val="0"/>
      <w:marTop w:val="0"/>
      <w:marBottom w:val="0"/>
      <w:divBdr>
        <w:top w:val="none" w:sz="0" w:space="0" w:color="auto"/>
        <w:left w:val="none" w:sz="0" w:space="0" w:color="auto"/>
        <w:bottom w:val="none" w:sz="0" w:space="0" w:color="auto"/>
        <w:right w:val="none" w:sz="0" w:space="0" w:color="auto"/>
      </w:divBdr>
    </w:div>
    <w:div w:id="1118373367">
      <w:bodyDiv w:val="1"/>
      <w:marLeft w:val="0"/>
      <w:marRight w:val="0"/>
      <w:marTop w:val="0"/>
      <w:marBottom w:val="0"/>
      <w:divBdr>
        <w:top w:val="none" w:sz="0" w:space="0" w:color="auto"/>
        <w:left w:val="none" w:sz="0" w:space="0" w:color="auto"/>
        <w:bottom w:val="none" w:sz="0" w:space="0" w:color="auto"/>
        <w:right w:val="none" w:sz="0" w:space="0" w:color="auto"/>
      </w:divBdr>
    </w:div>
    <w:div w:id="2003660801">
      <w:bodyDiv w:val="1"/>
      <w:marLeft w:val="0"/>
      <w:marRight w:val="0"/>
      <w:marTop w:val="0"/>
      <w:marBottom w:val="0"/>
      <w:divBdr>
        <w:top w:val="none" w:sz="0" w:space="0" w:color="auto"/>
        <w:left w:val="none" w:sz="0" w:space="0" w:color="auto"/>
        <w:bottom w:val="none" w:sz="0" w:space="0" w:color="auto"/>
        <w:right w:val="none" w:sz="0" w:space="0" w:color="auto"/>
      </w:divBdr>
    </w:div>
    <w:div w:id="212607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licyinpractice.co.uk/cost-of-living-how-the-energy-price-cap-affects-different-household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51847CFBD840A4835BD69BBD7C8727"/>
        <w:category>
          <w:name w:val="General"/>
          <w:gallery w:val="placeholder"/>
        </w:category>
        <w:types>
          <w:type w:val="bbPlcHdr"/>
        </w:types>
        <w:behaviors>
          <w:behavior w:val="content"/>
        </w:behaviors>
        <w:guid w:val="{AAAD72B5-CED5-43C1-AF94-FDCA5CBFFDE7}"/>
      </w:docPartPr>
      <w:docPartBody>
        <w:p w:rsidR="009C154E" w:rsidRDefault="005C669F" w:rsidP="005C669F">
          <w:pPr>
            <w:pStyle w:val="4751847CFBD840A4835BD69BBD7C8727"/>
          </w:pPr>
          <w:r>
            <w:rPr>
              <w:rFonts w:asciiTheme="majorHAnsi" w:eastAsiaTheme="majorEastAsia" w:hAnsiTheme="majorHAnsi" w:cstheme="majorBidi"/>
              <w:caps/>
              <w:color w:val="4472C4" w:themeColor="accent1"/>
              <w:sz w:val="80"/>
              <w:szCs w:val="80"/>
            </w:rPr>
            <w:t>[Document title]</w:t>
          </w:r>
        </w:p>
      </w:docPartBody>
    </w:docPart>
    <w:docPart>
      <w:docPartPr>
        <w:name w:val="7D5146DF984140198818FB555B1DB0B2"/>
        <w:category>
          <w:name w:val="General"/>
          <w:gallery w:val="placeholder"/>
        </w:category>
        <w:types>
          <w:type w:val="bbPlcHdr"/>
        </w:types>
        <w:behaviors>
          <w:behavior w:val="content"/>
        </w:behaviors>
        <w:guid w:val="{85ECFBE9-81C2-4D75-A654-78AEB4DE8777}"/>
      </w:docPartPr>
      <w:docPartBody>
        <w:p w:rsidR="009C154E" w:rsidRDefault="005C669F" w:rsidP="005C669F">
          <w:pPr>
            <w:pStyle w:val="7D5146DF984140198818FB555B1DB0B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69F"/>
    <w:rsid w:val="00545056"/>
    <w:rsid w:val="0054738E"/>
    <w:rsid w:val="005C669F"/>
    <w:rsid w:val="009C154E"/>
    <w:rsid w:val="00DE5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51847CFBD840A4835BD69BBD7C8727">
    <w:name w:val="4751847CFBD840A4835BD69BBD7C8727"/>
    <w:rsid w:val="005C669F"/>
  </w:style>
  <w:style w:type="paragraph" w:customStyle="1" w:styleId="7D5146DF984140198818FB555B1DB0B2">
    <w:name w:val="7D5146DF984140198818FB555B1DB0B2"/>
    <w:rsid w:val="005C66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Eleanor Black</PublishDate>
  <Abstract/>
  <CompanyAddress>ABCA 5009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805751-CADE-4BEB-A00C-E1104BB62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885</Words>
  <Characters>5049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12/11/2023</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Minimum energy efficiency standards</dc:title>
  <dc:subject>The effect of MEES on the private rental sector</dc:subject>
  <dc:creator>Eleanor Black</dc:creator>
  <cp:keywords/>
  <dc:description/>
  <cp:lastModifiedBy>Eleanor Black</cp:lastModifiedBy>
  <cp:revision>86</cp:revision>
  <dcterms:created xsi:type="dcterms:W3CDTF">2023-11-20T09:29:00Z</dcterms:created>
  <dcterms:modified xsi:type="dcterms:W3CDTF">2023-11-27T11:21:00Z</dcterms:modified>
</cp:coreProperties>
</file>