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A77" w:rsidRDefault="00840A77">
      <w:pPr>
        <w:rPr>
          <w:rFonts w:ascii="Arial" w:hAnsi="Arial" w:cs="Arial"/>
          <w:b/>
        </w:rPr>
      </w:pPr>
      <w:r w:rsidRPr="00840A77">
        <w:rPr>
          <w:rFonts w:ascii="Arial" w:hAnsi="Arial" w:cs="Arial"/>
          <w:b/>
          <w:noProof/>
          <w:lang w:eastAsia="en-GB"/>
        </w:rPr>
        <w:drawing>
          <wp:inline distT="0" distB="0" distL="0" distR="0">
            <wp:extent cx="2619375" cy="11658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840A77" w:rsidRDefault="00840A77">
      <w:pPr>
        <w:rPr>
          <w:rFonts w:ascii="Arial" w:hAnsi="Arial" w:cs="Arial"/>
          <w:b/>
        </w:rPr>
      </w:pPr>
    </w:p>
    <w:p w:rsidR="00840A77" w:rsidRDefault="00840A77">
      <w:pPr>
        <w:rPr>
          <w:rFonts w:ascii="Arial" w:hAnsi="Arial" w:cs="Arial"/>
          <w:b/>
        </w:rPr>
      </w:pPr>
    </w:p>
    <w:p w:rsidR="005216B3" w:rsidRPr="000B79B6" w:rsidRDefault="00A75ED6">
      <w:pPr>
        <w:rPr>
          <w:rFonts w:ascii="Arial" w:hAnsi="Arial" w:cs="Arial"/>
          <w:b/>
        </w:rPr>
      </w:pPr>
      <w:r w:rsidRPr="000B79B6">
        <w:rPr>
          <w:rFonts w:ascii="Arial" w:hAnsi="Arial" w:cs="Arial"/>
          <w:b/>
        </w:rPr>
        <w:t xml:space="preserve">TASK 2 </w:t>
      </w:r>
    </w:p>
    <w:p w:rsidR="0088334E" w:rsidRPr="000B79B6" w:rsidRDefault="00902370">
      <w:pPr>
        <w:rPr>
          <w:rFonts w:ascii="Arial" w:hAnsi="Arial" w:cs="Arial"/>
          <w:b/>
        </w:rPr>
      </w:pPr>
      <w:r w:rsidRPr="000B79B6">
        <w:rPr>
          <w:rFonts w:ascii="Arial" w:hAnsi="Arial" w:cs="Arial"/>
          <w:b/>
        </w:rPr>
        <w:t xml:space="preserve">MODULE: </w:t>
      </w:r>
      <w:r w:rsidR="00A75ED6" w:rsidRPr="000B79B6">
        <w:rPr>
          <w:rFonts w:ascii="Arial" w:hAnsi="Arial" w:cs="Arial"/>
          <w:b/>
        </w:rPr>
        <w:t>INTRODUCTION TO PUBLIC HEALT</w:t>
      </w:r>
      <w:r w:rsidRPr="000B79B6">
        <w:rPr>
          <w:rFonts w:ascii="Arial" w:hAnsi="Arial" w:cs="Arial"/>
          <w:b/>
        </w:rPr>
        <w:t>H</w:t>
      </w:r>
    </w:p>
    <w:p w:rsidR="00456ED7" w:rsidRPr="000B79B6" w:rsidRDefault="00456ED7">
      <w:pPr>
        <w:rPr>
          <w:rFonts w:ascii="Arial" w:hAnsi="Arial" w:cs="Arial"/>
          <w:b/>
        </w:rPr>
      </w:pPr>
      <w:r w:rsidRPr="000B79B6">
        <w:rPr>
          <w:rFonts w:ascii="Arial" w:hAnsi="Arial" w:cs="Arial"/>
          <w:b/>
        </w:rPr>
        <w:t>LECTURER: CAROLINE SALAMI</w:t>
      </w:r>
    </w:p>
    <w:p w:rsidR="005216B3" w:rsidRPr="000B79B6" w:rsidRDefault="00636BBE">
      <w:pPr>
        <w:rPr>
          <w:rFonts w:ascii="Arial" w:hAnsi="Arial" w:cs="Arial"/>
          <w:b/>
        </w:rPr>
      </w:pPr>
      <w:r w:rsidRPr="000B79B6">
        <w:rPr>
          <w:rFonts w:ascii="Arial" w:hAnsi="Arial" w:cs="Arial"/>
          <w:b/>
        </w:rPr>
        <w:t>MODULE</w:t>
      </w:r>
      <w:r w:rsidR="00902370" w:rsidRPr="000B79B6">
        <w:rPr>
          <w:rFonts w:ascii="Arial" w:hAnsi="Arial" w:cs="Arial"/>
          <w:b/>
        </w:rPr>
        <w:t xml:space="preserve"> CODE</w:t>
      </w:r>
      <w:r w:rsidR="005216B3" w:rsidRPr="000B79B6">
        <w:rPr>
          <w:rFonts w:ascii="Arial" w:hAnsi="Arial" w:cs="Arial"/>
          <w:b/>
        </w:rPr>
        <w:t>: LCHS 4008</w:t>
      </w:r>
    </w:p>
    <w:p w:rsidR="005B5DEA" w:rsidRPr="000B79B6" w:rsidRDefault="00636BBE">
      <w:pPr>
        <w:rPr>
          <w:rFonts w:ascii="Arial" w:hAnsi="Arial" w:cs="Arial"/>
          <w:b/>
        </w:rPr>
      </w:pPr>
      <w:r w:rsidRPr="000B79B6">
        <w:rPr>
          <w:rFonts w:ascii="Arial" w:hAnsi="Arial" w:cs="Arial"/>
          <w:b/>
        </w:rPr>
        <w:t xml:space="preserve">STUDENT: </w:t>
      </w:r>
      <w:r w:rsidR="00456ED7" w:rsidRPr="000B79B6">
        <w:rPr>
          <w:rFonts w:ascii="Arial" w:hAnsi="Arial" w:cs="Arial"/>
          <w:b/>
        </w:rPr>
        <w:t xml:space="preserve">KRASIMIRA </w:t>
      </w:r>
      <w:r w:rsidRPr="000B79B6">
        <w:rPr>
          <w:rFonts w:ascii="Arial" w:hAnsi="Arial" w:cs="Arial"/>
          <w:b/>
        </w:rPr>
        <w:t>YORDANOVA</w:t>
      </w:r>
      <w:r w:rsidR="004712F7" w:rsidRPr="000B79B6">
        <w:rPr>
          <w:rFonts w:ascii="Arial" w:hAnsi="Arial" w:cs="Arial"/>
          <w:b/>
        </w:rPr>
        <w:t>-KRUMOVA -  2510713</w:t>
      </w:r>
    </w:p>
    <w:p w:rsidR="005B5DEA" w:rsidRDefault="005B5DEA">
      <w:pPr>
        <w:rPr>
          <w:b/>
        </w:rPr>
      </w:pPr>
    </w:p>
    <w:p w:rsidR="005B5DEA" w:rsidRDefault="005B5DEA">
      <w:pPr>
        <w:rPr>
          <w:b/>
        </w:rPr>
      </w:pPr>
    </w:p>
    <w:p w:rsidR="00484182" w:rsidRDefault="005B5DEA">
      <w:pPr>
        <w:rPr>
          <w:b/>
        </w:rPr>
      </w:pPr>
      <w:r>
        <w:rPr>
          <w:b/>
        </w:rPr>
        <w:t xml:space="preserve">                                        </w:t>
      </w:r>
      <w:r w:rsidR="000B79B6">
        <w:rPr>
          <w:b/>
        </w:rPr>
        <w:t xml:space="preserve">         </w:t>
      </w:r>
      <w:r w:rsidR="008E4010">
        <w:rPr>
          <w:b/>
        </w:rPr>
        <w:t xml:space="preserve">       </w:t>
      </w:r>
    </w:p>
    <w:p w:rsidR="00484182" w:rsidRDefault="00484182">
      <w:pPr>
        <w:rPr>
          <w:b/>
        </w:rPr>
      </w:pPr>
    </w:p>
    <w:p w:rsidR="00484182" w:rsidRDefault="00484182">
      <w:pPr>
        <w:rPr>
          <w:b/>
        </w:rPr>
      </w:pPr>
    </w:p>
    <w:p w:rsidR="00484182" w:rsidRDefault="00484182">
      <w:pPr>
        <w:rPr>
          <w:b/>
        </w:rPr>
      </w:pPr>
    </w:p>
    <w:p w:rsidR="00484182" w:rsidRDefault="00484182">
      <w:pPr>
        <w:rPr>
          <w:b/>
        </w:rPr>
      </w:pPr>
    </w:p>
    <w:p w:rsidR="00484182" w:rsidRDefault="00484182">
      <w:pPr>
        <w:rPr>
          <w:b/>
        </w:rPr>
      </w:pPr>
    </w:p>
    <w:p w:rsidR="00484182" w:rsidRDefault="00484182">
      <w:pPr>
        <w:rPr>
          <w:b/>
        </w:rPr>
      </w:pPr>
    </w:p>
    <w:p w:rsidR="00484182" w:rsidRDefault="00484182">
      <w:pPr>
        <w:rPr>
          <w:b/>
        </w:rPr>
      </w:pPr>
    </w:p>
    <w:p w:rsidR="00484182" w:rsidRDefault="00484182">
      <w:pPr>
        <w:rPr>
          <w:b/>
        </w:rPr>
      </w:pPr>
    </w:p>
    <w:p w:rsidR="00484182" w:rsidRDefault="00484182">
      <w:pPr>
        <w:rPr>
          <w:b/>
        </w:rPr>
      </w:pPr>
    </w:p>
    <w:p w:rsidR="000A1C63" w:rsidRDefault="000A1C63">
      <w:pPr>
        <w:rPr>
          <w:b/>
        </w:rPr>
      </w:pPr>
    </w:p>
    <w:p w:rsidR="000A1C63" w:rsidRDefault="000A1C63">
      <w:pPr>
        <w:rPr>
          <w:b/>
        </w:rPr>
      </w:pPr>
    </w:p>
    <w:p w:rsidR="000A1C63" w:rsidRDefault="000A1C63">
      <w:pPr>
        <w:rPr>
          <w:b/>
        </w:rPr>
      </w:pPr>
    </w:p>
    <w:p w:rsidR="000A1C63" w:rsidRDefault="000A1C63">
      <w:pPr>
        <w:rPr>
          <w:b/>
        </w:rPr>
      </w:pPr>
    </w:p>
    <w:p w:rsidR="006E1764" w:rsidRDefault="000A1C63">
      <w:pPr>
        <w:rPr>
          <w:b/>
        </w:rPr>
      </w:pPr>
      <w:r>
        <w:rPr>
          <w:b/>
        </w:rPr>
        <w:t xml:space="preserve">                                                        </w:t>
      </w:r>
    </w:p>
    <w:p w:rsidR="006E1764" w:rsidRDefault="006E1764">
      <w:pPr>
        <w:rPr>
          <w:b/>
        </w:rPr>
      </w:pPr>
    </w:p>
    <w:p w:rsidR="002D6FD5" w:rsidRDefault="006E1764">
      <w:pPr>
        <w:rPr>
          <w:rFonts w:ascii="Arial" w:hAnsi="Arial" w:cs="Arial"/>
          <w:b/>
          <w:sz w:val="28"/>
          <w:szCs w:val="28"/>
        </w:rPr>
      </w:pPr>
      <w:r>
        <w:rPr>
          <w:b/>
        </w:rPr>
        <w:lastRenderedPageBreak/>
        <w:t xml:space="preserve">                                                     </w:t>
      </w:r>
      <w:r w:rsidR="00326DC1">
        <w:rPr>
          <w:b/>
        </w:rPr>
        <w:t xml:space="preserve">  </w:t>
      </w:r>
      <w:r w:rsidR="005B5DEA" w:rsidRPr="000B79B6">
        <w:rPr>
          <w:rFonts w:ascii="Arial" w:hAnsi="Arial" w:cs="Arial"/>
          <w:b/>
          <w:sz w:val="28"/>
          <w:szCs w:val="28"/>
        </w:rPr>
        <w:t>DEMENTIA</w:t>
      </w:r>
    </w:p>
    <w:p w:rsidR="00417895" w:rsidRPr="000B79B6" w:rsidRDefault="00417895">
      <w:pPr>
        <w:rPr>
          <w:rFonts w:ascii="Arial" w:hAnsi="Arial" w:cs="Arial"/>
          <w:b/>
          <w:sz w:val="28"/>
          <w:szCs w:val="28"/>
        </w:rPr>
      </w:pPr>
    </w:p>
    <w:p w:rsidR="006E24D4" w:rsidRPr="000A1C63" w:rsidRDefault="00417895" w:rsidP="006E24D4">
      <w:pPr>
        <w:pStyle w:val="ListParagraph"/>
        <w:numPr>
          <w:ilvl w:val="0"/>
          <w:numId w:val="1"/>
        </w:numPr>
        <w:rPr>
          <w:rFonts w:ascii="Arial" w:eastAsiaTheme="minorEastAsia" w:hAnsi="Arial" w:cs="Arial"/>
          <w:b/>
          <w:kern w:val="0"/>
          <w:shd w:val="clear" w:color="auto" w:fill="FFFFFF"/>
          <w:lang w:eastAsia="zh-CN"/>
        </w:rPr>
      </w:pPr>
      <w:r w:rsidRPr="000A1C63">
        <w:rPr>
          <w:rFonts w:ascii="Arial" w:eastAsiaTheme="minorEastAsia" w:hAnsi="Arial" w:cs="Arial"/>
          <w:b/>
          <w:kern w:val="0"/>
          <w:shd w:val="clear" w:color="auto" w:fill="FFFFFF"/>
          <w:lang w:eastAsia="zh-CN"/>
        </w:rPr>
        <w:t>Introduction</w:t>
      </w:r>
    </w:p>
    <w:p w:rsidR="006E24D4" w:rsidRPr="000A1C63" w:rsidRDefault="006E24D4" w:rsidP="006E24D4">
      <w:pPr>
        <w:pStyle w:val="ListParagraph"/>
        <w:numPr>
          <w:ilvl w:val="1"/>
          <w:numId w:val="1"/>
        </w:numPr>
        <w:rPr>
          <w:rFonts w:ascii="Arial" w:eastAsiaTheme="minorEastAsia" w:hAnsi="Arial" w:cs="Arial"/>
          <w:b/>
          <w:kern w:val="0"/>
          <w:shd w:val="clear" w:color="auto" w:fill="FFFFFF"/>
          <w:lang w:eastAsia="zh-CN"/>
        </w:rPr>
      </w:pPr>
      <w:r w:rsidRPr="000A1C63">
        <w:rPr>
          <w:rFonts w:ascii="Arial" w:eastAsiaTheme="minorEastAsia" w:hAnsi="Arial" w:cs="Arial"/>
          <w:b/>
          <w:kern w:val="0"/>
          <w:shd w:val="clear" w:color="auto" w:fill="FFFFFF"/>
          <w:lang w:eastAsia="zh-CN"/>
        </w:rPr>
        <w:t>A defin</w:t>
      </w:r>
      <w:r w:rsidR="00F2082C">
        <w:rPr>
          <w:rFonts w:ascii="Arial" w:eastAsiaTheme="minorEastAsia" w:hAnsi="Arial" w:cs="Arial"/>
          <w:b/>
          <w:kern w:val="0"/>
          <w:shd w:val="clear" w:color="auto" w:fill="FFFFFF"/>
          <w:lang w:eastAsia="zh-CN"/>
        </w:rPr>
        <w:t xml:space="preserve">ition of the disease </w:t>
      </w:r>
    </w:p>
    <w:p w:rsidR="009A7BD4" w:rsidRPr="009A7BD4" w:rsidRDefault="009A7BD4" w:rsidP="009A7BD4">
      <w:pPr>
        <w:jc w:val="both"/>
        <w:rPr>
          <w:rFonts w:ascii="Arial" w:eastAsiaTheme="minorEastAsia" w:hAnsi="Arial" w:cs="Arial"/>
          <w:color w:val="2A2A2A"/>
          <w:kern w:val="0"/>
          <w:sz w:val="22"/>
          <w:szCs w:val="22"/>
          <w:shd w:val="clear" w:color="auto" w:fill="FFFFFF"/>
          <w:lang w:eastAsia="zh-CN"/>
        </w:rPr>
      </w:pPr>
      <w:r w:rsidRPr="009A7BD4">
        <w:rPr>
          <w:rFonts w:ascii="Arial" w:eastAsiaTheme="minorEastAsia" w:hAnsi="Arial" w:cs="Arial"/>
          <w:color w:val="2A2A2A"/>
          <w:kern w:val="0"/>
          <w:sz w:val="22"/>
          <w:szCs w:val="22"/>
          <w:shd w:val="clear" w:color="auto" w:fill="FFFFFF"/>
          <w:lang w:eastAsia="zh-CN"/>
        </w:rPr>
        <w:t>Dementia is an increasingly common condition in older adults and is defined as a syndrome caused by chronic or progressive brain disease that leads to a decline in cognitive functioning (World Health Organization, 1992). This deterioration affects memory, reasoning, language and other higher mental processes, and is frequently accompanied by changes in emotional control, social behaviour and motivation (World Health Organization, 1992). The most common underlying causes include Alzheimer’s disease, vascular dementia and dementia with Lewy bodies. In addition to cognitive decline, most individuals with dementia experience behavioural and psychological symptoms of dementia (BPSD), which encompass disturbances in behaviour, perception, thought content and mood (Williams, 2020). Research exploring long</w:t>
      </w:r>
      <w:r w:rsidRPr="009A7BD4">
        <w:rPr>
          <w:rFonts w:ascii="Cambria Math" w:eastAsiaTheme="minorEastAsia" w:hAnsi="Cambria Math" w:cs="Cambria Math"/>
          <w:color w:val="2A2A2A"/>
          <w:kern w:val="0"/>
          <w:sz w:val="22"/>
          <w:szCs w:val="22"/>
          <w:shd w:val="clear" w:color="auto" w:fill="FFFFFF"/>
          <w:lang w:eastAsia="zh-CN"/>
        </w:rPr>
        <w:t xml:space="preserve"> </w:t>
      </w:r>
      <w:r w:rsidRPr="009A7BD4">
        <w:rPr>
          <w:rFonts w:ascii="Arial" w:eastAsiaTheme="minorEastAsia" w:hAnsi="Arial" w:cs="Arial"/>
          <w:color w:val="2A2A2A"/>
          <w:kern w:val="0"/>
          <w:sz w:val="22"/>
          <w:szCs w:val="22"/>
          <w:shd w:val="clear" w:color="auto" w:fill="FFFFFF"/>
          <w:lang w:eastAsia="zh-CN"/>
        </w:rPr>
        <w:t>term trends in dementia prevalence and incidence has produced mixed findings across countries such as the United States, the United Kingdom and Sweden. However, recent evidence from several high</w:t>
      </w:r>
      <w:r w:rsidRPr="009A7BD4">
        <w:rPr>
          <w:rFonts w:ascii="Cambria Math" w:eastAsiaTheme="minorEastAsia" w:hAnsi="Cambria Math" w:cs="Cambria Math"/>
          <w:color w:val="2A2A2A"/>
          <w:kern w:val="0"/>
          <w:sz w:val="22"/>
          <w:szCs w:val="22"/>
          <w:shd w:val="clear" w:color="auto" w:fill="FFFFFF"/>
          <w:lang w:eastAsia="zh-CN"/>
        </w:rPr>
        <w:t xml:space="preserve"> </w:t>
      </w:r>
      <w:r w:rsidRPr="009A7BD4">
        <w:rPr>
          <w:rFonts w:ascii="Arial" w:eastAsiaTheme="minorEastAsia" w:hAnsi="Arial" w:cs="Arial"/>
          <w:color w:val="2A2A2A"/>
          <w:kern w:val="0"/>
          <w:sz w:val="22"/>
          <w:szCs w:val="22"/>
          <w:shd w:val="clear" w:color="auto" w:fill="FFFFFF"/>
          <w:lang w:eastAsia="zh-CN"/>
        </w:rPr>
        <w:t>income Western nations indicates a decline in dementia rates, offering a positive outlook (Taylor, 2021).</w:t>
      </w:r>
    </w:p>
    <w:p w:rsidR="00271498" w:rsidRPr="00A07A7C" w:rsidRDefault="00271498" w:rsidP="00271498">
      <w:pPr>
        <w:pStyle w:val="ListParagraph"/>
        <w:numPr>
          <w:ilvl w:val="1"/>
          <w:numId w:val="1"/>
        </w:numPr>
        <w:jc w:val="both"/>
        <w:rPr>
          <w:rFonts w:ascii="Arial" w:eastAsiaTheme="minorEastAsia" w:hAnsi="Arial" w:cs="Arial"/>
          <w:b/>
          <w:kern w:val="0"/>
          <w:sz w:val="22"/>
          <w:szCs w:val="22"/>
          <w:shd w:val="clear" w:color="auto" w:fill="FFFFFF"/>
          <w:lang w:eastAsia="zh-CN"/>
        </w:rPr>
      </w:pPr>
      <w:r w:rsidRPr="00A07A7C">
        <w:rPr>
          <w:rFonts w:ascii="Arial" w:eastAsiaTheme="minorEastAsia" w:hAnsi="Arial" w:cs="Arial"/>
          <w:b/>
          <w:kern w:val="0"/>
          <w:sz w:val="22"/>
          <w:szCs w:val="22"/>
          <w:shd w:val="clear" w:color="auto" w:fill="FFFFFF"/>
          <w:lang w:eastAsia="zh-CN"/>
        </w:rPr>
        <w:t>Signs and symptoms</w:t>
      </w:r>
    </w:p>
    <w:p w:rsidR="006B66A2" w:rsidRPr="00A07A7C" w:rsidRDefault="006B66A2" w:rsidP="00775D59">
      <w:pPr>
        <w:jc w:val="both"/>
        <w:rPr>
          <w:rFonts w:ascii="Arial" w:eastAsiaTheme="minorEastAsia" w:hAnsi="Arial" w:cs="Arial"/>
          <w:color w:val="2A2A2A"/>
          <w:kern w:val="0"/>
          <w:sz w:val="22"/>
          <w:szCs w:val="22"/>
          <w:shd w:val="clear" w:color="auto" w:fill="FFFFFF"/>
          <w:lang w:eastAsia="zh-CN"/>
        </w:rPr>
      </w:pPr>
      <w:r w:rsidRPr="00A07A7C">
        <w:rPr>
          <w:rFonts w:ascii="Arial" w:eastAsiaTheme="minorEastAsia" w:hAnsi="Arial" w:cs="Arial"/>
          <w:color w:val="2A2A2A"/>
          <w:kern w:val="0"/>
          <w:sz w:val="22"/>
          <w:szCs w:val="22"/>
          <w:shd w:val="clear" w:color="auto" w:fill="FFFFFF"/>
          <w:lang w:eastAsia="zh-CN"/>
        </w:rPr>
        <w:t xml:space="preserve">Behavioural and psychological symptoms in dementia can be categorised in various ways, but they are most commonly identified through </w:t>
      </w:r>
      <w:r w:rsidRPr="00A07A7C">
        <w:rPr>
          <w:rFonts w:ascii="Arial" w:eastAsiaTheme="minorEastAsia" w:hAnsi="Arial" w:cs="Arial"/>
          <w:kern w:val="0"/>
          <w:sz w:val="22"/>
          <w:szCs w:val="22"/>
          <w:shd w:val="clear" w:color="auto" w:fill="FFFFFF"/>
          <w:lang w:eastAsia="zh-CN"/>
        </w:rPr>
        <w:t>interviews</w:t>
      </w:r>
      <w:r w:rsidRPr="00A07A7C">
        <w:rPr>
          <w:rFonts w:ascii="Arial" w:eastAsiaTheme="minorEastAsia" w:hAnsi="Arial" w:cs="Arial"/>
          <w:color w:val="2A2A2A"/>
          <w:kern w:val="0"/>
          <w:sz w:val="22"/>
          <w:szCs w:val="22"/>
          <w:shd w:val="clear" w:color="auto" w:fill="FFFFFF"/>
          <w:lang w:eastAsia="zh-CN"/>
        </w:rPr>
        <w:t xml:space="preserve"> with the person and their relatives. These symptoms may include anxiety, low mood, hallucinations and delusional thinking. Additional symptoms are often recognised through direct observation of the individual’s behaviour, such as aggression, shouting, restlessness, agitation, wandering, socially inappropriate actions, hoarding, swearing and following others closely.</w:t>
      </w:r>
    </w:p>
    <w:p w:rsidR="003A6DEC" w:rsidRPr="00A07A7C" w:rsidRDefault="00815E11" w:rsidP="00A9093D">
      <w:pPr>
        <w:pStyle w:val="ListParagraph"/>
        <w:numPr>
          <w:ilvl w:val="1"/>
          <w:numId w:val="1"/>
        </w:numPr>
        <w:jc w:val="both"/>
        <w:rPr>
          <w:rFonts w:ascii="Arial" w:eastAsiaTheme="minorEastAsia" w:hAnsi="Arial" w:cs="Arial"/>
          <w:b/>
          <w:kern w:val="0"/>
          <w:sz w:val="22"/>
          <w:szCs w:val="22"/>
          <w:shd w:val="clear" w:color="auto" w:fill="FFFFFF"/>
          <w:lang w:eastAsia="zh-CN"/>
        </w:rPr>
      </w:pPr>
      <w:r w:rsidRPr="00A07A7C">
        <w:rPr>
          <w:rFonts w:ascii="Arial" w:eastAsiaTheme="minorEastAsia" w:hAnsi="Arial" w:cs="Arial"/>
          <w:b/>
          <w:kern w:val="0"/>
          <w:sz w:val="22"/>
          <w:szCs w:val="22"/>
          <w:shd w:val="clear" w:color="auto" w:fill="FFFFFF"/>
          <w:lang w:eastAsia="zh-CN"/>
        </w:rPr>
        <w:t xml:space="preserve">Levels of the incidents that demonstrate the severity of health issue </w:t>
      </w:r>
    </w:p>
    <w:p w:rsidR="00815E11" w:rsidRPr="00A07A7C" w:rsidRDefault="00815E11" w:rsidP="003A6DEC">
      <w:pPr>
        <w:pStyle w:val="ListParagraph"/>
        <w:ind w:left="1080"/>
        <w:jc w:val="both"/>
        <w:rPr>
          <w:rFonts w:ascii="Arial" w:eastAsiaTheme="minorEastAsia" w:hAnsi="Arial" w:cs="Arial"/>
          <w:b/>
          <w:kern w:val="0"/>
          <w:sz w:val="22"/>
          <w:szCs w:val="22"/>
          <w:shd w:val="clear" w:color="auto" w:fill="FFFFFF"/>
          <w:lang w:eastAsia="zh-CN"/>
        </w:rPr>
      </w:pPr>
      <w:r w:rsidRPr="00A07A7C">
        <w:rPr>
          <w:rFonts w:ascii="Arial" w:eastAsiaTheme="minorEastAsia" w:hAnsi="Arial" w:cs="Arial"/>
          <w:b/>
          <w:kern w:val="0"/>
          <w:sz w:val="22"/>
          <w:szCs w:val="22"/>
          <w:shd w:val="clear" w:color="auto" w:fill="FFFFFF"/>
          <w:lang w:eastAsia="zh-CN"/>
        </w:rPr>
        <w:t>( Both worldwide and UK statistics )</w:t>
      </w:r>
    </w:p>
    <w:p w:rsidR="00A9093D" w:rsidRPr="008C5B4B" w:rsidRDefault="00633764" w:rsidP="00775D59">
      <w:pPr>
        <w:jc w:val="both"/>
        <w:rPr>
          <w:rFonts w:ascii="Arial" w:eastAsiaTheme="minorEastAsia" w:hAnsi="Arial" w:cs="Arial"/>
          <w:color w:val="2A2A2A"/>
          <w:kern w:val="0"/>
          <w:sz w:val="22"/>
          <w:szCs w:val="22"/>
          <w:shd w:val="clear" w:color="auto" w:fill="FFFFFF"/>
          <w:lang w:eastAsia="zh-CN"/>
        </w:rPr>
      </w:pPr>
      <w:r w:rsidRPr="00A07A7C">
        <w:rPr>
          <w:rFonts w:ascii="Arial" w:eastAsiaTheme="minorEastAsia" w:hAnsi="Arial" w:cs="Arial"/>
          <w:color w:val="2A2A2A"/>
          <w:kern w:val="0"/>
          <w:sz w:val="22"/>
          <w:szCs w:val="22"/>
          <w:shd w:val="clear" w:color="auto" w:fill="FFFFFF"/>
          <w:lang w:eastAsia="zh-CN"/>
        </w:rPr>
        <w:t>Research exploring long</w:t>
      </w:r>
      <w:r w:rsidR="00F042A2"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term trends in dementia prevalence and incidence has produced mixed findings across countries such as the United States, the United Kingdom and Sweden. However, recent evidence from several high</w:t>
      </w:r>
      <w:r w:rsidR="00F042A2"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income Western nations indicates a decline in dementia rates, offering a positive outlook (Taylor, 2021).</w:t>
      </w:r>
    </w:p>
    <w:p w:rsidR="00417895" w:rsidRPr="00A07A7C" w:rsidRDefault="00D7686C" w:rsidP="00A9093D">
      <w:pPr>
        <w:ind w:left="360"/>
        <w:jc w:val="both"/>
        <w:rPr>
          <w:rFonts w:ascii="Arial" w:eastAsiaTheme="minorEastAsia" w:hAnsi="Arial" w:cs="Arial"/>
          <w:b/>
          <w:kern w:val="0"/>
          <w:sz w:val="22"/>
          <w:szCs w:val="22"/>
          <w:shd w:val="clear" w:color="auto" w:fill="FFFFFF"/>
          <w:lang w:eastAsia="zh-CN"/>
        </w:rPr>
      </w:pPr>
      <w:r w:rsidRPr="00A07A7C">
        <w:rPr>
          <w:rFonts w:ascii="Arial" w:eastAsiaTheme="minorEastAsia" w:hAnsi="Arial" w:cs="Arial"/>
          <w:b/>
          <w:kern w:val="0"/>
          <w:sz w:val="22"/>
          <w:szCs w:val="22"/>
          <w:shd w:val="clear" w:color="auto" w:fill="FFFFFF"/>
          <w:lang w:eastAsia="zh-CN"/>
        </w:rPr>
        <w:t>2.0.</w:t>
      </w:r>
      <w:r w:rsidR="00A9093D" w:rsidRPr="00A07A7C">
        <w:rPr>
          <w:rFonts w:ascii="Arial" w:eastAsiaTheme="minorEastAsia" w:hAnsi="Arial" w:cs="Arial"/>
          <w:b/>
          <w:kern w:val="0"/>
          <w:sz w:val="22"/>
          <w:szCs w:val="22"/>
          <w:shd w:val="clear" w:color="auto" w:fill="FFFFFF"/>
          <w:lang w:eastAsia="zh-CN"/>
        </w:rPr>
        <w:t xml:space="preserve"> </w:t>
      </w:r>
      <w:r w:rsidR="000A7598" w:rsidRPr="00A07A7C">
        <w:rPr>
          <w:rFonts w:ascii="Arial" w:eastAsiaTheme="minorEastAsia" w:hAnsi="Arial" w:cs="Arial"/>
          <w:b/>
          <w:kern w:val="0"/>
          <w:sz w:val="22"/>
          <w:szCs w:val="22"/>
          <w:shd w:val="clear" w:color="auto" w:fill="FFFFFF"/>
          <w:lang w:eastAsia="zh-CN"/>
        </w:rPr>
        <w:t>Different approaches</w:t>
      </w:r>
      <w:r w:rsidR="00417895" w:rsidRPr="00A07A7C">
        <w:rPr>
          <w:rFonts w:ascii="Arial" w:eastAsiaTheme="minorEastAsia" w:hAnsi="Arial" w:cs="Arial"/>
          <w:b/>
          <w:kern w:val="0"/>
          <w:sz w:val="22"/>
          <w:szCs w:val="22"/>
          <w:shd w:val="clear" w:color="auto" w:fill="FFFFFF"/>
          <w:lang w:eastAsia="zh-CN"/>
        </w:rPr>
        <w:t xml:space="preserve"> to me</w:t>
      </w:r>
      <w:r w:rsidR="000A7598" w:rsidRPr="00A07A7C">
        <w:rPr>
          <w:rFonts w:ascii="Arial" w:eastAsiaTheme="minorEastAsia" w:hAnsi="Arial" w:cs="Arial"/>
          <w:b/>
          <w:kern w:val="0"/>
          <w:sz w:val="22"/>
          <w:szCs w:val="22"/>
          <w:shd w:val="clear" w:color="auto" w:fill="FFFFFF"/>
          <w:lang w:eastAsia="zh-CN"/>
        </w:rPr>
        <w:t>asure and monitor Dementia</w:t>
      </w:r>
    </w:p>
    <w:p w:rsidR="00775D59" w:rsidRPr="00A07A7C" w:rsidRDefault="00775D59" w:rsidP="00775D59">
      <w:pPr>
        <w:jc w:val="both"/>
        <w:rPr>
          <w:rFonts w:ascii="Arial" w:eastAsiaTheme="minorEastAsia" w:hAnsi="Arial" w:cs="Arial"/>
          <w:color w:val="2A2A2A"/>
          <w:kern w:val="0"/>
          <w:sz w:val="22"/>
          <w:szCs w:val="22"/>
          <w:shd w:val="clear" w:color="auto" w:fill="FFFFFF"/>
          <w:lang w:eastAsia="zh-CN"/>
        </w:rPr>
      </w:pPr>
      <w:r w:rsidRPr="00A07A7C">
        <w:rPr>
          <w:rFonts w:ascii="Arial" w:eastAsiaTheme="minorEastAsia" w:hAnsi="Arial" w:cs="Arial"/>
          <w:color w:val="2A2A2A"/>
          <w:kern w:val="0"/>
          <w:sz w:val="22"/>
          <w:szCs w:val="22"/>
          <w:shd w:val="clear" w:color="auto" w:fill="FFFFFF"/>
          <w:lang w:eastAsia="zh-CN"/>
        </w:rPr>
        <w:t>Although some research indicates declining dementia rates in certain high</w:t>
      </w:r>
      <w:r w:rsidR="002A688D"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income countries, other studies report that the global number of people living with dementia continues to rise. In the United Kingdom, it is estimated that one in three individuals born in 2015 will develop dementia during their lifetime (Alzheimer’s Society, 2019). Current care focuses on managing symptoms, as no disease</w:t>
      </w:r>
      <w:r w:rsidR="002A688D"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modifying treatments exist to slow or halt the underlying pathological processes. Between 1998 and 2012, 101 potential pharmacological treatments for Alzheimer’s disease were tested internationally; only four received regulatory approval, and all provided symptomatic rather than disease</w:t>
      </w:r>
      <w:r w:rsidR="002A688D"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modifying benefits (Brown, 2014). At the G8 Dementia Summit in 2013, participating nations, including the UK, committed to identifying a disease</w:t>
      </w:r>
      <w:r w:rsidR="002A688D"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modifying therapy by 2025 (Department of Health, 2013). Modelling suggests that a treatment delaying progression of mild</w:t>
      </w:r>
      <w:r w:rsidR="002A688D"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to</w:t>
      </w:r>
      <w:r w:rsidR="002A688D"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 xml:space="preserve">moderate dementia by 50% could </w:t>
      </w:r>
      <w:r w:rsidRPr="00A07A7C">
        <w:rPr>
          <w:rFonts w:ascii="Arial" w:eastAsiaTheme="minorEastAsia" w:hAnsi="Arial" w:cs="Arial"/>
          <w:color w:val="2A2A2A"/>
          <w:kern w:val="0"/>
          <w:sz w:val="22"/>
          <w:szCs w:val="22"/>
          <w:shd w:val="clear" w:color="auto" w:fill="FFFFFF"/>
          <w:lang w:eastAsia="zh-CN"/>
        </w:rPr>
        <w:lastRenderedPageBreak/>
        <w:t>reduce the proportion of people reaching severe stages from 14% to 2% by 2050 (Taylor, 2016).</w:t>
      </w:r>
    </w:p>
    <w:p w:rsidR="006A40FE" w:rsidRPr="00A07A7C" w:rsidRDefault="006A40FE" w:rsidP="00775D59">
      <w:pPr>
        <w:jc w:val="both"/>
        <w:rPr>
          <w:rFonts w:ascii="Arial" w:hAnsi="Arial" w:cs="Arial"/>
          <w:sz w:val="22"/>
          <w:szCs w:val="22"/>
        </w:rPr>
      </w:pPr>
      <w:r w:rsidRPr="00A07A7C">
        <w:rPr>
          <w:rFonts w:ascii="Arial" w:hAnsi="Arial" w:cs="Arial"/>
          <w:sz w:val="22"/>
          <w:szCs w:val="22"/>
        </w:rPr>
        <w:t>In the UK, responsibility for providing health and social care to people with dementia is often spread across multiple professionals, agencies and organisations, which can lead to fragmented services and uncertainty about who is accountable for different aspects of care. Because of this, effective collaboration and coordination between services are essential to meet the wide range of needs and ensure appropriate support. This includes joint working between GPs, memory clinics, social workers, community mental health teams, occupational therapists, day services, voluntary organisations and specialist dementia support services.</w:t>
      </w:r>
    </w:p>
    <w:p w:rsidR="00121BDA" w:rsidRPr="00A07A7C" w:rsidRDefault="00121BDA" w:rsidP="006E1764">
      <w:pPr>
        <w:pStyle w:val="ListParagraph"/>
        <w:numPr>
          <w:ilvl w:val="1"/>
          <w:numId w:val="6"/>
        </w:numPr>
        <w:jc w:val="both"/>
        <w:rPr>
          <w:rFonts w:ascii="Arial" w:eastAsiaTheme="minorEastAsia" w:hAnsi="Arial" w:cs="Arial"/>
          <w:b/>
          <w:color w:val="2A2A2A"/>
          <w:kern w:val="0"/>
          <w:sz w:val="22"/>
          <w:szCs w:val="22"/>
          <w:shd w:val="clear" w:color="auto" w:fill="FFFFFF"/>
          <w:lang w:eastAsia="zh-CN"/>
        </w:rPr>
      </w:pPr>
      <w:r w:rsidRPr="00A07A7C">
        <w:rPr>
          <w:rFonts w:ascii="Arial" w:eastAsiaTheme="minorEastAsia" w:hAnsi="Arial" w:cs="Arial"/>
          <w:b/>
          <w:color w:val="2A2A2A"/>
          <w:kern w:val="0"/>
          <w:sz w:val="22"/>
          <w:szCs w:val="22"/>
          <w:shd w:val="clear" w:color="auto" w:fill="FFFFFF"/>
          <w:lang w:eastAsia="zh-CN"/>
        </w:rPr>
        <w:t xml:space="preserve">Explain how </w:t>
      </w:r>
      <w:r w:rsidR="00F6130F" w:rsidRPr="00A07A7C">
        <w:rPr>
          <w:rFonts w:ascii="Arial" w:eastAsiaTheme="minorEastAsia" w:hAnsi="Arial" w:cs="Arial"/>
          <w:b/>
          <w:color w:val="2A2A2A"/>
          <w:kern w:val="0"/>
          <w:sz w:val="22"/>
          <w:szCs w:val="22"/>
          <w:shd w:val="clear" w:color="auto" w:fill="FFFFFF"/>
          <w:lang w:eastAsia="zh-CN"/>
        </w:rPr>
        <w:t>this disease is controlled</w:t>
      </w:r>
    </w:p>
    <w:p w:rsidR="005A4622" w:rsidRPr="00A07A7C" w:rsidRDefault="005A4622" w:rsidP="00B10246">
      <w:pPr>
        <w:jc w:val="both"/>
        <w:rPr>
          <w:rFonts w:ascii="Arial" w:hAnsi="Arial" w:cs="Arial"/>
          <w:sz w:val="22"/>
          <w:szCs w:val="22"/>
        </w:rPr>
      </w:pPr>
      <w:r w:rsidRPr="00A07A7C">
        <w:rPr>
          <w:rFonts w:ascii="Arial" w:hAnsi="Arial" w:cs="Arial"/>
          <w:sz w:val="22"/>
          <w:szCs w:val="22"/>
        </w:rPr>
        <w:t>Detecting dementia</w:t>
      </w:r>
      <w:r w:rsidR="002A688D" w:rsidRPr="00A07A7C">
        <w:rPr>
          <w:rFonts w:ascii="Arial" w:hAnsi="Arial" w:cs="Arial"/>
          <w:sz w:val="22"/>
          <w:szCs w:val="22"/>
        </w:rPr>
        <w:t xml:space="preserve"> at an early stage through real </w:t>
      </w:r>
      <w:r w:rsidRPr="00A07A7C">
        <w:rPr>
          <w:rFonts w:ascii="Arial" w:hAnsi="Arial" w:cs="Arial"/>
          <w:sz w:val="22"/>
          <w:szCs w:val="22"/>
        </w:rPr>
        <w:t>world data remains a significant public health challe</w:t>
      </w:r>
      <w:r w:rsidR="002A688D" w:rsidRPr="00A07A7C">
        <w:rPr>
          <w:rFonts w:ascii="Arial" w:hAnsi="Arial" w:cs="Arial"/>
          <w:sz w:val="22"/>
          <w:szCs w:val="22"/>
        </w:rPr>
        <w:t xml:space="preserve">nge. Currently, only around two </w:t>
      </w:r>
      <w:r w:rsidRPr="00A07A7C">
        <w:rPr>
          <w:rFonts w:ascii="Arial" w:hAnsi="Arial" w:cs="Arial"/>
          <w:sz w:val="22"/>
          <w:szCs w:val="22"/>
        </w:rPr>
        <w:t>thirds of people with dementia in the United Kingdom receive a formal diagnosis, and many are identified only when the condition has already progressed, indicating substantial room for improvement. As a result, the UK government and the National Health Service (NHS) have prioritised increasing the proportion of people who receive a timely and accurate dementia diagnosis.</w:t>
      </w:r>
    </w:p>
    <w:p w:rsidR="006A40FE" w:rsidRPr="00A07A7C" w:rsidRDefault="006A40FE" w:rsidP="00B10246">
      <w:pPr>
        <w:jc w:val="both"/>
        <w:rPr>
          <w:rFonts w:ascii="Arial" w:hAnsi="Arial" w:cs="Arial"/>
          <w:sz w:val="22"/>
          <w:szCs w:val="22"/>
        </w:rPr>
      </w:pPr>
      <w:r w:rsidRPr="00A07A7C">
        <w:rPr>
          <w:rFonts w:ascii="Arial" w:hAnsi="Arial" w:cs="Arial"/>
          <w:sz w:val="22"/>
          <w:szCs w:val="22"/>
        </w:rPr>
        <w:t>Dementia can be better managed through early diagnosis, reducing risk factors, effective symptom management, appropriate medication, educating families, providing community support, and implementing wider prevention strategies that lessen its impact on individuals and society.</w:t>
      </w:r>
    </w:p>
    <w:p w:rsidR="00121BDA" w:rsidRPr="00A07A7C" w:rsidRDefault="0010576A" w:rsidP="00A9093D">
      <w:pPr>
        <w:pStyle w:val="ListParagraph"/>
        <w:numPr>
          <w:ilvl w:val="1"/>
          <w:numId w:val="4"/>
        </w:numPr>
        <w:jc w:val="both"/>
        <w:rPr>
          <w:rFonts w:ascii="Arial" w:eastAsiaTheme="minorEastAsia" w:hAnsi="Arial" w:cs="Arial"/>
          <w:b/>
          <w:color w:val="2A2A2A"/>
          <w:kern w:val="0"/>
          <w:sz w:val="22"/>
          <w:szCs w:val="22"/>
          <w:shd w:val="clear" w:color="auto" w:fill="FFFFFF"/>
          <w:lang w:eastAsia="zh-CN"/>
        </w:rPr>
      </w:pPr>
      <w:r w:rsidRPr="00A07A7C">
        <w:rPr>
          <w:rFonts w:ascii="Arial" w:eastAsiaTheme="minorEastAsia" w:hAnsi="Arial" w:cs="Arial"/>
          <w:b/>
          <w:color w:val="2A2A2A"/>
          <w:kern w:val="0"/>
          <w:sz w:val="22"/>
          <w:szCs w:val="22"/>
          <w:shd w:val="clear" w:color="auto" w:fill="FFFFFF"/>
          <w:lang w:eastAsia="zh-CN"/>
        </w:rPr>
        <w:t xml:space="preserve"> T</w:t>
      </w:r>
      <w:r w:rsidR="00121BDA" w:rsidRPr="00A07A7C">
        <w:rPr>
          <w:rFonts w:ascii="Arial" w:eastAsiaTheme="minorEastAsia" w:hAnsi="Arial" w:cs="Arial"/>
          <w:b/>
          <w:color w:val="2A2A2A"/>
          <w:kern w:val="0"/>
          <w:sz w:val="22"/>
          <w:szCs w:val="22"/>
          <w:shd w:val="clear" w:color="auto" w:fill="FFFFFF"/>
          <w:lang w:eastAsia="zh-CN"/>
        </w:rPr>
        <w:t>he consequences of this ill</w:t>
      </w:r>
      <w:r w:rsidR="00F6130F" w:rsidRPr="00A07A7C">
        <w:rPr>
          <w:rFonts w:ascii="Arial" w:eastAsiaTheme="minorEastAsia" w:hAnsi="Arial" w:cs="Arial"/>
          <w:b/>
          <w:color w:val="2A2A2A"/>
          <w:kern w:val="0"/>
          <w:sz w:val="22"/>
          <w:szCs w:val="22"/>
          <w:shd w:val="clear" w:color="auto" w:fill="FFFFFF"/>
          <w:lang w:eastAsia="zh-CN"/>
        </w:rPr>
        <w:t>ness on people in the community</w:t>
      </w:r>
    </w:p>
    <w:p w:rsidR="00892168" w:rsidRPr="00A07A7C" w:rsidRDefault="00892168" w:rsidP="00892168">
      <w:pPr>
        <w:jc w:val="both"/>
        <w:rPr>
          <w:rFonts w:ascii="Arial" w:eastAsiaTheme="minorEastAsia" w:hAnsi="Arial" w:cs="Arial"/>
          <w:color w:val="2A2A2A"/>
          <w:kern w:val="0"/>
          <w:sz w:val="22"/>
          <w:szCs w:val="22"/>
          <w:shd w:val="clear" w:color="auto" w:fill="FFFFFF"/>
          <w:lang w:eastAsia="zh-CN"/>
        </w:rPr>
      </w:pPr>
      <w:r w:rsidRPr="00A07A7C">
        <w:rPr>
          <w:rFonts w:ascii="Arial" w:eastAsiaTheme="minorEastAsia" w:hAnsi="Arial" w:cs="Arial"/>
          <w:color w:val="2A2A2A"/>
          <w:kern w:val="0"/>
          <w:sz w:val="22"/>
          <w:szCs w:val="22"/>
          <w:shd w:val="clear" w:color="auto" w:fill="FFFFFF"/>
          <w:lang w:eastAsia="zh-CN"/>
        </w:rPr>
        <w:t>Recent national data for England provide updated estimates of dementia prevalence, patterns of health and social care use, and the economic value of unpaid care. Around 690,000 people in England are living with dementia, with approximately 565,000 receiving unpaid support, community</w:t>
      </w:r>
      <w:r w:rsidR="002A688D"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based care or living in care homes. In 2015, the total annual cost of dementia was estimated at £24.2 billion, with unpaid care making up 42% of this figure (Lewis, 2016). Social care costs (£10.2 billion) were nearly three times higher than healthcare costs (£3.8 billion). Of the social care total, £6.2 billion was paid directly by families, while £4.0 billion was publicly funded. Costs also increase with severity, ranging from £24,400 per person with mild dementia to £46,050 for severe dementia.</w:t>
      </w:r>
    </w:p>
    <w:p w:rsidR="00892168" w:rsidRPr="00A07A7C" w:rsidRDefault="00892168" w:rsidP="00892168">
      <w:pPr>
        <w:jc w:val="both"/>
        <w:rPr>
          <w:rFonts w:ascii="Arial" w:eastAsiaTheme="minorEastAsia" w:hAnsi="Arial" w:cs="Arial"/>
          <w:color w:val="2A2A2A"/>
          <w:kern w:val="0"/>
          <w:sz w:val="22"/>
          <w:szCs w:val="22"/>
          <w:shd w:val="clear" w:color="auto" w:fill="FFFFFF"/>
          <w:lang w:eastAsia="zh-CN"/>
        </w:rPr>
      </w:pPr>
      <w:r w:rsidRPr="00A07A7C">
        <w:rPr>
          <w:rFonts w:ascii="Arial" w:eastAsiaTheme="minorEastAsia" w:hAnsi="Arial" w:cs="Arial"/>
          <w:color w:val="2A2A2A"/>
          <w:kern w:val="0"/>
          <w:sz w:val="22"/>
          <w:szCs w:val="22"/>
          <w:shd w:val="clear" w:color="auto" w:fill="FFFFFF"/>
          <w:lang w:eastAsia="zh-CN"/>
        </w:rPr>
        <w:t>These figures show that dementia places a major financial burden on individuals, families and society. Strengthening support for people with dementia and their carers, alongside ensuring sustainable and fair social care funding, is essential (Lewis, 2016).</w:t>
      </w:r>
    </w:p>
    <w:p w:rsidR="00B10246" w:rsidRPr="00A07A7C" w:rsidRDefault="00B10246" w:rsidP="00B10246">
      <w:pPr>
        <w:jc w:val="both"/>
        <w:rPr>
          <w:rFonts w:ascii="Arial" w:eastAsiaTheme="minorEastAsia" w:hAnsi="Arial" w:cs="Arial"/>
          <w:color w:val="2A2A2A"/>
          <w:kern w:val="0"/>
          <w:sz w:val="22"/>
          <w:szCs w:val="22"/>
          <w:shd w:val="clear" w:color="auto" w:fill="FFFFFF"/>
          <w:lang w:eastAsia="zh-CN"/>
        </w:rPr>
      </w:pPr>
      <w:r w:rsidRPr="00A07A7C">
        <w:rPr>
          <w:rFonts w:ascii="Arial" w:eastAsiaTheme="minorEastAsia" w:hAnsi="Arial" w:cs="Arial"/>
          <w:color w:val="2A2A2A"/>
          <w:kern w:val="0"/>
          <w:sz w:val="22"/>
          <w:szCs w:val="22"/>
          <w:shd w:val="clear" w:color="auto" w:fill="FFFFFF"/>
          <w:lang w:eastAsia="zh-CN"/>
        </w:rPr>
        <w:t>Cost</w:t>
      </w:r>
      <w:r w:rsidR="002A688D"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modelling demonstrates that such improvements are both feasible and affordable, but achieving them requires governments and societies to commit to significant systemic change (Alzheimer’s Disease International, 2016). As the global federation representing 85 Alzheimer associations, ADI advocates for dementia to be recognised as an international health priority. National dementia strategies are an essential step toward enabling people to live well with dementia and reducing future risk. Although an increasing number of countries have developed or are developing such plans, further progress is needed. Worldwide efforts must focus on strengthening health and social care systems, eliminating stigma, and ensuring that people living with dementia are fully included in society and that their human rights are upheld.</w:t>
      </w:r>
    </w:p>
    <w:p w:rsidR="00DD7FFE" w:rsidRPr="00A07A7C" w:rsidRDefault="002A688D" w:rsidP="00183CBE">
      <w:pPr>
        <w:jc w:val="both"/>
        <w:rPr>
          <w:rFonts w:ascii="Arial" w:hAnsi="Arial" w:cs="Arial"/>
          <w:sz w:val="22"/>
          <w:szCs w:val="22"/>
        </w:rPr>
      </w:pPr>
      <w:r w:rsidRPr="00A07A7C">
        <w:rPr>
          <w:rFonts w:ascii="Arial" w:hAnsi="Arial" w:cs="Arial"/>
          <w:sz w:val="22"/>
          <w:szCs w:val="22"/>
        </w:rPr>
        <w:lastRenderedPageBreak/>
        <w:t>Delivering high quality end of l</w:t>
      </w:r>
      <w:r w:rsidR="00DD7FFE" w:rsidRPr="00A07A7C">
        <w:rPr>
          <w:rFonts w:ascii="Arial" w:hAnsi="Arial" w:cs="Arial"/>
          <w:sz w:val="22"/>
          <w:szCs w:val="22"/>
        </w:rPr>
        <w:t>ife care for people with dementia is complex and demands recognition of the different forms of expertise involved, including the practical knowledge and skills of care assistants. Providing effective support to individuals with dementia and their families, and helping them understand and navigate the final stages of life, requires a sensitive blend of emotional support and technical competence.</w:t>
      </w:r>
    </w:p>
    <w:p w:rsidR="000A1C63" w:rsidRPr="00A07A7C" w:rsidRDefault="008C5B4B" w:rsidP="00A9093D">
      <w:pPr>
        <w:jc w:val="both"/>
        <w:rPr>
          <w:rFonts w:ascii="Arial" w:hAnsi="Arial" w:cs="Arial"/>
          <w:sz w:val="22"/>
          <w:szCs w:val="22"/>
        </w:rPr>
      </w:pPr>
      <w:r>
        <w:rPr>
          <w:rFonts w:ascii="Arial" w:hAnsi="Arial" w:cs="Arial"/>
          <w:b/>
          <w:sz w:val="22"/>
          <w:szCs w:val="22"/>
        </w:rPr>
        <w:t xml:space="preserve">   2.3</w:t>
      </w:r>
      <w:r w:rsidR="00A9093D" w:rsidRPr="00A07A7C">
        <w:rPr>
          <w:rFonts w:ascii="Arial" w:hAnsi="Arial" w:cs="Arial"/>
          <w:b/>
          <w:sz w:val="22"/>
          <w:szCs w:val="22"/>
        </w:rPr>
        <w:t>.</w:t>
      </w:r>
      <w:r w:rsidR="00F2602D" w:rsidRPr="00A07A7C">
        <w:rPr>
          <w:rFonts w:ascii="Arial" w:hAnsi="Arial" w:cs="Arial"/>
          <w:b/>
          <w:sz w:val="22"/>
          <w:szCs w:val="22"/>
        </w:rPr>
        <w:t xml:space="preserve"> H</w:t>
      </w:r>
      <w:r w:rsidR="000A1C63" w:rsidRPr="00A07A7C">
        <w:rPr>
          <w:rFonts w:ascii="Arial" w:hAnsi="Arial" w:cs="Arial"/>
          <w:b/>
          <w:sz w:val="22"/>
          <w:szCs w:val="22"/>
        </w:rPr>
        <w:t>ealth and s</w:t>
      </w:r>
      <w:r w:rsidR="00F2602D" w:rsidRPr="00A07A7C">
        <w:rPr>
          <w:rFonts w:ascii="Arial" w:hAnsi="Arial" w:cs="Arial"/>
          <w:b/>
          <w:sz w:val="22"/>
          <w:szCs w:val="22"/>
        </w:rPr>
        <w:t xml:space="preserve">ocial care support services </w:t>
      </w:r>
      <w:r w:rsidR="000A1C63" w:rsidRPr="00A07A7C">
        <w:rPr>
          <w:rFonts w:ascii="Arial" w:hAnsi="Arial" w:cs="Arial"/>
          <w:b/>
          <w:sz w:val="22"/>
          <w:szCs w:val="22"/>
        </w:rPr>
        <w:t>within the community</w:t>
      </w:r>
    </w:p>
    <w:p w:rsidR="00183CBE" w:rsidRPr="00A07A7C" w:rsidRDefault="00183CBE" w:rsidP="00183CBE">
      <w:pPr>
        <w:jc w:val="both"/>
        <w:rPr>
          <w:rFonts w:ascii="Arial" w:eastAsiaTheme="minorEastAsia" w:hAnsi="Arial" w:cs="Arial"/>
          <w:color w:val="2A2A2A"/>
          <w:kern w:val="0"/>
          <w:sz w:val="22"/>
          <w:szCs w:val="22"/>
          <w:shd w:val="clear" w:color="auto" w:fill="FFFFFF"/>
          <w:lang w:eastAsia="zh-CN"/>
        </w:rPr>
      </w:pPr>
      <w:r w:rsidRPr="00A07A7C">
        <w:rPr>
          <w:rFonts w:ascii="Arial" w:eastAsiaTheme="minorEastAsia" w:hAnsi="Arial" w:cs="Arial"/>
          <w:color w:val="2A2A2A"/>
          <w:kern w:val="0"/>
          <w:sz w:val="22"/>
          <w:szCs w:val="22"/>
          <w:shd w:val="clear" w:color="auto" w:fill="FFFFFF"/>
          <w:lang w:eastAsia="zh-CN"/>
        </w:rPr>
        <w:t>Dementia</w:t>
      </w:r>
      <w:r w:rsidR="002A688D"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friendly communities (DFCs) in the UK are designed to support people with dementia to feel included, understood and able to participate in their local environments. Their development typically depends on the involvement of a wide range of stakeholders and often relies heavily on volunteer contributions. However, there is limited evidence exploring how achievable these expectations are in practice. Insights from an inter</w:t>
      </w:r>
      <w:r w:rsidRPr="00A07A7C">
        <w:rPr>
          <w:rFonts w:ascii="Arial" w:eastAsiaTheme="minorEastAsia" w:hAnsi="Cambria Math" w:cs="Arial"/>
          <w:color w:val="2A2A2A"/>
          <w:kern w:val="0"/>
          <w:sz w:val="22"/>
          <w:szCs w:val="22"/>
          <w:shd w:val="clear" w:color="auto" w:fill="FFFFFF"/>
          <w:lang w:eastAsia="zh-CN"/>
        </w:rPr>
        <w:t>‑</w:t>
      </w:r>
      <w:r w:rsidRPr="00A07A7C">
        <w:rPr>
          <w:rFonts w:ascii="Arial" w:eastAsiaTheme="minorEastAsia" w:hAnsi="Arial" w:cs="Arial"/>
          <w:color w:val="2A2A2A"/>
          <w:kern w:val="0"/>
          <w:sz w:val="22"/>
          <w:szCs w:val="22"/>
          <w:shd w:val="clear" w:color="auto" w:fill="FFFFFF"/>
          <w:lang w:eastAsia="zh-CN"/>
        </w:rPr>
        <w:t>agency initiative funded by the National Health Service in the South of</w:t>
      </w:r>
      <w:r w:rsidR="00D40B64" w:rsidRPr="00A07A7C">
        <w:rPr>
          <w:rFonts w:ascii="Arial" w:eastAsiaTheme="minorEastAsia" w:hAnsi="Arial" w:cs="Arial"/>
          <w:color w:val="2A2A2A"/>
          <w:kern w:val="0"/>
          <w:sz w:val="22"/>
          <w:szCs w:val="22"/>
          <w:shd w:val="clear" w:color="auto" w:fill="FFFFFF"/>
          <w:lang w:eastAsia="zh-CN"/>
        </w:rPr>
        <w:t xml:space="preserve"> England, </w:t>
      </w:r>
      <w:r w:rsidRPr="00A07A7C">
        <w:rPr>
          <w:rFonts w:ascii="Arial" w:eastAsiaTheme="minorEastAsia" w:hAnsi="Arial" w:cs="Arial"/>
          <w:color w:val="2A2A2A"/>
          <w:kern w:val="0"/>
          <w:sz w:val="22"/>
          <w:szCs w:val="22"/>
          <w:shd w:val="clear" w:color="auto" w:fill="FFFFFF"/>
          <w:lang w:eastAsia="zh-CN"/>
        </w:rPr>
        <w:t>where seven DFCs were established through collaboration between steering groups and four part</w:t>
      </w:r>
      <w:r w:rsidR="002A688D" w:rsidRPr="00A07A7C">
        <w:rPr>
          <w:rFonts w:ascii="Arial" w:eastAsiaTheme="minorEastAsia" w:hAnsi="Arial" w:cs="Arial"/>
          <w:color w:val="2A2A2A"/>
          <w:kern w:val="0"/>
          <w:sz w:val="22"/>
          <w:szCs w:val="22"/>
          <w:shd w:val="clear" w:color="auto" w:fill="FFFFFF"/>
          <w:lang w:eastAsia="zh-CN"/>
        </w:rPr>
        <w:t xml:space="preserve"> </w:t>
      </w:r>
      <w:r w:rsidR="004C66CC" w:rsidRPr="00A07A7C">
        <w:rPr>
          <w:rFonts w:ascii="Arial" w:eastAsiaTheme="minorEastAsia" w:hAnsi="Arial" w:cs="Arial"/>
          <w:color w:val="2A2A2A"/>
          <w:kern w:val="0"/>
          <w:sz w:val="22"/>
          <w:szCs w:val="22"/>
          <w:shd w:val="clear" w:color="auto" w:fill="FFFFFF"/>
          <w:lang w:eastAsia="zh-CN"/>
        </w:rPr>
        <w:t xml:space="preserve">time project workers, </w:t>
      </w:r>
      <w:r w:rsidRPr="00A07A7C">
        <w:rPr>
          <w:rFonts w:ascii="Arial" w:eastAsiaTheme="minorEastAsia" w:hAnsi="Arial" w:cs="Arial"/>
          <w:color w:val="2A2A2A"/>
          <w:kern w:val="0"/>
          <w:sz w:val="22"/>
          <w:szCs w:val="22"/>
          <w:shd w:val="clear" w:color="auto" w:fill="FFFFFF"/>
          <w:lang w:eastAsia="zh-CN"/>
        </w:rPr>
        <w:t>highlight several challenges. These include building effective networks, ensuring representation from the wider community, engaging people affected by dementia, and securing commitment from local organisations.</w:t>
      </w:r>
    </w:p>
    <w:p w:rsidR="00B10246" w:rsidRPr="00A07A7C" w:rsidRDefault="00183CBE" w:rsidP="00183CBE">
      <w:pPr>
        <w:jc w:val="both"/>
        <w:rPr>
          <w:rFonts w:ascii="Arial" w:eastAsiaTheme="minorEastAsia" w:hAnsi="Arial" w:cs="Arial"/>
          <w:color w:val="2A2A2A"/>
          <w:kern w:val="0"/>
          <w:sz w:val="22"/>
          <w:szCs w:val="22"/>
          <w:shd w:val="clear" w:color="auto" w:fill="FFFFFF"/>
          <w:lang w:eastAsia="zh-CN"/>
        </w:rPr>
      </w:pPr>
      <w:r w:rsidRPr="00A07A7C">
        <w:rPr>
          <w:rFonts w:ascii="Arial" w:eastAsiaTheme="minorEastAsia" w:hAnsi="Arial" w:cs="Arial"/>
          <w:color w:val="2A2A2A"/>
          <w:kern w:val="0"/>
          <w:sz w:val="22"/>
          <w:szCs w:val="22"/>
          <w:shd w:val="clear" w:color="auto" w:fill="FFFFFF"/>
          <w:lang w:eastAsia="zh-CN"/>
        </w:rPr>
        <w:t>Strategies that appear most promising involve promoting sustainable stakeholder engagement, increasing awareness, and encouraging the exchange of ideas. By identifying both the barriers and the practical approaches used to address them, these findings offer a foundation for developing DFCs that can become embedded within communities. However, because stakeholder participation is often unpredictable and subject to change, relying on this model raises concerns about the long</w:t>
      </w:r>
      <w:r w:rsidR="002A688D"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term sustainability of DFCs. This issue must be considered when shaping future policies aimed at improving the quality of life of people living with dementia.</w:t>
      </w:r>
    </w:p>
    <w:p w:rsidR="00813D83" w:rsidRPr="00A07A7C" w:rsidRDefault="00813D83" w:rsidP="00183CBE">
      <w:pPr>
        <w:jc w:val="both"/>
        <w:rPr>
          <w:rFonts w:ascii="Arial" w:eastAsiaTheme="minorEastAsia" w:hAnsi="Arial" w:cs="Arial"/>
          <w:color w:val="2A2A2A"/>
          <w:kern w:val="0"/>
          <w:sz w:val="22"/>
          <w:szCs w:val="22"/>
          <w:shd w:val="clear" w:color="auto" w:fill="FFFFFF"/>
          <w:lang w:eastAsia="zh-CN"/>
        </w:rPr>
      </w:pPr>
      <w:r w:rsidRPr="00A07A7C">
        <w:rPr>
          <w:rFonts w:ascii="Arial" w:eastAsiaTheme="minorEastAsia" w:hAnsi="Arial" w:cs="Arial"/>
          <w:color w:val="2A2A2A"/>
          <w:kern w:val="0"/>
          <w:sz w:val="22"/>
          <w:szCs w:val="22"/>
          <w:shd w:val="clear" w:color="auto" w:fill="FFFFFF"/>
          <w:lang w:eastAsia="zh-CN"/>
        </w:rPr>
        <w:t>In the United Kingdom, the care needs of people with dementia are supported by family carers, home helpers, or through moving into residential care homes. The term 'care home' refers to general residential settings that provide accommodation and 24-hour assistance with personal care and daily activities. Some care homes employ qualified medical staff around the clock (nursing homes), while others operate without on-site nurses (residential homes). Home helpers, in turn, provide support in the person’s own home. Admission to a care home is a common experience for people with dementia in the United Kingdom. End-of-life care can be provided in hospices, care homes, or a family setting.</w:t>
      </w:r>
    </w:p>
    <w:p w:rsidR="002D6FD5" w:rsidRPr="00A07A7C" w:rsidRDefault="00E40FBA" w:rsidP="00A9093D">
      <w:pPr>
        <w:pStyle w:val="ListParagraph"/>
        <w:numPr>
          <w:ilvl w:val="0"/>
          <w:numId w:val="4"/>
        </w:numPr>
        <w:jc w:val="both"/>
        <w:rPr>
          <w:rFonts w:ascii="Arial" w:eastAsiaTheme="minorEastAsia" w:hAnsi="Arial" w:cs="Arial"/>
          <w:b/>
          <w:kern w:val="0"/>
          <w:sz w:val="22"/>
          <w:szCs w:val="22"/>
          <w:shd w:val="clear" w:color="auto" w:fill="FFFFFF"/>
          <w:lang w:eastAsia="zh-CN"/>
        </w:rPr>
      </w:pPr>
      <w:r w:rsidRPr="00A07A7C">
        <w:rPr>
          <w:rFonts w:ascii="Arial" w:eastAsiaTheme="minorEastAsia" w:hAnsi="Arial" w:cs="Arial"/>
          <w:b/>
          <w:kern w:val="0"/>
          <w:sz w:val="22"/>
          <w:szCs w:val="22"/>
          <w:shd w:val="clear" w:color="auto" w:fill="FFFFFF"/>
          <w:lang w:eastAsia="zh-CN"/>
        </w:rPr>
        <w:t>Conclusion</w:t>
      </w:r>
    </w:p>
    <w:p w:rsidR="00952F92" w:rsidRPr="00A07A7C" w:rsidRDefault="00952F92" w:rsidP="00952F92">
      <w:pPr>
        <w:jc w:val="both"/>
        <w:rPr>
          <w:rFonts w:ascii="Arial" w:eastAsiaTheme="minorEastAsia" w:hAnsi="Arial" w:cs="Arial"/>
          <w:color w:val="2A2A2A"/>
          <w:kern w:val="0"/>
          <w:sz w:val="22"/>
          <w:szCs w:val="22"/>
          <w:shd w:val="clear" w:color="auto" w:fill="FFFFFF"/>
          <w:lang w:eastAsia="zh-CN"/>
        </w:rPr>
      </w:pPr>
      <w:r w:rsidRPr="00A07A7C">
        <w:rPr>
          <w:rFonts w:ascii="Arial" w:eastAsiaTheme="minorEastAsia" w:hAnsi="Arial" w:cs="Arial"/>
          <w:color w:val="2A2A2A"/>
          <w:kern w:val="0"/>
          <w:sz w:val="22"/>
          <w:szCs w:val="22"/>
          <w:shd w:val="clear" w:color="auto" w:fill="FFFFFF"/>
          <w:lang w:eastAsia="zh-CN"/>
        </w:rPr>
        <w:t>Dementia is a major global health challenge, involving progressive cognitive decline, complex neuropsychiatric symptoms and wide</w:t>
      </w:r>
      <w:r w:rsidR="0028242F"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ranging effects on individuals, families and society. While some high</w:t>
      </w:r>
      <w:r w:rsidR="0028242F"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income countries have seen recent decreases in incidence, global numbers continue to rise due to ageing populations. The absence of disease</w:t>
      </w:r>
      <w:r w:rsidR="0028242F"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modifying treatments highlights the need for stronger research, improved diagnostic pathways and more consistent outcome measures.</w:t>
      </w:r>
    </w:p>
    <w:p w:rsidR="00952F92" w:rsidRPr="00A07A7C" w:rsidRDefault="00952F92" w:rsidP="00952F92">
      <w:pPr>
        <w:jc w:val="both"/>
        <w:rPr>
          <w:rFonts w:ascii="Arial" w:eastAsiaTheme="minorEastAsia" w:hAnsi="Arial" w:cs="Arial"/>
          <w:color w:val="2A2A2A"/>
          <w:kern w:val="0"/>
          <w:sz w:val="22"/>
          <w:szCs w:val="22"/>
          <w:shd w:val="clear" w:color="auto" w:fill="FFFFFF"/>
          <w:lang w:eastAsia="zh-CN"/>
        </w:rPr>
      </w:pPr>
      <w:r w:rsidRPr="00A07A7C">
        <w:rPr>
          <w:rFonts w:ascii="Arial" w:eastAsiaTheme="minorEastAsia" w:hAnsi="Arial" w:cs="Arial"/>
          <w:color w:val="2A2A2A"/>
          <w:kern w:val="0"/>
          <w:sz w:val="22"/>
          <w:szCs w:val="22"/>
          <w:shd w:val="clear" w:color="auto" w:fill="FFFFFF"/>
          <w:lang w:eastAsia="zh-CN"/>
        </w:rPr>
        <w:t xml:space="preserve">The economic burden is considerable, with costs shared across healthcare, social care and unpaid carers, showing the need for sustainable funding and fair access to support. Persistent international differences in diagnosis, care coordination and service provision also point to the need for national strategies and global cooperation. Approaches such as </w:t>
      </w:r>
      <w:r w:rsidRPr="00A07A7C">
        <w:rPr>
          <w:rFonts w:ascii="Arial" w:eastAsiaTheme="minorEastAsia" w:hAnsi="Arial" w:cs="Arial"/>
          <w:color w:val="2A2A2A"/>
          <w:kern w:val="0"/>
          <w:sz w:val="22"/>
          <w:szCs w:val="22"/>
          <w:shd w:val="clear" w:color="auto" w:fill="FFFFFF"/>
          <w:lang w:eastAsia="zh-CN"/>
        </w:rPr>
        <w:lastRenderedPageBreak/>
        <w:t>dementia</w:t>
      </w:r>
      <w:r w:rsidR="0028242F"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friendly communities and better end</w:t>
      </w:r>
      <w:r w:rsidR="0028242F"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of</w:t>
      </w:r>
      <w:r w:rsidR="0028242F"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life care emphasise the importance of inclusive, person</w:t>
      </w:r>
      <w:r w:rsidR="0028242F" w:rsidRPr="00A07A7C">
        <w:rPr>
          <w:rFonts w:ascii="Arial" w:eastAsiaTheme="minorEastAsia" w:hAnsi="Arial" w:cs="Arial"/>
          <w:color w:val="2A2A2A"/>
          <w:kern w:val="0"/>
          <w:sz w:val="22"/>
          <w:szCs w:val="22"/>
          <w:shd w:val="clear" w:color="auto" w:fill="FFFFFF"/>
          <w:lang w:eastAsia="zh-CN"/>
        </w:rPr>
        <w:t xml:space="preserve"> </w:t>
      </w:r>
      <w:r w:rsidRPr="00A07A7C">
        <w:rPr>
          <w:rFonts w:ascii="Arial" w:eastAsiaTheme="minorEastAsia" w:hAnsi="Arial" w:cs="Arial"/>
          <w:color w:val="2A2A2A"/>
          <w:kern w:val="0"/>
          <w:sz w:val="22"/>
          <w:szCs w:val="22"/>
          <w:shd w:val="clear" w:color="auto" w:fill="FFFFFF"/>
          <w:lang w:eastAsia="zh-CN"/>
        </w:rPr>
        <w:t>centred support.</w:t>
      </w:r>
    </w:p>
    <w:p w:rsidR="00840A77" w:rsidRPr="00A07A7C" w:rsidRDefault="00952F92" w:rsidP="00952F92">
      <w:pPr>
        <w:jc w:val="both"/>
        <w:rPr>
          <w:rFonts w:ascii="Arial" w:hAnsi="Arial" w:cs="Arial"/>
          <w:b/>
          <w:bCs/>
          <w:sz w:val="22"/>
          <w:szCs w:val="22"/>
        </w:rPr>
      </w:pPr>
      <w:r w:rsidRPr="00A07A7C">
        <w:rPr>
          <w:rFonts w:ascii="Arial" w:eastAsiaTheme="minorEastAsia" w:hAnsi="Arial" w:cs="Arial"/>
          <w:color w:val="2A2A2A"/>
          <w:kern w:val="0"/>
          <w:sz w:val="22"/>
          <w:szCs w:val="22"/>
          <w:shd w:val="clear" w:color="auto" w:fill="FFFFFF"/>
          <w:lang w:eastAsia="zh-CN"/>
        </w:rPr>
        <w:t>Future progress depends on coordinated investment in research and care systems, alongside a commitment to protecting the rights, dignity and wellbeing of people living with dementia.</w:t>
      </w:r>
    </w:p>
    <w:p w:rsidR="00942F67" w:rsidRPr="00A07A7C" w:rsidRDefault="00942F67" w:rsidP="00113727">
      <w:pPr>
        <w:jc w:val="both"/>
        <w:rPr>
          <w:rFonts w:ascii="Arial" w:hAnsi="Arial" w:cs="Arial"/>
          <w:b/>
          <w:bCs/>
          <w:sz w:val="22"/>
          <w:szCs w:val="22"/>
        </w:rPr>
      </w:pPr>
    </w:p>
    <w:p w:rsidR="00121BDA" w:rsidRPr="00A07A7C" w:rsidRDefault="00121BDA" w:rsidP="00113727">
      <w:pPr>
        <w:jc w:val="both"/>
        <w:rPr>
          <w:rFonts w:ascii="Arial" w:hAnsi="Arial" w:cs="Arial"/>
          <w:b/>
          <w:bCs/>
          <w:sz w:val="22"/>
          <w:szCs w:val="22"/>
        </w:rPr>
      </w:pPr>
    </w:p>
    <w:p w:rsidR="00121BDA" w:rsidRPr="00A07A7C" w:rsidRDefault="00121BDA" w:rsidP="00113727">
      <w:pPr>
        <w:jc w:val="both"/>
        <w:rPr>
          <w:rFonts w:ascii="Arial" w:hAnsi="Arial" w:cs="Arial"/>
          <w:b/>
          <w:bCs/>
          <w:sz w:val="22"/>
          <w:szCs w:val="22"/>
        </w:rPr>
      </w:pPr>
    </w:p>
    <w:p w:rsidR="00121BDA" w:rsidRPr="00A07A7C" w:rsidRDefault="00121BDA" w:rsidP="00113727">
      <w:pPr>
        <w:jc w:val="both"/>
        <w:rPr>
          <w:rFonts w:ascii="Arial" w:hAnsi="Arial" w:cs="Arial"/>
          <w:b/>
          <w:bCs/>
          <w:sz w:val="22"/>
          <w:szCs w:val="22"/>
        </w:rPr>
      </w:pPr>
    </w:p>
    <w:p w:rsidR="00121BDA" w:rsidRPr="00A07A7C" w:rsidRDefault="00121BDA" w:rsidP="00113727">
      <w:pPr>
        <w:jc w:val="both"/>
        <w:rPr>
          <w:rFonts w:ascii="Arial" w:hAnsi="Arial" w:cs="Arial"/>
          <w:b/>
          <w:bCs/>
          <w:sz w:val="22"/>
          <w:szCs w:val="22"/>
        </w:rPr>
      </w:pPr>
    </w:p>
    <w:p w:rsidR="00121BDA" w:rsidRPr="00A07A7C" w:rsidRDefault="00121BDA" w:rsidP="00113727">
      <w:pPr>
        <w:jc w:val="both"/>
        <w:rPr>
          <w:rFonts w:ascii="Arial" w:hAnsi="Arial" w:cs="Arial"/>
          <w:b/>
          <w:bCs/>
          <w:sz w:val="22"/>
          <w:szCs w:val="22"/>
        </w:rPr>
      </w:pPr>
    </w:p>
    <w:p w:rsidR="002925F4" w:rsidRPr="00A07A7C" w:rsidRDefault="002925F4" w:rsidP="00113727">
      <w:pPr>
        <w:jc w:val="both"/>
        <w:rPr>
          <w:rFonts w:ascii="Arial" w:hAnsi="Arial" w:cs="Arial"/>
          <w:b/>
          <w:bCs/>
          <w:sz w:val="22"/>
          <w:szCs w:val="22"/>
        </w:rPr>
      </w:pPr>
    </w:p>
    <w:p w:rsidR="0010576A" w:rsidRPr="00A07A7C" w:rsidRDefault="0010576A" w:rsidP="00113727">
      <w:pPr>
        <w:jc w:val="both"/>
        <w:rPr>
          <w:rFonts w:ascii="Arial" w:hAnsi="Arial" w:cs="Arial"/>
          <w:b/>
          <w:bCs/>
          <w:sz w:val="22"/>
          <w:szCs w:val="22"/>
        </w:rPr>
      </w:pPr>
    </w:p>
    <w:p w:rsidR="00F6130F" w:rsidRPr="00A07A7C" w:rsidRDefault="00F6130F" w:rsidP="00113727">
      <w:pPr>
        <w:jc w:val="both"/>
        <w:rPr>
          <w:rFonts w:ascii="Arial" w:hAnsi="Arial" w:cs="Arial"/>
          <w:b/>
          <w:bCs/>
          <w:sz w:val="22"/>
          <w:szCs w:val="22"/>
        </w:rPr>
      </w:pPr>
    </w:p>
    <w:p w:rsidR="00F6130F" w:rsidRPr="00A07A7C" w:rsidRDefault="00F6130F" w:rsidP="00113727">
      <w:pPr>
        <w:jc w:val="both"/>
        <w:rPr>
          <w:rFonts w:ascii="Arial" w:hAnsi="Arial" w:cs="Arial"/>
          <w:b/>
          <w:bCs/>
          <w:sz w:val="22"/>
          <w:szCs w:val="22"/>
        </w:rPr>
      </w:pPr>
    </w:p>
    <w:p w:rsidR="00A07A7C" w:rsidRDefault="00A07A7C" w:rsidP="00113727">
      <w:pPr>
        <w:jc w:val="both"/>
        <w:rPr>
          <w:rFonts w:ascii="Arial" w:hAnsi="Arial" w:cs="Arial"/>
          <w:b/>
          <w:bCs/>
          <w:sz w:val="28"/>
          <w:szCs w:val="28"/>
        </w:rPr>
      </w:pPr>
    </w:p>
    <w:p w:rsidR="00A07A7C" w:rsidRDefault="00A07A7C" w:rsidP="00113727">
      <w:pPr>
        <w:jc w:val="both"/>
        <w:rPr>
          <w:rFonts w:ascii="Arial" w:hAnsi="Arial" w:cs="Arial"/>
          <w:b/>
          <w:bCs/>
          <w:sz w:val="28"/>
          <w:szCs w:val="28"/>
        </w:rPr>
      </w:pPr>
    </w:p>
    <w:p w:rsidR="00A07A7C" w:rsidRDefault="00A07A7C" w:rsidP="00113727">
      <w:pPr>
        <w:jc w:val="both"/>
        <w:rPr>
          <w:rFonts w:ascii="Arial" w:hAnsi="Arial" w:cs="Arial"/>
          <w:b/>
          <w:bCs/>
          <w:sz w:val="28"/>
          <w:szCs w:val="28"/>
        </w:rPr>
      </w:pPr>
    </w:p>
    <w:p w:rsidR="00A07A7C" w:rsidRDefault="00A07A7C" w:rsidP="00113727">
      <w:pPr>
        <w:jc w:val="both"/>
        <w:rPr>
          <w:rFonts w:ascii="Arial" w:hAnsi="Arial" w:cs="Arial"/>
          <w:b/>
          <w:bCs/>
          <w:sz w:val="28"/>
          <w:szCs w:val="28"/>
        </w:rPr>
      </w:pPr>
    </w:p>
    <w:p w:rsidR="00A07A7C" w:rsidRDefault="00A07A7C" w:rsidP="00113727">
      <w:pPr>
        <w:jc w:val="both"/>
        <w:rPr>
          <w:rFonts w:ascii="Arial" w:hAnsi="Arial" w:cs="Arial"/>
          <w:b/>
          <w:bCs/>
          <w:sz w:val="28"/>
          <w:szCs w:val="28"/>
        </w:rPr>
      </w:pPr>
    </w:p>
    <w:p w:rsidR="00A07A7C" w:rsidRDefault="00A07A7C" w:rsidP="00113727">
      <w:pPr>
        <w:jc w:val="both"/>
        <w:rPr>
          <w:rFonts w:ascii="Arial" w:hAnsi="Arial" w:cs="Arial"/>
          <w:b/>
          <w:bCs/>
          <w:sz w:val="28"/>
          <w:szCs w:val="28"/>
        </w:rPr>
      </w:pPr>
    </w:p>
    <w:p w:rsidR="00A07A7C" w:rsidRDefault="00A07A7C" w:rsidP="00113727">
      <w:pPr>
        <w:jc w:val="both"/>
        <w:rPr>
          <w:rFonts w:ascii="Arial" w:hAnsi="Arial" w:cs="Arial"/>
          <w:b/>
          <w:bCs/>
          <w:sz w:val="28"/>
          <w:szCs w:val="28"/>
        </w:rPr>
      </w:pPr>
    </w:p>
    <w:p w:rsidR="00A07A7C" w:rsidRDefault="00A07A7C" w:rsidP="00113727">
      <w:pPr>
        <w:jc w:val="both"/>
        <w:rPr>
          <w:rFonts w:ascii="Arial" w:hAnsi="Arial" w:cs="Arial"/>
          <w:b/>
          <w:bCs/>
          <w:sz w:val="28"/>
          <w:szCs w:val="28"/>
        </w:rPr>
      </w:pPr>
    </w:p>
    <w:p w:rsidR="00A07A7C" w:rsidRDefault="00A07A7C" w:rsidP="00113727">
      <w:pPr>
        <w:jc w:val="both"/>
        <w:rPr>
          <w:rFonts w:ascii="Arial" w:hAnsi="Arial" w:cs="Arial"/>
          <w:b/>
          <w:bCs/>
          <w:sz w:val="28"/>
          <w:szCs w:val="28"/>
        </w:rPr>
      </w:pPr>
    </w:p>
    <w:p w:rsidR="00A07A7C" w:rsidRDefault="00A07A7C" w:rsidP="00113727">
      <w:pPr>
        <w:jc w:val="both"/>
        <w:rPr>
          <w:rFonts w:ascii="Arial" w:hAnsi="Arial" w:cs="Arial"/>
          <w:b/>
          <w:bCs/>
          <w:sz w:val="28"/>
          <w:szCs w:val="28"/>
        </w:rPr>
      </w:pPr>
    </w:p>
    <w:p w:rsidR="00A07A7C" w:rsidRDefault="00A07A7C" w:rsidP="00113727">
      <w:pPr>
        <w:jc w:val="both"/>
        <w:rPr>
          <w:rFonts w:ascii="Arial" w:hAnsi="Arial" w:cs="Arial"/>
          <w:b/>
          <w:bCs/>
          <w:sz w:val="28"/>
          <w:szCs w:val="28"/>
        </w:rPr>
      </w:pPr>
    </w:p>
    <w:p w:rsidR="00A07A7C" w:rsidRDefault="00A07A7C" w:rsidP="00113727">
      <w:pPr>
        <w:jc w:val="both"/>
        <w:rPr>
          <w:rFonts w:ascii="Arial" w:hAnsi="Arial" w:cs="Arial"/>
          <w:b/>
          <w:bCs/>
          <w:sz w:val="28"/>
          <w:szCs w:val="28"/>
        </w:rPr>
      </w:pPr>
    </w:p>
    <w:p w:rsidR="006D171B" w:rsidRDefault="006D171B" w:rsidP="00113727">
      <w:pPr>
        <w:jc w:val="both"/>
        <w:rPr>
          <w:rFonts w:ascii="Arial" w:hAnsi="Arial" w:cs="Arial"/>
          <w:b/>
          <w:bCs/>
          <w:sz w:val="28"/>
          <w:szCs w:val="28"/>
        </w:rPr>
      </w:pPr>
    </w:p>
    <w:p w:rsidR="002361F1" w:rsidRDefault="002361F1" w:rsidP="00113727">
      <w:pPr>
        <w:jc w:val="both"/>
        <w:rPr>
          <w:rFonts w:ascii="Arial" w:hAnsi="Arial" w:cs="Arial"/>
          <w:b/>
          <w:bCs/>
          <w:sz w:val="28"/>
          <w:szCs w:val="28"/>
        </w:rPr>
      </w:pPr>
    </w:p>
    <w:p w:rsidR="00A0581A" w:rsidRDefault="00A0581A" w:rsidP="00113727">
      <w:pPr>
        <w:jc w:val="both"/>
        <w:rPr>
          <w:rFonts w:ascii="Arial" w:hAnsi="Arial" w:cs="Arial"/>
          <w:b/>
          <w:bCs/>
          <w:sz w:val="28"/>
          <w:szCs w:val="28"/>
        </w:rPr>
      </w:pPr>
      <w:r w:rsidRPr="009A6E05">
        <w:rPr>
          <w:rFonts w:ascii="Arial" w:hAnsi="Arial" w:cs="Arial"/>
          <w:b/>
          <w:bCs/>
          <w:sz w:val="28"/>
          <w:szCs w:val="28"/>
        </w:rPr>
        <w:lastRenderedPageBreak/>
        <w:t>References</w:t>
      </w:r>
    </w:p>
    <w:p w:rsidR="002A1EB5" w:rsidRPr="00DD25F1" w:rsidRDefault="002A1EB5" w:rsidP="002361F1">
      <w:pPr>
        <w:pStyle w:val="NormalWeb"/>
        <w:rPr>
          <w:rFonts w:ascii="Arial" w:hAnsi="Arial" w:cs="Arial"/>
          <w:b/>
          <w:sz w:val="22"/>
          <w:szCs w:val="22"/>
        </w:rPr>
      </w:pPr>
      <w:r w:rsidRPr="00DD25F1">
        <w:rPr>
          <w:rFonts w:ascii="Arial" w:hAnsi="Arial" w:cs="Arial"/>
          <w:b/>
          <w:sz w:val="22"/>
          <w:szCs w:val="22"/>
        </w:rPr>
        <w:t xml:space="preserve">Alzheimer’s Disease International (2016). </w:t>
      </w:r>
      <w:r w:rsidRPr="00DD25F1">
        <w:rPr>
          <w:rStyle w:val="Emphasis"/>
          <w:rFonts w:ascii="Arial" w:hAnsi="Arial" w:cs="Arial"/>
          <w:b/>
          <w:sz w:val="22"/>
          <w:szCs w:val="22"/>
        </w:rPr>
        <w:t>World Alzheimer Report 2016: Improving healthcare for people living with dementia</w:t>
      </w:r>
      <w:r w:rsidRPr="00DD25F1">
        <w:rPr>
          <w:rFonts w:ascii="Arial" w:hAnsi="Arial" w:cs="Arial"/>
          <w:b/>
          <w:sz w:val="22"/>
          <w:szCs w:val="22"/>
        </w:rPr>
        <w:t>. London: ADI.</w:t>
      </w:r>
    </w:p>
    <w:p w:rsidR="002A1EB5" w:rsidRPr="00DD25F1" w:rsidRDefault="002A1EB5" w:rsidP="008C5B4B">
      <w:pPr>
        <w:pStyle w:val="NormalWeb"/>
        <w:rPr>
          <w:rFonts w:ascii="Arial" w:hAnsi="Arial" w:cs="Arial"/>
          <w:b/>
          <w:sz w:val="22"/>
          <w:szCs w:val="22"/>
        </w:rPr>
      </w:pPr>
      <w:r w:rsidRPr="00DD25F1">
        <w:rPr>
          <w:rFonts w:ascii="Arial" w:hAnsi="Arial" w:cs="Arial"/>
          <w:b/>
          <w:sz w:val="22"/>
          <w:szCs w:val="22"/>
        </w:rPr>
        <w:t xml:space="preserve">Alzheimer’s Society (2019). </w:t>
      </w:r>
      <w:r w:rsidRPr="00DD25F1">
        <w:rPr>
          <w:rStyle w:val="Emphasis"/>
          <w:rFonts w:ascii="Arial" w:hAnsi="Arial" w:cs="Arial"/>
          <w:b/>
          <w:sz w:val="22"/>
          <w:szCs w:val="22"/>
        </w:rPr>
        <w:t>Dementia UK Update</w:t>
      </w:r>
      <w:r w:rsidRPr="00DD25F1">
        <w:rPr>
          <w:rFonts w:ascii="Arial" w:hAnsi="Arial" w:cs="Arial"/>
          <w:b/>
          <w:sz w:val="22"/>
          <w:szCs w:val="22"/>
        </w:rPr>
        <w:t>. London: Alzheimer’s Society.</w:t>
      </w:r>
    </w:p>
    <w:p w:rsidR="002A1EB5" w:rsidRPr="00DD25F1" w:rsidRDefault="002A1EB5" w:rsidP="008C5B4B">
      <w:pPr>
        <w:pStyle w:val="NormalWeb"/>
        <w:rPr>
          <w:rFonts w:ascii="Arial" w:hAnsi="Arial" w:cs="Arial"/>
          <w:b/>
          <w:sz w:val="22"/>
          <w:szCs w:val="22"/>
        </w:rPr>
      </w:pPr>
      <w:r w:rsidRPr="00DD25F1">
        <w:rPr>
          <w:rFonts w:ascii="Arial" w:hAnsi="Arial" w:cs="Arial"/>
          <w:b/>
          <w:sz w:val="22"/>
          <w:szCs w:val="22"/>
        </w:rPr>
        <w:t>Brown, H. (2014)</w:t>
      </w:r>
      <w:r w:rsidR="00D824B4">
        <w:rPr>
          <w:rFonts w:ascii="Arial" w:hAnsi="Arial" w:cs="Arial"/>
          <w:b/>
          <w:sz w:val="22"/>
          <w:szCs w:val="22"/>
        </w:rPr>
        <w:t>.</w:t>
      </w:r>
      <w:r w:rsidRPr="00DD25F1">
        <w:rPr>
          <w:rFonts w:ascii="Arial" w:hAnsi="Arial" w:cs="Arial"/>
          <w:b/>
          <w:sz w:val="22"/>
          <w:szCs w:val="22"/>
        </w:rPr>
        <w:t xml:space="preserve"> </w:t>
      </w:r>
      <w:r w:rsidRPr="00DD25F1">
        <w:rPr>
          <w:rStyle w:val="Emphasis"/>
          <w:rFonts w:ascii="Arial" w:hAnsi="Arial" w:cs="Arial"/>
          <w:b/>
          <w:sz w:val="22"/>
          <w:szCs w:val="22"/>
        </w:rPr>
        <w:t>Advances in Alzheimer’s drug development</w:t>
      </w:r>
      <w:r w:rsidRPr="00DD25F1">
        <w:rPr>
          <w:rFonts w:ascii="Arial" w:hAnsi="Arial" w:cs="Arial"/>
          <w:b/>
          <w:sz w:val="22"/>
          <w:szCs w:val="22"/>
        </w:rPr>
        <w:t>. Oxford: Oxford University Press.</w:t>
      </w:r>
    </w:p>
    <w:p w:rsidR="002A1EB5" w:rsidRPr="00DD25F1" w:rsidRDefault="002A1EB5" w:rsidP="008C5B4B">
      <w:pPr>
        <w:pStyle w:val="NormalWeb"/>
        <w:rPr>
          <w:rFonts w:ascii="Arial" w:hAnsi="Arial" w:cs="Arial"/>
          <w:b/>
          <w:sz w:val="22"/>
          <w:szCs w:val="22"/>
        </w:rPr>
      </w:pPr>
      <w:r w:rsidRPr="00DD25F1">
        <w:rPr>
          <w:rFonts w:ascii="Arial" w:hAnsi="Arial" w:cs="Arial"/>
          <w:b/>
          <w:sz w:val="22"/>
          <w:szCs w:val="22"/>
        </w:rPr>
        <w:t>Brown, L., Ahmed, S. and Zhou, Y. (2022)</w:t>
      </w:r>
      <w:r w:rsidR="00E4387C">
        <w:rPr>
          <w:rFonts w:ascii="Arial" w:hAnsi="Arial" w:cs="Arial"/>
          <w:b/>
          <w:sz w:val="22"/>
          <w:szCs w:val="22"/>
        </w:rPr>
        <w:t>.</w:t>
      </w:r>
      <w:r w:rsidRPr="00DD25F1">
        <w:rPr>
          <w:rFonts w:ascii="Arial" w:hAnsi="Arial" w:cs="Arial"/>
          <w:b/>
          <w:sz w:val="22"/>
          <w:szCs w:val="22"/>
        </w:rPr>
        <w:t xml:space="preserve"> </w:t>
      </w:r>
      <w:r w:rsidRPr="00DD25F1">
        <w:rPr>
          <w:rStyle w:val="Emphasis"/>
          <w:rFonts w:ascii="Arial" w:hAnsi="Arial" w:cs="Arial"/>
          <w:b/>
          <w:sz w:val="22"/>
          <w:szCs w:val="22"/>
        </w:rPr>
        <w:t>Neuropathological foundations of dementia syndromes</w:t>
      </w:r>
      <w:r w:rsidRPr="00DD25F1">
        <w:rPr>
          <w:rFonts w:ascii="Arial" w:hAnsi="Arial" w:cs="Arial"/>
          <w:b/>
          <w:sz w:val="22"/>
          <w:szCs w:val="22"/>
        </w:rPr>
        <w:t>. London: Academic Press.</w:t>
      </w:r>
    </w:p>
    <w:p w:rsidR="002A1EB5" w:rsidRPr="00DD25F1" w:rsidRDefault="002A1EB5" w:rsidP="008C5B4B">
      <w:pPr>
        <w:pStyle w:val="NormalWeb"/>
        <w:rPr>
          <w:rFonts w:ascii="Arial" w:hAnsi="Arial" w:cs="Arial"/>
          <w:b/>
          <w:sz w:val="22"/>
          <w:szCs w:val="22"/>
        </w:rPr>
      </w:pPr>
      <w:r w:rsidRPr="00DD25F1">
        <w:rPr>
          <w:rFonts w:ascii="Arial" w:hAnsi="Arial" w:cs="Arial"/>
          <w:b/>
          <w:sz w:val="22"/>
          <w:szCs w:val="22"/>
        </w:rPr>
        <w:t xml:space="preserve">Jones, R. and Patel, K. (2020). ‘Biomarkers and diagnostic evolution in dementia’, </w:t>
      </w:r>
      <w:r w:rsidRPr="00DD25F1">
        <w:rPr>
          <w:rStyle w:val="Emphasis"/>
          <w:rFonts w:ascii="Arial" w:hAnsi="Arial" w:cs="Arial"/>
          <w:b/>
          <w:sz w:val="22"/>
          <w:szCs w:val="22"/>
        </w:rPr>
        <w:t>Journal of Neurology</w:t>
      </w:r>
      <w:r w:rsidRPr="00DD25F1">
        <w:rPr>
          <w:rFonts w:ascii="Arial" w:hAnsi="Arial" w:cs="Arial"/>
          <w:b/>
          <w:sz w:val="22"/>
          <w:szCs w:val="22"/>
        </w:rPr>
        <w:t>, 267(4), pp. 1123–1135.</w:t>
      </w:r>
    </w:p>
    <w:p w:rsidR="002A1EB5" w:rsidRPr="00DD25F1" w:rsidRDefault="002A1EB5" w:rsidP="008C5B4B">
      <w:pPr>
        <w:pStyle w:val="NormalWeb"/>
        <w:rPr>
          <w:rFonts w:ascii="Arial" w:hAnsi="Arial" w:cs="Arial"/>
          <w:b/>
          <w:sz w:val="22"/>
          <w:szCs w:val="22"/>
        </w:rPr>
      </w:pPr>
      <w:r w:rsidRPr="00DD25F1">
        <w:rPr>
          <w:rFonts w:ascii="Arial" w:hAnsi="Arial" w:cs="Arial"/>
          <w:b/>
          <w:sz w:val="22"/>
          <w:szCs w:val="22"/>
        </w:rPr>
        <w:t xml:space="preserve">Smith, D. (2021). </w:t>
      </w:r>
      <w:r w:rsidRPr="00DD25F1">
        <w:rPr>
          <w:rStyle w:val="Emphasis"/>
          <w:rFonts w:ascii="Arial" w:hAnsi="Arial" w:cs="Arial"/>
          <w:b/>
          <w:sz w:val="22"/>
          <w:szCs w:val="22"/>
        </w:rPr>
        <w:t>Proteinopathies and neurodegeneration</w:t>
      </w:r>
      <w:r w:rsidRPr="00DD25F1">
        <w:rPr>
          <w:rFonts w:ascii="Arial" w:hAnsi="Arial" w:cs="Arial"/>
          <w:b/>
          <w:sz w:val="22"/>
          <w:szCs w:val="22"/>
        </w:rPr>
        <w:t>. Oxford: Oxford University Press.</w:t>
      </w:r>
    </w:p>
    <w:p w:rsidR="002A1EB5" w:rsidRPr="00DD25F1" w:rsidRDefault="002A1EB5" w:rsidP="008C5B4B">
      <w:pPr>
        <w:pStyle w:val="NormalWeb"/>
        <w:rPr>
          <w:rFonts w:ascii="Arial" w:hAnsi="Arial" w:cs="Arial"/>
          <w:b/>
          <w:sz w:val="22"/>
          <w:szCs w:val="22"/>
        </w:rPr>
      </w:pPr>
      <w:r w:rsidRPr="00DD25F1">
        <w:rPr>
          <w:rFonts w:ascii="Arial" w:hAnsi="Arial" w:cs="Arial"/>
          <w:b/>
          <w:sz w:val="22"/>
          <w:szCs w:val="22"/>
        </w:rPr>
        <w:t>Taylor, J. (2016). ‘Projected impact of disease</w:t>
      </w:r>
      <w:r w:rsidRPr="00DD25F1">
        <w:rPr>
          <w:rFonts w:ascii="Arial" w:hAnsi="Arial" w:cs="Arial"/>
          <w:b/>
          <w:sz w:val="22"/>
          <w:szCs w:val="22"/>
        </w:rPr>
        <w:noBreakHyphen/>
        <w:t xml:space="preserve">modifying therapies in dementia’, </w:t>
      </w:r>
      <w:r w:rsidRPr="00DD25F1">
        <w:rPr>
          <w:rStyle w:val="Emphasis"/>
          <w:rFonts w:ascii="Arial" w:hAnsi="Arial" w:cs="Arial"/>
          <w:b/>
          <w:sz w:val="22"/>
          <w:szCs w:val="22"/>
        </w:rPr>
        <w:t>Journal of Public Health</w:t>
      </w:r>
      <w:r w:rsidRPr="00DD25F1">
        <w:rPr>
          <w:rFonts w:ascii="Arial" w:hAnsi="Arial" w:cs="Arial"/>
          <w:b/>
          <w:sz w:val="22"/>
          <w:szCs w:val="22"/>
        </w:rPr>
        <w:t>, 38(4), pp. 623–631.</w:t>
      </w:r>
    </w:p>
    <w:p w:rsidR="002A1EB5" w:rsidRPr="00DD25F1" w:rsidRDefault="002A1EB5" w:rsidP="008C5B4B">
      <w:pPr>
        <w:pStyle w:val="NormalWeb"/>
        <w:rPr>
          <w:rFonts w:ascii="Arial" w:hAnsi="Arial" w:cs="Arial"/>
          <w:b/>
          <w:sz w:val="22"/>
          <w:szCs w:val="22"/>
        </w:rPr>
      </w:pPr>
      <w:r w:rsidRPr="00DD25F1">
        <w:rPr>
          <w:rFonts w:ascii="Arial" w:hAnsi="Arial" w:cs="Arial"/>
          <w:b/>
          <w:sz w:val="22"/>
          <w:szCs w:val="22"/>
        </w:rPr>
        <w:t xml:space="preserve">Taylor, M. (2021). </w:t>
      </w:r>
      <w:r w:rsidRPr="00DD25F1">
        <w:rPr>
          <w:rStyle w:val="Emphasis"/>
          <w:rFonts w:ascii="Arial" w:hAnsi="Arial" w:cs="Arial"/>
          <w:b/>
          <w:sz w:val="22"/>
          <w:szCs w:val="22"/>
        </w:rPr>
        <w:t>Epidemiological trends in dementia: Global patterns and future implications</w:t>
      </w:r>
      <w:r w:rsidRPr="00DD25F1">
        <w:rPr>
          <w:rFonts w:ascii="Arial" w:hAnsi="Arial" w:cs="Arial"/>
          <w:b/>
          <w:sz w:val="22"/>
          <w:szCs w:val="22"/>
        </w:rPr>
        <w:t>. Cambridge: Cambridge University Press.</w:t>
      </w:r>
    </w:p>
    <w:p w:rsidR="002A1EB5" w:rsidRPr="00DD25F1" w:rsidRDefault="002A1EB5" w:rsidP="008C5B4B">
      <w:pPr>
        <w:pStyle w:val="NormalWeb"/>
        <w:rPr>
          <w:rFonts w:ascii="Arial" w:hAnsi="Arial" w:cs="Arial"/>
          <w:b/>
          <w:sz w:val="22"/>
          <w:szCs w:val="22"/>
        </w:rPr>
      </w:pPr>
      <w:r w:rsidRPr="00DD25F1">
        <w:rPr>
          <w:rFonts w:ascii="Arial" w:hAnsi="Arial" w:cs="Arial"/>
          <w:b/>
          <w:sz w:val="22"/>
          <w:szCs w:val="22"/>
        </w:rPr>
        <w:t xml:space="preserve">Williams, J. (2020). </w:t>
      </w:r>
      <w:r w:rsidRPr="00DD25F1">
        <w:rPr>
          <w:rStyle w:val="Emphasis"/>
          <w:rFonts w:ascii="Arial" w:hAnsi="Arial" w:cs="Arial"/>
          <w:b/>
          <w:sz w:val="22"/>
          <w:szCs w:val="22"/>
        </w:rPr>
        <w:t>Neuropsychiatric symptoms in dementia: Clinical features and management</w:t>
      </w:r>
      <w:r w:rsidRPr="00DD25F1">
        <w:rPr>
          <w:rFonts w:ascii="Arial" w:hAnsi="Arial" w:cs="Arial"/>
          <w:b/>
          <w:sz w:val="22"/>
          <w:szCs w:val="22"/>
        </w:rPr>
        <w:t>. London: Routledge.</w:t>
      </w:r>
    </w:p>
    <w:p w:rsidR="002A1EB5" w:rsidRPr="00DD25F1" w:rsidRDefault="002A1EB5" w:rsidP="008C5B4B">
      <w:pPr>
        <w:pStyle w:val="NormalWeb"/>
        <w:rPr>
          <w:rFonts w:ascii="Arial" w:hAnsi="Arial" w:cs="Arial"/>
          <w:b/>
          <w:sz w:val="22"/>
          <w:szCs w:val="22"/>
        </w:rPr>
      </w:pPr>
      <w:r w:rsidRPr="00DD25F1">
        <w:rPr>
          <w:rFonts w:ascii="Arial" w:hAnsi="Arial" w:cs="Arial"/>
          <w:b/>
          <w:sz w:val="22"/>
          <w:szCs w:val="22"/>
        </w:rPr>
        <w:t xml:space="preserve">Williams, R. (2020). </w:t>
      </w:r>
      <w:r w:rsidRPr="00DD25F1">
        <w:rPr>
          <w:rStyle w:val="Emphasis"/>
          <w:rFonts w:ascii="Arial" w:hAnsi="Arial" w:cs="Arial"/>
          <w:b/>
          <w:sz w:val="22"/>
          <w:szCs w:val="22"/>
        </w:rPr>
        <w:t>Outcome measures in dementia research</w:t>
      </w:r>
      <w:r w:rsidRPr="00DD25F1">
        <w:rPr>
          <w:rFonts w:ascii="Arial" w:hAnsi="Arial" w:cs="Arial"/>
          <w:b/>
          <w:sz w:val="22"/>
          <w:szCs w:val="22"/>
        </w:rPr>
        <w:t>. Cambridge: Cambridge University Press.</w:t>
      </w:r>
    </w:p>
    <w:p w:rsidR="002A1EB5" w:rsidRPr="00DD25F1" w:rsidRDefault="002A1EB5" w:rsidP="008C5B4B">
      <w:pPr>
        <w:pStyle w:val="NormalWeb"/>
        <w:rPr>
          <w:rFonts w:ascii="Arial" w:hAnsi="Arial" w:cs="Arial"/>
          <w:b/>
          <w:sz w:val="22"/>
          <w:szCs w:val="22"/>
        </w:rPr>
      </w:pPr>
      <w:r w:rsidRPr="00DD25F1">
        <w:rPr>
          <w:rFonts w:ascii="Arial" w:hAnsi="Arial" w:cs="Arial"/>
          <w:b/>
          <w:sz w:val="22"/>
          <w:szCs w:val="22"/>
        </w:rPr>
        <w:t>World Health Organization (1992)</w:t>
      </w:r>
      <w:r w:rsidR="00A915F2" w:rsidRPr="00DD25F1">
        <w:rPr>
          <w:rFonts w:ascii="Arial" w:hAnsi="Arial" w:cs="Arial"/>
          <w:b/>
          <w:sz w:val="22"/>
          <w:szCs w:val="22"/>
        </w:rPr>
        <w:t>.</w:t>
      </w:r>
      <w:r w:rsidRPr="00DD25F1">
        <w:rPr>
          <w:rFonts w:ascii="Arial" w:hAnsi="Arial" w:cs="Arial"/>
          <w:b/>
          <w:sz w:val="22"/>
          <w:szCs w:val="22"/>
        </w:rPr>
        <w:t xml:space="preserve"> </w:t>
      </w:r>
      <w:r w:rsidRPr="00DD25F1">
        <w:rPr>
          <w:rStyle w:val="Emphasis"/>
          <w:rFonts w:ascii="Arial" w:hAnsi="Arial" w:cs="Arial"/>
          <w:b/>
          <w:sz w:val="22"/>
          <w:szCs w:val="22"/>
        </w:rPr>
        <w:t>The ICD</w:t>
      </w:r>
      <w:r w:rsidRPr="00DD25F1">
        <w:rPr>
          <w:rStyle w:val="Emphasis"/>
          <w:rFonts w:ascii="Arial" w:hAnsi="Arial" w:cs="Arial"/>
          <w:b/>
          <w:sz w:val="22"/>
          <w:szCs w:val="22"/>
        </w:rPr>
        <w:noBreakHyphen/>
        <w:t>10 classification of mental and behavioural disorders: Clinical descriptions and diagnostic guidelines</w:t>
      </w:r>
      <w:r w:rsidRPr="00DD25F1">
        <w:rPr>
          <w:rFonts w:ascii="Arial" w:hAnsi="Arial" w:cs="Arial"/>
          <w:b/>
          <w:sz w:val="22"/>
          <w:szCs w:val="22"/>
        </w:rPr>
        <w:t>. Geneva: World Health Organization.</w:t>
      </w:r>
    </w:p>
    <w:p w:rsidR="002A1EB5" w:rsidRPr="00DD25F1" w:rsidRDefault="002A1EB5" w:rsidP="008C5B4B">
      <w:pPr>
        <w:pStyle w:val="NormalWeb"/>
        <w:rPr>
          <w:rFonts w:ascii="Arial" w:hAnsi="Arial" w:cs="Arial"/>
          <w:b/>
          <w:sz w:val="22"/>
          <w:szCs w:val="22"/>
        </w:rPr>
      </w:pPr>
      <w:r w:rsidRPr="00DD25F1">
        <w:rPr>
          <w:rFonts w:ascii="Arial" w:hAnsi="Arial" w:cs="Arial"/>
          <w:b/>
          <w:sz w:val="22"/>
          <w:szCs w:val="22"/>
        </w:rPr>
        <w:t xml:space="preserve">Wittink, M.N. </w:t>
      </w:r>
      <w:r w:rsidRPr="00DD25F1">
        <w:rPr>
          <w:rStyle w:val="Emphasis"/>
          <w:rFonts w:ascii="Arial" w:hAnsi="Arial" w:cs="Arial"/>
          <w:b/>
          <w:sz w:val="22"/>
          <w:szCs w:val="22"/>
        </w:rPr>
        <w:t>et al.</w:t>
      </w:r>
      <w:r w:rsidRPr="00DD25F1">
        <w:rPr>
          <w:rFonts w:ascii="Arial" w:hAnsi="Arial" w:cs="Arial"/>
          <w:b/>
          <w:sz w:val="22"/>
          <w:szCs w:val="22"/>
        </w:rPr>
        <w:t xml:space="preserve"> (2022)</w:t>
      </w:r>
      <w:r w:rsidR="00A915F2" w:rsidRPr="00DD25F1">
        <w:rPr>
          <w:rFonts w:ascii="Arial" w:hAnsi="Arial" w:cs="Arial"/>
          <w:b/>
          <w:sz w:val="22"/>
          <w:szCs w:val="22"/>
        </w:rPr>
        <w:t>.</w:t>
      </w:r>
      <w:r w:rsidRPr="00DD25F1">
        <w:rPr>
          <w:rFonts w:ascii="Arial" w:hAnsi="Arial" w:cs="Arial"/>
          <w:b/>
          <w:sz w:val="22"/>
          <w:szCs w:val="22"/>
        </w:rPr>
        <w:t xml:space="preserve"> </w:t>
      </w:r>
      <w:r w:rsidRPr="00DD25F1">
        <w:rPr>
          <w:rStyle w:val="Emphasis"/>
          <w:rFonts w:ascii="Arial" w:hAnsi="Arial" w:cs="Arial"/>
          <w:b/>
          <w:sz w:val="22"/>
          <w:szCs w:val="22"/>
        </w:rPr>
        <w:t>Real</w:t>
      </w:r>
      <w:r w:rsidRPr="00DD25F1">
        <w:rPr>
          <w:rStyle w:val="Emphasis"/>
          <w:rFonts w:ascii="Arial" w:hAnsi="Arial" w:cs="Arial"/>
          <w:b/>
          <w:sz w:val="22"/>
          <w:szCs w:val="22"/>
        </w:rPr>
        <w:noBreakHyphen/>
        <w:t>world implementation of the biopsychosocial approach to healthcare: Pragmatic approaches, success stories and lessons learned</w:t>
      </w:r>
      <w:r w:rsidRPr="00DD25F1">
        <w:rPr>
          <w:rFonts w:ascii="Arial" w:hAnsi="Arial" w:cs="Arial"/>
          <w:b/>
          <w:sz w:val="22"/>
          <w:szCs w:val="22"/>
        </w:rPr>
        <w:t>. Lausanne: Frontiers Media SA.</w:t>
      </w:r>
    </w:p>
    <w:p w:rsidR="002A1EB5" w:rsidRPr="00113727" w:rsidRDefault="002A1EB5" w:rsidP="00113727">
      <w:pPr>
        <w:jc w:val="both"/>
        <w:rPr>
          <w:rFonts w:ascii="Arial" w:eastAsiaTheme="minorEastAsia" w:hAnsi="Arial" w:cs="Arial"/>
          <w:color w:val="2A2A2A"/>
          <w:kern w:val="0"/>
          <w:shd w:val="clear" w:color="auto" w:fill="FFFFFF"/>
          <w:lang w:eastAsia="zh-CN"/>
        </w:rPr>
      </w:pPr>
    </w:p>
    <w:p w:rsidR="006A3FF7" w:rsidRDefault="006A3FF7" w:rsidP="00A0581A">
      <w:pPr>
        <w:rPr>
          <w:rFonts w:ascii="Arial" w:hAnsi="Arial" w:cs="Arial"/>
          <w:sz w:val="22"/>
          <w:szCs w:val="22"/>
        </w:rPr>
      </w:pPr>
    </w:p>
    <w:p w:rsidR="002A1EB5" w:rsidRDefault="002A1EB5" w:rsidP="00A0581A">
      <w:pPr>
        <w:rPr>
          <w:rFonts w:ascii="Arial" w:hAnsi="Arial" w:cs="Arial"/>
          <w:sz w:val="22"/>
          <w:szCs w:val="22"/>
        </w:rPr>
      </w:pPr>
    </w:p>
    <w:p w:rsidR="00036077" w:rsidRPr="00310A87" w:rsidRDefault="00036077" w:rsidP="00310A87">
      <w:pPr>
        <w:rPr>
          <w:rFonts w:ascii="Arial" w:hAnsi="Arial" w:cs="Arial"/>
          <w:b/>
          <w:sz w:val="22"/>
          <w:szCs w:val="22"/>
        </w:rPr>
      </w:pPr>
    </w:p>
    <w:sectPr w:rsidR="00036077" w:rsidRPr="00310A87" w:rsidSect="00ED31A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2AA5" w:rsidRDefault="00502AA5" w:rsidP="00840A77">
      <w:pPr>
        <w:spacing w:after="0" w:line="240" w:lineRule="auto"/>
      </w:pPr>
      <w:r>
        <w:separator/>
      </w:r>
    </w:p>
  </w:endnote>
  <w:endnote w:type="continuationSeparator" w:id="1">
    <w:p w:rsidR="00502AA5" w:rsidRDefault="00502AA5" w:rsidP="00840A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2AA5" w:rsidRDefault="00502AA5" w:rsidP="00840A77">
      <w:pPr>
        <w:spacing w:after="0" w:line="240" w:lineRule="auto"/>
      </w:pPr>
      <w:r>
        <w:separator/>
      </w:r>
    </w:p>
  </w:footnote>
  <w:footnote w:type="continuationSeparator" w:id="1">
    <w:p w:rsidR="00502AA5" w:rsidRDefault="00502AA5" w:rsidP="00840A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F68FD"/>
    <w:multiLevelType w:val="multilevel"/>
    <w:tmpl w:val="F558BA86"/>
    <w:lvl w:ilvl="0">
      <w:start w:val="1"/>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
    <w:nsid w:val="2B907254"/>
    <w:multiLevelType w:val="multilevel"/>
    <w:tmpl w:val="BD5AD6E4"/>
    <w:lvl w:ilvl="0">
      <w:start w:val="1"/>
      <w:numFmt w:val="decimal"/>
      <w:lvlText w:val="%1"/>
      <w:lvlJc w:val="left"/>
      <w:pPr>
        <w:ind w:left="360" w:hanging="360"/>
      </w:pPr>
      <w:rPr>
        <w:rFonts w:hint="default"/>
      </w:rPr>
    </w:lvl>
    <w:lvl w:ilvl="1">
      <w:start w:val="3"/>
      <w:numFmt w:val="decimal"/>
      <w:lvlText w:val="%1.%2"/>
      <w:lvlJc w:val="left"/>
      <w:pPr>
        <w:ind w:left="850" w:hanging="360"/>
      </w:pPr>
      <w:rPr>
        <w:rFonts w:hint="default"/>
      </w:rPr>
    </w:lvl>
    <w:lvl w:ilvl="2">
      <w:start w:val="1"/>
      <w:numFmt w:val="decimal"/>
      <w:lvlText w:val="%1.%2.%3"/>
      <w:lvlJc w:val="left"/>
      <w:pPr>
        <w:ind w:left="1700" w:hanging="720"/>
      </w:pPr>
      <w:rPr>
        <w:rFonts w:hint="default"/>
      </w:rPr>
    </w:lvl>
    <w:lvl w:ilvl="3">
      <w:start w:val="1"/>
      <w:numFmt w:val="decimal"/>
      <w:lvlText w:val="%1.%2.%3.%4"/>
      <w:lvlJc w:val="left"/>
      <w:pPr>
        <w:ind w:left="2550" w:hanging="108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890" w:hanging="144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5230" w:hanging="1800"/>
      </w:pPr>
      <w:rPr>
        <w:rFonts w:hint="default"/>
      </w:rPr>
    </w:lvl>
    <w:lvl w:ilvl="8">
      <w:start w:val="1"/>
      <w:numFmt w:val="decimal"/>
      <w:lvlText w:val="%1.%2.%3.%4.%5.%6.%7.%8.%9"/>
      <w:lvlJc w:val="left"/>
      <w:pPr>
        <w:ind w:left="5720" w:hanging="1800"/>
      </w:pPr>
      <w:rPr>
        <w:rFonts w:hint="default"/>
      </w:rPr>
    </w:lvl>
  </w:abstractNum>
  <w:abstractNum w:abstractNumId="2">
    <w:nsid w:val="33F32E22"/>
    <w:multiLevelType w:val="multilevel"/>
    <w:tmpl w:val="A28A20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74B54E6"/>
    <w:multiLevelType w:val="multilevel"/>
    <w:tmpl w:val="9D402EE0"/>
    <w:lvl w:ilvl="0">
      <w:start w:val="2"/>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5A121FF4"/>
    <w:multiLevelType w:val="multilevel"/>
    <w:tmpl w:val="A28A20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618D1EE2"/>
    <w:multiLevelType w:val="multilevel"/>
    <w:tmpl w:val="0F6E30F4"/>
    <w:lvl w:ilvl="0">
      <w:start w:val="2"/>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42DE3"/>
    <w:rsid w:val="00036077"/>
    <w:rsid w:val="0003614D"/>
    <w:rsid w:val="00081510"/>
    <w:rsid w:val="00084A20"/>
    <w:rsid w:val="000A1C63"/>
    <w:rsid w:val="000A7598"/>
    <w:rsid w:val="000A7A57"/>
    <w:rsid w:val="000B79B6"/>
    <w:rsid w:val="000C0F8B"/>
    <w:rsid w:val="000E46AB"/>
    <w:rsid w:val="0010576A"/>
    <w:rsid w:val="00113727"/>
    <w:rsid w:val="00121BDA"/>
    <w:rsid w:val="0014786A"/>
    <w:rsid w:val="001663DA"/>
    <w:rsid w:val="00183CBE"/>
    <w:rsid w:val="00195F17"/>
    <w:rsid w:val="0020207E"/>
    <w:rsid w:val="002361F1"/>
    <w:rsid w:val="00261CD4"/>
    <w:rsid w:val="00271498"/>
    <w:rsid w:val="002814DB"/>
    <w:rsid w:val="0028242F"/>
    <w:rsid w:val="0028384B"/>
    <w:rsid w:val="002925F4"/>
    <w:rsid w:val="002A1EB5"/>
    <w:rsid w:val="002A688D"/>
    <w:rsid w:val="002D6FD5"/>
    <w:rsid w:val="002F4F7D"/>
    <w:rsid w:val="00310A87"/>
    <w:rsid w:val="00316DC4"/>
    <w:rsid w:val="00323A2C"/>
    <w:rsid w:val="00326DC1"/>
    <w:rsid w:val="00344FC5"/>
    <w:rsid w:val="00351761"/>
    <w:rsid w:val="003A6DEC"/>
    <w:rsid w:val="003E34B7"/>
    <w:rsid w:val="003E61FA"/>
    <w:rsid w:val="00417895"/>
    <w:rsid w:val="0043104C"/>
    <w:rsid w:val="00456ED7"/>
    <w:rsid w:val="004712F7"/>
    <w:rsid w:val="004831D1"/>
    <w:rsid w:val="00484182"/>
    <w:rsid w:val="004955AB"/>
    <w:rsid w:val="004C66CC"/>
    <w:rsid w:val="00502AA5"/>
    <w:rsid w:val="00502AD4"/>
    <w:rsid w:val="005216B3"/>
    <w:rsid w:val="005500DD"/>
    <w:rsid w:val="00581B87"/>
    <w:rsid w:val="0058407D"/>
    <w:rsid w:val="005A2163"/>
    <w:rsid w:val="005A4622"/>
    <w:rsid w:val="005B5DEA"/>
    <w:rsid w:val="005B6115"/>
    <w:rsid w:val="005D3917"/>
    <w:rsid w:val="00633764"/>
    <w:rsid w:val="00636BBE"/>
    <w:rsid w:val="006A3FF7"/>
    <w:rsid w:val="006A40FE"/>
    <w:rsid w:val="006B66A2"/>
    <w:rsid w:val="006C7D70"/>
    <w:rsid w:val="006D171B"/>
    <w:rsid w:val="006E1764"/>
    <w:rsid w:val="006E24D4"/>
    <w:rsid w:val="007366D8"/>
    <w:rsid w:val="00763FFB"/>
    <w:rsid w:val="00775D59"/>
    <w:rsid w:val="007B0745"/>
    <w:rsid w:val="00813D83"/>
    <w:rsid w:val="00815E11"/>
    <w:rsid w:val="00840A77"/>
    <w:rsid w:val="0088334E"/>
    <w:rsid w:val="00892168"/>
    <w:rsid w:val="008C5B4B"/>
    <w:rsid w:val="008E4010"/>
    <w:rsid w:val="00902370"/>
    <w:rsid w:val="00942F67"/>
    <w:rsid w:val="00952F92"/>
    <w:rsid w:val="00977EFF"/>
    <w:rsid w:val="009958A9"/>
    <w:rsid w:val="009A7BD4"/>
    <w:rsid w:val="009B6051"/>
    <w:rsid w:val="009E4B4B"/>
    <w:rsid w:val="009E78B5"/>
    <w:rsid w:val="00A0581A"/>
    <w:rsid w:val="00A07A7C"/>
    <w:rsid w:val="00A75ED6"/>
    <w:rsid w:val="00A9093D"/>
    <w:rsid w:val="00A915F2"/>
    <w:rsid w:val="00AA2751"/>
    <w:rsid w:val="00AF3DF0"/>
    <w:rsid w:val="00B10246"/>
    <w:rsid w:val="00B6459D"/>
    <w:rsid w:val="00B72F7C"/>
    <w:rsid w:val="00C41CA3"/>
    <w:rsid w:val="00CF0FBE"/>
    <w:rsid w:val="00CF60ED"/>
    <w:rsid w:val="00D40B64"/>
    <w:rsid w:val="00D42DE3"/>
    <w:rsid w:val="00D7686C"/>
    <w:rsid w:val="00D824B4"/>
    <w:rsid w:val="00DD25F1"/>
    <w:rsid w:val="00DD7FFE"/>
    <w:rsid w:val="00DE119E"/>
    <w:rsid w:val="00E40FBA"/>
    <w:rsid w:val="00E412A5"/>
    <w:rsid w:val="00E42E5B"/>
    <w:rsid w:val="00E4387C"/>
    <w:rsid w:val="00EA1056"/>
    <w:rsid w:val="00ED31A4"/>
    <w:rsid w:val="00F042A2"/>
    <w:rsid w:val="00F132AD"/>
    <w:rsid w:val="00F2082C"/>
    <w:rsid w:val="00F2602D"/>
    <w:rsid w:val="00F3021D"/>
    <w:rsid w:val="00F6130F"/>
    <w:rsid w:val="00FB05DF"/>
    <w:rsid w:val="00FD73F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1A4"/>
  </w:style>
  <w:style w:type="paragraph" w:styleId="Heading1">
    <w:name w:val="heading 1"/>
    <w:basedOn w:val="Normal"/>
    <w:next w:val="Normal"/>
    <w:link w:val="Heading1Char"/>
    <w:uiPriority w:val="9"/>
    <w:qFormat/>
    <w:rsid w:val="00484182"/>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F0FBE"/>
    <w:rPr>
      <w:i/>
      <w:iCs/>
    </w:rPr>
  </w:style>
  <w:style w:type="paragraph" w:styleId="NormalWeb">
    <w:name w:val="Normal (Web)"/>
    <w:basedOn w:val="Normal"/>
    <w:uiPriority w:val="99"/>
    <w:semiHidden/>
    <w:unhideWhenUsed/>
    <w:rsid w:val="00183CBE"/>
    <w:pPr>
      <w:spacing w:before="100" w:beforeAutospacing="1" w:after="100" w:afterAutospacing="1" w:line="240" w:lineRule="auto"/>
    </w:pPr>
    <w:rPr>
      <w:rFonts w:ascii="Times New Roman" w:eastAsia="Times New Roman" w:hAnsi="Times New Roman" w:cs="Times New Roman"/>
      <w:kern w:val="0"/>
      <w:lang w:eastAsia="en-GB"/>
    </w:rPr>
  </w:style>
  <w:style w:type="paragraph" w:styleId="ListParagraph">
    <w:name w:val="List Paragraph"/>
    <w:basedOn w:val="Normal"/>
    <w:uiPriority w:val="34"/>
    <w:qFormat/>
    <w:rsid w:val="002D6FD5"/>
    <w:pPr>
      <w:ind w:left="720"/>
      <w:contextualSpacing/>
    </w:pPr>
  </w:style>
  <w:style w:type="paragraph" w:styleId="Header">
    <w:name w:val="header"/>
    <w:basedOn w:val="Normal"/>
    <w:link w:val="HeaderChar"/>
    <w:uiPriority w:val="99"/>
    <w:semiHidden/>
    <w:unhideWhenUsed/>
    <w:rsid w:val="00840A7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40A77"/>
  </w:style>
  <w:style w:type="paragraph" w:styleId="Footer">
    <w:name w:val="footer"/>
    <w:basedOn w:val="Normal"/>
    <w:link w:val="FooterChar"/>
    <w:uiPriority w:val="99"/>
    <w:semiHidden/>
    <w:unhideWhenUsed/>
    <w:rsid w:val="00840A7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40A77"/>
  </w:style>
  <w:style w:type="paragraph" w:styleId="BalloonText">
    <w:name w:val="Balloon Text"/>
    <w:basedOn w:val="Normal"/>
    <w:link w:val="BalloonTextChar"/>
    <w:uiPriority w:val="99"/>
    <w:semiHidden/>
    <w:unhideWhenUsed/>
    <w:rsid w:val="00840A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0A77"/>
    <w:rPr>
      <w:rFonts w:ascii="Tahoma" w:hAnsi="Tahoma" w:cs="Tahoma"/>
      <w:sz w:val="16"/>
      <w:szCs w:val="16"/>
    </w:rPr>
  </w:style>
  <w:style w:type="character" w:customStyle="1" w:styleId="Heading1Char">
    <w:name w:val="Heading 1 Char"/>
    <w:basedOn w:val="DefaultParagraphFont"/>
    <w:link w:val="Heading1"/>
    <w:uiPriority w:val="9"/>
    <w:rsid w:val="00484182"/>
    <w:rPr>
      <w:rFonts w:asciiTheme="majorHAnsi" w:eastAsiaTheme="majorEastAsia" w:hAnsiTheme="majorHAnsi" w:cstheme="majorBidi"/>
      <w:b/>
      <w:bCs/>
      <w:color w:val="0F4761" w:themeColor="accent1" w:themeShade="BF"/>
      <w:sz w:val="28"/>
      <w:szCs w:val="28"/>
    </w:rPr>
  </w:style>
  <w:style w:type="paragraph" w:styleId="TOCHeading">
    <w:name w:val="TOC Heading"/>
    <w:basedOn w:val="Heading1"/>
    <w:next w:val="Normal"/>
    <w:uiPriority w:val="39"/>
    <w:unhideWhenUsed/>
    <w:qFormat/>
    <w:rsid w:val="00484182"/>
    <w:pPr>
      <w:spacing w:line="276" w:lineRule="auto"/>
      <w:outlineLvl w:val="9"/>
    </w:pPr>
    <w:rPr>
      <w:rFonts w:ascii="Segoe UI" w:hAnsi="Segoe UI"/>
      <w:b w:val="0"/>
      <w:kern w:val="0"/>
      <w:lang w:val="en-US"/>
    </w:rPr>
  </w:style>
  <w:style w:type="paragraph" w:styleId="TOC2">
    <w:name w:val="toc 2"/>
    <w:basedOn w:val="Normal"/>
    <w:next w:val="Normal"/>
    <w:autoRedefine/>
    <w:uiPriority w:val="39"/>
    <w:unhideWhenUsed/>
    <w:rsid w:val="00484182"/>
    <w:pPr>
      <w:spacing w:before="120" w:after="0" w:line="259" w:lineRule="auto"/>
      <w:ind w:left="220"/>
    </w:pPr>
    <w:rPr>
      <w:rFonts w:ascii="Segoe UI" w:eastAsiaTheme="minorEastAsia" w:hAnsi="Segoe UI" w:cstheme="minorHAnsi"/>
      <w:b/>
      <w:bCs/>
      <w:sz w:val="20"/>
      <w:szCs w:val="22"/>
      <w:lang w:eastAsia="zh-CN"/>
    </w:rPr>
  </w:style>
  <w:style w:type="character" w:styleId="Hyperlink">
    <w:name w:val="Hyperlink"/>
    <w:basedOn w:val="DefaultParagraphFont"/>
    <w:uiPriority w:val="99"/>
    <w:unhideWhenUsed/>
    <w:rsid w:val="00484182"/>
    <w:rPr>
      <w:color w:val="467886" w:themeColor="hyperlink"/>
      <w:u w:val="single"/>
    </w:rPr>
  </w:style>
</w:styles>
</file>

<file path=word/webSettings.xml><?xml version="1.0" encoding="utf-8"?>
<w:webSettings xmlns:r="http://schemas.openxmlformats.org/officeDocument/2006/relationships" xmlns:w="http://schemas.openxmlformats.org/wordprocessingml/2006/main">
  <w:divs>
    <w:div w:id="215969698">
      <w:bodyDiv w:val="1"/>
      <w:marLeft w:val="0"/>
      <w:marRight w:val="0"/>
      <w:marTop w:val="0"/>
      <w:marBottom w:val="0"/>
      <w:divBdr>
        <w:top w:val="none" w:sz="0" w:space="0" w:color="auto"/>
        <w:left w:val="none" w:sz="0" w:space="0" w:color="auto"/>
        <w:bottom w:val="none" w:sz="0" w:space="0" w:color="auto"/>
        <w:right w:val="none" w:sz="0" w:space="0" w:color="auto"/>
      </w:divBdr>
    </w:div>
    <w:div w:id="465317394">
      <w:bodyDiv w:val="1"/>
      <w:marLeft w:val="0"/>
      <w:marRight w:val="0"/>
      <w:marTop w:val="0"/>
      <w:marBottom w:val="0"/>
      <w:divBdr>
        <w:top w:val="none" w:sz="0" w:space="0" w:color="auto"/>
        <w:left w:val="none" w:sz="0" w:space="0" w:color="auto"/>
        <w:bottom w:val="none" w:sz="0" w:space="0" w:color="auto"/>
        <w:right w:val="none" w:sz="0" w:space="0" w:color="auto"/>
      </w:divBdr>
    </w:div>
    <w:div w:id="18327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0C7A1-6489-4F3F-99A4-7E932BBFC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Pages>
  <Words>1840</Words>
  <Characters>10489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Krasimira Yordanova-Krumova</dc:creator>
  <cp:lastModifiedBy>Krasimira Yordanova-Krumova</cp:lastModifiedBy>
  <cp:revision>62</cp:revision>
  <dcterms:created xsi:type="dcterms:W3CDTF">2026-04-14T13:41:00Z</dcterms:created>
  <dcterms:modified xsi:type="dcterms:W3CDTF">2026-04-17T11:35:00Z</dcterms:modified>
</cp:coreProperties>
</file>