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8D4A" w14:textId="0D3F1455" w:rsidR="006F6539" w:rsidRPr="00555433" w:rsidRDefault="006F6539">
      <w:pPr>
        <w:pStyle w:val="p1"/>
        <w:rPr>
          <w:b/>
          <w:bCs/>
        </w:rPr>
      </w:pPr>
      <w:r w:rsidRPr="00555433">
        <w:rPr>
          <w:rStyle w:val="s1"/>
          <w:b/>
          <w:bCs/>
        </w:rPr>
        <w:t>The Bear Necessities of Stress (Wetherell, 2022)</w:t>
      </w:r>
    </w:p>
    <w:p w14:paraId="46F5078E" w14:textId="77777777" w:rsidR="006F6539" w:rsidRDefault="006F6539">
      <w:pPr>
        <w:pStyle w:val="p2"/>
      </w:pPr>
    </w:p>
    <w:p w14:paraId="412FAADA" w14:textId="77777777" w:rsidR="006F6539" w:rsidRDefault="006F6539">
      <w:pPr>
        <w:pStyle w:val="p1"/>
      </w:pPr>
      <w:r>
        <w:rPr>
          <w:rStyle w:val="s1"/>
        </w:rPr>
        <w:t>In “The Bear Necessities of Stress”, Mark Wetherell (2022) explains how the body reacts to stress and how both short-term and long-term stress affect our health. He uses the image of coming face-to-face with a bear in the woods to describe what happens when the brain detects danger. This instantly activates the sympathetic adrenal medullary (SAM) system, releasing adrenaline and noradrenaline to get the body ready to fight or run away. After about 20–30 minutes, the hypothalamic–pituitary–adrenal (HPA) axis releases cortisol, which helps maintain energy and keep the body in “survival mode.”</w:t>
      </w:r>
    </w:p>
    <w:p w14:paraId="5CBA45FC" w14:textId="77777777" w:rsidR="006F6539" w:rsidRDefault="006F6539">
      <w:pPr>
        <w:pStyle w:val="p2"/>
      </w:pPr>
    </w:p>
    <w:p w14:paraId="711BB7C0" w14:textId="77777777" w:rsidR="006F6539" w:rsidRDefault="006F6539">
      <w:pPr>
        <w:pStyle w:val="p1"/>
      </w:pPr>
      <w:r>
        <w:rPr>
          <w:rStyle w:val="s1"/>
        </w:rPr>
        <w:t>Because researchers obviously can’t use real bears, they study stress in the lab using different techniques. People might have to put their hand in ice-cold water, do public speaking, or complete difficult multitasking exercises (Wetherell &amp; Carter, 2014). These tasks make heart rate, blood pressure, and cortisol rise, which helps scientists measure how stress affects the body. Later studies added social evaluation, where participants were told they weren’t doing well, which made stress levels increase even more (Wetherell et al., 2017).</w:t>
      </w:r>
    </w:p>
    <w:p w14:paraId="4F652D78" w14:textId="77777777" w:rsidR="006F6539" w:rsidRDefault="006F6539">
      <w:pPr>
        <w:pStyle w:val="p2"/>
      </w:pPr>
    </w:p>
    <w:p w14:paraId="778E4402" w14:textId="77777777" w:rsidR="006F6539" w:rsidRDefault="006F6539">
      <w:pPr>
        <w:pStyle w:val="p1"/>
      </w:pPr>
      <w:r>
        <w:rPr>
          <w:rStyle w:val="s1"/>
        </w:rPr>
        <w:t>Wetherell’s team also looked at real-life examples, such as people doing skydives. Interestingly, both first-time and experienced skydivers showed similar cortisol spikes, showing that even when we get used to a stressful situation, the body still reacts the same way. However, people who live with ongoing pressure – such as parents caring for autistic children – tend to have high cortisol levels throughout the day and a blunted morning cortisol awakening response. This chronic stress pattern is linked to tiredness, low mood, and health problems (Lovell &amp; Wetherell, 2011; Lovell, Moss, &amp; Wetherell, 2012).</w:t>
      </w:r>
    </w:p>
    <w:p w14:paraId="27D404C1" w14:textId="77777777" w:rsidR="006F6539" w:rsidRDefault="006F6539">
      <w:pPr>
        <w:pStyle w:val="p2"/>
      </w:pPr>
    </w:p>
    <w:p w14:paraId="0BC7158A" w14:textId="77777777" w:rsidR="006F6539" w:rsidRDefault="006F6539">
      <w:pPr>
        <w:pStyle w:val="p1"/>
      </w:pPr>
      <w:r>
        <w:rPr>
          <w:rStyle w:val="s1"/>
        </w:rPr>
        <w:t>The research also shows that social support and finding positives in difficult situations can reduce stress. Caregivers who wrote about positive aspects of their experience reported lower anxiety and depression (Lovell, Moss, &amp; Wetherell, 2015).</w:t>
      </w:r>
    </w:p>
    <w:p w14:paraId="6F92162A" w14:textId="77777777" w:rsidR="006F6539" w:rsidRDefault="006F6539">
      <w:pPr>
        <w:pStyle w:val="p2"/>
      </w:pPr>
    </w:p>
    <w:p w14:paraId="52692A97" w14:textId="77777777" w:rsidR="006F6539" w:rsidRDefault="006F6539">
      <w:pPr>
        <w:pStyle w:val="p1"/>
      </w:pPr>
      <w:r>
        <w:rPr>
          <w:rStyle w:val="s1"/>
        </w:rPr>
        <w:t>Wetherell ends by saying that short-term stress is useful and helps us respond to challenges, but long-term stress can harm both body and mind. To stay healthy, it’s important to “balance the bear” – in other words, find ways to manage daily stress and recover before it builds up over time.</w:t>
      </w:r>
    </w:p>
    <w:p w14:paraId="2793BAE6" w14:textId="77777777" w:rsidR="006F6539" w:rsidRDefault="006F6539">
      <w:pPr>
        <w:pStyle w:val="p2"/>
      </w:pPr>
    </w:p>
    <w:p w14:paraId="6975CD70" w14:textId="4D49E5E3" w:rsidR="006F6539" w:rsidRDefault="006F6539">
      <w:pPr>
        <w:pStyle w:val="p1"/>
      </w:pPr>
    </w:p>
    <w:p w14:paraId="67573141" w14:textId="77777777" w:rsidR="006F6539" w:rsidRDefault="006F6539">
      <w:pPr>
        <w:pStyle w:val="p2"/>
      </w:pPr>
    </w:p>
    <w:p w14:paraId="17097637" w14:textId="23501AE3" w:rsidR="006F6539" w:rsidRPr="00866B3E" w:rsidRDefault="006F6539">
      <w:pPr>
        <w:pStyle w:val="p1"/>
        <w:rPr>
          <w:b/>
          <w:bCs/>
        </w:rPr>
      </w:pPr>
      <w:r w:rsidRPr="00866B3E">
        <w:rPr>
          <w:rStyle w:val="s1"/>
          <w:b/>
          <w:bCs/>
        </w:rPr>
        <w:t xml:space="preserve">References </w:t>
      </w:r>
    </w:p>
    <w:p w14:paraId="6108C929" w14:textId="77777777" w:rsidR="006F6539" w:rsidRDefault="006F6539">
      <w:pPr>
        <w:pStyle w:val="p2"/>
      </w:pPr>
    </w:p>
    <w:p w14:paraId="291A180A" w14:textId="77777777" w:rsidR="006F6539" w:rsidRDefault="006F6539">
      <w:pPr>
        <w:pStyle w:val="p1"/>
      </w:pPr>
      <w:r>
        <w:rPr>
          <w:rStyle w:val="s1"/>
        </w:rPr>
        <w:t xml:space="preserve">Lovell, B., Moss, M., &amp; Wetherell, M. A. (2012). With a little help from my friends: Psychological, endocrine and health correlates of social support in parental </w:t>
      </w:r>
      <w:r>
        <w:rPr>
          <w:rStyle w:val="s1"/>
        </w:rPr>
        <w:lastRenderedPageBreak/>
        <w:t>caregivers of children with autism and ADHD. Research in Developmental Disabilities, 33(2), 682–687.</w:t>
      </w:r>
    </w:p>
    <w:p w14:paraId="691911EB" w14:textId="77777777" w:rsidR="006F6539" w:rsidRDefault="006F6539">
      <w:pPr>
        <w:pStyle w:val="p1"/>
      </w:pPr>
      <w:r>
        <w:rPr>
          <w:rStyle w:val="s1"/>
        </w:rPr>
        <w:t>Lovell, B., Moss, M., &amp; Wetherell, M. A. (2015). Assessing the feasibility and efficacy of written benefit-finding for caregivers of children with autism: A pilot study. Journal of Family Studies.</w:t>
      </w:r>
    </w:p>
    <w:p w14:paraId="01D15FDB" w14:textId="77777777" w:rsidR="006F6539" w:rsidRDefault="006F6539">
      <w:pPr>
        <w:pStyle w:val="p1"/>
      </w:pPr>
      <w:r>
        <w:rPr>
          <w:rStyle w:val="s1"/>
        </w:rPr>
        <w:t>Wetherell, M. A., &amp; Carter, K. (2014). The multitasking framework: The effects of increasing workload on acute psychobiological stress reactivity. Stress and Health, 30(2), 103–109.</w:t>
      </w:r>
    </w:p>
    <w:p w14:paraId="58571538" w14:textId="77777777" w:rsidR="006F6539" w:rsidRDefault="006F6539">
      <w:pPr>
        <w:pStyle w:val="p1"/>
      </w:pPr>
      <w:r>
        <w:rPr>
          <w:rStyle w:val="s1"/>
        </w:rPr>
        <w:t>Wetherell, M. A., Craw, O., Smith, K., &amp; Smith, M. A. (2017). Psychobiological responses to critically evaluated multitasking. Neurobiology of Stress, 7, 68–73.</w:t>
      </w:r>
    </w:p>
    <w:p w14:paraId="1FD5FC2F" w14:textId="77777777" w:rsidR="006F6539" w:rsidRDefault="006F6539">
      <w:pPr>
        <w:pStyle w:val="p1"/>
      </w:pPr>
      <w:r>
        <w:rPr>
          <w:rStyle w:val="s1"/>
        </w:rPr>
        <w:t>Wetherell, M. A. (2022, September 14). The bear necessities of stress. The Psychologist.</w:t>
      </w:r>
    </w:p>
    <w:p w14:paraId="760EB164" w14:textId="77777777" w:rsidR="00525DBD" w:rsidRDefault="00525DBD">
      <w:pPr>
        <w:pStyle w:val="p1"/>
      </w:pPr>
      <w:r>
        <w:rPr>
          <w:rStyle w:val="s1"/>
        </w:rPr>
        <w:t>Reference List (APA 7th Edition)</w:t>
      </w:r>
    </w:p>
    <w:p w14:paraId="2CB82D49" w14:textId="77777777" w:rsidR="00525DBD" w:rsidRDefault="00525DBD">
      <w:pPr>
        <w:pStyle w:val="p2"/>
      </w:pPr>
    </w:p>
    <w:p w14:paraId="30AE08D6" w14:textId="77777777" w:rsidR="00525DBD" w:rsidRDefault="00525DBD">
      <w:pPr>
        <w:pStyle w:val="p1"/>
      </w:pPr>
      <w:r>
        <w:rPr>
          <w:rStyle w:val="s1"/>
        </w:rPr>
        <w:t>Bailey, T. K., Jones, A. R., Walker, C. L., Ahmed, S. E., Nguyen, L. T., O’Connell, M. A., Li, S. J., Rivera, P. M., Adams, F. R., &amp; Chen, H. Y. (2022). Cognitive flexibility and executive function in early adulthood. Journal of Experimental Psychology: General, 151(4), 789–805. https://doi.org/10.1037/xge0001223</w:t>
      </w:r>
    </w:p>
    <w:p w14:paraId="1F95BFE1" w14:textId="77777777" w:rsidR="00525DBD" w:rsidRDefault="00525DBD">
      <w:pPr>
        <w:pStyle w:val="p2"/>
      </w:pPr>
    </w:p>
    <w:p w14:paraId="4EEECED0" w14:textId="77777777" w:rsidR="00525DBD" w:rsidRDefault="00525DBD">
      <w:pPr>
        <w:pStyle w:val="p1"/>
      </w:pPr>
      <w:r>
        <w:rPr>
          <w:rStyle w:val="s1"/>
        </w:rPr>
        <w:t>Davis, E. R., &amp; Clarke, M. J. (2022). Modern marketing strategies. Business Books Publishing.</w:t>
      </w:r>
    </w:p>
    <w:p w14:paraId="3A80E49E" w14:textId="77777777" w:rsidR="00525DBD" w:rsidRDefault="00525DBD">
      <w:pPr>
        <w:pStyle w:val="p2"/>
      </w:pPr>
    </w:p>
    <w:p w14:paraId="7DCF602E" w14:textId="77777777" w:rsidR="00525DBD" w:rsidRDefault="00525DBD">
      <w:pPr>
        <w:pStyle w:val="p1"/>
      </w:pPr>
      <w:r>
        <w:rPr>
          <w:rStyle w:val="s1"/>
        </w:rPr>
        <w:t>Department for Environment, Food &amp; Rural Affairs (DEFRA). (2020). UK climate change risk assessment 2020. UK Government. https://www.gov.uk/government/publications/uk-climate-change-risk-assessment-2020</w:t>
      </w:r>
    </w:p>
    <w:p w14:paraId="17A9BC4D" w14:textId="77777777" w:rsidR="00525DBD" w:rsidRDefault="00525DBD">
      <w:pPr>
        <w:pStyle w:val="p2"/>
      </w:pPr>
    </w:p>
    <w:p w14:paraId="65A9858D" w14:textId="77777777" w:rsidR="00525DBD" w:rsidRDefault="00525DBD">
      <w:pPr>
        <w:pStyle w:val="p1"/>
      </w:pPr>
      <w:r>
        <w:rPr>
          <w:rStyle w:val="s1"/>
        </w:rPr>
        <w:t>Garcia, M. T. (2022, March 5). Climate change impacts on coastal cities. The Global Times. https://globaltimes.com/climate/coastal-impact</w:t>
      </w:r>
    </w:p>
    <w:p w14:paraId="3375592D" w14:textId="77777777" w:rsidR="00525DBD" w:rsidRDefault="00525DBD">
      <w:pPr>
        <w:pStyle w:val="p2"/>
      </w:pPr>
    </w:p>
    <w:p w14:paraId="37EADCDA" w14:textId="77777777" w:rsidR="00525DBD" w:rsidRDefault="00525DBD">
      <w:pPr>
        <w:pStyle w:val="p1"/>
      </w:pPr>
      <w:r>
        <w:rPr>
          <w:rStyle w:val="s1"/>
        </w:rPr>
        <w:t>Kim, S. H., Patel, R., &amp; Wilson, J. D. (2021). Virtual reality in education: A meta-analysis. Educational Technology Research and Development, 69(2), 1105–1123. https://doi.org/10.1007/s11423-020-09834-7</w:t>
      </w:r>
    </w:p>
    <w:p w14:paraId="4827784D" w14:textId="77777777" w:rsidR="00525DBD" w:rsidRDefault="00525DBD">
      <w:pPr>
        <w:pStyle w:val="p2"/>
      </w:pPr>
    </w:p>
    <w:p w14:paraId="2D3F0B66" w14:textId="77777777" w:rsidR="00525DBD" w:rsidRDefault="00525DBD">
      <w:pPr>
        <w:pStyle w:val="p1"/>
      </w:pPr>
      <w:r>
        <w:rPr>
          <w:rStyle w:val="s1"/>
        </w:rPr>
        <w:t>Lee, A. M. (2020). Cognitive development in early childhood. In P. Brown &amp; L. Green (Eds.), Child development theories (pp. 45–67). Springer.</w:t>
      </w:r>
    </w:p>
    <w:p w14:paraId="66A51155" w14:textId="77777777" w:rsidR="00525DBD" w:rsidRDefault="00525DBD">
      <w:pPr>
        <w:pStyle w:val="p2"/>
      </w:pPr>
    </w:p>
    <w:p w14:paraId="6596DC71" w14:textId="77777777" w:rsidR="00525DBD" w:rsidRDefault="00525DBD">
      <w:pPr>
        <w:pStyle w:val="p1"/>
      </w:pPr>
      <w:r>
        <w:rPr>
          <w:rStyle w:val="s1"/>
        </w:rPr>
        <w:t xml:space="preserve">Lovell, B., Moss, M. C., &amp; Wetherell, M. A. (2011). The psychosocial, endocrine and immune consequences of caring for a child with autism or ADHD. </w:t>
      </w:r>
      <w:proofErr w:type="spellStart"/>
      <w:r>
        <w:rPr>
          <w:rStyle w:val="s1"/>
        </w:rPr>
        <w:t>Psychoneuroendocrinology</w:t>
      </w:r>
      <w:proofErr w:type="spellEnd"/>
      <w:r>
        <w:rPr>
          <w:rStyle w:val="s1"/>
        </w:rPr>
        <w:t>, 37, 534–542.</w:t>
      </w:r>
    </w:p>
    <w:p w14:paraId="6793D0D6" w14:textId="77777777" w:rsidR="00525DBD" w:rsidRDefault="00525DBD">
      <w:pPr>
        <w:pStyle w:val="p2"/>
      </w:pPr>
    </w:p>
    <w:p w14:paraId="2CBF9043" w14:textId="77777777" w:rsidR="00525DBD" w:rsidRDefault="00525DBD">
      <w:pPr>
        <w:pStyle w:val="p1"/>
      </w:pPr>
      <w:r>
        <w:rPr>
          <w:rStyle w:val="s1"/>
        </w:rPr>
        <w:t>Lovell, B., Moss, M. C., &amp; Wetherell, M. A. (2012). With a little help from my friends: Psychological, endocrine and health correlates of social support in parental caregivers of children with autism and ADHD. Research in Developmental Disabilities, 33(2), 682–687.</w:t>
      </w:r>
    </w:p>
    <w:p w14:paraId="4C0E311B" w14:textId="77777777" w:rsidR="00525DBD" w:rsidRDefault="00525DBD">
      <w:pPr>
        <w:pStyle w:val="p2"/>
      </w:pPr>
    </w:p>
    <w:p w14:paraId="577EBFAF" w14:textId="77777777" w:rsidR="00525DBD" w:rsidRDefault="00525DBD">
      <w:pPr>
        <w:pStyle w:val="p1"/>
      </w:pPr>
      <w:r>
        <w:rPr>
          <w:rStyle w:val="s1"/>
        </w:rPr>
        <w:t>Lovell, B., Moss, M. C., &amp; Wetherell, M. A. (2015). Assessing the feasibility and efficacy of written benefit-finding for caregivers of children with autism: A pilot study. Journal of Family Studies.</w:t>
      </w:r>
    </w:p>
    <w:p w14:paraId="348C857A" w14:textId="77777777" w:rsidR="00525DBD" w:rsidRDefault="00525DBD">
      <w:pPr>
        <w:pStyle w:val="p2"/>
      </w:pPr>
    </w:p>
    <w:p w14:paraId="0DE95830" w14:textId="77777777" w:rsidR="00525DBD" w:rsidRDefault="00525DBD">
      <w:pPr>
        <w:pStyle w:val="p1"/>
      </w:pPr>
      <w:r>
        <w:rPr>
          <w:rStyle w:val="s1"/>
        </w:rPr>
        <w:t>Morgan, D. S. (2021). Machine learning applications in healthcare diagnostics (Doctoral dissertation, University of Edinburgh). ProQuest Dissertations &amp; Theses Global.</w:t>
      </w:r>
    </w:p>
    <w:p w14:paraId="4BE8EC20" w14:textId="77777777" w:rsidR="00525DBD" w:rsidRDefault="00525DBD">
      <w:pPr>
        <w:pStyle w:val="p2"/>
      </w:pPr>
    </w:p>
    <w:p w14:paraId="41B7546D" w14:textId="77777777" w:rsidR="00525DBD" w:rsidRDefault="00525DBD">
      <w:pPr>
        <w:pStyle w:val="p1"/>
      </w:pPr>
      <w:r>
        <w:rPr>
          <w:rStyle w:val="s1"/>
        </w:rPr>
        <w:t>Nguyen, H. P. (2018). Blockchain technology in finance. In R. Singh &amp; A. Cohen (Eds.), Innovations in financial technology (eBook) (pp. 122–139). Wiley Online Library.</w:t>
      </w:r>
    </w:p>
    <w:p w14:paraId="312EBA68" w14:textId="77777777" w:rsidR="00525DBD" w:rsidRDefault="00525DBD">
      <w:pPr>
        <w:pStyle w:val="p2"/>
      </w:pPr>
    </w:p>
    <w:p w14:paraId="68B1F554" w14:textId="77777777" w:rsidR="00525DBD" w:rsidRDefault="00525DBD">
      <w:pPr>
        <w:pStyle w:val="p1"/>
      </w:pPr>
      <w:r>
        <w:rPr>
          <w:rStyle w:val="s1"/>
        </w:rPr>
        <w:t>Patel, S. R. (2020). The rise of digital therapy. The Psychologist, 33(6), 48–53.</w:t>
      </w:r>
    </w:p>
    <w:p w14:paraId="0E1D97A5" w14:textId="77777777" w:rsidR="00525DBD" w:rsidRDefault="00525DBD">
      <w:pPr>
        <w:pStyle w:val="p2"/>
      </w:pPr>
    </w:p>
    <w:p w14:paraId="204F5FA6" w14:textId="77777777" w:rsidR="00525DBD" w:rsidRDefault="00525DBD">
      <w:pPr>
        <w:pStyle w:val="p1"/>
      </w:pPr>
      <w:r>
        <w:rPr>
          <w:rStyle w:val="s1"/>
        </w:rPr>
        <w:t>Reynolds, K. M. (2023). How mindfulness improves productivity. Mindful Living. https://mindfulliving.com/how-mindfulness-improves-productivity</w:t>
      </w:r>
    </w:p>
    <w:p w14:paraId="20151A74" w14:textId="77777777" w:rsidR="00525DBD" w:rsidRDefault="00525DBD">
      <w:pPr>
        <w:pStyle w:val="p2"/>
      </w:pPr>
    </w:p>
    <w:p w14:paraId="64A4A1FD" w14:textId="77777777" w:rsidR="00525DBD" w:rsidRDefault="00525DBD">
      <w:pPr>
        <w:pStyle w:val="p1"/>
      </w:pPr>
      <w:r>
        <w:rPr>
          <w:rStyle w:val="s1"/>
        </w:rPr>
        <w:t>Smith, J. A. (2019). Understanding psychology (3rd ed.). Academic Press.</w:t>
      </w:r>
    </w:p>
    <w:p w14:paraId="1AE75C8D" w14:textId="77777777" w:rsidR="00525DBD" w:rsidRDefault="00525DBD">
      <w:pPr>
        <w:pStyle w:val="p2"/>
      </w:pPr>
    </w:p>
    <w:p w14:paraId="38D64771" w14:textId="77777777" w:rsidR="00525DBD" w:rsidRDefault="00525DBD">
      <w:pPr>
        <w:pStyle w:val="p1"/>
      </w:pPr>
      <w:r>
        <w:rPr>
          <w:rStyle w:val="s1"/>
        </w:rPr>
        <w:t>Thompson, R. E. (2018). Social media effects on adolescent mental health. Journal of Adolescent Health, 62(4), 410–417. https://doi.org/10.1016/j.jadohealth.2017.11.290</w:t>
      </w:r>
    </w:p>
    <w:p w14:paraId="0F7F9910" w14:textId="77777777" w:rsidR="00525DBD" w:rsidRDefault="00525DBD">
      <w:pPr>
        <w:pStyle w:val="p2"/>
      </w:pPr>
    </w:p>
    <w:p w14:paraId="2D1FBA94" w14:textId="77777777" w:rsidR="00525DBD" w:rsidRDefault="00525DBD">
      <w:pPr>
        <w:pStyle w:val="p1"/>
      </w:pPr>
      <w:r>
        <w:rPr>
          <w:rStyle w:val="s1"/>
        </w:rPr>
        <w:t>University of Oxford. (2022). Referencing and citation guide. https://www.ox.ac.uk/students/academic/referencing</w:t>
      </w:r>
    </w:p>
    <w:p w14:paraId="35458959" w14:textId="77777777" w:rsidR="00525DBD" w:rsidRDefault="00525DBD">
      <w:pPr>
        <w:pStyle w:val="p2"/>
      </w:pPr>
    </w:p>
    <w:p w14:paraId="47B2DD0B" w14:textId="77777777" w:rsidR="00525DBD" w:rsidRDefault="00525DBD">
      <w:pPr>
        <w:pStyle w:val="p1"/>
      </w:pPr>
      <w:r>
        <w:rPr>
          <w:rStyle w:val="s1"/>
        </w:rPr>
        <w:t>U.S. Department of Education. (2017). National education technology plan 2017 (Report No. ED-ICT-17-01). https://tech.ed.gov/netp</w:t>
      </w:r>
    </w:p>
    <w:p w14:paraId="33D6D44D" w14:textId="77777777" w:rsidR="00525DBD" w:rsidRDefault="00525DBD">
      <w:pPr>
        <w:pStyle w:val="p2"/>
      </w:pPr>
    </w:p>
    <w:p w14:paraId="539B57A0" w14:textId="77777777" w:rsidR="00525DBD" w:rsidRDefault="00525DBD">
      <w:pPr>
        <w:pStyle w:val="p1"/>
      </w:pPr>
      <w:r>
        <w:rPr>
          <w:rStyle w:val="s1"/>
        </w:rPr>
        <w:t>World Health Organization. (2023). Mental health and COVID-19. https://www.who.int/mental_health/covid-19</w:t>
      </w:r>
    </w:p>
    <w:p w14:paraId="097D842C" w14:textId="77777777" w:rsidR="00525DBD" w:rsidRDefault="00525DBD">
      <w:pPr>
        <w:pStyle w:val="p2"/>
      </w:pPr>
    </w:p>
    <w:p w14:paraId="7A1A6B81" w14:textId="3E07D382" w:rsidR="007E5B4B" w:rsidRDefault="00525DBD">
      <w:pPr>
        <w:pStyle w:val="p1"/>
      </w:pPr>
      <w:r>
        <w:rPr>
          <w:rStyle w:val="s1"/>
        </w:rPr>
        <w:t>Zhao, L. (2019). Enhancing user experience in mobile apps. In Proceedings of the International Conference on Human-Computer Interaction (pp. 102–110). ACM Press. https://doi.org/10.1145/3313831.3376310</w:t>
      </w:r>
      <w:r w:rsidR="007E5B4B">
        <w:rPr>
          <w:rStyle w:val="s1"/>
        </w:rPr>
        <w:t>: Discuss how our understanding of melancholia and approaches to treatment have changed over time”</w:t>
      </w:r>
    </w:p>
    <w:p w14:paraId="629B3BB5" w14:textId="77777777" w:rsidR="007E5B4B" w:rsidRDefault="007E5B4B">
      <w:pPr>
        <w:pStyle w:val="p2"/>
      </w:pPr>
    </w:p>
    <w:p w14:paraId="10DF6531" w14:textId="77777777" w:rsidR="00945595" w:rsidRDefault="00945595" w:rsidP="00945595">
      <w:pPr>
        <w:pStyle w:val="p1"/>
        <w:ind w:left="360"/>
        <w:rPr>
          <w:rStyle w:val="s1"/>
        </w:rPr>
      </w:pPr>
    </w:p>
    <w:p w14:paraId="44454937" w14:textId="64399A40" w:rsidR="00945595" w:rsidRPr="00866B3E" w:rsidRDefault="007E5B4B" w:rsidP="00945595">
      <w:pPr>
        <w:pStyle w:val="p1"/>
        <w:ind w:left="360"/>
        <w:rPr>
          <w:rFonts w:ascii=".SFUI-Regular" w:hAnsi=".SFUI-Regular"/>
          <w:b/>
          <w:bCs/>
        </w:rPr>
      </w:pPr>
      <w:r w:rsidRPr="00866B3E">
        <w:rPr>
          <w:rStyle w:val="s1"/>
          <w:b/>
          <w:bCs/>
        </w:rPr>
        <w:t xml:space="preserve">Introduction </w:t>
      </w:r>
    </w:p>
    <w:p w14:paraId="74E10BF0"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Define melancholia — originally meaning deep sadness or despondency, now related to clinical depression.</w:t>
      </w:r>
    </w:p>
    <w:p w14:paraId="7893E680" w14:textId="77777777" w:rsidR="007E5B4B" w:rsidRDefault="007E5B4B">
      <w:pPr>
        <w:pStyle w:val="p1"/>
      </w:pPr>
      <w:r>
        <w:rPr>
          <w:rStyle w:val="apple-tab-span"/>
          <w:rFonts w:ascii=".SFUI-Regular" w:hAnsi=".SFUI-Regular"/>
        </w:rPr>
        <w:lastRenderedPageBreak/>
        <w:tab/>
      </w:r>
      <w:r>
        <w:rPr>
          <w:rStyle w:val="s1"/>
        </w:rPr>
        <w:t>•</w:t>
      </w:r>
      <w:r>
        <w:rPr>
          <w:rStyle w:val="apple-tab-span"/>
          <w:rFonts w:ascii=".SFUI-Regular" w:hAnsi=".SFUI-Regular"/>
        </w:rPr>
        <w:tab/>
      </w:r>
      <w:r>
        <w:rPr>
          <w:rStyle w:val="s1"/>
        </w:rPr>
        <w:t>Briefly state how views of melancholia have evolved from ancient medical and spiritual explanations to modern psychological and biological understandings.</w:t>
      </w:r>
    </w:p>
    <w:p w14:paraId="5CFEC77E"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Outline essay structure:</w:t>
      </w:r>
    </w:p>
    <w:p w14:paraId="35380484"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 xml:space="preserve">Historical origins (Hippocrates and </w:t>
      </w:r>
      <w:proofErr w:type="spellStart"/>
      <w:r>
        <w:rPr>
          <w:rStyle w:val="s1"/>
        </w:rPr>
        <w:t>humoral</w:t>
      </w:r>
      <w:proofErr w:type="spellEnd"/>
      <w:r>
        <w:rPr>
          <w:rStyle w:val="s1"/>
        </w:rPr>
        <w:t xml:space="preserve"> theory)</w:t>
      </w:r>
    </w:p>
    <w:p w14:paraId="41120A54"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Shifts in understanding during Renaissance &amp; Enlightenment</w:t>
      </w:r>
    </w:p>
    <w:p w14:paraId="6C231234"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19th–20th century medicalisation and Freud’s psychoanalytic view</w:t>
      </w:r>
    </w:p>
    <w:p w14:paraId="187E3EFE"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Biological psychiatry and antidepressants</w:t>
      </w:r>
    </w:p>
    <w:p w14:paraId="3E43518B" w14:textId="77777777" w:rsidR="007E5B4B" w:rsidRDefault="007E5B4B">
      <w:pPr>
        <w:pStyle w:val="p1"/>
      </w:pPr>
      <w:r>
        <w:rPr>
          <w:rStyle w:val="apple-tab-span"/>
          <w:rFonts w:ascii=".SFUI-Regular" w:hAnsi=".SFUI-Regular"/>
        </w:rPr>
        <w:tab/>
      </w:r>
      <w:r>
        <w:rPr>
          <w:rStyle w:val="s1"/>
        </w:rPr>
        <w:t>•</w:t>
      </w:r>
      <w:r>
        <w:rPr>
          <w:rStyle w:val="apple-tab-span"/>
          <w:rFonts w:ascii=".SFUI-Regular" w:hAnsi=".SFUI-Regular"/>
        </w:rPr>
        <w:tab/>
      </w:r>
      <w:r>
        <w:rPr>
          <w:rStyle w:val="s1"/>
        </w:rPr>
        <w:t xml:space="preserve">Modern </w:t>
      </w:r>
      <w:proofErr w:type="spellStart"/>
      <w:r>
        <w:rPr>
          <w:rStyle w:val="s1"/>
        </w:rPr>
        <w:t>biopsychosocial</w:t>
      </w:r>
      <w:proofErr w:type="spellEnd"/>
      <w:r>
        <w:rPr>
          <w:rStyle w:val="s1"/>
        </w:rPr>
        <w:t xml:space="preserve"> and holistic approaches</w:t>
      </w:r>
    </w:p>
    <w:p w14:paraId="379C0EF9" w14:textId="77777777" w:rsidR="007E5B4B" w:rsidRDefault="007E5B4B">
      <w:pPr>
        <w:pStyle w:val="p2"/>
      </w:pPr>
    </w:p>
    <w:p w14:paraId="78F73940" w14:textId="12677D52" w:rsidR="007E5B4B" w:rsidRDefault="007E5B4B">
      <w:pPr>
        <w:pStyle w:val="p1"/>
      </w:pPr>
      <w:r>
        <w:rPr>
          <w:rStyle w:val="s1"/>
        </w:rPr>
        <w:t xml:space="preserve">Our understanding of melancholia has shifted from supernatural and moral interpretations to complex </w:t>
      </w:r>
      <w:proofErr w:type="spellStart"/>
      <w:r>
        <w:rPr>
          <w:rStyle w:val="s1"/>
        </w:rPr>
        <w:t>biopsychosocial</w:t>
      </w:r>
      <w:proofErr w:type="spellEnd"/>
      <w:r>
        <w:rPr>
          <w:rStyle w:val="s1"/>
        </w:rPr>
        <w:t xml:space="preserve"> models, with treatment evolving from primitive remedies to evidence-based psychological and medical interventions.</w:t>
      </w:r>
    </w:p>
    <w:p w14:paraId="514742D3" w14:textId="4818C129" w:rsidR="007E5B4B" w:rsidRDefault="007E5B4B">
      <w:pPr>
        <w:pStyle w:val="p1"/>
      </w:pPr>
    </w:p>
    <w:p w14:paraId="35DB6A07" w14:textId="77777777" w:rsidR="007E5B4B" w:rsidRDefault="007E5B4B">
      <w:pPr>
        <w:pStyle w:val="p2"/>
      </w:pPr>
    </w:p>
    <w:p w14:paraId="3D7F4C0F" w14:textId="69FAD2DA" w:rsidR="007E5B4B" w:rsidRPr="00866B3E" w:rsidRDefault="007E5B4B">
      <w:pPr>
        <w:pStyle w:val="p1"/>
        <w:rPr>
          <w:b/>
          <w:bCs/>
        </w:rPr>
      </w:pPr>
      <w:r w:rsidRPr="00866B3E">
        <w:rPr>
          <w:rStyle w:val="s1"/>
          <w:b/>
          <w:bCs/>
        </w:rPr>
        <w:t>Main Body</w:t>
      </w:r>
    </w:p>
    <w:p w14:paraId="5795BA28" w14:textId="77777777" w:rsidR="007E5B4B" w:rsidRDefault="007E5B4B">
      <w:pPr>
        <w:pStyle w:val="p2"/>
      </w:pPr>
    </w:p>
    <w:p w14:paraId="26138126" w14:textId="31489213" w:rsidR="007E5B4B" w:rsidRDefault="007E5B4B">
      <w:pPr>
        <w:pStyle w:val="p1"/>
      </w:pPr>
      <w:r>
        <w:rPr>
          <w:rStyle w:val="s1"/>
        </w:rPr>
        <w:t xml:space="preserve"> Ancient &amp; Medieval Understanding </w:t>
      </w:r>
    </w:p>
    <w:p w14:paraId="554E68DE" w14:textId="75F9629B" w:rsidR="007E5B4B" w:rsidRDefault="007E5B4B">
      <w:pPr>
        <w:pStyle w:val="p1"/>
      </w:pPr>
      <w:r>
        <w:rPr>
          <w:rStyle w:val="s1"/>
        </w:rPr>
        <w:t>Hippocrates (5th century BCE): Melancholia caused by an excess of black bile — part of the four humours theory.</w:t>
      </w:r>
    </w:p>
    <w:p w14:paraId="3C19F33A" w14:textId="2AE278DF" w:rsidR="007E5B4B" w:rsidRDefault="007E5B4B">
      <w:pPr>
        <w:pStyle w:val="p1"/>
      </w:pPr>
      <w:r>
        <w:rPr>
          <w:rStyle w:val="s1"/>
        </w:rPr>
        <w:t>Treatments: balancing humours through diet, exercise, and purging.</w:t>
      </w:r>
    </w:p>
    <w:p w14:paraId="485A1F6E" w14:textId="6466D39C" w:rsidR="007E5B4B" w:rsidRDefault="007E5B4B">
      <w:pPr>
        <w:pStyle w:val="p1"/>
      </w:pPr>
      <w:r>
        <w:rPr>
          <w:rStyle w:val="s1"/>
        </w:rPr>
        <w:t>Melancholia linked with temperament — creative yet sorrowful (e.g. Aristotle’s view of melancholic genius).</w:t>
      </w:r>
      <w:r>
        <w:rPr>
          <w:rStyle w:val="apple-tab-span"/>
          <w:rFonts w:ascii=".SFUI-Regular" w:hAnsi=".SFUI-Regular"/>
        </w:rPr>
        <w:tab/>
      </w:r>
      <w:r>
        <w:rPr>
          <w:rStyle w:val="s1"/>
        </w:rPr>
        <w:t>Medieval period: religious and moral explanations — viewed as sin, demonic possession, or moral weakness.</w:t>
      </w:r>
    </w:p>
    <w:p w14:paraId="453BECDE" w14:textId="3B56F6E0" w:rsidR="00F80934" w:rsidRDefault="007E5B4B" w:rsidP="00F80934">
      <w:pPr>
        <w:pStyle w:val="p1"/>
      </w:pPr>
      <w:r>
        <w:rPr>
          <w:rStyle w:val="s1"/>
        </w:rPr>
        <w:t>Treatments: prayer, exorcism, confinement in monasteries or asylums.</w:t>
      </w:r>
    </w:p>
    <w:p w14:paraId="007890D4" w14:textId="685703E8" w:rsidR="007E5B4B" w:rsidRDefault="007E5B4B">
      <w:pPr>
        <w:pStyle w:val="p1"/>
      </w:pPr>
      <w:r>
        <w:rPr>
          <w:rStyle w:val="s1"/>
        </w:rPr>
        <w:t xml:space="preserve">Renaissance to Enlightenment </w:t>
      </w:r>
    </w:p>
    <w:p w14:paraId="2C58B4B6" w14:textId="4C40CA2F" w:rsidR="007E5B4B" w:rsidRDefault="007E5B4B">
      <w:pPr>
        <w:pStyle w:val="p1"/>
      </w:pPr>
      <w:r>
        <w:rPr>
          <w:rStyle w:val="s1"/>
        </w:rPr>
        <w:t>Shift toward rationalism and early medicalisation.</w:t>
      </w:r>
    </w:p>
    <w:p w14:paraId="62197D96" w14:textId="42F2345B" w:rsidR="007E5B4B" w:rsidRDefault="007E5B4B">
      <w:pPr>
        <w:pStyle w:val="p1"/>
      </w:pPr>
      <w:r>
        <w:rPr>
          <w:rStyle w:val="s1"/>
        </w:rPr>
        <w:t>Thinkers like Robert Burton (1621, The Anatomy of Melancholy) explored psychological causes such as love, idleness, and fear.</w:t>
      </w:r>
    </w:p>
    <w:p w14:paraId="7596844D" w14:textId="2108688C" w:rsidR="007E5B4B" w:rsidRDefault="007E5B4B" w:rsidP="00B87A9B">
      <w:pPr>
        <w:pStyle w:val="p1"/>
      </w:pPr>
      <w:r>
        <w:rPr>
          <w:rStyle w:val="s1"/>
        </w:rPr>
        <w:t>Early asylums formed — mixed moral and medical care</w:t>
      </w:r>
      <w:r>
        <w:rPr>
          <w:rStyle w:val="apple-tab-span"/>
          <w:rFonts w:ascii=".SFUI-Regular" w:hAnsi=".SFUI-Regular"/>
        </w:rPr>
        <w:tab/>
      </w:r>
      <w:r>
        <w:rPr>
          <w:rStyle w:val="s1"/>
        </w:rPr>
        <w:t>Enlightenment brought focus on reason, observation, and humanism — leading to more humane treatment (e.g. Philippe Pinel unchaining asylum patients)</w:t>
      </w:r>
      <w:r w:rsidR="00B87A9B">
        <w:rPr>
          <w:rStyle w:val="s1"/>
        </w:rPr>
        <w:t>.</w:t>
      </w:r>
    </w:p>
    <w:p w14:paraId="2A5E666D" w14:textId="4FF0A1E4" w:rsidR="007E5B4B" w:rsidRDefault="007E5B4B">
      <w:pPr>
        <w:pStyle w:val="p1"/>
      </w:pPr>
      <w:r>
        <w:rPr>
          <w:rStyle w:val="s1"/>
        </w:rPr>
        <w:t xml:space="preserve">19th &amp; Early 20th Century: Scientific and Psychoanalytic Approaches </w:t>
      </w:r>
    </w:p>
    <w:p w14:paraId="028C1F05" w14:textId="56A9291C" w:rsidR="007E5B4B" w:rsidRDefault="007E5B4B">
      <w:pPr>
        <w:pStyle w:val="p1"/>
      </w:pPr>
      <w:r>
        <w:rPr>
          <w:rStyle w:val="s1"/>
        </w:rPr>
        <w:t>Psychiatry emerges as a discipline — melancholia classified as a mental illness.</w:t>
      </w:r>
    </w:p>
    <w:p w14:paraId="548EB7DD" w14:textId="491E8217" w:rsidR="007E5B4B" w:rsidRDefault="007E5B4B">
      <w:pPr>
        <w:pStyle w:val="p1"/>
      </w:pPr>
      <w:r>
        <w:rPr>
          <w:rStyle w:val="s1"/>
        </w:rPr>
        <w:t>Emil Kraepelin distinguished manic-depressive illness (now bipolar disorder) from schizophrenia.</w:t>
      </w:r>
    </w:p>
    <w:p w14:paraId="02308A35" w14:textId="2D5AB334" w:rsidR="007E5B4B" w:rsidRDefault="007E5B4B">
      <w:pPr>
        <w:pStyle w:val="p1"/>
      </w:pPr>
      <w:r>
        <w:rPr>
          <w:rStyle w:val="s1"/>
        </w:rPr>
        <w:t>Sigmund Freud (1917, Mourning and Melancholia): saw melancholia as internalised loss and self-directed anger — laying groundwork for psychodynamic therapy.</w:t>
      </w:r>
    </w:p>
    <w:p w14:paraId="1B32D378" w14:textId="1A5E8CA5" w:rsidR="007E5B4B" w:rsidRDefault="007E5B4B">
      <w:pPr>
        <w:pStyle w:val="p1"/>
      </w:pPr>
      <w:r>
        <w:rPr>
          <w:rStyle w:val="apple-tab-span"/>
          <w:rFonts w:ascii=".SFUI-Regular" w:hAnsi=".SFUI-Regular"/>
        </w:rPr>
        <w:tab/>
      </w:r>
      <w:r>
        <w:rPr>
          <w:rStyle w:val="s1"/>
        </w:rPr>
        <w:t>Treatments included rest cures, electrotherapy, and early talk therapy.</w:t>
      </w:r>
    </w:p>
    <w:p w14:paraId="07E76FA0" w14:textId="07310FCD" w:rsidR="007E5B4B" w:rsidRDefault="007E5B4B">
      <w:pPr>
        <w:pStyle w:val="p1"/>
      </w:pPr>
      <w:r>
        <w:rPr>
          <w:rStyle w:val="apple-tab-span"/>
          <w:rFonts w:ascii=".SFUI-Regular" w:hAnsi=".SFUI-Regular"/>
        </w:rPr>
        <w:tab/>
      </w:r>
      <w:r>
        <w:rPr>
          <w:rStyle w:val="s1"/>
        </w:rPr>
        <w:t>Continued stigma — institutionalisation common.</w:t>
      </w:r>
    </w:p>
    <w:p w14:paraId="54B20D1D" w14:textId="77777777" w:rsidR="007E5B4B" w:rsidRDefault="007E5B4B">
      <w:pPr>
        <w:pStyle w:val="p2"/>
      </w:pPr>
    </w:p>
    <w:p w14:paraId="4DADF005" w14:textId="75F53F90" w:rsidR="007E5B4B" w:rsidRDefault="007E5B4B">
      <w:pPr>
        <w:pStyle w:val="p1"/>
      </w:pPr>
      <w:r>
        <w:rPr>
          <w:rStyle w:val="s1"/>
        </w:rPr>
        <w:t xml:space="preserve"> Mid to Late 20th Century: Biological and Pharmacological Revolution </w:t>
      </w:r>
    </w:p>
    <w:p w14:paraId="6BD5E078" w14:textId="09B2434C" w:rsidR="007E5B4B" w:rsidRDefault="007E5B4B">
      <w:pPr>
        <w:pStyle w:val="p1"/>
      </w:pPr>
      <w:r>
        <w:rPr>
          <w:rStyle w:val="s1"/>
        </w:rPr>
        <w:lastRenderedPageBreak/>
        <w:t xml:space="preserve">Discovery of antidepressants (MAOIs and tricyclics in 1950s) marked a major turning </w:t>
      </w:r>
      <w:r w:rsidR="00E67BC9">
        <w:rPr>
          <w:rStyle w:val="s1"/>
        </w:rPr>
        <w:t>point. Depression</w:t>
      </w:r>
      <w:r>
        <w:rPr>
          <w:rStyle w:val="s1"/>
        </w:rPr>
        <w:t xml:space="preserve"> reframed as a biochemical imbalance — focus on neurotransmitters like serotonin.</w:t>
      </w:r>
    </w:p>
    <w:p w14:paraId="3BF940F3" w14:textId="503FECD2" w:rsidR="007E5B4B" w:rsidRDefault="007E5B4B">
      <w:pPr>
        <w:pStyle w:val="p1"/>
      </w:pPr>
      <w:r>
        <w:rPr>
          <w:rStyle w:val="s1"/>
        </w:rPr>
        <w:t>Development of ECT (electroconvulsive therapy) and later SSRIs (e.g., Prozac in the 1980s)</w:t>
      </w:r>
      <w:r>
        <w:rPr>
          <w:rStyle w:val="apple-tab-span"/>
          <w:rFonts w:ascii=".SFUI-Regular" w:hAnsi=".SFUI-Regular"/>
        </w:rPr>
        <w:tab/>
      </w:r>
      <w:r>
        <w:rPr>
          <w:rStyle w:val="s1"/>
        </w:rPr>
        <w:t>Growth of diagnostic systems such as DSM-III (1980) defining “major depressive disorder.”</w:t>
      </w:r>
    </w:p>
    <w:p w14:paraId="643D9114" w14:textId="78B72FC9" w:rsidR="007E5B4B" w:rsidRDefault="007E5B4B">
      <w:pPr>
        <w:pStyle w:val="p1"/>
      </w:pPr>
      <w:r>
        <w:rPr>
          <w:rStyle w:val="apple-tab-span"/>
          <w:rFonts w:ascii=".SFUI-Regular" w:hAnsi=".SFUI-Regular"/>
        </w:rPr>
        <w:tab/>
      </w:r>
      <w:r>
        <w:rPr>
          <w:rStyle w:val="s1"/>
        </w:rPr>
        <w:t>Criticisms: over-reliance on medication, neglect of social and psychological roots.</w:t>
      </w:r>
    </w:p>
    <w:p w14:paraId="22A2FD84" w14:textId="51BC25AA" w:rsidR="007E5B4B" w:rsidRDefault="007E5B4B">
      <w:pPr>
        <w:pStyle w:val="p1"/>
      </w:pPr>
      <w:r>
        <w:rPr>
          <w:rStyle w:val="s1"/>
        </w:rPr>
        <w:t xml:space="preserve">. 21st Century: </w:t>
      </w:r>
      <w:proofErr w:type="spellStart"/>
      <w:r>
        <w:rPr>
          <w:rStyle w:val="s1"/>
        </w:rPr>
        <w:t>Biopsychosocial</w:t>
      </w:r>
      <w:proofErr w:type="spellEnd"/>
      <w:r>
        <w:rPr>
          <w:rStyle w:val="s1"/>
        </w:rPr>
        <w:t xml:space="preserve"> and Holistic Models </w:t>
      </w:r>
    </w:p>
    <w:p w14:paraId="61E47343" w14:textId="4ABD67D4" w:rsidR="007E5B4B" w:rsidRDefault="007E5B4B">
      <w:pPr>
        <w:pStyle w:val="p1"/>
      </w:pPr>
      <w:r>
        <w:rPr>
          <w:rStyle w:val="s1"/>
        </w:rPr>
        <w:t>Modern understanding integrates biological, psychological, and social factors (Engel, 1977).</w:t>
      </w:r>
    </w:p>
    <w:p w14:paraId="1426C807" w14:textId="20F756AB" w:rsidR="007E5B4B" w:rsidRDefault="007E5B4B">
      <w:pPr>
        <w:pStyle w:val="p1"/>
      </w:pPr>
      <w:r>
        <w:rPr>
          <w:rStyle w:val="s1"/>
        </w:rPr>
        <w:t>Treatments: CBT, mindfulness-based therapies, and trauma-informed care.</w:t>
      </w:r>
    </w:p>
    <w:p w14:paraId="2ED48398" w14:textId="62955BB6" w:rsidR="007E5B4B" w:rsidRDefault="007E5B4B">
      <w:pPr>
        <w:pStyle w:val="p1"/>
      </w:pPr>
      <w:r>
        <w:rPr>
          <w:rStyle w:val="s1"/>
        </w:rPr>
        <w:t>Renewed interest in lifestyle medicine, nutrition, and psychedelic-assisted therapy (e.g. psilocybin research for treatment-resistant depression).</w:t>
      </w:r>
    </w:p>
    <w:p w14:paraId="29C929E6" w14:textId="67744AFC" w:rsidR="007E5B4B" w:rsidRDefault="007E5B4B">
      <w:pPr>
        <w:pStyle w:val="p1"/>
      </w:pPr>
      <w:r>
        <w:rPr>
          <w:rStyle w:val="s1"/>
        </w:rPr>
        <w:t>Recognition of individual differences, neurodiversity, and cultural context.</w:t>
      </w:r>
    </w:p>
    <w:p w14:paraId="25592191" w14:textId="52548A7F" w:rsidR="007E5B4B" w:rsidRDefault="007E5B4B">
      <w:pPr>
        <w:pStyle w:val="p1"/>
      </w:pPr>
      <w:r>
        <w:rPr>
          <w:rStyle w:val="apple-tab-span"/>
          <w:rFonts w:ascii=".SFUI-Regular" w:hAnsi=".SFUI-Regular"/>
        </w:rPr>
        <w:tab/>
      </w:r>
      <w:r>
        <w:rPr>
          <w:rStyle w:val="s1"/>
        </w:rPr>
        <w:t>Emphasis on early intervention, self-care, and reducing stigma.</w:t>
      </w:r>
    </w:p>
    <w:p w14:paraId="53ECD592" w14:textId="42B81521" w:rsidR="007E5B4B" w:rsidRDefault="00C03BC8">
      <w:pPr>
        <w:pStyle w:val="p1"/>
      </w:pPr>
      <w:r>
        <w:t xml:space="preserve"> </w:t>
      </w:r>
    </w:p>
    <w:p w14:paraId="3EC29162" w14:textId="24008D57" w:rsidR="00453165" w:rsidRDefault="00C4602F">
      <w:pPr>
        <w:pStyle w:val="p1"/>
        <w:rPr>
          <w:rStyle w:val="s1"/>
          <w:b/>
          <w:bCs/>
        </w:rPr>
      </w:pPr>
      <w:r w:rsidRPr="00453165">
        <w:rPr>
          <w:rStyle w:val="s1"/>
          <w:b/>
          <w:bCs/>
        </w:rPr>
        <w:t>Conclusion</w:t>
      </w:r>
      <w:r w:rsidR="00453165" w:rsidRPr="00453165">
        <w:rPr>
          <w:rStyle w:val="s1"/>
          <w:b/>
          <w:bCs/>
        </w:rPr>
        <w:t xml:space="preserve"> </w:t>
      </w:r>
    </w:p>
    <w:p w14:paraId="25BA2CE6" w14:textId="77777777" w:rsidR="00453165" w:rsidRPr="00453165" w:rsidRDefault="00453165">
      <w:pPr>
        <w:pStyle w:val="p1"/>
        <w:rPr>
          <w:rStyle w:val="s1"/>
          <w:b/>
          <w:bCs/>
        </w:rPr>
      </w:pPr>
    </w:p>
    <w:p w14:paraId="63ABBD2B" w14:textId="017057E8" w:rsidR="007E5B4B" w:rsidRDefault="007E5B4B">
      <w:pPr>
        <w:pStyle w:val="p1"/>
      </w:pPr>
      <w:r>
        <w:rPr>
          <w:rStyle w:val="s1"/>
        </w:rPr>
        <w:t xml:space="preserve">Summarise the evolution: from black bile to brain chemistry, from asylums to therapy </w:t>
      </w:r>
      <w:r w:rsidR="00453165">
        <w:rPr>
          <w:rStyle w:val="s1"/>
        </w:rPr>
        <w:t>rooms. Emphasise</w:t>
      </w:r>
      <w:r>
        <w:rPr>
          <w:rStyle w:val="s1"/>
        </w:rPr>
        <w:t xml:space="preserve"> that while treatments have become more humane and effective, the search for balance between medical, psychological, and social perspectives continues.</w:t>
      </w:r>
    </w:p>
    <w:p w14:paraId="4E850625" w14:textId="52D52BD6" w:rsidR="007E5B4B" w:rsidRDefault="007E5B4B">
      <w:pPr>
        <w:pStyle w:val="p1"/>
      </w:pPr>
      <w:r>
        <w:rPr>
          <w:rStyle w:val="s1"/>
        </w:rPr>
        <w:t>Conclude that understanding melancholia today requires recognising both its biological underpinnings and its human emotional depth.</w:t>
      </w:r>
    </w:p>
    <w:p w14:paraId="36799FA4" w14:textId="07C54005" w:rsidR="004809D4" w:rsidRDefault="007E5B4B" w:rsidP="000D3267">
      <w:pPr>
        <w:pStyle w:val="p1"/>
      </w:pPr>
      <w:r>
        <w:rPr>
          <w:rStyle w:val="s1"/>
        </w:rPr>
        <w:t>: The story of melancholia reflects psychology’s journey from superstition to science — and from punishment to compassion.</w:t>
      </w:r>
    </w:p>
    <w:sectPr w:rsidR="004809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F1629"/>
    <w:multiLevelType w:val="hybridMultilevel"/>
    <w:tmpl w:val="FA1EE7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927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9D4"/>
    <w:rsid w:val="00034DBA"/>
    <w:rsid w:val="000D3267"/>
    <w:rsid w:val="000E6C4A"/>
    <w:rsid w:val="00422754"/>
    <w:rsid w:val="00453165"/>
    <w:rsid w:val="004809D4"/>
    <w:rsid w:val="00522B69"/>
    <w:rsid w:val="00525DBD"/>
    <w:rsid w:val="0053716E"/>
    <w:rsid w:val="005416BD"/>
    <w:rsid w:val="00555433"/>
    <w:rsid w:val="006F6539"/>
    <w:rsid w:val="007E5B4B"/>
    <w:rsid w:val="00866B3E"/>
    <w:rsid w:val="00945595"/>
    <w:rsid w:val="00AF4373"/>
    <w:rsid w:val="00B87A9B"/>
    <w:rsid w:val="00C03BC8"/>
    <w:rsid w:val="00C4602F"/>
    <w:rsid w:val="00CC60D0"/>
    <w:rsid w:val="00E67BC9"/>
    <w:rsid w:val="00F80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85EF7E"/>
  <w15:chartTrackingRefBased/>
  <w15:docId w15:val="{47492845-1E1E-2B4B-BFF0-52CAE156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9D4"/>
    <w:rPr>
      <w:rFonts w:eastAsiaTheme="majorEastAsia" w:cstheme="majorBidi"/>
      <w:color w:val="272727" w:themeColor="text1" w:themeTint="D8"/>
    </w:rPr>
  </w:style>
  <w:style w:type="paragraph" w:styleId="Title">
    <w:name w:val="Title"/>
    <w:basedOn w:val="Normal"/>
    <w:next w:val="Normal"/>
    <w:link w:val="TitleChar"/>
    <w:uiPriority w:val="10"/>
    <w:qFormat/>
    <w:rsid w:val="00480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9D4"/>
    <w:pPr>
      <w:spacing w:before="160"/>
      <w:jc w:val="center"/>
    </w:pPr>
    <w:rPr>
      <w:i/>
      <w:iCs/>
      <w:color w:val="404040" w:themeColor="text1" w:themeTint="BF"/>
    </w:rPr>
  </w:style>
  <w:style w:type="character" w:customStyle="1" w:styleId="QuoteChar">
    <w:name w:val="Quote Char"/>
    <w:basedOn w:val="DefaultParagraphFont"/>
    <w:link w:val="Quote"/>
    <w:uiPriority w:val="29"/>
    <w:rsid w:val="004809D4"/>
    <w:rPr>
      <w:i/>
      <w:iCs/>
      <w:color w:val="404040" w:themeColor="text1" w:themeTint="BF"/>
    </w:rPr>
  </w:style>
  <w:style w:type="paragraph" w:styleId="ListParagraph">
    <w:name w:val="List Paragraph"/>
    <w:basedOn w:val="Normal"/>
    <w:uiPriority w:val="34"/>
    <w:qFormat/>
    <w:rsid w:val="004809D4"/>
    <w:pPr>
      <w:ind w:left="720"/>
      <w:contextualSpacing/>
    </w:pPr>
  </w:style>
  <w:style w:type="character" w:styleId="IntenseEmphasis">
    <w:name w:val="Intense Emphasis"/>
    <w:basedOn w:val="DefaultParagraphFont"/>
    <w:uiPriority w:val="21"/>
    <w:qFormat/>
    <w:rsid w:val="004809D4"/>
    <w:rPr>
      <w:i/>
      <w:iCs/>
      <w:color w:val="0F4761" w:themeColor="accent1" w:themeShade="BF"/>
    </w:rPr>
  </w:style>
  <w:style w:type="paragraph" w:styleId="IntenseQuote">
    <w:name w:val="Intense Quote"/>
    <w:basedOn w:val="Normal"/>
    <w:next w:val="Normal"/>
    <w:link w:val="IntenseQuoteChar"/>
    <w:uiPriority w:val="30"/>
    <w:qFormat/>
    <w:rsid w:val="00480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9D4"/>
    <w:rPr>
      <w:i/>
      <w:iCs/>
      <w:color w:val="0F4761" w:themeColor="accent1" w:themeShade="BF"/>
    </w:rPr>
  </w:style>
  <w:style w:type="character" w:styleId="IntenseReference">
    <w:name w:val="Intense Reference"/>
    <w:basedOn w:val="DefaultParagraphFont"/>
    <w:uiPriority w:val="32"/>
    <w:qFormat/>
    <w:rsid w:val="004809D4"/>
    <w:rPr>
      <w:b/>
      <w:bCs/>
      <w:smallCaps/>
      <w:color w:val="0F4761" w:themeColor="accent1" w:themeShade="BF"/>
      <w:spacing w:val="5"/>
    </w:rPr>
  </w:style>
  <w:style w:type="paragraph" w:customStyle="1" w:styleId="p1">
    <w:name w:val="p1"/>
    <w:basedOn w:val="Normal"/>
    <w:rsid w:val="006F6539"/>
    <w:pPr>
      <w:spacing w:after="0" w:line="240" w:lineRule="auto"/>
    </w:pPr>
    <w:rPr>
      <w:rFonts w:ascii=".SF UI" w:hAnsi=".SF UI" w:cs="Times New Roman"/>
      <w:kern w:val="0"/>
      <w:sz w:val="26"/>
      <w:szCs w:val="26"/>
      <w14:ligatures w14:val="none"/>
    </w:rPr>
  </w:style>
  <w:style w:type="paragraph" w:customStyle="1" w:styleId="p2">
    <w:name w:val="p2"/>
    <w:basedOn w:val="Normal"/>
    <w:rsid w:val="006F6539"/>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6F6539"/>
    <w:rPr>
      <w:rFonts w:ascii=".SFUI-Regular" w:hAnsi=".SFUI-Regular" w:hint="default"/>
      <w:b w:val="0"/>
      <w:bCs w:val="0"/>
      <w:i w:val="0"/>
      <w:iCs w:val="0"/>
      <w:sz w:val="26"/>
      <w:szCs w:val="26"/>
    </w:rPr>
  </w:style>
  <w:style w:type="character" w:customStyle="1" w:styleId="apple-tab-span">
    <w:name w:val="apple-tab-span"/>
    <w:basedOn w:val="DefaultParagraphFont"/>
    <w:rsid w:val="007E5B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1540</Words>
  <Characters>8782</Characters>
  <Application>Microsoft Office Word</Application>
  <DocSecurity>0</DocSecurity>
  <Lines>73</Lines>
  <Paragraphs>20</Paragraphs>
  <ScaleCrop>false</ScaleCrop>
  <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colton bruton</dc:creator>
  <cp:keywords/>
  <dc:description/>
  <cp:lastModifiedBy>colton bruton</cp:lastModifiedBy>
  <cp:revision>2</cp:revision>
  <dcterms:created xsi:type="dcterms:W3CDTF">2025-11-03T12:18:00Z</dcterms:created>
  <dcterms:modified xsi:type="dcterms:W3CDTF">2025-11-03T12:18:00Z</dcterms:modified>
</cp:coreProperties>
</file>