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E70785" w14:textId="77777777" w:rsidR="00170360" w:rsidRDefault="00170360" w:rsidP="00170360">
      <w:pPr>
        <w:pStyle w:val="1"/>
        <w:spacing w:line="276" w:lineRule="auto"/>
      </w:pPr>
      <w:bookmarkStart w:id="0" w:name="_Toc122467187"/>
      <w:r>
        <w:t>Part 1 Three perspectives</w:t>
      </w:r>
      <w:bookmarkEnd w:id="0"/>
    </w:p>
    <w:p w14:paraId="4D1841D9" w14:textId="77777777" w:rsidR="00170360" w:rsidRPr="00026B1F" w:rsidRDefault="00170360" w:rsidP="00170360">
      <w:pPr>
        <w:spacing w:line="276" w:lineRule="auto"/>
      </w:pPr>
    </w:p>
    <w:p w14:paraId="36A2F514" w14:textId="77777777" w:rsidR="00170360" w:rsidRDefault="00170360" w:rsidP="00170360">
      <w:pPr>
        <w:pStyle w:val="2"/>
        <w:numPr>
          <w:ilvl w:val="1"/>
          <w:numId w:val="1"/>
        </w:numPr>
        <w:spacing w:line="276" w:lineRule="auto"/>
      </w:pPr>
      <w:bookmarkStart w:id="1" w:name="_Toc121235601"/>
      <w:bookmarkStart w:id="2" w:name="_Toc122467188"/>
      <w:r>
        <w:t>Background</w:t>
      </w:r>
      <w:bookmarkEnd w:id="1"/>
      <w:bookmarkEnd w:id="2"/>
    </w:p>
    <w:p w14:paraId="24A0D28A" w14:textId="77777777" w:rsidR="00170360" w:rsidRPr="00026B1F" w:rsidRDefault="00170360" w:rsidP="00170360">
      <w:pPr>
        <w:spacing w:line="276" w:lineRule="auto"/>
      </w:pPr>
    </w:p>
    <w:p w14:paraId="48B9BC8B" w14:textId="77777777" w:rsidR="00170360" w:rsidRDefault="00170360" w:rsidP="00170360">
      <w:pPr>
        <w:spacing w:line="276" w:lineRule="auto"/>
        <w:jc w:val="left"/>
      </w:pPr>
      <w:r>
        <w:t xml:space="preserve">How China’s economy increased rapidly in recent decades has become a hot topic for scholars and researchers. The thesis and reports are being published to discuss China’s agricultural industries and heavy industries. However, not so many looked deeply into China’s banking industry. China’s banking has just about become a hot topic in various social science fields besides just within finance and accounting aspects. </w:t>
      </w:r>
      <w:r w:rsidRPr="00743264">
        <w:t xml:space="preserve">Kim &amp; Mauborgne (2009) expresses </w:t>
      </w:r>
      <w:r>
        <w:t xml:space="preserve">that </w:t>
      </w:r>
      <w:r w:rsidRPr="00743264">
        <w:t>different strategy shapes different structures of enterprises, not vice versa.</w:t>
      </w:r>
      <w:r w:rsidRPr="00743264">
        <w:rPr>
          <w:rFonts w:ascii="Times New Roman" w:hAnsi="Times New Roman" w:cs="Times New Roman"/>
        </w:rPr>
        <w:t xml:space="preserve"> </w:t>
      </w:r>
      <w:r>
        <w:t>Furthermore, the</w:t>
      </w:r>
      <w:r w:rsidRPr="00743264">
        <w:t xml:space="preserve"> management strategies create a </w:t>
      </w:r>
      <w:r>
        <w:t>company’s</w:t>
      </w:r>
      <w:r w:rsidRPr="00743264">
        <w:t xml:space="preserve"> even industry’s </w:t>
      </w:r>
      <w:r>
        <w:t>cultural context,</w:t>
      </w:r>
      <w:r w:rsidRPr="00743264">
        <w:t xml:space="preserve"> which could bring competitive advantages in one period and become weaknesses in another.</w:t>
      </w:r>
      <w:r>
        <w:t xml:space="preserve"> Management theories and perspectives could also be applied to illustrate and explain China’s banking industry.  </w:t>
      </w:r>
    </w:p>
    <w:p w14:paraId="1882F41E" w14:textId="77777777" w:rsidR="00170360" w:rsidRDefault="00170360" w:rsidP="00170360">
      <w:pPr>
        <w:spacing w:line="276" w:lineRule="auto"/>
        <w:jc w:val="left"/>
      </w:pPr>
    </w:p>
    <w:p w14:paraId="72DBF1A5" w14:textId="77777777" w:rsidR="00170360" w:rsidRDefault="00170360" w:rsidP="00170360">
      <w:pPr>
        <w:spacing w:line="276" w:lineRule="auto"/>
        <w:jc w:val="left"/>
      </w:pPr>
      <w:r>
        <w:t xml:space="preserve">In this part, I choose three management perspectives to discuss: the 80/20 rule (also known as the Pareto principle), the </w:t>
      </w:r>
      <w:proofErr w:type="gramStart"/>
      <w:r>
        <w:t>Blue</w:t>
      </w:r>
      <w:proofErr w:type="gramEnd"/>
      <w:r>
        <w:t xml:space="preserve"> ocean strategy and the Long tail effect. These three separate but linked perspectives could be used to analyse China’s banking industry in the following parts. Firstly, I would critically discuss those three perspectives separately, and then I will try to show the links between them from my point of view.</w:t>
      </w:r>
    </w:p>
    <w:p w14:paraId="7AD24378" w14:textId="77777777" w:rsidR="00170360" w:rsidRDefault="00170360" w:rsidP="00170360">
      <w:pPr>
        <w:spacing w:line="276" w:lineRule="auto"/>
        <w:jc w:val="left"/>
      </w:pPr>
    </w:p>
    <w:p w14:paraId="6F734E99" w14:textId="77777777" w:rsidR="00170360" w:rsidRDefault="00170360" w:rsidP="00170360">
      <w:pPr>
        <w:pStyle w:val="2"/>
        <w:spacing w:line="276" w:lineRule="auto"/>
      </w:pPr>
      <w:bookmarkStart w:id="3" w:name="_Toc121235602"/>
      <w:bookmarkStart w:id="4" w:name="_Toc122467189"/>
      <w:r>
        <w:t>1.2 The Pareto Principle</w:t>
      </w:r>
      <w:bookmarkEnd w:id="3"/>
      <w:bookmarkEnd w:id="4"/>
      <w:r>
        <w:t xml:space="preserve"> </w:t>
      </w:r>
    </w:p>
    <w:p w14:paraId="359B3519" w14:textId="77777777" w:rsidR="00170360" w:rsidRDefault="00170360" w:rsidP="00170360">
      <w:pPr>
        <w:spacing w:line="276" w:lineRule="auto"/>
        <w:jc w:val="left"/>
      </w:pPr>
    </w:p>
    <w:p w14:paraId="1E50E11E" w14:textId="77777777" w:rsidR="00170360" w:rsidRDefault="00170360" w:rsidP="00170360">
      <w:pPr>
        <w:spacing w:line="276" w:lineRule="auto"/>
        <w:jc w:val="left"/>
      </w:pPr>
      <w:r w:rsidRPr="008830C5">
        <w:t>Vilfredo Pareto first presented the 80/20 rule or the Pareto principle</w:t>
      </w:r>
      <w:r>
        <w:t xml:space="preserve"> to show the conclusion of a wealth distribution study in the late 19</w:t>
      </w:r>
      <w:r w:rsidRPr="005D2CB2">
        <w:rPr>
          <w:vertAlign w:val="superscript"/>
        </w:rPr>
        <w:t>th</w:t>
      </w:r>
      <w:r>
        <w:t xml:space="preserve"> century in Italy. He found that 20 per cent of individuals owned 80 per cent of land in Italy at that time. Joseph M </w:t>
      </w:r>
      <w:proofErr w:type="spellStart"/>
      <w:r>
        <w:t>Juran</w:t>
      </w:r>
      <w:proofErr w:type="spellEnd"/>
      <w:r>
        <w:t>, a social scientist, first used this concept in management in the mid-20</w:t>
      </w:r>
      <w:r w:rsidRPr="003965AA">
        <w:rPr>
          <w:vertAlign w:val="superscript"/>
        </w:rPr>
        <w:t>th</w:t>
      </w:r>
      <w:r>
        <w:t xml:space="preserve"> century. Koch (2010) explicitly expresses the 80/20 rule as a management theory and strategy in his book ‘The 80/20 principle: the secret of achieving more with less.’ The core meaning of the 80/20 rule in management could express as an enterprise should focus on the 20 per cent minority market, which creates 80 per cent majority profits. Companies need to cut costs and try to make products more standardised to gain advantages in market competition. The goal of a business is to become the leader or navigator of a particular market and provide standardised products to mass consumers.</w:t>
      </w:r>
    </w:p>
    <w:p w14:paraId="1FD8F7FE" w14:textId="77777777" w:rsidR="00170360" w:rsidRDefault="00170360" w:rsidP="00170360">
      <w:pPr>
        <w:spacing w:line="276" w:lineRule="auto"/>
        <w:jc w:val="left"/>
      </w:pPr>
    </w:p>
    <w:p w14:paraId="61AE98AC" w14:textId="77777777" w:rsidR="00170360" w:rsidRDefault="00170360" w:rsidP="00170360">
      <w:pPr>
        <w:spacing w:line="276" w:lineRule="auto"/>
        <w:jc w:val="left"/>
      </w:pPr>
      <w:r>
        <w:lastRenderedPageBreak/>
        <w:t xml:space="preserve">If we think further, we find out that the 80/20 rule followers are making promotion decision stand on a fundamental belief.  The belief is that the resources in the economy are not abundant but scarce. Of course, ‘resources are scarce while people’s desires are unlimited’ is one of the assumptions microeconomics builds on. However, if we stand in the enterprise position as management researchers, we could know that decisions made by the 80/20 rule followers stand in the supply perspective. The belief is that demand is always in the market, and the only question for the company to solve is to find solutions to feed that demand. If our products failed to reach potential demand, other competitors would do so. </w:t>
      </w:r>
      <w:r w:rsidRPr="00D5665A">
        <w:t xml:space="preserve">We </w:t>
      </w:r>
      <w:r>
        <w:t>will</w:t>
      </w:r>
      <w:r w:rsidRPr="00D5665A">
        <w:t xml:space="preserve"> lose market share if we </w:t>
      </w:r>
      <w:r>
        <w:t>do not</w:t>
      </w:r>
      <w:r w:rsidRPr="00D5665A">
        <w:t xml:space="preserve"> put enormous capital into market promotion directly to our customers</w:t>
      </w:r>
      <w:r>
        <w:t xml:space="preserve">. However, we as an enterprise could gain more and more customers to increase the market share constantly; we can reduce the manufacturing cost due to economy of scale, and then we could make more standardised products to lower the cost because the demand is there. The goal for us is to increase our market share all the time. </w:t>
      </w:r>
    </w:p>
    <w:p w14:paraId="0223F0AE" w14:textId="77777777" w:rsidR="00170360" w:rsidRDefault="00170360" w:rsidP="00170360">
      <w:pPr>
        <w:spacing w:line="276" w:lineRule="auto"/>
        <w:jc w:val="left"/>
      </w:pPr>
    </w:p>
    <w:p w14:paraId="37D4EFCB" w14:textId="77777777" w:rsidR="00170360" w:rsidRDefault="00170360" w:rsidP="00170360">
      <w:pPr>
        <w:spacing w:line="276" w:lineRule="auto"/>
        <w:jc w:val="left"/>
      </w:pPr>
      <w:r>
        <w:t xml:space="preserve">The most significant deficiency of the 80/20 rule is the presumption of unlimited demand in standing in the supply position. Should we create supply to meet the enormous demand in the modern economy?  It is </w:t>
      </w:r>
      <w:r w:rsidRPr="00D5665A">
        <w:t xml:space="preserve">against our living experiences to believe </w:t>
      </w:r>
      <w:r>
        <w:t xml:space="preserve">in the free and open market. We are not short of supply ability in the most products market. International trade provides a vast range of products from overseas at low cost for the potential customer since Ricardo (1821) presented the comparative advantage could increase the supply significantly. The 80/20 rule or the Pareto principle is closer to reality or a phenomenon rather than a solid management theory. </w:t>
      </w:r>
      <w:proofErr w:type="spellStart"/>
      <w:proofErr w:type="gramStart"/>
      <w:r w:rsidRPr="001772EE">
        <w:t>Krasteva</w:t>
      </w:r>
      <w:proofErr w:type="spellEnd"/>
      <w:r w:rsidRPr="001772EE">
        <w:t>,  Sharma</w:t>
      </w:r>
      <w:proofErr w:type="gramEnd"/>
      <w:r w:rsidRPr="001772EE">
        <w:t xml:space="preserve"> and </w:t>
      </w:r>
      <w:proofErr w:type="spellStart"/>
      <w:r w:rsidRPr="001772EE">
        <w:t>Wagman</w:t>
      </w:r>
      <w:proofErr w:type="spellEnd"/>
      <w:r w:rsidRPr="001772EE">
        <w:t xml:space="preserve"> </w:t>
      </w:r>
      <w:r>
        <w:t>(</w:t>
      </w:r>
      <w:r w:rsidRPr="001772EE">
        <w:t>2015)</w:t>
      </w:r>
      <w:r>
        <w:t xml:space="preserve"> conclude that the 80/20 rule is subject to how much negotiating power the corporate holds, and that is one key factor for applying the 80/20 rule into practice. </w:t>
      </w:r>
      <w:r w:rsidRPr="001772EE">
        <w:t xml:space="preserve">Mahtani </w:t>
      </w:r>
      <w:r>
        <w:rPr>
          <w:rFonts w:hint="eastAsia"/>
        </w:rPr>
        <w:t>(</w:t>
      </w:r>
      <w:r w:rsidRPr="001772EE">
        <w:t>2020)</w:t>
      </w:r>
      <w:r>
        <w:t xml:space="preserve"> claims this rule could cause a societal welfare distribution puzzle.  This phenomenon exists in society and the economy. Most of China’s banks applied this management strategy in the early stage. Now, the central state-owned banks that operate businesses rely on this rule. However, we need other management perspectives working together to examine the banking industry in China. </w:t>
      </w:r>
    </w:p>
    <w:p w14:paraId="7F001B82" w14:textId="77777777" w:rsidR="00170360" w:rsidRDefault="00170360" w:rsidP="00170360">
      <w:pPr>
        <w:spacing w:line="276" w:lineRule="auto"/>
        <w:jc w:val="left"/>
      </w:pPr>
    </w:p>
    <w:p w14:paraId="422C3620" w14:textId="77777777" w:rsidR="00170360" w:rsidRDefault="00170360" w:rsidP="00170360">
      <w:pPr>
        <w:pStyle w:val="2"/>
        <w:spacing w:line="276" w:lineRule="auto"/>
      </w:pPr>
      <w:bookmarkStart w:id="5" w:name="_Toc121235603"/>
      <w:bookmarkStart w:id="6" w:name="_Toc122467190"/>
      <w:r>
        <w:t>1.3 The Blue Ocean Strategy</w:t>
      </w:r>
      <w:bookmarkEnd w:id="5"/>
      <w:bookmarkEnd w:id="6"/>
    </w:p>
    <w:p w14:paraId="352532AE" w14:textId="77777777" w:rsidR="00170360" w:rsidRDefault="00170360" w:rsidP="00170360">
      <w:pPr>
        <w:pStyle w:val="2"/>
        <w:spacing w:line="276" w:lineRule="auto"/>
      </w:pPr>
    </w:p>
    <w:p w14:paraId="6F161ADE" w14:textId="77777777" w:rsidR="00170360" w:rsidRDefault="00170360" w:rsidP="00170360">
      <w:pPr>
        <w:spacing w:line="276" w:lineRule="auto"/>
        <w:jc w:val="left"/>
      </w:pPr>
      <w:r>
        <w:t xml:space="preserve">The blue ocean strategy is long discussed in the management field. </w:t>
      </w:r>
      <w:r w:rsidRPr="00A840DC">
        <w:t>Kim</w:t>
      </w:r>
      <w:r>
        <w:t xml:space="preserve"> </w:t>
      </w:r>
      <w:r w:rsidRPr="00A840DC">
        <w:t xml:space="preserve">and Mauborgne </w:t>
      </w:r>
      <w:r>
        <w:t>(</w:t>
      </w:r>
      <w:r w:rsidRPr="00A840DC">
        <w:t>2005)</w:t>
      </w:r>
      <w:r>
        <w:t xml:space="preserve"> created a pair of two c</w:t>
      </w:r>
      <w:r w:rsidRPr="00C146A5">
        <w:t>ontrary</w:t>
      </w:r>
      <w:r>
        <w:t xml:space="preserve"> strategies: the red ocean strategy and the blue ocean strategy, in their book ‘Blue Ocean strategy: how to create uncontested market space and make the competition irrelevant. Red ocean strategy refers to enterprises competing in existing market space, using price reduction as a weapon in </w:t>
      </w:r>
      <w:r>
        <w:lastRenderedPageBreak/>
        <w:t xml:space="preserve">the market promotion. Increase efficiency for the company, but also increase the marketing cost and reduce the profit. </w:t>
      </w:r>
      <w:r w:rsidRPr="00A70C7D">
        <w:t xml:space="preserve">Carton, G. (2020) </w:t>
      </w:r>
      <w:r>
        <w:t xml:space="preserve">expressed a process model to show that expanding a new market with the blue ocean strategy could enlarge the business scope of returns. The key to the red ocean strategy is to defeat the other competitors, explore the existing demand deeply, and find the equilibrium between value and cost. When applying the red ocean strategy to business, the company must choose low-cost or differentiation to establish the whole conducting system.  Opposite to the red ocean strategy, the blue ocean strategy is to create or expand non-competitive new market space, think beyond the traditional competition, initiate the current market demand, and construct a new market through value innovation.  </w:t>
      </w:r>
    </w:p>
    <w:p w14:paraId="3E11B8CD" w14:textId="77777777" w:rsidR="00170360" w:rsidRDefault="00170360" w:rsidP="00170360">
      <w:pPr>
        <w:spacing w:line="276" w:lineRule="auto"/>
        <w:jc w:val="left"/>
      </w:pPr>
    </w:p>
    <w:p w14:paraId="48EB5794" w14:textId="77777777" w:rsidR="00170360" w:rsidRDefault="00170360" w:rsidP="00170360">
      <w:pPr>
        <w:spacing w:line="276" w:lineRule="auto"/>
        <w:jc w:val="left"/>
      </w:pPr>
      <w:r>
        <w:t xml:space="preserve">The blue ocean strategy provides enterprises a new way to develop by creating new markets, eliminating fierce competition, and triggering new market demand. This is a significant change in management because companies do not have to compromise between value creation and cost. In the emerging blue ocean market, businesses could </w:t>
      </w:r>
      <w:r w:rsidRPr="00D5665A">
        <w:t>simultaneously chase differentiation and low price in one operating system</w:t>
      </w:r>
      <w:r>
        <w:t>. The business logic turned from competition-adapt to the following environment to value creation-initiate demand. The enterprises change from rule takers to rule makers. Every blue ocean pioneer could enjoy emerging demand until more competitors enter the new market. When the market gathers many competitive products or service providers, it becomes a red ocean again.</w:t>
      </w:r>
    </w:p>
    <w:p w14:paraId="078BB112" w14:textId="77777777" w:rsidR="00170360" w:rsidRDefault="00170360" w:rsidP="00170360">
      <w:pPr>
        <w:spacing w:line="276" w:lineRule="auto"/>
        <w:jc w:val="left"/>
      </w:pPr>
    </w:p>
    <w:p w14:paraId="1514AD06" w14:textId="77777777" w:rsidR="00170360" w:rsidRDefault="00170360" w:rsidP="00170360">
      <w:pPr>
        <w:spacing w:line="276" w:lineRule="auto"/>
        <w:jc w:val="left"/>
      </w:pPr>
      <w:r w:rsidRPr="008830C5">
        <w:t>There are no definite conflicting concepts between the red and blue oceans</w:t>
      </w:r>
      <w:r>
        <w:t>. Kim and Mauborgne (2005) express the Starbucks case to show how some businesses create the blue ocean in the original red ocean. Starbucks created a third space other than home and office, where people could enjoy leisure work. It reallocated advertisement costs to decoration. It built the emotional link between the brand and customers. Digging into the blue ocean makes Starbucks the world’s largest coffee provider and the flagship of the coffee industry.</w:t>
      </w:r>
    </w:p>
    <w:p w14:paraId="553E7C78" w14:textId="77777777" w:rsidR="00170360" w:rsidRDefault="00170360" w:rsidP="00170360">
      <w:pPr>
        <w:spacing w:line="276" w:lineRule="auto"/>
        <w:jc w:val="left"/>
      </w:pPr>
    </w:p>
    <w:p w14:paraId="5939F7C3" w14:textId="77777777" w:rsidR="00170360" w:rsidRDefault="00170360" w:rsidP="00170360">
      <w:pPr>
        <w:spacing w:line="276" w:lineRule="auto"/>
        <w:jc w:val="left"/>
      </w:pPr>
      <w:r>
        <w:t xml:space="preserve">The blue ocean perspective is the best solution for enterprises replicating in different industries. Moreover, </w:t>
      </w:r>
      <w:r w:rsidRPr="00E82DC8">
        <w:t>both the secondary sector and service industry companies applied</w:t>
      </w:r>
      <w:r>
        <w:t xml:space="preserve"> this strategy to practice and made it successful. However, some deficiencies lie in the blue ocean strategy. How come Starbucks’ success cannot transfer to the tea industry? China has vast demand for tea products and tea-providing leisure locations. So many manufacturers and consulting agencies tried to apply Starbucks’ strategy to the tea industry in China, but all failed for years. What if Starbucks’ key to success is to IPO earlier than other competitors, which makes the brand has so much stronger funding </w:t>
      </w:r>
      <w:r>
        <w:lastRenderedPageBreak/>
        <w:t xml:space="preserve">ability to expand? </w:t>
      </w:r>
    </w:p>
    <w:p w14:paraId="1FE2CA76" w14:textId="77777777" w:rsidR="00170360" w:rsidRDefault="00170360" w:rsidP="00170360">
      <w:pPr>
        <w:spacing w:line="276" w:lineRule="auto"/>
        <w:jc w:val="left"/>
      </w:pPr>
    </w:p>
    <w:p w14:paraId="5A7DC371" w14:textId="77777777" w:rsidR="00170360" w:rsidRDefault="00170360" w:rsidP="00170360">
      <w:pPr>
        <w:spacing w:line="276" w:lineRule="auto"/>
        <w:jc w:val="left"/>
      </w:pPr>
      <w:r w:rsidRPr="00D5665A">
        <w:t>We shall look at the opposite as the blue ocean strategy stands at the demand position</w:t>
      </w:r>
      <w:r>
        <w:t>. If new technology was launched</w:t>
      </w:r>
      <w:r w:rsidRPr="008830C5">
        <w:t xml:space="preserve"> and innovations were created, the supply of products would be more attractive, and a new demand would</w:t>
      </w:r>
      <w:r>
        <w:t xml:space="preserve"> emerge. In this point of view, the blue ocean strategy would not apply to actual business alone; technology upgrades and innovation would accompany the blue ocean strategy. </w:t>
      </w:r>
      <w:r w:rsidRPr="00DC5D89">
        <w:t>Comstock</w:t>
      </w:r>
      <w:r>
        <w:t xml:space="preserve"> </w:t>
      </w:r>
      <w:r w:rsidRPr="00DC5D89">
        <w:t xml:space="preserve">and </w:t>
      </w:r>
      <w:proofErr w:type="spellStart"/>
      <w:r w:rsidRPr="00DC5D89">
        <w:t>Sjolseth</w:t>
      </w:r>
      <w:proofErr w:type="spellEnd"/>
      <w:r>
        <w:t xml:space="preserve"> </w:t>
      </w:r>
      <w:r w:rsidRPr="00DC5D89">
        <w:t>(1999)</w:t>
      </w:r>
      <w:r>
        <w:t xml:space="preserve"> expressed that using the right technology and applying the right strategy is the core of every successful business. </w:t>
      </w:r>
      <w:r w:rsidRPr="00DC5D89">
        <w:t>Chesbrough</w:t>
      </w:r>
      <w:r>
        <w:t xml:space="preserve"> </w:t>
      </w:r>
      <w:r w:rsidRPr="00DC5D89">
        <w:t>(2010)</w:t>
      </w:r>
      <w:r>
        <w:t xml:space="preserve"> explained that innovations and new business models always come together because they rely on technology and research.  Maybe we need to be able to use the blue ocean strategy to create demand; we use it to find out demand in vast data and resources. </w:t>
      </w:r>
      <w:r w:rsidRPr="001D1F3C">
        <w:t xml:space="preserve">Porter and </w:t>
      </w:r>
      <w:proofErr w:type="spellStart"/>
      <w:r w:rsidRPr="001D1F3C">
        <w:t>Heppelmann</w:t>
      </w:r>
      <w:proofErr w:type="spellEnd"/>
      <w:r>
        <w:t xml:space="preserve"> (</w:t>
      </w:r>
      <w:r w:rsidRPr="001D1F3C">
        <w:t>2014)</w:t>
      </w:r>
      <w:r>
        <w:t xml:space="preserve"> explain that data </w:t>
      </w:r>
      <w:r w:rsidRPr="00D5665A">
        <w:t xml:space="preserve">has no comparative advantage; it needs a business strategy to explore its </w:t>
      </w:r>
      <w:r>
        <w:t>potential.</w:t>
      </w:r>
      <w:r w:rsidRPr="001D1F3C">
        <w:t xml:space="preserve"> </w:t>
      </w:r>
      <w:r>
        <w:t xml:space="preserve">Technology has become the top priority for many enterprises in various industries.  If we omit the significant role of R&amp;D in business processing, only the blue ocean strategy will not expand new demand quickly. </w:t>
      </w:r>
      <w:r w:rsidRPr="00731BFD">
        <w:t>Amjad et al. (2022)</w:t>
      </w:r>
      <w:r>
        <w:t xml:space="preserve"> wrote that intelligent use of resources, investment in research, and </w:t>
      </w:r>
      <w:r w:rsidRPr="00557D8C">
        <w:t>pursuit of sustainable development</w:t>
      </w:r>
      <w:r>
        <w:t xml:space="preserve"> are factors for enterprises to stand out from competitors.  </w:t>
      </w:r>
    </w:p>
    <w:p w14:paraId="25BFB732" w14:textId="77777777" w:rsidR="00170360" w:rsidRDefault="00170360" w:rsidP="00170360">
      <w:pPr>
        <w:spacing w:line="276" w:lineRule="auto"/>
        <w:jc w:val="left"/>
      </w:pPr>
    </w:p>
    <w:p w14:paraId="46E3B748" w14:textId="77777777" w:rsidR="00170360" w:rsidRDefault="00170360" w:rsidP="00170360">
      <w:pPr>
        <w:spacing w:line="276" w:lineRule="auto"/>
        <w:jc w:val="left"/>
      </w:pPr>
      <w:r>
        <w:t>If we could connect demand and supply aspects in corporation strategy discussion, that would be easier to apply to genuine business.</w:t>
      </w:r>
    </w:p>
    <w:p w14:paraId="28FB0EE3" w14:textId="77777777" w:rsidR="00170360" w:rsidRDefault="00170360" w:rsidP="00170360">
      <w:pPr>
        <w:spacing w:line="276" w:lineRule="auto"/>
        <w:jc w:val="left"/>
      </w:pPr>
    </w:p>
    <w:p w14:paraId="4276EA1D" w14:textId="77777777" w:rsidR="00170360" w:rsidRDefault="00170360" w:rsidP="00170360">
      <w:pPr>
        <w:pStyle w:val="2"/>
        <w:spacing w:line="276" w:lineRule="auto"/>
      </w:pPr>
      <w:bookmarkStart w:id="7" w:name="_Toc121235604"/>
      <w:bookmarkStart w:id="8" w:name="_Toc122467191"/>
      <w:r>
        <w:t>1.4 The Long Tail Theory</w:t>
      </w:r>
      <w:bookmarkEnd w:id="7"/>
      <w:bookmarkEnd w:id="8"/>
    </w:p>
    <w:p w14:paraId="67003798" w14:textId="77777777" w:rsidR="00170360" w:rsidRDefault="00170360" w:rsidP="00170360">
      <w:pPr>
        <w:spacing w:line="276" w:lineRule="auto"/>
        <w:jc w:val="left"/>
      </w:pPr>
    </w:p>
    <w:p w14:paraId="0E61B2FD" w14:textId="77777777" w:rsidR="00170360" w:rsidRDefault="00170360" w:rsidP="00170360">
      <w:pPr>
        <w:spacing w:line="276" w:lineRule="auto"/>
        <w:jc w:val="left"/>
      </w:pPr>
      <w:r>
        <w:t xml:space="preserve">The third perspective to be discussed is the </w:t>
      </w:r>
      <w:proofErr w:type="gramStart"/>
      <w:r>
        <w:t>Long</w:t>
      </w:r>
      <w:proofErr w:type="gramEnd"/>
      <w:r>
        <w:t xml:space="preserve"> tail theory or the Long tail effect. Chris Anderson presented the extended tail theory in his book ‘The long tail-how endless choice was creating unlimited demand’ in 2007. This theory connects demand and supply aspects smoothly and provides another unique business strategy for enterprises in different industries around the world. Anderson (2007) illustrates the long tail as the ‘tail’ part of statistic distribution, which means the non-popular or non-focusing products on the market in management. Anderson uses Amazon and Netflix as cases to show the business strategy. Let us use the normal statistics distribution as an example to express the definition. The central part of distribution takes most of the whole but leaves a long tail behind. When we think about our languages, there are so many characters in Chinese, but we often use only a part of them. The often-used part is the head, and the left behind could consider the tail. The long tail part of the market often defines as a 'niche market'. Kotler (2012) defines ‘the niche market’ as the small market </w:t>
      </w:r>
      <w:r>
        <w:lastRenderedPageBreak/>
        <w:t xml:space="preserve">segments which have clear boundaries but have not been explored yet. If merchants provide so many non-bestsellers, it could be a sizeable portion of the market together. These tail markets had been dismissed until recent years. </w:t>
      </w:r>
      <w:r w:rsidRPr="00DE1FFC">
        <w:t>Church and Oakley (2018)</w:t>
      </w:r>
      <w:r>
        <w:t xml:space="preserve"> expressed that small handicraft businesses on the Etsy e-commerce platform enjoyed higher prices than usual by providing personalised products. </w:t>
      </w:r>
    </w:p>
    <w:p w14:paraId="551C558C" w14:textId="77777777" w:rsidR="00170360" w:rsidRDefault="00170360" w:rsidP="00170360">
      <w:pPr>
        <w:spacing w:line="276" w:lineRule="auto"/>
        <w:jc w:val="left"/>
      </w:pPr>
    </w:p>
    <w:p w14:paraId="3B0ABA32" w14:textId="77777777" w:rsidR="00170360" w:rsidRDefault="00170360" w:rsidP="00170360">
      <w:pPr>
        <w:spacing w:line="276" w:lineRule="auto"/>
        <w:jc w:val="left"/>
      </w:pPr>
      <w:r>
        <w:t xml:space="preserve">Compared with the 80/20 rule </w:t>
      </w:r>
      <w:proofErr w:type="gramStart"/>
      <w:r>
        <w:t>based on the fact that</w:t>
      </w:r>
      <w:proofErr w:type="gramEnd"/>
      <w:r>
        <w:t xml:space="preserve"> the economy lacks sufficient resources. The long tail effect or the long tail strategy presumes we are in an abundant economy with enough resources to provide. When the long tail strategy stands on the supply side, it seeks the omitted markets by delivering personalised products or services—expanding many ‘niche markets’ together as a whole significant share. The long tail strategy never rejects the 80/20 rule; it is a new aspect to view the phenomenon and could consider as a supplement to the 80/20 rule. </w:t>
      </w:r>
    </w:p>
    <w:p w14:paraId="2595DDF1" w14:textId="77777777" w:rsidR="00170360" w:rsidRDefault="00170360" w:rsidP="00170360">
      <w:pPr>
        <w:spacing w:line="276" w:lineRule="auto"/>
        <w:jc w:val="left"/>
      </w:pPr>
    </w:p>
    <w:p w14:paraId="01702EDC" w14:textId="77777777" w:rsidR="00170360" w:rsidRDefault="00170360" w:rsidP="00170360">
      <w:pPr>
        <w:spacing w:line="276" w:lineRule="auto"/>
        <w:jc w:val="left"/>
      </w:pPr>
      <w:r>
        <w:t xml:space="preserve">Compared to the blue ocean strategy, the long tail strategy focuses on assembling the tail instead of creating a new market. Standing on the demand side, the long tail effect expresses visions by exploring the existing omitted demand by pursuing scale effects. Put the ‘niche’ together to build a large market. With the rapid development of online business, the long tail strategy is applied in various industries. One way to apply the long tail strategy is by providing vast choices to potential customers to trigger their personalised demand. Moreover, the other way is to explore the omitted likely low profitable businesses, to raise and assemble them as important businesses. </w:t>
      </w:r>
    </w:p>
    <w:p w14:paraId="47C26C43" w14:textId="77777777" w:rsidR="00170360" w:rsidRDefault="00170360" w:rsidP="00170360">
      <w:pPr>
        <w:spacing w:line="276" w:lineRule="auto"/>
        <w:jc w:val="left"/>
      </w:pPr>
    </w:p>
    <w:p w14:paraId="08C024FB" w14:textId="77777777" w:rsidR="00170360" w:rsidRDefault="00170360" w:rsidP="00170360">
      <w:pPr>
        <w:spacing w:line="276" w:lineRule="auto"/>
        <w:jc w:val="left"/>
      </w:pPr>
      <w:r>
        <w:t>The long tail effect sounds extremely exciting because this is a new aspect for many industries. However, we could also find deficiencies in applying the strategy in the real business world.  The strategy originated from analysing Amazon and Netflix cases, which rely heavily on d</w:t>
      </w:r>
      <w:r w:rsidRPr="0042693E">
        <w:t>ata algorithms</w:t>
      </w:r>
      <w:r>
        <w:t xml:space="preserve">. Data algorithms could provide solutions to promote the tail products to target consumers. The first deficiency is finding a way to locate the target market for long-tail products or services.  Yin et al. (2012) </w:t>
      </w:r>
      <w:proofErr w:type="gramStart"/>
      <w:r>
        <w:t>use</w:t>
      </w:r>
      <w:proofErr w:type="gramEnd"/>
      <w:r>
        <w:t xml:space="preserve"> massive quantitative methods or data algorithms for suppliers to target potential customers, but the model will significantly vary in different industries. The second deficiency of the long tail effect is that </w:t>
      </w:r>
      <w:r w:rsidRPr="00125B1D">
        <w:t xml:space="preserve">businesses heavily rely on the relationship or networking between suppliers and demanders in some </w:t>
      </w:r>
      <w:r>
        <w:t xml:space="preserve">sectors. </w:t>
      </w:r>
    </w:p>
    <w:p w14:paraId="4E575992" w14:textId="77777777" w:rsidR="00170360" w:rsidRDefault="00170360" w:rsidP="00170360">
      <w:pPr>
        <w:spacing w:line="276" w:lineRule="auto"/>
        <w:jc w:val="left"/>
      </w:pPr>
    </w:p>
    <w:p w14:paraId="08140C36" w14:textId="77777777" w:rsidR="00170360" w:rsidRDefault="00170360" w:rsidP="00170360">
      <w:pPr>
        <w:spacing w:line="276" w:lineRule="auto"/>
        <w:jc w:val="left"/>
      </w:pPr>
      <w:r>
        <w:t xml:space="preserve">Moreover, the long tail effect would weaken that.  </w:t>
      </w:r>
      <w:proofErr w:type="spellStart"/>
      <w:r>
        <w:t>Su</w:t>
      </w:r>
      <w:proofErr w:type="spellEnd"/>
      <w:r>
        <w:t xml:space="preserve">, </w:t>
      </w:r>
      <w:proofErr w:type="spellStart"/>
      <w:r>
        <w:t>Levina</w:t>
      </w:r>
      <w:proofErr w:type="spellEnd"/>
      <w:r>
        <w:t xml:space="preserve"> and Ross (2016) express that the long-tail effect would undermine</w:t>
      </w:r>
      <w:r w:rsidRPr="00AD306B">
        <w:t xml:space="preserve"> incentives for suppliers to invest in customer relationships</w:t>
      </w:r>
      <w:r>
        <w:t xml:space="preserve"> by examining IT outsourcing.  The third question is regarding the </w:t>
      </w:r>
      <w:r>
        <w:lastRenderedPageBreak/>
        <w:t xml:space="preserve">protection of property right in applying the long tail strategy in the service industry. Coelho and Mendes (2019) show that the long-tail effect in digital music could benefit the sector by expanding diversity and creation, but how to protect the property right from ‘free riding’ is a significant problem. The last deficiency would be the complex process for enterprises applying the long tail strategy in business. </w:t>
      </w:r>
      <w:proofErr w:type="spellStart"/>
      <w:r>
        <w:t>Geissinger</w:t>
      </w:r>
      <w:proofErr w:type="spellEnd"/>
      <w:r>
        <w:t xml:space="preserve"> et al. (2020) </w:t>
      </w:r>
      <w:proofErr w:type="gramStart"/>
      <w:r>
        <w:t>illustrate</w:t>
      </w:r>
      <w:proofErr w:type="gramEnd"/>
      <w:r>
        <w:t xml:space="preserve"> the long tail sharing economy sectors in Sweden facing difficulties in turning from creations into business opportunities rather than competitive threats. </w:t>
      </w:r>
    </w:p>
    <w:p w14:paraId="042522C0" w14:textId="77777777" w:rsidR="00170360" w:rsidRDefault="00170360" w:rsidP="00170360">
      <w:pPr>
        <w:spacing w:line="276" w:lineRule="auto"/>
        <w:jc w:val="left"/>
      </w:pPr>
    </w:p>
    <w:p w14:paraId="1FB2DCE5" w14:textId="77777777" w:rsidR="00170360" w:rsidRDefault="00170360" w:rsidP="00170360">
      <w:pPr>
        <w:spacing w:line="276" w:lineRule="auto"/>
        <w:jc w:val="left"/>
      </w:pPr>
      <w:r>
        <w:t>To sum up, the three perspectives address business from different aspects. They all have advantages and deficiencies in applying to the real business world. However, they provide us with different perspectives on management in particular industries.</w:t>
      </w:r>
    </w:p>
    <w:p w14:paraId="2BD0F910" w14:textId="77777777" w:rsidR="00170360" w:rsidRDefault="00170360" w:rsidP="00170360">
      <w:pPr>
        <w:spacing w:line="276" w:lineRule="auto"/>
        <w:jc w:val="left"/>
      </w:pPr>
    </w:p>
    <w:p w14:paraId="0AEF9350" w14:textId="77777777" w:rsidR="00170360" w:rsidRDefault="00170360" w:rsidP="00170360">
      <w:pPr>
        <w:pStyle w:val="1"/>
        <w:spacing w:line="276" w:lineRule="auto"/>
      </w:pPr>
      <w:bookmarkStart w:id="9" w:name="_Toc121235605"/>
      <w:bookmarkStart w:id="10" w:name="_Toc122467192"/>
      <w:r>
        <w:t>Part 2 The Two Cases of Organisations</w:t>
      </w:r>
      <w:bookmarkEnd w:id="9"/>
      <w:bookmarkEnd w:id="10"/>
    </w:p>
    <w:p w14:paraId="23F315E4" w14:textId="77777777" w:rsidR="00170360" w:rsidRDefault="00170360" w:rsidP="00170360">
      <w:pPr>
        <w:pStyle w:val="1"/>
        <w:spacing w:line="276" w:lineRule="auto"/>
      </w:pPr>
    </w:p>
    <w:p w14:paraId="3F9B9DA6" w14:textId="77777777" w:rsidR="00170360" w:rsidRDefault="00170360" w:rsidP="00170360">
      <w:pPr>
        <w:pStyle w:val="2"/>
        <w:spacing w:line="276" w:lineRule="auto"/>
      </w:pPr>
      <w:bookmarkStart w:id="11" w:name="_Toc121235606"/>
      <w:bookmarkStart w:id="12" w:name="_Toc122467193"/>
      <w:r>
        <w:t>2.1 The Introduction of the Banking Industry in China</w:t>
      </w:r>
      <w:bookmarkEnd w:id="11"/>
      <w:bookmarkEnd w:id="12"/>
    </w:p>
    <w:p w14:paraId="4FFBD0A1" w14:textId="77777777" w:rsidR="00170360" w:rsidRDefault="00170360" w:rsidP="00170360">
      <w:pPr>
        <w:pStyle w:val="1"/>
        <w:spacing w:line="276" w:lineRule="auto"/>
      </w:pPr>
    </w:p>
    <w:p w14:paraId="0A7F9CD7" w14:textId="77777777" w:rsidR="00170360" w:rsidRDefault="00170360" w:rsidP="00170360">
      <w:pPr>
        <w:spacing w:line="276" w:lineRule="auto"/>
        <w:jc w:val="left"/>
      </w:pPr>
      <w:r>
        <w:t xml:space="preserve">The economy in China heavily relies on commercial banks as funding channels. According to the People’s Bank of China, which operates as the central bank in China, the ratio of </w:t>
      </w:r>
      <w:r w:rsidRPr="00301993">
        <w:t>direct funding to indirect funding</w:t>
      </w:r>
      <w:r>
        <w:t xml:space="preserve"> will be about 45% in the year 2021. That means the whole capital market balance, including stock exchange and off-counter funding by equity, is less than half of China’s commercial bank loan balance. There is a </w:t>
      </w:r>
      <w:r w:rsidRPr="008830C5">
        <w:t>recent debate on the relationship between capital markets and commercial banks in top core journals in China</w:t>
      </w:r>
      <w:r>
        <w:t xml:space="preserve">. Ying and Ning (2022) used the mediation effect model tested 1996-2017’s data in 42 countries; they concluded that the higher the direct funding ratio, the more beneficial to the creation and innovation. We need to rearrange resources from commercial banks to equity markets. Liu et al. (2022) explain that in commercial banking dominating system, funding tends to be short comparatively. </w:t>
      </w:r>
    </w:p>
    <w:p w14:paraId="5CB08A3E" w14:textId="77777777" w:rsidR="00170360" w:rsidRDefault="00170360" w:rsidP="00170360">
      <w:pPr>
        <w:spacing w:line="276" w:lineRule="auto"/>
        <w:jc w:val="left"/>
      </w:pPr>
    </w:p>
    <w:p w14:paraId="7BB457D1" w14:textId="77777777" w:rsidR="00170360" w:rsidRDefault="00170360" w:rsidP="00170360">
      <w:pPr>
        <w:spacing w:line="276" w:lineRule="auto"/>
        <w:jc w:val="left"/>
      </w:pPr>
      <w:r>
        <w:t>Moreover, that could not create the best result for the economy. On the contrary, Wang (2022) claims that commercial banks and capital markets are complementary rather than opposing. There is the best direct and indirect funding ratio in different economic situations. We must search for the balance but not weaken the commercial banks’ dominance of financing. T</w:t>
      </w:r>
      <w:r>
        <w:rPr>
          <w:rFonts w:hint="eastAsia"/>
        </w:rPr>
        <w:t>here</w:t>
      </w:r>
      <w:r>
        <w:t xml:space="preserve"> is no doubt that the banking industry has played an extremely significant role in </w:t>
      </w:r>
      <w:r>
        <w:rPr>
          <w:rFonts w:hint="eastAsia"/>
        </w:rPr>
        <w:t>China</w:t>
      </w:r>
      <w:r>
        <w:t xml:space="preserve">’s economy for decades and will continue to play that </w:t>
      </w:r>
      <w:r>
        <w:lastRenderedPageBreak/>
        <w:t xml:space="preserve">role in the future.  </w:t>
      </w:r>
    </w:p>
    <w:p w14:paraId="5099F153" w14:textId="77777777" w:rsidR="00170360" w:rsidRDefault="00170360" w:rsidP="00170360">
      <w:pPr>
        <w:spacing w:line="276" w:lineRule="auto"/>
        <w:jc w:val="left"/>
      </w:pPr>
    </w:p>
    <w:p w14:paraId="3CCBD57E" w14:textId="77777777" w:rsidR="00170360" w:rsidRDefault="00170360" w:rsidP="00170360">
      <w:pPr>
        <w:spacing w:line="276" w:lineRule="auto"/>
        <w:jc w:val="left"/>
      </w:pPr>
      <w:r>
        <w:t xml:space="preserve">Joint stock commercial banks are the </w:t>
      </w:r>
      <w:r w:rsidRPr="00301993">
        <w:t xml:space="preserve">most </w:t>
      </w:r>
      <w:r>
        <w:t xml:space="preserve">market-orientated in China’s banking industry. I </w:t>
      </w:r>
      <w:r w:rsidRPr="00301993">
        <w:t xml:space="preserve">choose China Merchants Bank and Ping </w:t>
      </w:r>
      <w:proofErr w:type="gramStart"/>
      <w:r w:rsidRPr="00301993">
        <w:t>An</w:t>
      </w:r>
      <w:proofErr w:type="gramEnd"/>
      <w:r w:rsidRPr="00301993">
        <w:t xml:space="preserve"> Bank</w:t>
      </w:r>
      <w:r>
        <w:t xml:space="preserve"> as a pair of cases to analyse. The first reason I choose these two banks is </w:t>
      </w:r>
      <w:r w:rsidRPr="008830C5">
        <w:t>that they are both leading joint stock commercial banks operating in</w:t>
      </w:r>
      <w:r w:rsidRPr="00301993">
        <w:t xml:space="preserve"> the country. </w:t>
      </w:r>
      <w:r>
        <w:t xml:space="preserve">The second reason is that their headquarters </w:t>
      </w:r>
      <w:proofErr w:type="gramStart"/>
      <w:r>
        <w:t>are located in</w:t>
      </w:r>
      <w:proofErr w:type="gramEnd"/>
      <w:r>
        <w:t xml:space="preserve"> Shenzhen,</w:t>
      </w:r>
      <w:r w:rsidRPr="00D507F0">
        <w:rPr>
          <w:color w:val="FF0000"/>
        </w:rPr>
        <w:t xml:space="preserve"> </w:t>
      </w:r>
      <w:r w:rsidRPr="008830C5">
        <w:t>and</w:t>
      </w:r>
      <w:r>
        <w:rPr>
          <w:color w:val="FF0000"/>
        </w:rPr>
        <w:t xml:space="preserve"> </w:t>
      </w:r>
      <w:r>
        <w:t>the two banks share the same local cultural circumstances</w:t>
      </w:r>
      <w:r w:rsidRPr="00301993">
        <w:t>. The third reason is that these two banks are featured in specific businesses separately</w:t>
      </w:r>
      <w:r>
        <w:t>,</w:t>
      </w:r>
      <w:r w:rsidRPr="00301993">
        <w:t xml:space="preserve"> and each has </w:t>
      </w:r>
      <w:r>
        <w:t>exact</w:t>
      </w:r>
      <w:r w:rsidRPr="00301993">
        <w:t xml:space="preserve"> leading status in different banking sectors. </w:t>
      </w:r>
      <w:r>
        <w:t xml:space="preserve">They adopted various strategies, but both </w:t>
      </w:r>
      <w:r w:rsidRPr="00301993">
        <w:t xml:space="preserve">made </w:t>
      </w:r>
      <w:r>
        <w:t xml:space="preserve">successful in the market. China Merchant </w:t>
      </w:r>
      <w:r w:rsidRPr="00301993">
        <w:t xml:space="preserve">Bank </w:t>
      </w:r>
      <w:r w:rsidRPr="00301993">
        <w:rPr>
          <w:rFonts w:hint="eastAsia"/>
        </w:rPr>
        <w:t>h</w:t>
      </w:r>
      <w:r w:rsidRPr="00301993">
        <w:t xml:space="preserve">as the highest number of active personal banking customers </w:t>
      </w:r>
      <w:r>
        <w:t xml:space="preserve">in China, while Ping </w:t>
      </w:r>
      <w:proofErr w:type="gramStart"/>
      <w:r>
        <w:t>An</w:t>
      </w:r>
      <w:proofErr w:type="gramEnd"/>
      <w:r>
        <w:t xml:space="preserve"> </w:t>
      </w:r>
      <w:r w:rsidRPr="00301993">
        <w:t xml:space="preserve">Bank creates and keeps </w:t>
      </w:r>
      <w:r>
        <w:t xml:space="preserve">leading a new market in supply-chain finance in China.  The last reason for choosing them is from a personal aspect. I worked in different departments at Pina </w:t>
      </w:r>
      <w:proofErr w:type="gramStart"/>
      <w:r>
        <w:t>An</w:t>
      </w:r>
      <w:proofErr w:type="gramEnd"/>
      <w:r>
        <w:t xml:space="preserve"> Bank’s head office. Moreover, I worked as a counterparty with both banks in various businesses. I have also been a customer of personal banking at China Merchant Bank for years. </w:t>
      </w:r>
    </w:p>
    <w:p w14:paraId="72CA2287" w14:textId="77777777" w:rsidR="00170360" w:rsidRDefault="00170360" w:rsidP="00170360">
      <w:pPr>
        <w:spacing w:line="276" w:lineRule="auto"/>
        <w:jc w:val="left"/>
      </w:pPr>
    </w:p>
    <w:p w14:paraId="4F9B9A7D" w14:textId="77777777" w:rsidR="00170360" w:rsidRDefault="00170360" w:rsidP="00170360">
      <w:pPr>
        <w:spacing w:line="276" w:lineRule="auto"/>
        <w:jc w:val="left"/>
      </w:pPr>
      <w:r>
        <w:t xml:space="preserve">The concept of personal banking is expressed as the services provided by banks to public individuals rather than to enterprises. It consists of </w:t>
      </w:r>
      <w:hyperlink r:id="rId5" w:tooltip="Savings account" w:history="1">
        <w:r w:rsidRPr="00FA2D5B">
          <w:t>savings</w:t>
        </w:r>
      </w:hyperlink>
      <w:r>
        <w:t xml:space="preserve">, wealth management, </w:t>
      </w:r>
      <w:hyperlink r:id="rId6" w:tooltip="Transactional account" w:history="1">
        <w:r w:rsidRPr="00FA2D5B">
          <w:t>transactional accounts</w:t>
        </w:r>
      </w:hyperlink>
      <w:r w:rsidRPr="00FA2D5B">
        <w:t>, </w:t>
      </w:r>
      <w:hyperlink r:id="rId7" w:tooltip="Mortgage loan" w:history="1">
        <w:r w:rsidRPr="00FA2D5B">
          <w:t>mortgages</w:t>
        </w:r>
      </w:hyperlink>
      <w:r w:rsidRPr="00FA2D5B">
        <w:t>, </w:t>
      </w:r>
      <w:hyperlink r:id="rId8" w:history="1">
        <w:r w:rsidRPr="00FA2D5B">
          <w:t>personal loans</w:t>
        </w:r>
      </w:hyperlink>
      <w:r w:rsidRPr="00FA2D5B">
        <w:t>, </w:t>
      </w:r>
      <w:hyperlink r:id="rId9" w:tooltip="Debit card" w:history="1">
        <w:r w:rsidRPr="00FA2D5B">
          <w:t>debit cards</w:t>
        </w:r>
      </w:hyperlink>
      <w:r w:rsidRPr="00FA2D5B">
        <w:t>, and </w:t>
      </w:r>
      <w:hyperlink r:id="rId10" w:tooltip="Credit card" w:history="1">
        <w:r w:rsidRPr="00FA2D5B">
          <w:t>credit cards</w:t>
        </w:r>
      </w:hyperlink>
      <w:r w:rsidRPr="00FA2D5B">
        <w:t xml:space="preserve"> (Tiwari &amp; Buse</w:t>
      </w:r>
      <w:r>
        <w:t>,</w:t>
      </w:r>
      <w:r w:rsidRPr="00FA2D5B">
        <w:t xml:space="preserve"> 2006).</w:t>
      </w:r>
      <w:r>
        <w:rPr>
          <w:rFonts w:ascii="Arial" w:hAnsi="Arial" w:cs="Arial"/>
          <w:color w:val="222222"/>
          <w:sz w:val="20"/>
          <w:szCs w:val="20"/>
          <w:shd w:val="clear" w:color="auto" w:fill="FFFFFF"/>
        </w:rPr>
        <w:t xml:space="preserve"> </w:t>
      </w:r>
      <w:r>
        <w:t>At the same time,</w:t>
      </w:r>
      <w:r w:rsidRPr="00B53025">
        <w:t xml:space="preserve"> wholesale banking is defined as those services provided to corporations or enterprises by commercial banks </w:t>
      </w:r>
      <w:r>
        <w:t>(</w:t>
      </w:r>
      <w:r w:rsidRPr="00B53025">
        <w:t>International Monetary Fund 2004)</w:t>
      </w:r>
      <w:r>
        <w:t>.</w:t>
      </w:r>
      <w:r w:rsidRPr="00B53025">
        <w:t xml:space="preserve"> </w:t>
      </w:r>
      <w:r>
        <w:t xml:space="preserve"> </w:t>
      </w:r>
    </w:p>
    <w:p w14:paraId="1F829A95" w14:textId="77777777" w:rsidR="00170360" w:rsidRDefault="00170360" w:rsidP="00170360">
      <w:pPr>
        <w:spacing w:line="276" w:lineRule="auto"/>
        <w:jc w:val="left"/>
      </w:pPr>
    </w:p>
    <w:p w14:paraId="7071128E" w14:textId="77777777" w:rsidR="00170360" w:rsidRDefault="00170360" w:rsidP="00170360">
      <w:pPr>
        <w:pStyle w:val="2"/>
        <w:spacing w:line="276" w:lineRule="auto"/>
      </w:pPr>
      <w:bookmarkStart w:id="13" w:name="_Toc121235607"/>
      <w:bookmarkStart w:id="14" w:name="_Toc122467194"/>
      <w:r>
        <w:t>2.2 The Case of China Merchants Bank</w:t>
      </w:r>
      <w:bookmarkEnd w:id="13"/>
      <w:bookmarkEnd w:id="14"/>
    </w:p>
    <w:p w14:paraId="3CE1B5EA" w14:textId="77777777" w:rsidR="00170360" w:rsidRDefault="00170360" w:rsidP="00170360">
      <w:pPr>
        <w:spacing w:line="276" w:lineRule="auto"/>
        <w:jc w:val="left"/>
      </w:pPr>
    </w:p>
    <w:p w14:paraId="3A0CB43D" w14:textId="77777777" w:rsidR="00170360" w:rsidRDefault="00170360" w:rsidP="00170360">
      <w:pPr>
        <w:spacing w:line="276" w:lineRule="auto"/>
        <w:jc w:val="left"/>
      </w:pPr>
      <w:r>
        <w:t xml:space="preserve">Banks are only interested in company customers, huge state-owned companies. Banks could gain vast profits by loaning considerable amounts to state-owned corporations or directly engaged in the construction projects of local governments. </w:t>
      </w:r>
      <w:proofErr w:type="spellStart"/>
      <w:r w:rsidRPr="00C071D2">
        <w:t>Ika</w:t>
      </w:r>
      <w:proofErr w:type="spellEnd"/>
      <w:r w:rsidRPr="00C071D2">
        <w:t xml:space="preserve"> (2020)</w:t>
      </w:r>
      <w:r>
        <w:t xml:space="preserve"> showed a relationship between profit and exemplary </w:t>
      </w:r>
      <w:r w:rsidRPr="00C071D2">
        <w:t>corporate governance implementation</w:t>
      </w:r>
      <w:r>
        <w:t>, which government interventions would harm the banking industry in Indonesia.</w:t>
      </w:r>
      <w:r w:rsidRPr="00C071D2">
        <w:t xml:space="preserve"> </w:t>
      </w:r>
      <w:r>
        <w:t xml:space="preserve"> Lee et al. (2021) found that the comparatively lower efficiency of state-owned banks in </w:t>
      </w:r>
      <w:r>
        <w:rPr>
          <w:rFonts w:hint="eastAsia"/>
        </w:rPr>
        <w:t>China</w:t>
      </w:r>
      <w:r>
        <w:t xml:space="preserve"> is because of government interventions. Adjoint projects with the government or other state-owned enterprises could cause the hidden cost of government intervention. However, the banking industry then did not realise the hidden cost and only saw the substantial profits funding the state-owned economy. China’s banking industry profoundly believes in the 80/20 Rule in client management; most </w:t>
      </w:r>
      <w:r>
        <w:lastRenderedPageBreak/>
        <w:t xml:space="preserve">banks consider that a few enterprise customers could bring the most profit. </w:t>
      </w:r>
      <w:r w:rsidRPr="00D5665A">
        <w:t xml:space="preserve">The personal banking department is below the corporate level in the </w:t>
      </w:r>
      <w:r>
        <w:t>company’s</w:t>
      </w:r>
      <w:r w:rsidRPr="00D5665A">
        <w:t xml:space="preserve"> human resource structure</w:t>
      </w:r>
      <w:r>
        <w:t>. Staff who works in personal banking line would have little chance to climb to the high level in bank.  However, with more and more newly founded banks fighting for the market shares of traditional corporate finance, it is getting harder and harder for banks to make profits from standardised dealing with companies. When other commercial banks realised the potential profits of personal banking in very recent years, they found desperately that China Merchants Bank had already locked the customers. The solid internal structure of the marketing line, the personnel system and the deep cultural belief are constructed in China Merchants Bank.</w:t>
      </w:r>
    </w:p>
    <w:p w14:paraId="146B6706" w14:textId="77777777" w:rsidR="00170360" w:rsidRDefault="00170360" w:rsidP="00170360">
      <w:pPr>
        <w:spacing w:line="276" w:lineRule="auto"/>
        <w:jc w:val="left"/>
      </w:pPr>
    </w:p>
    <w:p w14:paraId="775C0301" w14:textId="77777777" w:rsidR="00170360" w:rsidRDefault="00170360" w:rsidP="00170360">
      <w:pPr>
        <w:spacing w:line="276" w:lineRule="auto"/>
        <w:jc w:val="left"/>
      </w:pPr>
      <w:r>
        <w:t>China Merchants Bank, also often referred to as CMB, applied the long tail management strategy into practice from an early stage, even before the theory was presented.</w:t>
      </w:r>
      <w:r w:rsidRPr="00B05713">
        <w:rPr>
          <w:rFonts w:ascii="Times New Roman" w:hAnsi="Times New Roman" w:cs="Times New Roman"/>
        </w:rPr>
        <w:t xml:space="preserve"> </w:t>
      </w:r>
      <w:r w:rsidRPr="00B05713">
        <w:t>Dai and Taube (2019)</w:t>
      </w:r>
      <w:r w:rsidRPr="00881213">
        <w:rPr>
          <w:rFonts w:ascii="Times New Roman" w:hAnsi="Times New Roman" w:cs="Times New Roman"/>
        </w:rPr>
        <w:t xml:space="preserve"> </w:t>
      </w:r>
      <w:r w:rsidRPr="00B05713">
        <w:t xml:space="preserve">express that </w:t>
      </w:r>
      <w:r>
        <w:t>exploring</w:t>
      </w:r>
      <w:r w:rsidRPr="00B05713">
        <w:t xml:space="preserve"> customers ignored by mainstream</w:t>
      </w:r>
      <w:r>
        <w:t xml:space="preserve"> businesses through the long tail strategy could create significant opportunities. CMB has focused on seeking personal banking opportunities since the mid-90s last century. It targets the ‘leftover’ personal customers by introducing a system called ‘customer number management’ from overseas in 1995. This system aimed to identify customers as individuals more than account holders. The bank decided to expand and upgrade the personal service zone in every sub-branch by redecorating and providing free coffee and milk on-site the following year. It also launched the first official banking website and online banking service in 1997 and 1998 separately. All moves are intended to attract individuals to be customers, even if those personal customers could not bring any profit at that stage. More and more people became this bank’s clients because of the hospitality in any sub-branch, the convenience of the online banking system and even the beauty of debit or credit card design. All these clients gathered to be the tail part in statistic distribution. All the other banks did not fight for those personal tail customers because they, at most 80 per cent, just contributed 20 per cent of customers in the Pareto principle. Yan (2019) expressed that </w:t>
      </w:r>
      <w:r w:rsidRPr="008830C5">
        <w:t xml:space="preserve">the excellent channel experience ensures a large customer base for China Merchant Bank </w:t>
      </w:r>
      <w:r>
        <w:t xml:space="preserve">and sets the stage for subsequent success. </w:t>
      </w:r>
    </w:p>
    <w:p w14:paraId="1FEC358D" w14:textId="77777777" w:rsidR="00170360" w:rsidRDefault="00170360" w:rsidP="00170360">
      <w:pPr>
        <w:spacing w:line="276" w:lineRule="auto"/>
        <w:jc w:val="left"/>
      </w:pPr>
    </w:p>
    <w:p w14:paraId="43CF2330" w14:textId="77777777" w:rsidR="00170360" w:rsidRDefault="00170360" w:rsidP="00170360">
      <w:pPr>
        <w:spacing w:line="276" w:lineRule="auto"/>
        <w:jc w:val="left"/>
      </w:pPr>
      <w:r>
        <w:t xml:space="preserve">How to exploit the potential profit from the large base of long-tail personal clients would be the most critical problem for CMB. The first part of profits is the sinking deposits which happened naturally. The sinking deposits are explained as unintended deposits made by clients in the banking industry. The sinking deposits could be considered low-cost deposits for any bank, and the cost-saving is profits. Because of the rocketing of China’s economy, especially since China entered WTO in 2001, family </w:t>
      </w:r>
      <w:r>
        <w:lastRenderedPageBreak/>
        <w:t>wealth has grown at a rapid pace around cities in recent decades. Individuals have deposits that need to lie in a bank account. CMB provides the best on-site service, creates the most convenient online system, launches the most straightforward app, and maintains the best telephone banking service. Individuals as customers tend to prefer the CMB as their current daily account, which generates vast sinking deposits altogether.</w:t>
      </w:r>
    </w:p>
    <w:p w14:paraId="7C85AE6B" w14:textId="77777777" w:rsidR="00170360" w:rsidRDefault="00170360" w:rsidP="00170360">
      <w:pPr>
        <w:spacing w:line="276" w:lineRule="auto"/>
        <w:jc w:val="left"/>
      </w:pPr>
    </w:p>
    <w:p w14:paraId="2F8131BD" w14:textId="77777777" w:rsidR="00170360" w:rsidRDefault="00170360" w:rsidP="00170360">
      <w:pPr>
        <w:spacing w:line="276" w:lineRule="auto"/>
        <w:jc w:val="left"/>
      </w:pPr>
      <w:r>
        <w:t xml:space="preserve">The second part of profits is the long tail strategy applied to practice. When Christ Anderson presented the long-tail effect in the book, he explained that providing unlimited options for long-tail customers could generate great demand. CMB takes advantage of the vast client base by acting as the middleman. The bank uses its client managers, online banking, </w:t>
      </w:r>
      <w:proofErr w:type="gramStart"/>
      <w:r>
        <w:t>app</w:t>
      </w:r>
      <w:proofErr w:type="gramEnd"/>
      <w:r>
        <w:t xml:space="preserve"> and onsite sub-branches to sell the full range of financial services of its own or as a third party. CMB calls itself ‘The financial supermarket’.  In China’s cultural context, banks are the most reputable and trustworthy enterprises in the economy. Society believes that banks’ credibility is backed by China government, so the banks are the safest business entities. Under this cultural context, CMB could sell all kinds of insurance, wealth management products, bonds, mutual </w:t>
      </w:r>
      <w:proofErr w:type="gramStart"/>
      <w:r>
        <w:t>funds</w:t>
      </w:r>
      <w:proofErr w:type="gramEnd"/>
      <w:r>
        <w:t xml:space="preserve"> and high-risk portfolio funds much easier than the issuers themselves. </w:t>
      </w:r>
    </w:p>
    <w:p w14:paraId="0A5DE4AC" w14:textId="77777777" w:rsidR="00170360" w:rsidRDefault="00170360" w:rsidP="00170360">
      <w:pPr>
        <w:spacing w:line="276" w:lineRule="auto"/>
        <w:jc w:val="left"/>
      </w:pPr>
    </w:p>
    <w:p w14:paraId="4F1A5920" w14:textId="77777777" w:rsidR="00170360" w:rsidRDefault="00170360" w:rsidP="00170360">
      <w:pPr>
        <w:spacing w:line="276" w:lineRule="auto"/>
        <w:jc w:val="left"/>
      </w:pPr>
      <w:r>
        <w:t>Moreover, insurance companies, investment companies, security institutions and investment funds pay entry fees and selling commissions to CMB to offer their financial products to clients. Those incomes are considered off-balance income. The concept of off-balance income is expressed as those banking incomes that could not be listed on a bank’s balance sheet. Generally, off-balance income is from professional services banks provide rather than release loans (</w:t>
      </w:r>
      <w:proofErr w:type="spellStart"/>
      <w:r w:rsidRPr="0004353F">
        <w:t>Meisenzahl</w:t>
      </w:r>
      <w:proofErr w:type="spellEnd"/>
      <w:r>
        <w:t>,</w:t>
      </w:r>
      <w:r w:rsidRPr="0004353F">
        <w:t xml:space="preserve"> 2015)</w:t>
      </w:r>
      <w:r>
        <w:t>.</w:t>
      </w:r>
      <w:r w:rsidRPr="0004353F">
        <w:t xml:space="preserve"> </w:t>
      </w:r>
      <w:r>
        <w:t>The reason CMB is the only bank that could operate this third-party business so smoothly is enough long tail client base. Banking is leveraged and strict regulatory industry</w:t>
      </w:r>
      <w:r>
        <w:rPr>
          <w:rFonts w:hint="eastAsia"/>
        </w:rPr>
        <w:t>.</w:t>
      </w:r>
      <w:r>
        <w:t xml:space="preserve"> That bank loan expansion needs always accompanied by an increase in deposits.  The loan amount would go to the asset column in the balance sheet while requiring the same amount to be booked in the liability or equity column on whether to receive deposits or to increase stock equity. </w:t>
      </w:r>
    </w:p>
    <w:p w14:paraId="40D9F4C5" w14:textId="77777777" w:rsidR="00170360" w:rsidRDefault="00170360" w:rsidP="00170360">
      <w:pPr>
        <w:spacing w:line="276" w:lineRule="auto"/>
        <w:jc w:val="left"/>
      </w:pPr>
    </w:p>
    <w:p w14:paraId="049002BC" w14:textId="77777777" w:rsidR="00170360" w:rsidRDefault="00170360" w:rsidP="00170360">
      <w:pPr>
        <w:spacing w:line="276" w:lineRule="auto"/>
        <w:jc w:val="left"/>
      </w:pPr>
      <w:r>
        <w:t>In the meantime, China’s regulatory authority set a rule that every bank should contain a ratio of the loaning balance to the deposit balance under 75 per cent by law. Incomes from the medium business, or it could be called off-balance sheet incomes, like selling others’ products and services by collecting commission, would not require equity or deposits.</w:t>
      </w:r>
      <w:r w:rsidRPr="002B23D9">
        <w:rPr>
          <w:rFonts w:ascii="Times New Roman" w:hAnsi="Times New Roman" w:cs="Times New Roman"/>
        </w:rPr>
        <w:t xml:space="preserve"> </w:t>
      </w:r>
      <w:r w:rsidRPr="002B23D9">
        <w:t xml:space="preserve">Huang &amp; </w:t>
      </w:r>
      <w:proofErr w:type="spellStart"/>
      <w:r w:rsidRPr="002B23D9">
        <w:t>Xiong</w:t>
      </w:r>
      <w:proofErr w:type="spellEnd"/>
      <w:r w:rsidRPr="002B23D9">
        <w:t xml:space="preserve"> (2015) explained how assets buffer</w:t>
      </w:r>
      <w:r>
        <w:t>,</w:t>
      </w:r>
      <w:r w:rsidRPr="002B23D9">
        <w:t xml:space="preserve"> which could </w:t>
      </w:r>
      <w:r>
        <w:t xml:space="preserve">be </w:t>
      </w:r>
      <w:r w:rsidRPr="002B23D9">
        <w:t>generated by off-balance sheet business</w:t>
      </w:r>
      <w:r>
        <w:t>,</w:t>
      </w:r>
      <w:r w:rsidRPr="002B23D9">
        <w:t xml:space="preserve"> could </w:t>
      </w:r>
      <w:r>
        <w:t>benefit</w:t>
      </w:r>
      <w:r w:rsidRPr="002B23D9">
        <w:t xml:space="preserve"> the bank.</w:t>
      </w:r>
      <w:r>
        <w:rPr>
          <w:rFonts w:ascii="Times New Roman" w:hAnsi="Times New Roman" w:cs="Times New Roman"/>
        </w:rPr>
        <w:t xml:space="preserve"> </w:t>
      </w:r>
      <w:r>
        <w:t xml:space="preserve"> CMB gained more and more comparative advantages over other competitive banks by constructing strong </w:t>
      </w:r>
      <w:r>
        <w:lastRenderedPageBreak/>
        <w:t xml:space="preserve">intermediate channels for their vast personal client base. Besides the above, CMB uses the same logic working hard to create a leading e-commerce platform through its credit card app. The bank carries many credit card holders to negotiate with merchants to join the app, which could </w:t>
      </w:r>
      <w:r w:rsidRPr="00D5665A">
        <w:t>significantly increase turnover for these merchants</w:t>
      </w:r>
      <w:r>
        <w:t xml:space="preserve">. CMB takes the entry fee and the commission from merchants. According to CMB’s official website, the mobile banking app, the finance service </w:t>
      </w:r>
      <w:proofErr w:type="gramStart"/>
      <w:r>
        <w:t>app</w:t>
      </w:r>
      <w:proofErr w:type="gramEnd"/>
      <w:r>
        <w:t xml:space="preserve"> and the credit card e-commerce app all have active customers exceeding 100 million separately by now.</w:t>
      </w:r>
    </w:p>
    <w:p w14:paraId="23C59F9E" w14:textId="77777777" w:rsidR="00170360" w:rsidRDefault="00170360" w:rsidP="00170360">
      <w:pPr>
        <w:spacing w:line="276" w:lineRule="auto"/>
        <w:jc w:val="left"/>
      </w:pPr>
    </w:p>
    <w:p w14:paraId="6F894883" w14:textId="77777777" w:rsidR="00170360" w:rsidRDefault="00170360" w:rsidP="00170360">
      <w:pPr>
        <w:spacing w:line="276" w:lineRule="auto"/>
        <w:jc w:val="left"/>
      </w:pPr>
      <w:r>
        <w:t xml:space="preserve">The third part of profits is to raise the long tail clients to become head. CMB has the most significant number of high-net-worth individual clients in China. There is </w:t>
      </w:r>
      <w:r w:rsidRPr="00D5665A">
        <w:t xml:space="preserve">a different definition </w:t>
      </w:r>
      <w:r>
        <w:t>of</w:t>
      </w:r>
      <w:r w:rsidRPr="00D5665A">
        <w:t xml:space="preserve"> high net worth; China’s banking industry usually defines an individual with</w:t>
      </w:r>
      <w:r>
        <w:t xml:space="preserve"> more than one million US dollars equivalent CNY investment portfolio as a high net worth individual. CMB manages the highest-level clients in the private banking department. CMB personalised each one’s unique financial requirements</w:t>
      </w:r>
      <w:r w:rsidRPr="008830C5">
        <w:t xml:space="preserve">, whether they need loans for a different purpose, need various investment channels, cross-border </w:t>
      </w:r>
      <w:r>
        <w:t>financial</w:t>
      </w:r>
      <w:r w:rsidRPr="008830C5">
        <w:t xml:space="preserve"> services, or any other</w:t>
      </w:r>
      <w:r>
        <w:t xml:space="preserve"> financial demand. However, many high-level customers have come from the existing customer base. China Merchants </w:t>
      </w:r>
      <w:r w:rsidRPr="008830C5">
        <w:t>Bank's unique culture encourages its client managers to stand on the customer’s side to think about financial needs rather than the bank’s</w:t>
      </w:r>
      <w:r>
        <w:t xml:space="preserve">. Under such a culture, the client manager could seek out the client’s needs and turn push inside the bank to fix the obstacle that occurred. Careful attendance </w:t>
      </w:r>
      <w:r w:rsidRPr="008830C5">
        <w:t>would bring more customer loyalty and provide</w:t>
      </w:r>
      <w:r>
        <w:t xml:space="preserve"> more practical financial support for clients to advance financially in conducting personal investments or business. Once some customers upgraded to a high-net-worth level from the long tail base, they became the head part clients statistically who would generate high profits comparatively for the bank.</w:t>
      </w:r>
    </w:p>
    <w:p w14:paraId="00AFBAD0" w14:textId="77777777" w:rsidR="00170360" w:rsidRDefault="00170360" w:rsidP="00170360">
      <w:pPr>
        <w:spacing w:line="276" w:lineRule="auto"/>
        <w:jc w:val="left"/>
      </w:pPr>
    </w:p>
    <w:p w14:paraId="709E5C5B" w14:textId="77777777" w:rsidR="00170360" w:rsidRDefault="00170360" w:rsidP="00170360">
      <w:pPr>
        <w:spacing w:line="276" w:lineRule="auto"/>
        <w:jc w:val="left"/>
      </w:pPr>
      <w:r>
        <w:t xml:space="preserve">China Merchants Bank successfully explored the potential personal banking markets in China by applying the long tail strategy in management for decades. However, the problem has been emerging in very recent years. Other commercial banks in China have realised the significance of the personal banking sector, and they have tried to learn from CMB for years. The easiest way for competitors is to copy the strategy and the system by hiring ex-CMB key staff. Because the business model does not concern intellectual rights and property rights in China, CMB finds it hard to stop their critical employees from jumping for higher pay and higher position in other banks. The gap in conducting personal or retail banking is narrowing between CMB and other China’s large banks. </w:t>
      </w:r>
    </w:p>
    <w:p w14:paraId="064A0201" w14:textId="77777777" w:rsidR="00170360" w:rsidRDefault="00170360" w:rsidP="00170360">
      <w:pPr>
        <w:spacing w:line="276" w:lineRule="auto"/>
        <w:jc w:val="left"/>
      </w:pPr>
    </w:p>
    <w:p w14:paraId="603B9171" w14:textId="77777777" w:rsidR="00170360" w:rsidRDefault="00170360" w:rsidP="00170360">
      <w:pPr>
        <w:spacing w:line="276" w:lineRule="auto"/>
        <w:jc w:val="left"/>
      </w:pPr>
      <w:r>
        <w:t>F</w:t>
      </w:r>
      <w:r>
        <w:rPr>
          <w:rFonts w:hint="eastAsia"/>
        </w:rPr>
        <w:t>acing</w:t>
      </w:r>
      <w:r>
        <w:t xml:space="preserve"> threats, China Merchants Bank finds it is in a cage that builds for itself. Focusing </w:t>
      </w:r>
      <w:r>
        <w:lastRenderedPageBreak/>
        <w:t xml:space="preserve">on personal banking for decades, CMB created a deep inside cultural context that China Merchants Bank is a professional retail bank. It operates based on that belief. When CMB wants to conduct other profitable banking businesses, it is subject to the lack of other fields’ specialists and professional processing systems. CMB is hiring many corporate banking specialists, trying to catch on to other competitors quickly. However, it is hard for a personal banking giant to transform into another form. The future is not clear for this China’s successful leading bank. </w:t>
      </w:r>
    </w:p>
    <w:p w14:paraId="684774EA" w14:textId="77777777" w:rsidR="00170360" w:rsidRDefault="00170360" w:rsidP="00170360">
      <w:pPr>
        <w:spacing w:line="276" w:lineRule="auto"/>
        <w:jc w:val="left"/>
      </w:pPr>
    </w:p>
    <w:p w14:paraId="185D1F2F" w14:textId="77777777" w:rsidR="00170360" w:rsidRDefault="00170360" w:rsidP="00170360">
      <w:pPr>
        <w:pStyle w:val="2"/>
        <w:spacing w:line="276" w:lineRule="auto"/>
      </w:pPr>
      <w:bookmarkStart w:id="15" w:name="_Toc121235608"/>
      <w:bookmarkStart w:id="16" w:name="_Toc122467195"/>
      <w:r>
        <w:t xml:space="preserve">2.3 The Case of Ping </w:t>
      </w:r>
      <w:proofErr w:type="gramStart"/>
      <w:r>
        <w:t>An</w:t>
      </w:r>
      <w:proofErr w:type="gramEnd"/>
      <w:r>
        <w:t xml:space="preserve"> Bank</w:t>
      </w:r>
      <w:bookmarkEnd w:id="15"/>
      <w:bookmarkEnd w:id="16"/>
    </w:p>
    <w:p w14:paraId="47821050" w14:textId="77777777" w:rsidR="00170360" w:rsidRDefault="00170360" w:rsidP="00170360">
      <w:pPr>
        <w:spacing w:line="276" w:lineRule="auto"/>
        <w:jc w:val="left"/>
      </w:pPr>
    </w:p>
    <w:p w14:paraId="63B8966A" w14:textId="77777777" w:rsidR="00170360" w:rsidRDefault="00170360" w:rsidP="00170360">
      <w:pPr>
        <w:spacing w:line="276" w:lineRule="auto"/>
        <w:jc w:val="left"/>
      </w:pPr>
      <w:r>
        <w:t>U</w:t>
      </w:r>
      <w:r>
        <w:rPr>
          <w:rFonts w:hint="eastAsia"/>
        </w:rPr>
        <w:t>nlike</w:t>
      </w:r>
      <w:r>
        <w:t xml:space="preserve"> </w:t>
      </w:r>
      <w:r>
        <w:rPr>
          <w:rFonts w:hint="eastAsia"/>
        </w:rPr>
        <w:t>CMB</w:t>
      </w:r>
      <w:r>
        <w:t xml:space="preserve">, Ping </w:t>
      </w:r>
      <w:proofErr w:type="gramStart"/>
      <w:r>
        <w:t>An</w:t>
      </w:r>
      <w:proofErr w:type="gramEnd"/>
      <w:r>
        <w:t xml:space="preserve"> Bank or PAB applied the blue ocean strategy to build its status in China’s banking industry. PAB provides its unique supply chain finance service, expanded a blue </w:t>
      </w:r>
      <w:proofErr w:type="gramStart"/>
      <w:r>
        <w:t>ocean</w:t>
      </w:r>
      <w:proofErr w:type="gramEnd"/>
      <w:r>
        <w:t xml:space="preserve"> and kept in the lead in supply chain finance until now. </w:t>
      </w:r>
      <w:proofErr w:type="spellStart"/>
      <w:r w:rsidRPr="008518CD">
        <w:t>Kshetri</w:t>
      </w:r>
      <w:proofErr w:type="spellEnd"/>
      <w:r w:rsidRPr="008518CD">
        <w:t xml:space="preserve"> (2021)</w:t>
      </w:r>
      <w:r>
        <w:t xml:space="preserve"> explains the concept of supply chain finance as a banking business involved in the supply chain as a third party which both settles up-downstream funding and reduces the risk exposure for the core business.</w:t>
      </w:r>
      <w:r w:rsidRPr="008518CD">
        <w:t xml:space="preserve"> </w:t>
      </w:r>
      <w:r>
        <w:t xml:space="preserve">Ping </w:t>
      </w:r>
      <w:proofErr w:type="gramStart"/>
      <w:r>
        <w:t>An</w:t>
      </w:r>
      <w:proofErr w:type="gramEnd"/>
      <w:r>
        <w:t xml:space="preserve"> Bank is a member of Ping An Insurance (Group) Company of China, Ltd.</w:t>
      </w:r>
      <w:r w:rsidRPr="008830C5">
        <w:t>, one of China's largest mixed financial holding groups</w:t>
      </w:r>
      <w:r>
        <w:t xml:space="preserve">. Ping </w:t>
      </w:r>
      <w:proofErr w:type="gramStart"/>
      <w:r>
        <w:t>An</w:t>
      </w:r>
      <w:proofErr w:type="gramEnd"/>
      <w:r>
        <w:t xml:space="preserve"> Group is also known as the biggest insurance company in China. However, PAB is also an independent public listing company on Shenzhen Stock Exchange. We need to look back to a significant merger in the year 2012. Before that year, there was a former Ping </w:t>
      </w:r>
      <w:proofErr w:type="gramStart"/>
      <w:r>
        <w:t>An</w:t>
      </w:r>
      <w:proofErr w:type="gramEnd"/>
      <w:r>
        <w:t xml:space="preserve"> Bank, a holding subsidiary son company of Ping An Insurance Group. Ping An Insurance Group structured the former Ping </w:t>
      </w:r>
      <w:proofErr w:type="gramStart"/>
      <w:r>
        <w:t>An</w:t>
      </w:r>
      <w:proofErr w:type="gramEnd"/>
      <w:r>
        <w:t xml:space="preserve"> Bank by acquiring Shenzhen City Commercial Bank in 2006. There was another bank named Shenzhen Development Bank or SDB, the actual starter of supply chain finance by applying the blue ocean strategy in management. The merger between Ping </w:t>
      </w:r>
      <w:proofErr w:type="gramStart"/>
      <w:r>
        <w:t>An</w:t>
      </w:r>
      <w:proofErr w:type="gramEnd"/>
      <w:r>
        <w:t xml:space="preserve"> Insurance Group and SDB created a significant financial holding group and the PAB. In 2012, Ping </w:t>
      </w:r>
      <w:proofErr w:type="gramStart"/>
      <w:r>
        <w:t>An</w:t>
      </w:r>
      <w:proofErr w:type="gramEnd"/>
      <w:r>
        <w:t xml:space="preserve"> Insurance Group used 90.75% of former PAB shares plus cash exchanged 52.38% of SDB shares. The Group deregistered the former PAB because SDB acquired the former PAB by absorbing 90.75% shares. In the meantime, Shenzhen Development Bank changed its name to Ping </w:t>
      </w:r>
      <w:proofErr w:type="gramStart"/>
      <w:r>
        <w:t>An</w:t>
      </w:r>
      <w:proofErr w:type="gramEnd"/>
      <w:r>
        <w:t xml:space="preserve"> Bank and joined the Ping An Group since the group took absolute control by 52.38% shares after this win-win merger. In this view, Ping </w:t>
      </w:r>
      <w:proofErr w:type="gramStart"/>
      <w:r>
        <w:t>An</w:t>
      </w:r>
      <w:proofErr w:type="gramEnd"/>
      <w:r>
        <w:t xml:space="preserve"> Bank is the successor of Shenzhen Development Bank. </w:t>
      </w:r>
    </w:p>
    <w:p w14:paraId="3B6F5A0B" w14:textId="77777777" w:rsidR="00170360" w:rsidRDefault="00170360" w:rsidP="00170360">
      <w:pPr>
        <w:spacing w:line="276" w:lineRule="auto"/>
        <w:jc w:val="left"/>
      </w:pPr>
    </w:p>
    <w:p w14:paraId="39DE234D" w14:textId="77777777" w:rsidR="00170360" w:rsidRDefault="00170360" w:rsidP="00170360">
      <w:pPr>
        <w:spacing w:line="276" w:lineRule="auto"/>
        <w:jc w:val="left"/>
      </w:pPr>
      <w:r w:rsidRPr="00A70C7D">
        <w:rPr>
          <w:rFonts w:hint="eastAsia"/>
        </w:rPr>
        <w:t>N</w:t>
      </w:r>
      <w:r w:rsidRPr="00A70C7D">
        <w:t>ing</w:t>
      </w:r>
      <w:r>
        <w:t xml:space="preserve"> </w:t>
      </w:r>
      <w:r w:rsidRPr="00A70C7D">
        <w:t>(2011)</w:t>
      </w:r>
      <w:r>
        <w:t xml:space="preserve"> discussed that the Ping An-SDB merger is motivated by the great potential for cross-sector financing business</w:t>
      </w:r>
      <w:r w:rsidRPr="00A70C7D">
        <w:t>.</w:t>
      </w:r>
      <w:r>
        <w:t xml:space="preserve"> Li (2012) expressed that operating, financing and management synergies are the goals of the Ping An-SDB merger. </w:t>
      </w:r>
      <w:r w:rsidRPr="00A70C7D">
        <w:rPr>
          <w:rFonts w:hint="eastAsia"/>
        </w:rPr>
        <w:t>J</w:t>
      </w:r>
      <w:r w:rsidRPr="00A70C7D">
        <w:t>ing</w:t>
      </w:r>
      <w:r>
        <w:t xml:space="preserve"> </w:t>
      </w:r>
      <w:r w:rsidRPr="00A70C7D">
        <w:t>(2012)</w:t>
      </w:r>
      <w:r>
        <w:t xml:space="preserve"> claimed that this merger between these two companies would bring better efficiency in corporate running. </w:t>
      </w:r>
      <w:r w:rsidRPr="006C6467">
        <w:rPr>
          <w:rFonts w:hint="eastAsia"/>
        </w:rPr>
        <w:t>L</w:t>
      </w:r>
      <w:r w:rsidRPr="006C6467">
        <w:t>iu</w:t>
      </w:r>
      <w:r>
        <w:t xml:space="preserve"> </w:t>
      </w:r>
      <w:r w:rsidRPr="006C6467">
        <w:t>(2014)</w:t>
      </w:r>
      <w:r>
        <w:t xml:space="preserve"> illustrated the rapid growth of the Ping </w:t>
      </w:r>
      <w:proofErr w:type="gramStart"/>
      <w:r>
        <w:t>An</w:t>
      </w:r>
      <w:proofErr w:type="gramEnd"/>
      <w:r>
        <w:t xml:space="preserve"> group in all </w:t>
      </w:r>
      <w:r>
        <w:lastRenderedPageBreak/>
        <w:t>sectors in two years after the merger</w:t>
      </w:r>
      <w:r w:rsidRPr="006C6467">
        <w:t>.</w:t>
      </w:r>
      <w:r>
        <w:t xml:space="preserve"> </w:t>
      </w:r>
      <w:r w:rsidRPr="00A70C7D">
        <w:rPr>
          <w:rFonts w:hint="eastAsia"/>
        </w:rPr>
        <w:t>Z</w:t>
      </w:r>
      <w:r w:rsidRPr="00A70C7D">
        <w:t>heng</w:t>
      </w:r>
      <w:r>
        <w:t xml:space="preserve"> </w:t>
      </w:r>
      <w:r w:rsidRPr="00A70C7D">
        <w:t>(2015)</w:t>
      </w:r>
      <w:r>
        <w:t xml:space="preserve"> demonstrated the strong financing capability of Ping </w:t>
      </w:r>
      <w:proofErr w:type="gramStart"/>
      <w:r>
        <w:t>An</w:t>
      </w:r>
      <w:proofErr w:type="gramEnd"/>
      <w:r>
        <w:t xml:space="preserve"> Bank after the merger.</w:t>
      </w:r>
      <w:r w:rsidRPr="00A70C7D">
        <w:t xml:space="preserve"> </w:t>
      </w:r>
      <w:r>
        <w:t xml:space="preserve">Deng (2017) explained that a fully integrated management model ensured a comparatively high increase in profit for Ping </w:t>
      </w:r>
      <w:proofErr w:type="gramStart"/>
      <w:r>
        <w:t>An</w:t>
      </w:r>
      <w:proofErr w:type="gramEnd"/>
      <w:r>
        <w:t xml:space="preserve"> Group after the merger. All management strategies used by SDB before 2012 and PAB after 2012 are all under PAB’s name in the following contents.</w:t>
      </w:r>
    </w:p>
    <w:p w14:paraId="19FD0982" w14:textId="77777777" w:rsidR="00170360" w:rsidRDefault="00170360" w:rsidP="00170360">
      <w:pPr>
        <w:spacing w:line="276" w:lineRule="auto"/>
        <w:jc w:val="left"/>
      </w:pPr>
    </w:p>
    <w:p w14:paraId="1B626D1C" w14:textId="77777777" w:rsidR="00170360" w:rsidRDefault="00170360" w:rsidP="00170360">
      <w:pPr>
        <w:spacing w:line="276" w:lineRule="auto"/>
        <w:jc w:val="left"/>
      </w:pPr>
      <w:r w:rsidRPr="00D5665A">
        <w:t>While CMB was establishing the personal banking empire, PAB was trying to find a new way to operate the high-profitable corporate financing service</w:t>
      </w:r>
      <w:r>
        <w:t xml:space="preserve">. Instead of competing with every company, PAB aimed for a whole supply chain. A supply chain starts from purchasing raw materials, moving to intermediate products, and finally achieving to the end users. In traditional corporate banking business, the big company in a supply chain tend to be granted large amount but low-interest loan by banks. However, the upstream and small downstream companies face difficulties in financing. The reasons are mainly about two aspects. Firstly, the giant corporation in a supply chain usually purchases on credit and sells in cash in advance. Small businesses upstream and downstream must deal with funding chain problems due to comparatively weaker negotiating power in the supply chain. Secondly, these small companies are harder </w:t>
      </w:r>
      <w:r w:rsidRPr="00D5665A">
        <w:t>to apply for enough loans from banks and face</w:t>
      </w:r>
      <w:r>
        <w:t xml:space="preserve"> higher interest rates due to low credibility and poor collaterals. The supply chain could not achieve the best productivity traditionally.</w:t>
      </w:r>
    </w:p>
    <w:p w14:paraId="2A009D72" w14:textId="77777777" w:rsidR="00170360" w:rsidRDefault="00170360" w:rsidP="00170360">
      <w:pPr>
        <w:spacing w:line="276" w:lineRule="auto"/>
        <w:jc w:val="left"/>
      </w:pPr>
    </w:p>
    <w:p w14:paraId="74A4E2D2" w14:textId="77777777" w:rsidR="00170360" w:rsidRDefault="00170360" w:rsidP="00170360">
      <w:pPr>
        <w:spacing w:line="276" w:lineRule="auto"/>
        <w:jc w:val="left"/>
      </w:pPr>
      <w:r>
        <w:t xml:space="preserve">PAB invented a new model to run the supply chain by several steps. At first, PAB engineers designed and implemented a new computer system which could gather all parties in a long supply chain. This system allows banks and counterparties to trace the funding and inventories during the business. Second, PAB invites credible logistic businesses as the third party to the dealing, </w:t>
      </w:r>
      <w:proofErr w:type="gramStart"/>
      <w:r>
        <w:t>counting</w:t>
      </w:r>
      <w:proofErr w:type="gramEnd"/>
      <w:r>
        <w:t xml:space="preserve"> and stocking of inventories in the supply chain. Third, PAB defines the largest corporation as the core of a supply chain. The bank asks the core to use different ways to guarantee the upstream and downstream in the credit system. Bank offers better funding to the core in return. </w:t>
      </w:r>
      <w:r w:rsidRPr="00A70C7D">
        <w:t>Liu</w:t>
      </w:r>
      <w:r>
        <w:t xml:space="preserve"> </w:t>
      </w:r>
      <w:r w:rsidRPr="00A70C7D">
        <w:t>(2021)</w:t>
      </w:r>
      <w:r>
        <w:t xml:space="preserve"> showed that non-core companies could also generate more profits at lower costs in this banking model. Fourth, every document in the business should be uploaded to PAB in the PC system. PAB clear the upstream and downstream payments in time according to the documents and inventory status. Plus, PAB offers comparatively lower combined loans to the upstream and downstream by collateral the inventories. The business credits between supplier and purchaser become the banking credit between everyone and the bank. Once this system starts running, all concerned parties present documents and receive all funding online. Supply chain finance by PAB could apply to any industry.  PAB could acquire company clients from the supply chain by </w:t>
      </w:r>
      <w:r>
        <w:lastRenderedPageBreak/>
        <w:t xml:space="preserve">supply chain like wholesale. It costs much lower than doing business one company by one company. </w:t>
      </w:r>
    </w:p>
    <w:p w14:paraId="749E8C45" w14:textId="77777777" w:rsidR="00170360" w:rsidRDefault="00170360" w:rsidP="00170360">
      <w:pPr>
        <w:spacing w:line="276" w:lineRule="auto"/>
        <w:jc w:val="left"/>
      </w:pPr>
    </w:p>
    <w:p w14:paraId="0178282F" w14:textId="77777777" w:rsidR="00170360" w:rsidRDefault="00170360" w:rsidP="00170360">
      <w:pPr>
        <w:spacing w:line="276" w:lineRule="auto"/>
        <w:jc w:val="left"/>
      </w:pPr>
      <w:r>
        <w:t xml:space="preserve">Moreover, it is easier to do risk management group by group. </w:t>
      </w:r>
      <w:proofErr w:type="spellStart"/>
      <w:r w:rsidRPr="00A70C7D">
        <w:t>Abdymomunov</w:t>
      </w:r>
      <w:proofErr w:type="spellEnd"/>
      <w:r w:rsidRPr="00A70C7D">
        <w:t xml:space="preserve"> and </w:t>
      </w:r>
      <w:proofErr w:type="spellStart"/>
      <w:r w:rsidRPr="00A70C7D">
        <w:t>Mihov</w:t>
      </w:r>
      <w:proofErr w:type="spellEnd"/>
      <w:r w:rsidRPr="00A70C7D">
        <w:t xml:space="preserve"> (2019)</w:t>
      </w:r>
      <w:r>
        <w:t xml:space="preserve"> showed that the better a bank’s risk management, the better performance would create in the banking industry.</w:t>
      </w:r>
      <w:r w:rsidRPr="00A70C7D">
        <w:t xml:space="preserve"> </w:t>
      </w:r>
      <w:proofErr w:type="spellStart"/>
      <w:r w:rsidRPr="00A70C7D">
        <w:t>Stulz</w:t>
      </w:r>
      <w:proofErr w:type="spellEnd"/>
      <w:r w:rsidRPr="00A70C7D">
        <w:t xml:space="preserve"> (2022) </w:t>
      </w:r>
      <w:r>
        <w:t>expressed that risk management in banking is running a fitting risk rather than avoiding it by applying a suitable risk management system. This is a perfect case expressing the blue ocean strategy. PAB creates a new market and business model and enjoys high profits in the blue ocean. The unique IT system, the unique professional bankers, the unique risk managers, and even the unique funding ways. This is a high barrier to keeping other competitors from coming into this new market because PAB could gain more profits and offer much stronger salaries and bonuses to the specialists who run the supply chain business. Other banks using more than a decade trying to copy this business. However, as the PAB management model is also evolving, no competitor could achieve the same level as PAB in supply chain finance in China.</w:t>
      </w:r>
    </w:p>
    <w:p w14:paraId="79AA42F3" w14:textId="77777777" w:rsidR="00170360" w:rsidRDefault="00170360" w:rsidP="00170360">
      <w:pPr>
        <w:spacing w:line="276" w:lineRule="auto"/>
        <w:jc w:val="left"/>
      </w:pPr>
    </w:p>
    <w:p w14:paraId="13D7671B" w14:textId="77777777" w:rsidR="00170360" w:rsidRDefault="00170360" w:rsidP="00170360">
      <w:pPr>
        <w:spacing w:line="276" w:lineRule="auto"/>
        <w:jc w:val="left"/>
      </w:pPr>
      <w:r>
        <w:t xml:space="preserve">However, a severe problem has arisen in recent years. The problem is the conflict between Ping </w:t>
      </w:r>
      <w:proofErr w:type="gramStart"/>
      <w:r>
        <w:t>An</w:t>
      </w:r>
      <w:proofErr w:type="gramEnd"/>
      <w:r>
        <w:t xml:space="preserve"> group’s cultural context and PAB’s supply chain finance professional requirements. The concept of corporate culture refers to how the employees act and how the management system runs in business for a company</w:t>
      </w:r>
      <w:r w:rsidRPr="001C5820">
        <w:t xml:space="preserve"> </w:t>
      </w:r>
      <w:r>
        <w:t>(</w:t>
      </w:r>
      <w:r w:rsidRPr="001C5820">
        <w:t>Yamashita</w:t>
      </w:r>
      <w:r>
        <w:t xml:space="preserve">, </w:t>
      </w:r>
      <w:r w:rsidRPr="001C5820">
        <w:t>2018)</w:t>
      </w:r>
      <w:r>
        <w:t>.</w:t>
      </w:r>
      <w:r w:rsidRPr="001C5820">
        <w:t xml:space="preserve"> </w:t>
      </w:r>
      <w:r>
        <w:t xml:space="preserve">He &amp; Lan (2013) explained that the aggressive culture of China’s insurance companies originated from the high industry standardisation and service similarity. Ping </w:t>
      </w:r>
      <w:proofErr w:type="gramStart"/>
      <w:r>
        <w:t>An</w:t>
      </w:r>
      <w:proofErr w:type="gramEnd"/>
      <w:r>
        <w:t xml:space="preserve"> Group started in the insurance industry, a highly standardised, low hiring requirement, fully competitive industry in China. Ping, </w:t>
      </w:r>
      <w:proofErr w:type="gramStart"/>
      <w:r>
        <w:t>An</w:t>
      </w:r>
      <w:proofErr w:type="gramEnd"/>
      <w:r>
        <w:t xml:space="preserve"> group applied a very aggressive culture in all aspects. In marketing, Ping </w:t>
      </w:r>
      <w:proofErr w:type="gramStart"/>
      <w:r>
        <w:t>An</w:t>
      </w:r>
      <w:proofErr w:type="gramEnd"/>
      <w:r>
        <w:t xml:space="preserve"> Group uses powerful ways to obtain customers, like keep calling an individual until he or she becomes a customer of Ping An. In personnel management, Ping An only considers the outcome, not the process. Ping An created the most competitive atmosphere inside the company and outside the market. Ping An would sack employees unable to achieve the business volume in only three months short term while offering the most tempting bonus for those who get done the business successfully. However, the Supply Chain Finance run by PAB requires a long time of professional preparation of a large group of specialists until the profit finally comes out. Ping, </w:t>
      </w:r>
      <w:proofErr w:type="gramStart"/>
      <w:r>
        <w:t>An</w:t>
      </w:r>
      <w:proofErr w:type="gramEnd"/>
      <w:r>
        <w:t xml:space="preserve"> group, tried to manage the bank separately from the insurance sector, but intense personnel flow between PAB and insurance companies inside the group made managing separately impossible. </w:t>
      </w:r>
      <w:r w:rsidRPr="00D5665A">
        <w:t>Because of the aggressive insurance cultural context, more key specialists jump to other banks</w:t>
      </w:r>
      <w:r>
        <w:t xml:space="preserve">. This is a severe signal to PAB. </w:t>
      </w:r>
    </w:p>
    <w:p w14:paraId="499B3B5E" w14:textId="77777777" w:rsidR="00170360" w:rsidRDefault="00170360" w:rsidP="00170360">
      <w:pPr>
        <w:spacing w:line="276" w:lineRule="auto"/>
        <w:jc w:val="left"/>
      </w:pPr>
    </w:p>
    <w:p w14:paraId="634166B4" w14:textId="77777777" w:rsidR="00170360" w:rsidRDefault="00170360" w:rsidP="00170360">
      <w:pPr>
        <w:spacing w:line="276" w:lineRule="auto"/>
        <w:jc w:val="left"/>
      </w:pPr>
      <w:r>
        <w:lastRenderedPageBreak/>
        <w:t xml:space="preserve">Furthermore, the mixed integrated finance business PAB involved is not running well. For Ping </w:t>
      </w:r>
      <w:proofErr w:type="gramStart"/>
      <w:r>
        <w:t>An</w:t>
      </w:r>
      <w:proofErr w:type="gramEnd"/>
      <w:r>
        <w:t xml:space="preserve"> Bank, The benefits of group support may not exceed the harm generated by the culture conflicts after joining the Ping An Group. Wen (2019) explained that for mixed financial holdings in China, the mixed integrated financing service stays in the junior stage through cross-marketing. Cooperation among different sectors inside the group is difficult. </w:t>
      </w:r>
      <w:r w:rsidRPr="00A70C7D">
        <w:t xml:space="preserve">Kunz and </w:t>
      </w:r>
      <w:proofErr w:type="spellStart"/>
      <w:r w:rsidRPr="00A70C7D">
        <w:t>Heitz</w:t>
      </w:r>
      <w:proofErr w:type="spellEnd"/>
      <w:r w:rsidRPr="00A70C7D">
        <w:t xml:space="preserve"> (2021) </w:t>
      </w:r>
      <w:r>
        <w:t xml:space="preserve">concluded that an unsuitable culture would bring relevant banks more systematic risk exposure. </w:t>
      </w:r>
      <w:r w:rsidRPr="00A70C7D">
        <w:t xml:space="preserve">Tong and </w:t>
      </w:r>
      <w:proofErr w:type="gramStart"/>
      <w:r w:rsidRPr="00A70C7D">
        <w:t xml:space="preserve">Li </w:t>
      </w:r>
      <w:r>
        <w:t xml:space="preserve"> </w:t>
      </w:r>
      <w:r w:rsidRPr="00A70C7D">
        <w:t>(</w:t>
      </w:r>
      <w:proofErr w:type="gramEnd"/>
      <w:r w:rsidRPr="00A70C7D">
        <w:t>2021)</w:t>
      </w:r>
      <w:r>
        <w:t xml:space="preserve"> explain </w:t>
      </w:r>
      <w:r w:rsidRPr="00D5665A">
        <w:t>that the bilateral restraint in borrowing decisions between parent and subsidiary could happen in mixed financial groups, leading</w:t>
      </w:r>
      <w:r>
        <w:t xml:space="preserve"> to lower funds efficiency. Wang, Wen and Zhong (2022) used empirical methods to challenge the mixed-integrated financial business run by Ping </w:t>
      </w:r>
      <w:proofErr w:type="gramStart"/>
      <w:r>
        <w:t>An</w:t>
      </w:r>
      <w:proofErr w:type="gramEnd"/>
      <w:r>
        <w:t xml:space="preserve"> group. They conclude that sharing the same back desk support of the banking and insurance sectors is at a high management cost. </w:t>
      </w:r>
    </w:p>
    <w:p w14:paraId="5F0DF443" w14:textId="77777777" w:rsidR="00170360" w:rsidRDefault="00170360" w:rsidP="00170360">
      <w:pPr>
        <w:spacing w:line="276" w:lineRule="auto"/>
        <w:jc w:val="left"/>
      </w:pPr>
    </w:p>
    <w:p w14:paraId="35608542" w14:textId="77777777" w:rsidR="00170360" w:rsidRDefault="00170360" w:rsidP="00170360">
      <w:pPr>
        <w:pStyle w:val="1"/>
        <w:spacing w:line="276" w:lineRule="auto"/>
      </w:pPr>
      <w:bookmarkStart w:id="17" w:name="_Hlk122130238"/>
      <w:bookmarkStart w:id="18" w:name="_Toc122467196"/>
      <w:r>
        <w:t>Part 3 The impact of AI technology on finance and economy</w:t>
      </w:r>
      <w:bookmarkEnd w:id="18"/>
    </w:p>
    <w:p w14:paraId="52E5036D" w14:textId="77777777" w:rsidR="00170360" w:rsidRPr="00026B1F" w:rsidRDefault="00170360" w:rsidP="00170360">
      <w:pPr>
        <w:spacing w:line="276" w:lineRule="auto"/>
      </w:pPr>
    </w:p>
    <w:p w14:paraId="36C14D42" w14:textId="77777777" w:rsidR="00170360" w:rsidRDefault="00170360" w:rsidP="00170360">
      <w:pPr>
        <w:pStyle w:val="2"/>
        <w:spacing w:line="276" w:lineRule="auto"/>
      </w:pPr>
      <w:bookmarkStart w:id="19" w:name="_Toc122467197"/>
      <w:r>
        <w:t>3.1 Conceptual Framework and Literature review</w:t>
      </w:r>
      <w:bookmarkEnd w:id="19"/>
    </w:p>
    <w:p w14:paraId="30BD9C98" w14:textId="77777777" w:rsidR="00170360" w:rsidRDefault="00170360" w:rsidP="00170360">
      <w:pPr>
        <w:pStyle w:val="3"/>
      </w:pPr>
    </w:p>
    <w:p w14:paraId="752D2EDC" w14:textId="77777777" w:rsidR="00170360" w:rsidRDefault="00170360" w:rsidP="00170360">
      <w:pPr>
        <w:pStyle w:val="3"/>
      </w:pPr>
      <w:bookmarkStart w:id="20" w:name="_Toc122467198"/>
      <w:r>
        <w:t>3.1.1 Concepts of AI</w:t>
      </w:r>
      <w:bookmarkEnd w:id="20"/>
    </w:p>
    <w:p w14:paraId="616B9E3D" w14:textId="77777777" w:rsidR="00170360" w:rsidRPr="00FA7899" w:rsidRDefault="00170360" w:rsidP="00170360"/>
    <w:p w14:paraId="78A26EC9" w14:textId="77777777" w:rsidR="00170360" w:rsidRDefault="00170360" w:rsidP="00170360">
      <w:pPr>
        <w:spacing w:line="276" w:lineRule="auto"/>
      </w:pPr>
      <w:r>
        <w:t xml:space="preserve">The concept of AI has evolved over the last decades. Artificial intelligence (AI) is defined by ‘the father of AI’ </w:t>
      </w:r>
      <w:proofErr w:type="spellStart"/>
      <w:r>
        <w:t>Macarthy</w:t>
      </w:r>
      <w:proofErr w:type="spellEnd"/>
      <w:r>
        <w:t xml:space="preserve"> (2004) as </w:t>
      </w:r>
      <w:r w:rsidRPr="009F265F">
        <w:t xml:space="preserve">the science and engineering of making intelligent machines </w:t>
      </w:r>
      <w:r>
        <w:t>and brilliant</w:t>
      </w:r>
      <w:r w:rsidRPr="009F265F">
        <w:t xml:space="preserve"> computer programs. It is related to the similar task of using computers to understand human intelligence, but artificial intelligence need not be limited to biologically observable methods</w:t>
      </w:r>
      <w:r>
        <w:t>. Another co-founder of AI technology</w:t>
      </w:r>
      <w:r w:rsidRPr="00C31731">
        <w:t>, Minsky (1988), define</w:t>
      </w:r>
      <w:r>
        <w:t>d</w:t>
      </w:r>
      <w:r w:rsidRPr="00C31731">
        <w:t xml:space="preserve"> computers' ability to solve complex problems </w:t>
      </w:r>
      <w:r>
        <w:t>as</w:t>
      </w:r>
      <w:r w:rsidRPr="00C31731">
        <w:t xml:space="preserve"> artificial intelligence</w:t>
      </w:r>
      <w:r>
        <w:t>. Recently,</w:t>
      </w:r>
      <w:r w:rsidRPr="008134CA">
        <w:t xml:space="preserve"> Russell et al. (2022) </w:t>
      </w:r>
      <w:r>
        <w:t>defined</w:t>
      </w:r>
      <w:r w:rsidRPr="008134CA">
        <w:t xml:space="preserve"> AI as four aspects, systems thinking like humans, systems acting like humans, systems </w:t>
      </w:r>
      <w:r>
        <w:t>reasoning</w:t>
      </w:r>
      <w:r w:rsidRPr="008134CA">
        <w:t xml:space="preserve"> and systems acting rationally, as an evolution of the previous definition.</w:t>
      </w:r>
    </w:p>
    <w:p w14:paraId="0A81130D" w14:textId="77777777" w:rsidR="00170360" w:rsidRDefault="00170360" w:rsidP="00170360">
      <w:pPr>
        <w:spacing w:line="276" w:lineRule="auto"/>
      </w:pPr>
      <w:r>
        <w:t xml:space="preserve"> </w:t>
      </w:r>
    </w:p>
    <w:p w14:paraId="14C4A148" w14:textId="77777777" w:rsidR="00170360" w:rsidRPr="008373D2" w:rsidRDefault="00170360" w:rsidP="00170360">
      <w:pPr>
        <w:pStyle w:val="3"/>
        <w:spacing w:line="276" w:lineRule="auto"/>
      </w:pPr>
      <w:bookmarkStart w:id="21" w:name="_Toc122467199"/>
      <w:r w:rsidRPr="008373D2">
        <w:t>3.1.2 Introduction of AI in the finance and economy</w:t>
      </w:r>
      <w:bookmarkEnd w:id="21"/>
    </w:p>
    <w:p w14:paraId="566C0C8A" w14:textId="77777777" w:rsidR="00170360" w:rsidRPr="00FA7899" w:rsidRDefault="00170360" w:rsidP="00170360">
      <w:pPr>
        <w:spacing w:line="276" w:lineRule="auto"/>
      </w:pPr>
    </w:p>
    <w:p w14:paraId="0A29EB9E" w14:textId="77777777" w:rsidR="00170360" w:rsidRDefault="00170360" w:rsidP="00170360">
      <w:pPr>
        <w:spacing w:line="276" w:lineRule="auto"/>
      </w:pPr>
      <w:r>
        <w:t xml:space="preserve">The massive expansion of the internet and technology sector, and the establishment of internet finance (Cao, 2020), have led to financial data processing methods that go beyond traditional statistical methods and incorporate lopping data processing techniques such as machine learning of artificial intelligence (Mhlanga, 2020). </w:t>
      </w:r>
      <w:r w:rsidRPr="00FA093B">
        <w:t xml:space="preserve">For example, a predictive model was constructed for performance measurement problems </w:t>
      </w:r>
      <w:r w:rsidRPr="00FA093B">
        <w:lastRenderedPageBreak/>
        <w:t xml:space="preserve">using support vector regression methods and </w:t>
      </w:r>
      <w:r>
        <w:t>AI machine learning</w:t>
      </w:r>
      <w:r w:rsidRPr="00FA093B">
        <w:t xml:space="preserve"> for time series models</w:t>
      </w:r>
      <w:r>
        <w:t>. This may improve the accuracy of forecasting and financial data analysis. AI finance is a term that combines AI technology with finance (</w:t>
      </w:r>
      <w:proofErr w:type="spellStart"/>
      <w:r>
        <w:t>Danelsson</w:t>
      </w:r>
      <w:proofErr w:type="spellEnd"/>
      <w:r>
        <w:t xml:space="preserve">, Macrae, &amp; </w:t>
      </w:r>
      <w:proofErr w:type="spellStart"/>
      <w:r>
        <w:t>Uthemann</w:t>
      </w:r>
      <w:proofErr w:type="spellEnd"/>
      <w:r>
        <w:t xml:space="preserve">, 2022). The development of freely accessible digital financial systems and the expansion of the breadth and depth of financial products are two ways in which AI finance can significantly enhance the efficiency of banking services. Cao (2022) also indicates that financial institutions can employ face recognition technology </w:t>
      </w:r>
      <w:r w:rsidRPr="002918B8">
        <w:t>to verify the identity of customers using AI finance remotely</w:t>
      </w:r>
      <w:r>
        <w:t>. Figure 3.1 below shows the related factors of AI’s impacts on finance and the economy and the structure of this part of the report.</w:t>
      </w:r>
    </w:p>
    <w:p w14:paraId="0540CBF1" w14:textId="77777777" w:rsidR="00170360" w:rsidRDefault="00170360" w:rsidP="00170360">
      <w:pPr>
        <w:spacing w:line="276" w:lineRule="auto"/>
      </w:pPr>
    </w:p>
    <w:p w14:paraId="21DC913A" w14:textId="77777777" w:rsidR="00170360" w:rsidRDefault="00170360" w:rsidP="00170360">
      <w:pPr>
        <w:spacing w:line="276" w:lineRule="auto"/>
      </w:pPr>
      <w:r>
        <w:rPr>
          <w:noProof/>
        </w:rPr>
        <mc:AlternateContent>
          <mc:Choice Requires="wps">
            <w:drawing>
              <wp:anchor distT="0" distB="0" distL="114300" distR="114300" simplePos="0" relativeHeight="251677696" behindDoc="0" locked="0" layoutInCell="1" allowOverlap="1" wp14:anchorId="7EE165CD" wp14:editId="280B7717">
                <wp:simplePos x="0" y="0"/>
                <wp:positionH relativeFrom="column">
                  <wp:posOffset>2513965</wp:posOffset>
                </wp:positionH>
                <wp:positionV relativeFrom="paragraph">
                  <wp:posOffset>48260</wp:posOffset>
                </wp:positionV>
                <wp:extent cx="1840865" cy="635000"/>
                <wp:effectExtent l="0" t="0" r="26035" b="12700"/>
                <wp:wrapSquare wrapText="bothSides"/>
                <wp:docPr id="22" name="文本框 22"/>
                <wp:cNvGraphicFramePr/>
                <a:graphic xmlns:a="http://schemas.openxmlformats.org/drawingml/2006/main">
                  <a:graphicData uri="http://schemas.microsoft.com/office/word/2010/wordprocessingShape">
                    <wps:wsp>
                      <wps:cNvSpPr txBox="1"/>
                      <wps:spPr>
                        <a:xfrm>
                          <a:off x="0" y="0"/>
                          <a:ext cx="1840865" cy="635000"/>
                        </a:xfrm>
                        <a:prstGeom prst="rect">
                          <a:avLst/>
                        </a:prstGeom>
                        <a:solidFill>
                          <a:srgbClr val="FFFFFF"/>
                        </a:solidFill>
                        <a:ln w="9525">
                          <a:solidFill>
                            <a:srgbClr val="000000"/>
                          </a:solidFill>
                          <a:miter lim="800000"/>
                          <a:headEnd/>
                          <a:tailEnd/>
                        </a:ln>
                      </wps:spPr>
                      <wps:txbx>
                        <w:txbxContent>
                          <w:p w14:paraId="71A62DEC" w14:textId="77777777" w:rsidR="00170360" w:rsidRDefault="00170360" w:rsidP="00170360">
                            <w:r>
                              <w:t>Quantitative method dominant in research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EE165CD" id="_x0000_t202" coordsize="21600,21600" o:spt="202" path="m,l,21600r21600,l21600,xe">
                <v:stroke joinstyle="miter"/>
                <v:path gradientshapeok="t" o:connecttype="rect"/>
              </v:shapetype>
              <v:shape id="文本框 22" o:spid="_x0000_s1026" type="#_x0000_t202" style="position:absolute;left:0;text-align:left;margin-left:197.95pt;margin-top:3.8pt;width:144.95pt;height:50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">
                <v:textbox>
                  <w:txbxContent>
                    <w:p w14:paraId="71A62DEC" w14:textId="77777777" w:rsidR="00170360" w:rsidRDefault="00170360" w:rsidP="00170360">
                      <w:r>
                        <w:t>Quantitative method dominant in research</w:t>
                      </w:r>
                    </w:p>
                  </w:txbxContent>
                </v:textbox>
                <w10:wrap type="square"/>
              </v:shape>
            </w:pict>
          </mc:Fallback>
        </mc:AlternateContent>
      </w:r>
      <w:r>
        <w:rPr>
          <w:noProof/>
        </w:rPr>
        <mc:AlternateContent>
          <mc:Choice Requires="wps">
            <w:drawing>
              <wp:anchor distT="0" distB="0" distL="114300" distR="114300" simplePos="0" relativeHeight="251676672" behindDoc="0" locked="0" layoutInCell="1" allowOverlap="1" wp14:anchorId="5AE46C85" wp14:editId="082408E1">
                <wp:simplePos x="0" y="0"/>
                <wp:positionH relativeFrom="column">
                  <wp:posOffset>743303</wp:posOffset>
                </wp:positionH>
                <wp:positionV relativeFrom="paragraph">
                  <wp:posOffset>0</wp:posOffset>
                </wp:positionV>
                <wp:extent cx="1540510" cy="711200"/>
                <wp:effectExtent l="0" t="0" r="21590" b="12700"/>
                <wp:wrapSquare wrapText="bothSides"/>
                <wp:docPr id="21" name="文本框 21"/>
                <wp:cNvGraphicFramePr/>
                <a:graphic xmlns:a="http://schemas.openxmlformats.org/drawingml/2006/main">
                  <a:graphicData uri="http://schemas.microsoft.com/office/word/2010/wordprocessingShape">
                    <wps:wsp>
                      <wps:cNvSpPr txBox="1"/>
                      <wps:spPr>
                        <a:xfrm>
                          <a:off x="0" y="0"/>
                          <a:ext cx="1540510" cy="711200"/>
                        </a:xfrm>
                        <a:prstGeom prst="rect">
                          <a:avLst/>
                        </a:prstGeom>
                        <a:solidFill>
                          <a:srgbClr val="FFFFFF"/>
                        </a:solidFill>
                        <a:ln w="9525">
                          <a:solidFill>
                            <a:srgbClr val="000000"/>
                          </a:solidFill>
                          <a:miter lim="800000"/>
                          <a:headEnd/>
                          <a:tailEnd/>
                        </a:ln>
                      </wps:spPr>
                      <wps:txbx>
                        <w:txbxContent>
                          <w:p w14:paraId="23C7CF07" w14:textId="77777777" w:rsidR="00170360" w:rsidRDefault="00170360" w:rsidP="00170360">
                            <w:r>
                              <w:t>Positivist/Post-positivist dominant in this field</w:t>
                            </w:r>
                            <w:r>
                              <w:rPr>
                                <w:rFonts w:hint="eastAsia"/>
                              </w:rPr>
                              <w:t>.</w:t>
                            </w:r>
                            <w: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AE46C85" id="文本框 21" o:spid="_x0000_s1027" type="#_x0000_t202" style="position:absolute;left:0;text-align:left;margin-left:58.55pt;margin-top:0;width:121.3pt;height:56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">
                <v:textbox>
                  <w:txbxContent>
                    <w:p w14:paraId="23C7CF07" w14:textId="77777777" w:rsidR="00170360" w:rsidRDefault="00170360" w:rsidP="00170360">
                      <w:r>
                        <w:t>Positivist/Post-positivist dominant in this field</w:t>
                      </w:r>
                      <w:r>
                        <w:rPr>
                          <w:rFonts w:hint="eastAsia"/>
                        </w:rPr>
                        <w:t>.</w:t>
                      </w:r>
                      <w:r>
                        <w:t xml:space="preserve"> </w:t>
                      </w:r>
                    </w:p>
                  </w:txbxContent>
                </v:textbox>
                <w10:wrap type="square"/>
              </v:shape>
            </w:pict>
          </mc:Fallback>
        </mc:AlternateContent>
      </w:r>
    </w:p>
    <w:p w14:paraId="25BC2C26" w14:textId="77777777" w:rsidR="00170360" w:rsidRDefault="00170360" w:rsidP="00170360">
      <w:pPr>
        <w:spacing w:line="276" w:lineRule="auto"/>
      </w:pPr>
      <w:r>
        <w:rPr>
          <w:noProof/>
        </w:rPr>
        <mc:AlternateContent>
          <mc:Choice Requires="wps">
            <w:drawing>
              <wp:anchor distT="0" distB="0" distL="114300" distR="114300" simplePos="0" relativeHeight="251666432" behindDoc="0" locked="0" layoutInCell="1" allowOverlap="1" wp14:anchorId="69755C0E" wp14:editId="56596764">
                <wp:simplePos x="0" y="0"/>
                <wp:positionH relativeFrom="margin">
                  <wp:posOffset>-1040765</wp:posOffset>
                </wp:positionH>
                <wp:positionV relativeFrom="paragraph">
                  <wp:posOffset>401320</wp:posOffset>
                </wp:positionV>
                <wp:extent cx="1908810" cy="685165"/>
                <wp:effectExtent l="0" t="0" r="15240" b="19685"/>
                <wp:wrapSquare wrapText="bothSides"/>
                <wp:docPr id="11" name="文本框 11"/>
                <wp:cNvGraphicFramePr/>
                <a:graphic xmlns:a="http://schemas.openxmlformats.org/drawingml/2006/main">
                  <a:graphicData uri="http://schemas.microsoft.com/office/word/2010/wordprocessingShape">
                    <wps:wsp>
                      <wps:cNvSpPr txBox="1"/>
                      <wps:spPr>
                        <a:xfrm>
                          <a:off x="0" y="0"/>
                          <a:ext cx="1908810" cy="685165"/>
                        </a:xfrm>
                        <a:prstGeom prst="rect">
                          <a:avLst/>
                        </a:prstGeom>
                        <a:solidFill>
                          <a:srgbClr val="FFFFFF"/>
                        </a:solidFill>
                        <a:ln w="9525">
                          <a:solidFill>
                            <a:srgbClr val="000000"/>
                          </a:solidFill>
                          <a:miter lim="800000"/>
                          <a:headEnd/>
                          <a:tailEnd/>
                        </a:ln>
                      </wps:spPr>
                      <wps:txbx>
                        <w:txbxContent>
                          <w:p w14:paraId="08F59953" w14:textId="77777777" w:rsidR="00170360" w:rsidRDefault="00170360" w:rsidP="00170360">
                            <w:r>
                              <w:t>Impact on the macro economy by adoption speed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9755C0E" id="文本框 11" o:spid="_x0000_s1028" type="#_x0000_t202" style="position:absolute;left:0;text-align:left;margin-left:-81.95pt;margin-top:31.6pt;width:150.3pt;height:53.95pt;z-index:2516664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">
                <v:textbox>
                  <w:txbxContent>
                    <w:p w14:paraId="08F59953" w14:textId="77777777" w:rsidR="00170360" w:rsidRDefault="00170360" w:rsidP="00170360">
                      <w:r>
                        <w:t>Impact on the macro economy by adoption speed</w:t>
                      </w:r>
                    </w:p>
                  </w:txbxContent>
                </v:textbox>
                <w10:wrap type="square" anchorx="margin"/>
              </v:shape>
            </w:pict>
          </mc:Fallback>
        </mc:AlternateContent>
      </w:r>
      <w:r>
        <w:rPr>
          <w:noProof/>
        </w:rPr>
        <mc:AlternateContent>
          <mc:Choice Requires="wps">
            <w:drawing>
              <wp:anchor distT="0" distB="0" distL="114300" distR="114300" simplePos="0" relativeHeight="251660288" behindDoc="0" locked="0" layoutInCell="1" allowOverlap="1" wp14:anchorId="3EE04D28" wp14:editId="3DFCCB9A">
                <wp:simplePos x="0" y="0"/>
                <wp:positionH relativeFrom="column">
                  <wp:posOffset>4714875</wp:posOffset>
                </wp:positionH>
                <wp:positionV relativeFrom="paragraph">
                  <wp:posOffset>330835</wp:posOffset>
                </wp:positionV>
                <wp:extent cx="1413510" cy="571500"/>
                <wp:effectExtent l="0" t="0" r="15240" b="19050"/>
                <wp:wrapSquare wrapText="bothSides"/>
                <wp:docPr id="1" name="文本框 1"/>
                <wp:cNvGraphicFramePr/>
                <a:graphic xmlns:a="http://schemas.openxmlformats.org/drawingml/2006/main">
                  <a:graphicData uri="http://schemas.microsoft.com/office/word/2010/wordprocessingShape">
                    <wps:wsp>
                      <wps:cNvSpPr txBox="1"/>
                      <wps:spPr>
                        <a:xfrm>
                          <a:off x="0" y="0"/>
                          <a:ext cx="1413510" cy="571500"/>
                        </a:xfrm>
                        <a:prstGeom prst="rect">
                          <a:avLst/>
                        </a:prstGeom>
                        <a:solidFill>
                          <a:srgbClr val="FFFFFF"/>
                        </a:solidFill>
                        <a:ln w="9525">
                          <a:solidFill>
                            <a:srgbClr val="000000"/>
                          </a:solidFill>
                          <a:miter lim="800000"/>
                          <a:headEnd/>
                          <a:tailEnd/>
                        </a:ln>
                      </wps:spPr>
                      <wps:txbx>
                        <w:txbxContent>
                          <w:p w14:paraId="30D56391" w14:textId="77777777" w:rsidR="00170360" w:rsidRDefault="00170360" w:rsidP="00170360">
                            <w:r>
                              <w:t>Intelligent computer programme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EE04D28" id="文本框 1" o:spid="_x0000_s1029" type="#_x0000_t202" style="position:absolute;left:0;text-align:left;margin-left:371.25pt;margin-top:26.05pt;width:111.3pt;height: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">
                <v:textbox>
                  <w:txbxContent>
                    <w:p w14:paraId="30D56391" w14:textId="77777777" w:rsidR="00170360" w:rsidRDefault="00170360" w:rsidP="00170360">
                      <w:r>
                        <w:t>Intelligent computer programme</w:t>
                      </w:r>
                    </w:p>
                  </w:txbxContent>
                </v:textbox>
                <w10:wrap type="square"/>
              </v:shape>
            </w:pict>
          </mc:Fallback>
        </mc:AlternateContent>
      </w:r>
    </w:p>
    <w:p w14:paraId="3EF66B9F" w14:textId="77777777" w:rsidR="00170360" w:rsidRDefault="00170360" w:rsidP="00170360">
      <w:pPr>
        <w:spacing w:line="276" w:lineRule="auto"/>
      </w:pPr>
      <w:r>
        <w:rPr>
          <w:noProof/>
        </w:rPr>
        <mc:AlternateContent>
          <mc:Choice Requires="wps">
            <w:drawing>
              <wp:anchor distT="0" distB="0" distL="114300" distR="114300" simplePos="0" relativeHeight="251679744" behindDoc="0" locked="0" layoutInCell="1" allowOverlap="1" wp14:anchorId="261BA525" wp14:editId="0D9B39E3">
                <wp:simplePos x="0" y="0"/>
                <wp:positionH relativeFrom="column">
                  <wp:posOffset>2675411</wp:posOffset>
                </wp:positionH>
                <wp:positionV relativeFrom="paragraph">
                  <wp:posOffset>34912</wp:posOffset>
                </wp:positionV>
                <wp:extent cx="353060" cy="631190"/>
                <wp:effectExtent l="38100" t="38100" r="66040" b="54610"/>
                <wp:wrapNone/>
                <wp:docPr id="25" name="直接箭头连接符 25"/>
                <wp:cNvGraphicFramePr/>
                <a:graphic xmlns:a="http://schemas.openxmlformats.org/drawingml/2006/main">
                  <a:graphicData uri="http://schemas.microsoft.com/office/word/2010/wordprocessingShape">
                    <wps:wsp>
                      <wps:cNvCnPr/>
                      <wps:spPr>
                        <a:xfrm flipH="1">
                          <a:off x="0" y="0"/>
                          <a:ext cx="353060" cy="631190"/>
                        </a:xfrm>
                        <a:prstGeom prst="straightConnector1">
                          <a:avLst/>
                        </a:prstGeom>
                        <a:ln>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36AFBDFE" id="_x0000_t32" coordsize="21600,21600" o:spt="32" o:oned="t" path="m,l21600,21600e" filled="f">
                <v:path arrowok="t" fillok="f" o:connecttype="none"/>
                <o:lock v:ext="edit" shapetype="t"/>
              </v:shapetype>
              <v:shape id="直接箭头连接符 25" o:spid="_x0000_s1026" type="#_x0000_t32" style="position:absolute;margin-left:210.65pt;margin-top:2.75pt;width:27.8pt;height:49.7pt;flip:x;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" strokecolor="#4472c4 [3204]" strokeweight=".5pt">
                <v:stroke startarrow="block" endarrow="block" joinstyle="miter"/>
              </v:shape>
            </w:pict>
          </mc:Fallback>
        </mc:AlternateContent>
      </w:r>
      <w:r>
        <w:rPr>
          <w:noProof/>
        </w:rPr>
        <mc:AlternateContent>
          <mc:Choice Requires="wps">
            <w:drawing>
              <wp:anchor distT="0" distB="0" distL="114300" distR="114300" simplePos="0" relativeHeight="251678720" behindDoc="0" locked="0" layoutInCell="1" allowOverlap="1" wp14:anchorId="17086AD8" wp14:editId="38F7AED8">
                <wp:simplePos x="0" y="0"/>
                <wp:positionH relativeFrom="column">
                  <wp:posOffset>1721393</wp:posOffset>
                </wp:positionH>
                <wp:positionV relativeFrom="paragraph">
                  <wp:posOffset>44450</wp:posOffset>
                </wp:positionV>
                <wp:extent cx="108595" cy="578020"/>
                <wp:effectExtent l="57150" t="38100" r="62865" b="50800"/>
                <wp:wrapNone/>
                <wp:docPr id="24" name="直接箭头连接符 24"/>
                <wp:cNvGraphicFramePr/>
                <a:graphic xmlns:a="http://schemas.openxmlformats.org/drawingml/2006/main">
                  <a:graphicData uri="http://schemas.microsoft.com/office/word/2010/wordprocessingShape">
                    <wps:wsp>
                      <wps:cNvCnPr/>
                      <wps:spPr>
                        <a:xfrm>
                          <a:off x="0" y="0"/>
                          <a:ext cx="108595" cy="578020"/>
                        </a:xfrm>
                        <a:prstGeom prst="straightConnector1">
                          <a:avLst/>
                        </a:prstGeom>
                        <a:ln>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F0AD325" id="直接箭头连接符 24" o:spid="_x0000_s1026" type="#_x0000_t32" style="position:absolute;margin-left:135.55pt;margin-top:3.5pt;width:8.55pt;height:45.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" strokecolor="#4472c4 [3204]" strokeweight=".5pt">
                <v:stroke startarrow="block" endarrow="block" joinstyle="miter"/>
              </v:shape>
            </w:pict>
          </mc:Fallback>
        </mc:AlternateContent>
      </w:r>
    </w:p>
    <w:p w14:paraId="0E8B86FC" w14:textId="77777777" w:rsidR="00170360" w:rsidRDefault="00170360" w:rsidP="00170360">
      <w:pPr>
        <w:spacing w:line="276" w:lineRule="auto"/>
      </w:pPr>
      <w:r>
        <w:rPr>
          <w:noProof/>
        </w:rPr>
        <mc:AlternateContent>
          <mc:Choice Requires="wps">
            <w:drawing>
              <wp:anchor distT="45720" distB="45720" distL="114300" distR="114300" simplePos="0" relativeHeight="251680768" behindDoc="0" locked="0" layoutInCell="1" allowOverlap="1" wp14:anchorId="10FB6E29" wp14:editId="18BDDEA2">
                <wp:simplePos x="0" y="0"/>
                <wp:positionH relativeFrom="column">
                  <wp:posOffset>3159760</wp:posOffset>
                </wp:positionH>
                <wp:positionV relativeFrom="paragraph">
                  <wp:posOffset>6350</wp:posOffset>
                </wp:positionV>
                <wp:extent cx="1065530" cy="473710"/>
                <wp:effectExtent l="0" t="0" r="20320" b="21590"/>
                <wp:wrapSquare wrapText="bothSides"/>
                <wp:docPr id="5" name="文本框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65530" cy="473710"/>
                        </a:xfrm>
                        <a:prstGeom prst="rect">
                          <a:avLst/>
                        </a:prstGeom>
                        <a:solidFill>
                          <a:srgbClr val="FFFFFF"/>
                        </a:solidFill>
                        <a:ln w="9525">
                          <a:solidFill>
                            <a:srgbClr val="000000"/>
                          </a:solidFill>
                          <a:miter lim="800000"/>
                          <a:headEnd/>
                          <a:tailEnd/>
                        </a:ln>
                      </wps:spPr>
                      <wps:txbx>
                        <w:txbxContent>
                          <w:p w14:paraId="54789916" w14:textId="77777777" w:rsidR="00170360" w:rsidRDefault="00170360" w:rsidP="00170360">
                            <w:r>
                              <w:t>Concepts of AI</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0FB6E29" id="文本框 2" o:spid="_x0000_s1030" type="#_x0000_t202" style="position:absolute;left:0;text-align:left;margin-left:248.8pt;margin-top:.5pt;width:83.9pt;height:37.3pt;z-index:25168076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">
                <v:textbox>
                  <w:txbxContent>
                    <w:p w14:paraId="54789916" w14:textId="77777777" w:rsidR="00170360" w:rsidRDefault="00170360" w:rsidP="00170360">
                      <w:r>
                        <w:t>Concepts of AI</w:t>
                      </w:r>
                    </w:p>
                  </w:txbxContent>
                </v:textbox>
                <w10:wrap type="square"/>
              </v:shape>
            </w:pict>
          </mc:Fallback>
        </mc:AlternateContent>
      </w:r>
      <w:r>
        <w:rPr>
          <w:noProof/>
        </w:rPr>
        <mc:AlternateContent>
          <mc:Choice Requires="wps">
            <w:drawing>
              <wp:anchor distT="0" distB="0" distL="114300" distR="114300" simplePos="0" relativeHeight="251661312" behindDoc="0" locked="0" layoutInCell="1" allowOverlap="1" wp14:anchorId="4712A81F" wp14:editId="31C87ABD">
                <wp:simplePos x="0" y="0"/>
                <wp:positionH relativeFrom="column">
                  <wp:posOffset>4709795</wp:posOffset>
                </wp:positionH>
                <wp:positionV relativeFrom="paragraph">
                  <wp:posOffset>249555</wp:posOffset>
                </wp:positionV>
                <wp:extent cx="1413510" cy="532765"/>
                <wp:effectExtent l="0" t="0" r="15240" b="19685"/>
                <wp:wrapSquare wrapText="bothSides"/>
                <wp:docPr id="2" name="文本框 2"/>
                <wp:cNvGraphicFramePr/>
                <a:graphic xmlns:a="http://schemas.openxmlformats.org/drawingml/2006/main">
                  <a:graphicData uri="http://schemas.microsoft.com/office/word/2010/wordprocessingShape">
                    <wps:wsp>
                      <wps:cNvSpPr txBox="1"/>
                      <wps:spPr>
                        <a:xfrm>
                          <a:off x="0" y="0"/>
                          <a:ext cx="1413510" cy="532765"/>
                        </a:xfrm>
                        <a:prstGeom prst="rect">
                          <a:avLst/>
                        </a:prstGeom>
                        <a:solidFill>
                          <a:srgbClr val="FFFFFF"/>
                        </a:solidFill>
                        <a:ln w="9525">
                          <a:solidFill>
                            <a:srgbClr val="000000"/>
                          </a:solidFill>
                          <a:miter lim="800000"/>
                          <a:headEnd/>
                          <a:tailEnd/>
                        </a:ln>
                      </wps:spPr>
                      <wps:txbx>
                        <w:txbxContent>
                          <w:p w14:paraId="57E57248" w14:textId="77777777" w:rsidR="00170360" w:rsidRDefault="00170360" w:rsidP="00170360">
                            <w:r>
                              <w:t>Understand Human intelligent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712A81F" id="_x0000_s1031" type="#_x0000_t202" style="position:absolute;left:0;text-align:left;margin-left:370.85pt;margin-top:19.65pt;width:111.3pt;height:41.9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">
                <v:textbox>
                  <w:txbxContent>
                    <w:p w14:paraId="57E57248" w14:textId="77777777" w:rsidR="00170360" w:rsidRDefault="00170360" w:rsidP="00170360">
                      <w:r>
                        <w:t>Understand Human intelligent</w:t>
                      </w:r>
                    </w:p>
                  </w:txbxContent>
                </v:textbox>
                <w10:wrap type="square"/>
              </v:shape>
            </w:pict>
          </mc:Fallback>
        </mc:AlternateContent>
      </w:r>
      <w:r>
        <w:rPr>
          <w:noProof/>
        </w:rPr>
        <mc:AlternateContent>
          <mc:Choice Requires="wps">
            <w:drawing>
              <wp:anchor distT="0" distB="0" distL="114300" distR="114300" simplePos="0" relativeHeight="251663360" behindDoc="0" locked="0" layoutInCell="1" allowOverlap="1" wp14:anchorId="73197774" wp14:editId="33089254">
                <wp:simplePos x="0" y="0"/>
                <wp:positionH relativeFrom="column">
                  <wp:posOffset>4312052</wp:posOffset>
                </wp:positionH>
                <wp:positionV relativeFrom="paragraph">
                  <wp:posOffset>47431</wp:posOffset>
                </wp:positionV>
                <wp:extent cx="349652" cy="196689"/>
                <wp:effectExtent l="38100" t="38100" r="50800" b="51435"/>
                <wp:wrapNone/>
                <wp:docPr id="7" name="直接箭头连接符 7"/>
                <wp:cNvGraphicFramePr/>
                <a:graphic xmlns:a="http://schemas.openxmlformats.org/drawingml/2006/main">
                  <a:graphicData uri="http://schemas.microsoft.com/office/word/2010/wordprocessingShape">
                    <wps:wsp>
                      <wps:cNvCnPr/>
                      <wps:spPr>
                        <a:xfrm flipV="1">
                          <a:off x="0" y="0"/>
                          <a:ext cx="349652" cy="196689"/>
                        </a:xfrm>
                        <a:prstGeom prst="straightConnector1">
                          <a:avLst/>
                        </a:prstGeom>
                        <a:ln>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6463A7E" id="直接箭头连接符 7" o:spid="_x0000_s1026" type="#_x0000_t32" style="position:absolute;margin-left:339.55pt;margin-top:3.75pt;width:27.55pt;height:15.5pt;flip:y;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" strokecolor="#4472c4 [3204]" strokeweight=".5pt">
                <v:stroke startarrow="block" endarrow="block" joinstyle="miter"/>
              </v:shape>
            </w:pict>
          </mc:Fallback>
        </mc:AlternateContent>
      </w:r>
      <w:r>
        <w:rPr>
          <w:noProof/>
        </w:rPr>
        <mc:AlternateContent>
          <mc:Choice Requires="wps">
            <w:drawing>
              <wp:anchor distT="0" distB="0" distL="114300" distR="114300" simplePos="0" relativeHeight="251664384" behindDoc="0" locked="0" layoutInCell="1" allowOverlap="1" wp14:anchorId="6AE27DA6" wp14:editId="0DFB410B">
                <wp:simplePos x="0" y="0"/>
                <wp:positionH relativeFrom="column">
                  <wp:posOffset>4294501</wp:posOffset>
                </wp:positionH>
                <wp:positionV relativeFrom="paragraph">
                  <wp:posOffset>380725</wp:posOffset>
                </wp:positionV>
                <wp:extent cx="386521" cy="45719"/>
                <wp:effectExtent l="0" t="57150" r="52070" b="88265"/>
                <wp:wrapNone/>
                <wp:docPr id="8" name="直接箭头连接符 8"/>
                <wp:cNvGraphicFramePr/>
                <a:graphic xmlns:a="http://schemas.openxmlformats.org/drawingml/2006/main">
                  <a:graphicData uri="http://schemas.microsoft.com/office/word/2010/wordprocessingShape">
                    <wps:wsp>
                      <wps:cNvCnPr/>
                      <wps:spPr>
                        <a:xfrm>
                          <a:off x="0" y="0"/>
                          <a:ext cx="386521" cy="45719"/>
                        </a:xfrm>
                        <a:prstGeom prst="straightConnector1">
                          <a:avLst/>
                        </a:prstGeom>
                        <a:ln>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375F4BE" id="直接箭头连接符 8" o:spid="_x0000_s1026" type="#_x0000_t32" style="position:absolute;margin-left:338.15pt;margin-top:30pt;width:30.45pt;height:3.6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" strokecolor="#4472c4 [3204]" strokeweight=".5pt">
                <v:stroke startarrow="block" endarrow="block" joinstyle="miter"/>
              </v:shape>
            </w:pict>
          </mc:Fallback>
        </mc:AlternateContent>
      </w:r>
      <w:r>
        <w:rPr>
          <w:noProof/>
        </w:rPr>
        <mc:AlternateContent>
          <mc:Choice Requires="wps">
            <w:drawing>
              <wp:anchor distT="0" distB="0" distL="114300" distR="114300" simplePos="0" relativeHeight="251669504" behindDoc="0" locked="0" layoutInCell="1" allowOverlap="1" wp14:anchorId="7AFB00A9" wp14:editId="0A55400B">
                <wp:simplePos x="0" y="0"/>
                <wp:positionH relativeFrom="column">
                  <wp:posOffset>948364</wp:posOffset>
                </wp:positionH>
                <wp:positionV relativeFrom="paragraph">
                  <wp:posOffset>108969</wp:posOffset>
                </wp:positionV>
                <wp:extent cx="357977" cy="202293"/>
                <wp:effectExtent l="38100" t="38100" r="80645" b="64770"/>
                <wp:wrapNone/>
                <wp:docPr id="14" name="直接箭头连接符 14"/>
                <wp:cNvGraphicFramePr/>
                <a:graphic xmlns:a="http://schemas.openxmlformats.org/drawingml/2006/main">
                  <a:graphicData uri="http://schemas.microsoft.com/office/word/2010/wordprocessingShape">
                    <wps:wsp>
                      <wps:cNvCnPr/>
                      <wps:spPr>
                        <a:xfrm>
                          <a:off x="0" y="0"/>
                          <a:ext cx="357977" cy="202293"/>
                        </a:xfrm>
                        <a:prstGeom prst="straightConnector1">
                          <a:avLst/>
                        </a:prstGeom>
                        <a:ln>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0283663" id="直接箭头连接符 14" o:spid="_x0000_s1026" type="#_x0000_t32" style="position:absolute;margin-left:74.65pt;margin-top:8.6pt;width:28.2pt;height:15.9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" strokecolor="#4472c4 [3204]" strokeweight=".5pt">
                <v:stroke startarrow="block" endarrow="block" joinstyle="miter"/>
              </v:shape>
            </w:pict>
          </mc:Fallback>
        </mc:AlternateContent>
      </w:r>
      <w:r>
        <w:rPr>
          <w:noProof/>
        </w:rPr>
        <mc:AlternateContent>
          <mc:Choice Requires="wps">
            <w:drawing>
              <wp:anchor distT="0" distB="0" distL="114300" distR="114300" simplePos="0" relativeHeight="251667456" behindDoc="0" locked="0" layoutInCell="1" allowOverlap="1" wp14:anchorId="0386A829" wp14:editId="5FEDEF48">
                <wp:simplePos x="0" y="0"/>
                <wp:positionH relativeFrom="column">
                  <wp:posOffset>-1039946</wp:posOffset>
                </wp:positionH>
                <wp:positionV relativeFrom="paragraph">
                  <wp:posOffset>446654</wp:posOffset>
                </wp:positionV>
                <wp:extent cx="1913255" cy="486410"/>
                <wp:effectExtent l="0" t="0" r="10795" b="27940"/>
                <wp:wrapSquare wrapText="bothSides"/>
                <wp:docPr id="12" name="文本框 12"/>
                <wp:cNvGraphicFramePr/>
                <a:graphic xmlns:a="http://schemas.openxmlformats.org/drawingml/2006/main">
                  <a:graphicData uri="http://schemas.microsoft.com/office/word/2010/wordprocessingShape">
                    <wps:wsp>
                      <wps:cNvSpPr txBox="1"/>
                      <wps:spPr>
                        <a:xfrm>
                          <a:off x="0" y="0"/>
                          <a:ext cx="1913255" cy="486410"/>
                        </a:xfrm>
                        <a:prstGeom prst="rect">
                          <a:avLst/>
                        </a:prstGeom>
                        <a:solidFill>
                          <a:srgbClr val="FFFFFF"/>
                        </a:solidFill>
                        <a:ln w="9525">
                          <a:solidFill>
                            <a:srgbClr val="000000"/>
                          </a:solidFill>
                          <a:miter lim="800000"/>
                          <a:headEnd/>
                          <a:tailEnd/>
                        </a:ln>
                      </wps:spPr>
                      <wps:txbx>
                        <w:txbxContent>
                          <w:p w14:paraId="6F2B74B0" w14:textId="77777777" w:rsidR="00170360" w:rsidRDefault="00170360" w:rsidP="00170360">
                            <w:r>
                              <w:t>Impact on the industry and supply chain finance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386A829" id="文本框 12" o:spid="_x0000_s1032" type="#_x0000_t202" style="position:absolute;left:0;text-align:left;margin-left:-81.9pt;margin-top:35.15pt;width:150.65pt;height:38.3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">
                <v:textbox>
                  <w:txbxContent>
                    <w:p w14:paraId="6F2B74B0" w14:textId="77777777" w:rsidR="00170360" w:rsidRDefault="00170360" w:rsidP="00170360">
                      <w:r>
                        <w:t>Impact on the industry and supply chain finance</w:t>
                      </w:r>
                    </w:p>
                  </w:txbxContent>
                </v:textbox>
                <w10:wrap type="square"/>
              </v:shape>
            </w:pict>
          </mc:Fallback>
        </mc:AlternateContent>
      </w:r>
    </w:p>
    <w:p w14:paraId="19C62B52" w14:textId="77777777" w:rsidR="00170360" w:rsidRDefault="00170360" w:rsidP="00170360">
      <w:pPr>
        <w:spacing w:line="276" w:lineRule="auto"/>
      </w:pPr>
      <w:r>
        <w:rPr>
          <w:noProof/>
        </w:rPr>
        <mc:AlternateContent>
          <mc:Choice Requires="wps">
            <w:drawing>
              <wp:anchor distT="0" distB="0" distL="114300" distR="114300" simplePos="0" relativeHeight="251681792" behindDoc="0" locked="0" layoutInCell="1" allowOverlap="1" wp14:anchorId="46017473" wp14:editId="40DD2AB5">
                <wp:simplePos x="0" y="0"/>
                <wp:positionH relativeFrom="column">
                  <wp:posOffset>3055186</wp:posOffset>
                </wp:positionH>
                <wp:positionV relativeFrom="paragraph">
                  <wp:posOffset>187262</wp:posOffset>
                </wp:positionV>
                <wp:extent cx="338047" cy="129389"/>
                <wp:effectExtent l="38100" t="38100" r="62230" b="61595"/>
                <wp:wrapNone/>
                <wp:docPr id="6" name="直接箭头连接符 6"/>
                <wp:cNvGraphicFramePr/>
                <a:graphic xmlns:a="http://schemas.openxmlformats.org/drawingml/2006/main">
                  <a:graphicData uri="http://schemas.microsoft.com/office/word/2010/wordprocessingShape">
                    <wps:wsp>
                      <wps:cNvCnPr/>
                      <wps:spPr>
                        <a:xfrm flipV="1">
                          <a:off x="0" y="0"/>
                          <a:ext cx="338047" cy="129389"/>
                        </a:xfrm>
                        <a:prstGeom prst="straightConnector1">
                          <a:avLst/>
                        </a:prstGeom>
                        <a:ln>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BA5CBEA" id="直接箭头连接符 6" o:spid="_x0000_s1026" type="#_x0000_t32" style="position:absolute;margin-left:240.55pt;margin-top:14.75pt;width:26.6pt;height:10.2pt;flip:y;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" strokecolor="#4472c4 [3204]" strokeweight=".5pt">
                <v:stroke startarrow="block" endarrow="block" joinstyle="miter"/>
              </v:shape>
            </w:pict>
          </mc:Fallback>
        </mc:AlternateContent>
      </w:r>
      <w:r>
        <w:rPr>
          <w:noProof/>
        </w:rPr>
        <mc:AlternateContent>
          <mc:Choice Requires="wps">
            <w:drawing>
              <wp:anchor distT="0" distB="0" distL="114300" distR="114300" simplePos="0" relativeHeight="251665408" behindDoc="0" locked="0" layoutInCell="1" allowOverlap="1" wp14:anchorId="7FBC2DCD" wp14:editId="71361FAF">
                <wp:simplePos x="0" y="0"/>
                <wp:positionH relativeFrom="column">
                  <wp:posOffset>4003466</wp:posOffset>
                </wp:positionH>
                <wp:positionV relativeFrom="paragraph">
                  <wp:posOffset>195997</wp:posOffset>
                </wp:positionV>
                <wp:extent cx="628025" cy="765087"/>
                <wp:effectExtent l="38100" t="38100" r="57785" b="54610"/>
                <wp:wrapNone/>
                <wp:docPr id="10" name="直接箭头连接符 10"/>
                <wp:cNvGraphicFramePr/>
                <a:graphic xmlns:a="http://schemas.openxmlformats.org/drawingml/2006/main">
                  <a:graphicData uri="http://schemas.microsoft.com/office/word/2010/wordprocessingShape">
                    <wps:wsp>
                      <wps:cNvCnPr/>
                      <wps:spPr>
                        <a:xfrm>
                          <a:off x="0" y="0"/>
                          <a:ext cx="628025" cy="765087"/>
                        </a:xfrm>
                        <a:prstGeom prst="straightConnector1">
                          <a:avLst/>
                        </a:prstGeom>
                        <a:ln>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C99AE6C" id="直接箭头连接符 10" o:spid="_x0000_s1026" type="#_x0000_t32" style="position:absolute;margin-left:315.25pt;margin-top:15.45pt;width:49.45pt;height:60.2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" strokecolor="#4472c4 [3204]" strokeweight=".5pt">
                <v:stroke startarrow="block" endarrow="block" joinstyle="miter"/>
              </v:shape>
            </w:pict>
          </mc:Fallback>
        </mc:AlternateContent>
      </w:r>
      <w:r>
        <w:rPr>
          <w:noProof/>
        </w:rPr>
        <mc:AlternateContent>
          <mc:Choice Requires="wps">
            <w:drawing>
              <wp:anchor distT="45720" distB="45720" distL="114300" distR="114300" simplePos="0" relativeHeight="251659264" behindDoc="0" locked="0" layoutInCell="1" allowOverlap="1" wp14:anchorId="446A737C" wp14:editId="42DD4014">
                <wp:simplePos x="0" y="0"/>
                <wp:positionH relativeFrom="column">
                  <wp:posOffset>1382989</wp:posOffset>
                </wp:positionH>
                <wp:positionV relativeFrom="paragraph">
                  <wp:posOffset>110439</wp:posOffset>
                </wp:positionV>
                <wp:extent cx="1642745" cy="302260"/>
                <wp:effectExtent l="0" t="0" r="14605" b="21590"/>
                <wp:wrapSquare wrapText="bothSides"/>
                <wp:docPr id="217" name="文本框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42745" cy="302260"/>
                        </a:xfrm>
                        <a:prstGeom prst="rect">
                          <a:avLst/>
                        </a:prstGeom>
                        <a:solidFill>
                          <a:srgbClr val="FFFFFF"/>
                        </a:solidFill>
                        <a:ln w="9525">
                          <a:solidFill>
                            <a:srgbClr val="000000"/>
                          </a:solidFill>
                          <a:miter lim="800000"/>
                          <a:headEnd/>
                          <a:tailEnd/>
                        </a:ln>
                      </wps:spPr>
                      <wps:txbx>
                        <w:txbxContent>
                          <w:p w14:paraId="39F7CFB0" w14:textId="77777777" w:rsidR="00170360" w:rsidRPr="001D5B3C" w:rsidRDefault="00170360" w:rsidP="00170360">
                            <w:pPr>
                              <w:rPr>
                                <w:b/>
                                <w:bCs/>
                                <w:sz w:val="24"/>
                                <w:szCs w:val="24"/>
                              </w:rPr>
                            </w:pPr>
                            <w:r w:rsidRPr="001D5B3C">
                              <w:rPr>
                                <w:b/>
                                <w:bCs/>
                                <w:sz w:val="24"/>
                                <w:szCs w:val="24"/>
                              </w:rPr>
                              <w:t>Artificial Intelligence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46A737C" id="_x0000_s1033" type="#_x0000_t202" style="position:absolute;left:0;text-align:left;margin-left:108.9pt;margin-top:8.7pt;width:129.35pt;height:23.8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">
                <v:textbox>
                  <w:txbxContent>
                    <w:p w14:paraId="39F7CFB0" w14:textId="77777777" w:rsidR="00170360" w:rsidRPr="001D5B3C" w:rsidRDefault="00170360" w:rsidP="00170360">
                      <w:pPr>
                        <w:rPr>
                          <w:b/>
                          <w:bCs/>
                          <w:sz w:val="24"/>
                          <w:szCs w:val="24"/>
                        </w:rPr>
                      </w:pPr>
                      <w:r w:rsidRPr="001D5B3C">
                        <w:rPr>
                          <w:b/>
                          <w:bCs/>
                          <w:sz w:val="24"/>
                          <w:szCs w:val="24"/>
                        </w:rPr>
                        <w:t>Artificial Intelligence</w:t>
                      </w:r>
                    </w:p>
                  </w:txbxContent>
                </v:textbox>
                <w10:wrap type="square"/>
              </v:shape>
            </w:pict>
          </mc:Fallback>
        </mc:AlternateContent>
      </w:r>
      <w:r>
        <w:rPr>
          <w:noProof/>
        </w:rPr>
        <mc:AlternateContent>
          <mc:Choice Requires="wps">
            <w:drawing>
              <wp:anchor distT="0" distB="0" distL="114300" distR="114300" simplePos="0" relativeHeight="251670528" behindDoc="0" locked="0" layoutInCell="1" allowOverlap="1" wp14:anchorId="3CF0058D" wp14:editId="5F11B43C">
                <wp:simplePos x="0" y="0"/>
                <wp:positionH relativeFrom="column">
                  <wp:posOffset>933569</wp:posOffset>
                </wp:positionH>
                <wp:positionV relativeFrom="paragraph">
                  <wp:posOffset>293747</wp:posOffset>
                </wp:positionV>
                <wp:extent cx="406876" cy="45719"/>
                <wp:effectExtent l="38100" t="57150" r="12700" b="88265"/>
                <wp:wrapNone/>
                <wp:docPr id="15" name="直接箭头连接符 15"/>
                <wp:cNvGraphicFramePr/>
                <a:graphic xmlns:a="http://schemas.openxmlformats.org/drawingml/2006/main">
                  <a:graphicData uri="http://schemas.microsoft.com/office/word/2010/wordprocessingShape">
                    <wps:wsp>
                      <wps:cNvCnPr/>
                      <wps:spPr>
                        <a:xfrm flipV="1">
                          <a:off x="0" y="0"/>
                          <a:ext cx="406876" cy="45719"/>
                        </a:xfrm>
                        <a:prstGeom prst="straightConnector1">
                          <a:avLst/>
                        </a:prstGeom>
                        <a:ln>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E226942" id="直接箭头连接符 15" o:spid="_x0000_s1026" type="#_x0000_t32" style="position:absolute;margin-left:73.5pt;margin-top:23.15pt;width:32.05pt;height:3.6pt;flip:y;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" strokecolor="#4472c4 [3204]" strokeweight=".5pt">
                <v:stroke startarrow="block" endarrow="block" joinstyle="miter"/>
              </v:shape>
            </w:pict>
          </mc:Fallback>
        </mc:AlternateContent>
      </w:r>
    </w:p>
    <w:p w14:paraId="62789DFD" w14:textId="77777777" w:rsidR="00170360" w:rsidRDefault="00170360" w:rsidP="00170360">
      <w:pPr>
        <w:spacing w:line="276" w:lineRule="auto"/>
      </w:pPr>
      <w:r>
        <w:rPr>
          <w:noProof/>
        </w:rPr>
        <mc:AlternateContent>
          <mc:Choice Requires="wps">
            <w:drawing>
              <wp:anchor distT="0" distB="0" distL="114300" distR="114300" simplePos="0" relativeHeight="251662336" behindDoc="0" locked="0" layoutInCell="1" allowOverlap="1" wp14:anchorId="453C3C9C" wp14:editId="32EE0C35">
                <wp:simplePos x="0" y="0"/>
                <wp:positionH relativeFrom="column">
                  <wp:posOffset>4724400</wp:posOffset>
                </wp:positionH>
                <wp:positionV relativeFrom="paragraph">
                  <wp:posOffset>281940</wp:posOffset>
                </wp:positionV>
                <wp:extent cx="1417955" cy="688975"/>
                <wp:effectExtent l="0" t="0" r="10795" b="15875"/>
                <wp:wrapSquare wrapText="bothSides"/>
                <wp:docPr id="4" name="文本框 4"/>
                <wp:cNvGraphicFramePr/>
                <a:graphic xmlns:a="http://schemas.openxmlformats.org/drawingml/2006/main">
                  <a:graphicData uri="http://schemas.microsoft.com/office/word/2010/wordprocessingShape">
                    <wps:wsp>
                      <wps:cNvSpPr txBox="1"/>
                      <wps:spPr>
                        <a:xfrm>
                          <a:off x="0" y="0"/>
                          <a:ext cx="1417955" cy="688975"/>
                        </a:xfrm>
                        <a:prstGeom prst="rect">
                          <a:avLst/>
                        </a:prstGeom>
                        <a:solidFill>
                          <a:srgbClr val="FFFFFF"/>
                        </a:solidFill>
                        <a:ln w="9525">
                          <a:solidFill>
                            <a:srgbClr val="000000"/>
                          </a:solidFill>
                          <a:miter lim="800000"/>
                          <a:headEnd/>
                          <a:tailEnd/>
                        </a:ln>
                      </wps:spPr>
                      <wps:txbx>
                        <w:txbxContent>
                          <w:p w14:paraId="2F680C74" w14:textId="77777777" w:rsidR="00170360" w:rsidRDefault="00170360" w:rsidP="00170360">
                            <w:r>
                              <w:t>Think and act rationally and like human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53C3C9C" id="文本框 4" o:spid="_x0000_s1034" type="#_x0000_t202" style="position:absolute;left:0;text-align:left;margin-left:372pt;margin-top:22.2pt;width:111.65pt;height:54.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">
                <v:textbox>
                  <w:txbxContent>
                    <w:p w14:paraId="2F680C74" w14:textId="77777777" w:rsidR="00170360" w:rsidRDefault="00170360" w:rsidP="00170360">
                      <w:r>
                        <w:t>Think and act rationally and like human</w:t>
                      </w:r>
                    </w:p>
                  </w:txbxContent>
                </v:textbox>
                <w10:wrap type="square"/>
              </v:shape>
            </w:pict>
          </mc:Fallback>
        </mc:AlternateContent>
      </w:r>
      <w:r>
        <w:rPr>
          <w:noProof/>
        </w:rPr>
        <mc:AlternateContent>
          <mc:Choice Requires="wps">
            <w:drawing>
              <wp:anchor distT="0" distB="0" distL="114300" distR="114300" simplePos="0" relativeHeight="251675648" behindDoc="0" locked="0" layoutInCell="1" allowOverlap="1" wp14:anchorId="7157176E" wp14:editId="352AD06C">
                <wp:simplePos x="0" y="0"/>
                <wp:positionH relativeFrom="column">
                  <wp:posOffset>2560900</wp:posOffset>
                </wp:positionH>
                <wp:positionV relativeFrom="paragraph">
                  <wp:posOffset>185155</wp:posOffset>
                </wp:positionV>
                <wp:extent cx="324758" cy="682408"/>
                <wp:effectExtent l="38100" t="38100" r="56515" b="60960"/>
                <wp:wrapNone/>
                <wp:docPr id="20" name="直接箭头连接符 20"/>
                <wp:cNvGraphicFramePr/>
                <a:graphic xmlns:a="http://schemas.openxmlformats.org/drawingml/2006/main">
                  <a:graphicData uri="http://schemas.microsoft.com/office/word/2010/wordprocessingShape">
                    <wps:wsp>
                      <wps:cNvCnPr/>
                      <wps:spPr>
                        <a:xfrm>
                          <a:off x="0" y="0"/>
                          <a:ext cx="324758" cy="682408"/>
                        </a:xfrm>
                        <a:prstGeom prst="straightConnector1">
                          <a:avLst/>
                        </a:prstGeom>
                        <a:ln>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7C8519B" id="直接箭头连接符 20" o:spid="_x0000_s1026" type="#_x0000_t32" style="position:absolute;margin-left:201.65pt;margin-top:14.6pt;width:25.55pt;height:53.7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" strokecolor="#4472c4 [3204]" strokeweight=".5pt">
                <v:stroke startarrow="block" endarrow="block" joinstyle="miter"/>
              </v:shape>
            </w:pict>
          </mc:Fallback>
        </mc:AlternateContent>
      </w:r>
      <w:r>
        <w:rPr>
          <w:noProof/>
        </w:rPr>
        <mc:AlternateContent>
          <mc:Choice Requires="wps">
            <w:drawing>
              <wp:anchor distT="0" distB="0" distL="114300" distR="114300" simplePos="0" relativeHeight="251671552" behindDoc="0" locked="0" layoutInCell="1" allowOverlap="1" wp14:anchorId="468A83A5" wp14:editId="4AE92490">
                <wp:simplePos x="0" y="0"/>
                <wp:positionH relativeFrom="column">
                  <wp:posOffset>958612</wp:posOffset>
                </wp:positionH>
                <wp:positionV relativeFrom="paragraph">
                  <wp:posOffset>273202</wp:posOffset>
                </wp:positionV>
                <wp:extent cx="362867" cy="277678"/>
                <wp:effectExtent l="38100" t="38100" r="56515" b="65405"/>
                <wp:wrapNone/>
                <wp:docPr id="16" name="直接箭头连接符 16"/>
                <wp:cNvGraphicFramePr/>
                <a:graphic xmlns:a="http://schemas.openxmlformats.org/drawingml/2006/main">
                  <a:graphicData uri="http://schemas.microsoft.com/office/word/2010/wordprocessingShape">
                    <wps:wsp>
                      <wps:cNvCnPr/>
                      <wps:spPr>
                        <a:xfrm flipV="1">
                          <a:off x="0" y="0"/>
                          <a:ext cx="362867" cy="277678"/>
                        </a:xfrm>
                        <a:prstGeom prst="straightConnector1">
                          <a:avLst/>
                        </a:prstGeom>
                        <a:ln>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6F32C74" id="直接箭头连接符 16" o:spid="_x0000_s1026" type="#_x0000_t32" style="position:absolute;margin-left:75.5pt;margin-top:21.5pt;width:28.55pt;height:21.85pt;flip:y;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" strokecolor="#4472c4 [3204]" strokeweight=".5pt">
                <v:stroke startarrow="block" endarrow="block" joinstyle="miter"/>
              </v:shape>
            </w:pict>
          </mc:Fallback>
        </mc:AlternateContent>
      </w:r>
      <w:r>
        <w:rPr>
          <w:noProof/>
        </w:rPr>
        <mc:AlternateContent>
          <mc:Choice Requires="wps">
            <w:drawing>
              <wp:anchor distT="0" distB="0" distL="114300" distR="114300" simplePos="0" relativeHeight="251668480" behindDoc="0" locked="0" layoutInCell="1" allowOverlap="1" wp14:anchorId="6D2C770F" wp14:editId="5DE076FB">
                <wp:simplePos x="0" y="0"/>
                <wp:positionH relativeFrom="column">
                  <wp:posOffset>-998797</wp:posOffset>
                </wp:positionH>
                <wp:positionV relativeFrom="paragraph">
                  <wp:posOffset>347787</wp:posOffset>
                </wp:positionV>
                <wp:extent cx="1887220" cy="499110"/>
                <wp:effectExtent l="0" t="0" r="17780" b="15240"/>
                <wp:wrapSquare wrapText="bothSides"/>
                <wp:docPr id="13" name="文本框 13"/>
                <wp:cNvGraphicFramePr/>
                <a:graphic xmlns:a="http://schemas.openxmlformats.org/drawingml/2006/main">
                  <a:graphicData uri="http://schemas.microsoft.com/office/word/2010/wordprocessingShape">
                    <wps:wsp>
                      <wps:cNvSpPr txBox="1"/>
                      <wps:spPr>
                        <a:xfrm>
                          <a:off x="0" y="0"/>
                          <a:ext cx="1887220" cy="499110"/>
                        </a:xfrm>
                        <a:prstGeom prst="rect">
                          <a:avLst/>
                        </a:prstGeom>
                        <a:solidFill>
                          <a:srgbClr val="FFFFFF"/>
                        </a:solidFill>
                        <a:ln w="9525">
                          <a:solidFill>
                            <a:srgbClr val="000000"/>
                          </a:solidFill>
                          <a:miter lim="800000"/>
                          <a:headEnd/>
                          <a:tailEnd/>
                        </a:ln>
                      </wps:spPr>
                      <wps:txbx>
                        <w:txbxContent>
                          <w:p w14:paraId="6F2CCD79" w14:textId="77777777" w:rsidR="00170360" w:rsidRDefault="00170360" w:rsidP="00170360">
                            <w:r>
                              <w:t>Impact on the non-state-owned companies’ funding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D2C770F" id="文本框 13" o:spid="_x0000_s1035" type="#_x0000_t202" style="position:absolute;left:0;text-align:left;margin-left:-78.65pt;margin-top:27.4pt;width:148.6pt;height:39.3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">
                <v:textbox>
                  <w:txbxContent>
                    <w:p w14:paraId="6F2CCD79" w14:textId="77777777" w:rsidR="00170360" w:rsidRDefault="00170360" w:rsidP="00170360">
                      <w:r>
                        <w:t>Impact on the non-state-owned companies’ funding</w:t>
                      </w:r>
                    </w:p>
                  </w:txbxContent>
                </v:textbox>
                <w10:wrap type="square"/>
              </v:shape>
            </w:pict>
          </mc:Fallback>
        </mc:AlternateContent>
      </w:r>
      <w:r>
        <w:rPr>
          <w:noProof/>
        </w:rPr>
        <mc:AlternateContent>
          <mc:Choice Requires="wps">
            <w:drawing>
              <wp:anchor distT="0" distB="0" distL="114300" distR="114300" simplePos="0" relativeHeight="251674624" behindDoc="0" locked="0" layoutInCell="1" allowOverlap="1" wp14:anchorId="074150D5" wp14:editId="6FC6A017">
                <wp:simplePos x="0" y="0"/>
                <wp:positionH relativeFrom="column">
                  <wp:posOffset>1417348</wp:posOffset>
                </wp:positionH>
                <wp:positionV relativeFrom="paragraph">
                  <wp:posOffset>193481</wp:posOffset>
                </wp:positionV>
                <wp:extent cx="359621" cy="690033"/>
                <wp:effectExtent l="38100" t="38100" r="59690" b="53340"/>
                <wp:wrapNone/>
                <wp:docPr id="19" name="直接箭头连接符 19"/>
                <wp:cNvGraphicFramePr/>
                <a:graphic xmlns:a="http://schemas.openxmlformats.org/drawingml/2006/main">
                  <a:graphicData uri="http://schemas.microsoft.com/office/word/2010/wordprocessingShape">
                    <wps:wsp>
                      <wps:cNvCnPr/>
                      <wps:spPr>
                        <a:xfrm flipH="1">
                          <a:off x="0" y="0"/>
                          <a:ext cx="359621" cy="690033"/>
                        </a:xfrm>
                        <a:prstGeom prst="straightConnector1">
                          <a:avLst/>
                        </a:prstGeom>
                        <a:ln>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5E05D49" id="直接箭头连接符 19" o:spid="_x0000_s1026" type="#_x0000_t32" style="position:absolute;margin-left:111.6pt;margin-top:15.25pt;width:28.3pt;height:54.35pt;flip:x;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" strokecolor="#4472c4 [3204]" strokeweight=".5pt">
                <v:stroke startarrow="block" endarrow="block" joinstyle="miter"/>
              </v:shape>
            </w:pict>
          </mc:Fallback>
        </mc:AlternateContent>
      </w:r>
    </w:p>
    <w:p w14:paraId="4851CB66" w14:textId="77777777" w:rsidR="00170360" w:rsidRDefault="00170360" w:rsidP="00170360">
      <w:pPr>
        <w:spacing w:line="276" w:lineRule="auto"/>
      </w:pPr>
    </w:p>
    <w:p w14:paraId="04F4F5C1" w14:textId="77777777" w:rsidR="00170360" w:rsidRDefault="00170360" w:rsidP="00170360">
      <w:pPr>
        <w:spacing w:line="276" w:lineRule="auto"/>
      </w:pPr>
      <w:r>
        <w:rPr>
          <w:noProof/>
        </w:rPr>
        <mc:AlternateContent>
          <mc:Choice Requires="wps">
            <w:drawing>
              <wp:anchor distT="0" distB="0" distL="114300" distR="114300" simplePos="0" relativeHeight="251673600" behindDoc="0" locked="0" layoutInCell="1" allowOverlap="1" wp14:anchorId="31F892B5" wp14:editId="28210970">
                <wp:simplePos x="0" y="0"/>
                <wp:positionH relativeFrom="column">
                  <wp:posOffset>2210704</wp:posOffset>
                </wp:positionH>
                <wp:positionV relativeFrom="paragraph">
                  <wp:posOffset>290260</wp:posOffset>
                </wp:positionV>
                <wp:extent cx="1549400" cy="694357"/>
                <wp:effectExtent l="0" t="0" r="12700" b="10795"/>
                <wp:wrapSquare wrapText="bothSides"/>
                <wp:docPr id="18" name="文本框 18"/>
                <wp:cNvGraphicFramePr/>
                <a:graphic xmlns:a="http://schemas.openxmlformats.org/drawingml/2006/main">
                  <a:graphicData uri="http://schemas.microsoft.com/office/word/2010/wordprocessingShape">
                    <wps:wsp>
                      <wps:cNvSpPr txBox="1"/>
                      <wps:spPr>
                        <a:xfrm>
                          <a:off x="0" y="0"/>
                          <a:ext cx="1549400" cy="694357"/>
                        </a:xfrm>
                        <a:prstGeom prst="rect">
                          <a:avLst/>
                        </a:prstGeom>
                        <a:solidFill>
                          <a:srgbClr val="FFFFFF"/>
                        </a:solidFill>
                        <a:ln w="9525">
                          <a:solidFill>
                            <a:srgbClr val="000000"/>
                          </a:solidFill>
                          <a:miter lim="800000"/>
                          <a:headEnd/>
                          <a:tailEnd/>
                        </a:ln>
                      </wps:spPr>
                      <wps:txbx>
                        <w:txbxContent>
                          <w:p w14:paraId="64EE85E6" w14:textId="77777777" w:rsidR="00170360" w:rsidRDefault="00170360" w:rsidP="00170360">
                            <w:r>
                              <w:t>The debate of management cost in finance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1F892B5" id="文本框 18" o:spid="_x0000_s1036" type="#_x0000_t202" style="position:absolute;left:0;text-align:left;margin-left:174.05pt;margin-top:22.85pt;width:122pt;height:54.6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">
                <v:textbox>
                  <w:txbxContent>
                    <w:p w14:paraId="64EE85E6" w14:textId="77777777" w:rsidR="00170360" w:rsidRDefault="00170360" w:rsidP="00170360">
                      <w:r>
                        <w:t>The debate of management cost in finance</w:t>
                      </w:r>
                    </w:p>
                  </w:txbxContent>
                </v:textbox>
                <w10:wrap type="square"/>
              </v:shape>
            </w:pict>
          </mc:Fallback>
        </mc:AlternateContent>
      </w:r>
      <w:r>
        <w:rPr>
          <w:noProof/>
        </w:rPr>
        <mc:AlternateContent>
          <mc:Choice Requires="wps">
            <w:drawing>
              <wp:anchor distT="0" distB="0" distL="114300" distR="114300" simplePos="0" relativeHeight="251672576" behindDoc="0" locked="0" layoutInCell="1" allowOverlap="1" wp14:anchorId="1673E5CE" wp14:editId="7743DAB0">
                <wp:simplePos x="0" y="0"/>
                <wp:positionH relativeFrom="column">
                  <wp:posOffset>636559</wp:posOffset>
                </wp:positionH>
                <wp:positionV relativeFrom="paragraph">
                  <wp:posOffset>274065</wp:posOffset>
                </wp:positionV>
                <wp:extent cx="1316355" cy="685800"/>
                <wp:effectExtent l="0" t="0" r="17145" b="19050"/>
                <wp:wrapSquare wrapText="bothSides"/>
                <wp:docPr id="17" name="文本框 17"/>
                <wp:cNvGraphicFramePr/>
                <a:graphic xmlns:a="http://schemas.openxmlformats.org/drawingml/2006/main">
                  <a:graphicData uri="http://schemas.microsoft.com/office/word/2010/wordprocessingShape">
                    <wps:wsp>
                      <wps:cNvSpPr txBox="1"/>
                      <wps:spPr>
                        <a:xfrm>
                          <a:off x="0" y="0"/>
                          <a:ext cx="1316355" cy="685800"/>
                        </a:xfrm>
                        <a:prstGeom prst="rect">
                          <a:avLst/>
                        </a:prstGeom>
                        <a:solidFill>
                          <a:srgbClr val="FFFFFF"/>
                        </a:solidFill>
                        <a:ln w="9525">
                          <a:solidFill>
                            <a:srgbClr val="000000"/>
                          </a:solidFill>
                          <a:miter lim="800000"/>
                          <a:headEnd/>
                          <a:tailEnd/>
                        </a:ln>
                      </wps:spPr>
                      <wps:txbx>
                        <w:txbxContent>
                          <w:p w14:paraId="160014E4" w14:textId="77777777" w:rsidR="00170360" w:rsidRDefault="00170360" w:rsidP="00170360">
                            <w:r>
                              <w:t>The debate of risk management in finance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673E5CE" id="文本框 17" o:spid="_x0000_s1037" type="#_x0000_t202" style="position:absolute;left:0;text-align:left;margin-left:50.1pt;margin-top:21.6pt;width:103.65pt;height:54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">
                <v:textbox>
                  <w:txbxContent>
                    <w:p w14:paraId="160014E4" w14:textId="77777777" w:rsidR="00170360" w:rsidRDefault="00170360" w:rsidP="00170360">
                      <w:r>
                        <w:t>The debate of risk management in finance</w:t>
                      </w:r>
                    </w:p>
                  </w:txbxContent>
                </v:textbox>
                <w10:wrap type="square"/>
              </v:shape>
            </w:pict>
          </mc:Fallback>
        </mc:AlternateContent>
      </w:r>
    </w:p>
    <w:p w14:paraId="44849D98" w14:textId="77777777" w:rsidR="00170360" w:rsidRDefault="00170360" w:rsidP="00170360">
      <w:pPr>
        <w:spacing w:line="276" w:lineRule="auto"/>
        <w:jc w:val="left"/>
      </w:pPr>
    </w:p>
    <w:p w14:paraId="2E9E97B4" w14:textId="77777777" w:rsidR="00170360" w:rsidRDefault="00170360" w:rsidP="00170360">
      <w:pPr>
        <w:spacing w:line="276" w:lineRule="auto"/>
        <w:jc w:val="left"/>
      </w:pPr>
    </w:p>
    <w:p w14:paraId="152E92CF" w14:textId="77777777" w:rsidR="00170360" w:rsidRDefault="00170360" w:rsidP="00170360">
      <w:pPr>
        <w:spacing w:line="276" w:lineRule="auto"/>
        <w:jc w:val="left"/>
      </w:pPr>
    </w:p>
    <w:p w14:paraId="36C2CE71" w14:textId="77777777" w:rsidR="00170360" w:rsidRDefault="00170360" w:rsidP="00170360">
      <w:pPr>
        <w:spacing w:line="276" w:lineRule="auto"/>
        <w:jc w:val="center"/>
      </w:pPr>
      <w:r>
        <w:t>Figure 3.1</w:t>
      </w:r>
    </w:p>
    <w:p w14:paraId="6A768437" w14:textId="77777777" w:rsidR="00170360" w:rsidRDefault="00170360" w:rsidP="00170360">
      <w:pPr>
        <w:pStyle w:val="3"/>
      </w:pPr>
    </w:p>
    <w:p w14:paraId="5FBB108A" w14:textId="77777777" w:rsidR="00170360" w:rsidRDefault="00170360" w:rsidP="00170360">
      <w:pPr>
        <w:pStyle w:val="3"/>
      </w:pPr>
      <w:bookmarkStart w:id="22" w:name="_Toc122467200"/>
      <w:r>
        <w:t>3.1.3 AI’s Impact on the macro economy by adoption speed</w:t>
      </w:r>
      <w:bookmarkEnd w:id="22"/>
    </w:p>
    <w:p w14:paraId="267660D1" w14:textId="77777777" w:rsidR="00170360" w:rsidRPr="00FA7899" w:rsidRDefault="00170360" w:rsidP="00170360"/>
    <w:p w14:paraId="266CEDDF" w14:textId="77777777" w:rsidR="00170360" w:rsidRDefault="00170360" w:rsidP="00170360">
      <w:pPr>
        <w:spacing w:line="276" w:lineRule="auto"/>
        <w:jc w:val="left"/>
      </w:pPr>
      <w:r>
        <w:t>Amoako (2021) illustrates that the economic impact of AI will depend on the speed at which these advances are adopted by firms and incorporated into their operations. Investment choices in these technologies are not made in a vacuum; instead, they are influenced by various significant variables that affect their economic and competitive viability.</w:t>
      </w:r>
      <w:r>
        <w:br/>
      </w:r>
    </w:p>
    <w:p w14:paraId="3BEE437A" w14:textId="77777777" w:rsidR="00170360" w:rsidRDefault="00170360" w:rsidP="00170360">
      <w:pPr>
        <w:spacing w:line="276" w:lineRule="auto"/>
        <w:jc w:val="left"/>
      </w:pPr>
      <w:r>
        <w:t xml:space="preserve">Projections based on econometric analysis, private information and early survey results suggest that 65.3% of businesses will embrace some AI by 2030, up from 34.9% in 2018 </w:t>
      </w:r>
      <w:r>
        <w:lastRenderedPageBreak/>
        <w:t>(Cao, 2020). The total uptake rate, which could reach around 50% by 2030 (Dwivedi et al., 2021), was calculated by including 'partial' and 'full' uptake in the model. Amoako (2021) also indicates that although the widespread use of digital has yet to reach the level of AI, this could change by 2027.</w:t>
      </w:r>
    </w:p>
    <w:p w14:paraId="3E9F7364" w14:textId="77777777" w:rsidR="00170360" w:rsidRDefault="00170360" w:rsidP="00170360">
      <w:pPr>
        <w:spacing w:line="276" w:lineRule="auto"/>
        <w:jc w:val="left"/>
      </w:pPr>
      <w:r>
        <w:br/>
        <w:t xml:space="preserve">Factors affecting AI adoption and uptake rates include early digitisation and competitive races. Although Mhlanga (2020) suggests that adoption rates are slow, as they have been in the recent era of digital technology. Artificial intelligence is likely to be accepted and fully integrated into society faster than typical progress. Automation of services and intelligent industrial activities are just two examples of AI applications. The widespread adoption and integration of the technology may be facilitated by its broad applicability, especially in areas where digitisation is still underrepresented (Renaud, 2019). Danielsson, Macrae and </w:t>
      </w:r>
      <w:proofErr w:type="spellStart"/>
      <w:r>
        <w:t>Uthemann</w:t>
      </w:r>
      <w:proofErr w:type="spellEnd"/>
      <w:r>
        <w:t xml:space="preserve"> (2022) explain that </w:t>
      </w:r>
      <w:r w:rsidRPr="008D5074">
        <w:t>AI may be accepted and absorbed more rapidly than past innovations because</w:t>
      </w:r>
      <w:r>
        <w:t xml:space="preserve"> the regression model shows that AI applications would generate excessive payoffs and involve fundamental unbundling and replacement. Trivedi et al. (2018) express that the uptake and integration of AI make it necessary to react to competition and try to stay one step ahead of them in business.</w:t>
      </w:r>
    </w:p>
    <w:p w14:paraId="061A9587" w14:textId="77777777" w:rsidR="00170360" w:rsidRDefault="00170360" w:rsidP="00170360">
      <w:pPr>
        <w:spacing w:line="276" w:lineRule="auto"/>
      </w:pPr>
    </w:p>
    <w:p w14:paraId="44E7197C" w14:textId="77777777" w:rsidR="00170360" w:rsidRDefault="00170360" w:rsidP="00170360">
      <w:pPr>
        <w:pStyle w:val="3"/>
      </w:pPr>
      <w:bookmarkStart w:id="23" w:name="_Toc122467201"/>
      <w:r>
        <w:t xml:space="preserve">3.1.4 </w:t>
      </w:r>
      <w:r>
        <w:rPr>
          <w:rFonts w:hint="eastAsia"/>
        </w:rPr>
        <w:t>AI</w:t>
      </w:r>
      <w:r>
        <w:t>’s Impact on the industry and the supply chain</w:t>
      </w:r>
      <w:bookmarkEnd w:id="23"/>
    </w:p>
    <w:p w14:paraId="70C981C9" w14:textId="77777777" w:rsidR="00170360" w:rsidRDefault="00170360" w:rsidP="00170360">
      <w:pPr>
        <w:spacing w:line="276" w:lineRule="auto"/>
      </w:pPr>
      <w:r>
        <w:br/>
        <w:t>In the concept proposed by Yao et al. (2017)</w:t>
      </w:r>
      <w:r w:rsidRPr="008D5074">
        <w:t>, the supply chain will be organised to take full advantage of the productivity and efficiency gains from data aggregation</w:t>
      </w:r>
      <w:r>
        <w:t xml:space="preserve"> powered by AI</w:t>
      </w:r>
      <w:r w:rsidRPr="008D5074">
        <w:t>, hopefully increasing the industrial sector's competitiveness</w:t>
      </w:r>
      <w:r>
        <w:t xml:space="preserve">. In addition, AI will lead to higher levels of automation, tighter quality control of products and processes, proactive diagnosis of equipment health, assurance of almost immediate maintenance, and reduced errors and defective products. The increased quality, uniqueness and appeal of the company's products will help them expand into untapped consumer markets. Goodell et al. (2021) explain that even if the foundations are already in place, production may only be realised in the middle of the next decade. This is because the widespread adoption of many technologies, including AI required for the industrial revolution 4.0, is expected to take 20-30 years. </w:t>
      </w:r>
    </w:p>
    <w:p w14:paraId="7D84F0C1" w14:textId="77777777" w:rsidR="00170360" w:rsidRDefault="00170360" w:rsidP="00170360">
      <w:pPr>
        <w:spacing w:line="276" w:lineRule="auto"/>
      </w:pPr>
      <w:r>
        <w:br/>
        <w:t xml:space="preserve">Regarding the implications for organisations, industries and countries, McKinsey, the leading consulting company that set up an AI sector at a high cost, believes that AI and automation may help the expansion of giant corporations while allowing smaller businesses and even individuals to take on the traditional jobs of these organisations. Some possible outcomes are increased competition, businesses moving out of their </w:t>
      </w:r>
      <w:r>
        <w:lastRenderedPageBreak/>
        <w:t>original areas of expertise, and a wider gap between technology leaders and laggards. Goodell et al. (2021) forecast that companies fully utilising AI technologies in the next 5-7 years will likely receive the most significant rewards. At the other end of the spectrum are the latecomers or non-adopters, who are more likely to experience a recession (</w:t>
      </w:r>
      <w:proofErr w:type="spellStart"/>
      <w:r>
        <w:t>Ghoddusi</w:t>
      </w:r>
      <w:proofErr w:type="spellEnd"/>
      <w:r>
        <w:t xml:space="preserve">, Creamer and </w:t>
      </w:r>
      <w:proofErr w:type="spellStart"/>
      <w:r>
        <w:t>Rafizadeh</w:t>
      </w:r>
      <w:proofErr w:type="spellEnd"/>
      <w:r>
        <w:t>, 2019). Underachievers are predicted to lose market share, while industry leaders will gradually be able to pull in a more significant share of industry profits. As a result, global frontrunners may be better able to protect their advantages, which may ultimately lead to slower growth in productivity across the economy. These widening gaps in productivity and creativity will spark intense policy debates on how to distribute the benefits of AI more equitably (</w:t>
      </w:r>
      <w:proofErr w:type="spellStart"/>
      <w:r>
        <w:t>Milana</w:t>
      </w:r>
      <w:proofErr w:type="spellEnd"/>
      <w:r>
        <w:t xml:space="preserve"> and </w:t>
      </w:r>
      <w:proofErr w:type="spellStart"/>
      <w:r>
        <w:t>Ashta</w:t>
      </w:r>
      <w:proofErr w:type="spellEnd"/>
      <w:r>
        <w:t xml:space="preserve">, 2021). It is instructive to think about the industry’s leading the widespread use of AI. Yao et al. (2017) and </w:t>
      </w:r>
      <w:proofErr w:type="spellStart"/>
      <w:r>
        <w:t>Xie</w:t>
      </w:r>
      <w:proofErr w:type="spellEnd"/>
      <w:r>
        <w:t xml:space="preserve"> (2019) argue that AI has enormous economic potential in marketing and sales, supply chain management, logistics and manufacturing. Ryman-Tubb, Krause and </w:t>
      </w:r>
      <w:proofErr w:type="spellStart"/>
      <w:r>
        <w:t>Garn</w:t>
      </w:r>
      <w:proofErr w:type="spellEnd"/>
      <w:r>
        <w:t xml:space="preserve"> (2018) predict in their study that there is a 23% growth in the service sector, with double-digit percentage growth in retail and wholesale trade, accommodation, and catering. Now that AI is being adopted at different rates in various countries, the gap between the industrialised world and the rest of the world is likely to widen. AI leaders in most developed countries are expected to continue to increase their advantage over their developing country competitors. High wages in developed countries provide more significant economic incentives to replace human labour with AI than low wages in developing countries, an effect that is likely to be amplified (Zhang and </w:t>
      </w:r>
      <w:proofErr w:type="spellStart"/>
      <w:r>
        <w:t>Kedmey</w:t>
      </w:r>
      <w:proofErr w:type="spellEnd"/>
      <w:r>
        <w:t xml:space="preserve">, 2018).  As a result, the wealth gap between those powered intensively by AI technology and less developed countries may increase, which would shake more in the world economy, </w:t>
      </w:r>
      <w:bookmarkStart w:id="24" w:name="_Hlk122369872"/>
      <w:r>
        <w:t>which is a significant threat to the world economy.</w:t>
      </w:r>
    </w:p>
    <w:bookmarkEnd w:id="24"/>
    <w:p w14:paraId="70151C50" w14:textId="77777777" w:rsidR="00170360" w:rsidRDefault="00170360" w:rsidP="00170360">
      <w:pPr>
        <w:spacing w:line="276" w:lineRule="auto"/>
      </w:pPr>
    </w:p>
    <w:p w14:paraId="74EC212B" w14:textId="77777777" w:rsidR="00170360" w:rsidRDefault="00170360" w:rsidP="00170360">
      <w:pPr>
        <w:pStyle w:val="3"/>
      </w:pPr>
      <w:bookmarkStart w:id="25" w:name="_Toc122467202"/>
      <w:r>
        <w:t xml:space="preserve">3.1.5 AI’s Impact on non-State-Owned </w:t>
      </w:r>
      <w:bookmarkStart w:id="26" w:name="_Hlk122375739"/>
      <w:r>
        <w:t>Enterprises</w:t>
      </w:r>
      <w:bookmarkEnd w:id="25"/>
      <w:bookmarkEnd w:id="26"/>
    </w:p>
    <w:p w14:paraId="21C1756B" w14:textId="77777777" w:rsidR="00170360" w:rsidRDefault="00170360" w:rsidP="00170360">
      <w:pPr>
        <w:spacing w:line="276" w:lineRule="auto"/>
      </w:pPr>
    </w:p>
    <w:p w14:paraId="15C25B05" w14:textId="77777777" w:rsidR="00170360" w:rsidRDefault="00170360" w:rsidP="00170360">
      <w:pPr>
        <w:spacing w:line="276" w:lineRule="auto"/>
      </w:pPr>
      <w:r>
        <w:t xml:space="preserve">The impact of AI on the financing constraints of non-SOE (non-State-Owned enterprises) in China Shao et al. (2021) show that it is well-known that non-SOEs face financial difficulties are the knowledge asymmetry between them and banks. </w:t>
      </w:r>
      <w:proofErr w:type="gramStart"/>
      <w:r>
        <w:t>An and</w:t>
      </w:r>
      <w:proofErr w:type="gramEnd"/>
      <w:r>
        <w:t xml:space="preserve"> Rau (2019) argue that banks usually reject loan requests from non-SOEs because they lack state assets, have insufficient collateral, and have incomplete credit histories. Non-state enterprises often use trade credit and personal loans or build strong relationships with government figures to obtain financing. Macro factors such as government regulation, financial development and economic cycles can significantly influence how much money non-state enterprises can borrow. The literature by Shao et al. (2021) describes a variety of traditional policy instruments, such as government policy assistance, regional economic growth and upgrading of financial institutions, that may reduce the financial constraints faced by non-state enterprises. Based on the long-standing problem of </w:t>
      </w:r>
      <w:r>
        <w:lastRenderedPageBreak/>
        <w:t xml:space="preserve">secured lending discrimination in the traditional financial system, non-state enterprises are more restricted in accessing finance than state-owned enterprises. </w:t>
      </w:r>
      <w:r w:rsidRPr="00B22255">
        <w:t xml:space="preserve">Many state-owned banks control China's </w:t>
      </w:r>
      <w:bookmarkStart w:id="27" w:name="_Hlk122376296"/>
      <w:r>
        <w:t>primary corporate funding market</w:t>
      </w:r>
      <w:bookmarkEnd w:id="27"/>
      <w:r>
        <w:t xml:space="preserve">, ‘the big six’, and other joint-ownership banks set up by local public finance often require collateral in exchange for corporate loans. Non-SOEs often have limited resources and significant disadvantages. The cost of credit analysis may also rise due to the small size of loans. Together, these factors reduce the availability of finance for non-state enterprises. Blockchain, big data and other technologies are integrated into finance through AI. </w:t>
      </w:r>
      <w:proofErr w:type="spellStart"/>
      <w:r>
        <w:t>Xie</w:t>
      </w:r>
      <w:proofErr w:type="spellEnd"/>
      <w:r>
        <w:t xml:space="preserve"> (2019) expresses that the technological advantages of AI in information </w:t>
      </w:r>
      <w:proofErr w:type="gramStart"/>
      <w:r>
        <w:t>gathering</w:t>
      </w:r>
      <w:proofErr w:type="gramEnd"/>
      <w:r>
        <w:t xml:space="preserve"> and credit assessment can be used to alleviate the financial constraints faced by non-SOEs. As less developed regions have fewer financial resources, non-state enterprises are more financially constrained, </w:t>
      </w:r>
      <w:bookmarkStart w:id="28" w:name="_Hlk122376682"/>
      <w:r>
        <w:t xml:space="preserve">and non-state enterprises from the less developed region may benefit more from AI finance in easing financial constraints than their fellow firms in developed regions. </w:t>
      </w:r>
      <w:bookmarkEnd w:id="28"/>
    </w:p>
    <w:p w14:paraId="5C2A9DCA" w14:textId="77777777" w:rsidR="00170360" w:rsidRDefault="00170360" w:rsidP="00170360">
      <w:pPr>
        <w:spacing w:line="276" w:lineRule="auto"/>
      </w:pPr>
    </w:p>
    <w:p w14:paraId="69F43974" w14:textId="77777777" w:rsidR="00170360" w:rsidRDefault="00170360" w:rsidP="00170360">
      <w:pPr>
        <w:spacing w:line="276" w:lineRule="auto"/>
      </w:pPr>
      <w:r>
        <w:t>For example, by providing simple online financial services, AI finance removes geographical limitations. Remote customer enquiries become feasible through intelligent AI-based customer services such as voice recognition. AI Finance's processes and constant focus on the flow of money. By interacting more significantly with the traditional financial system, digital payments increase the availability of funds in less developed areas (</w:t>
      </w:r>
      <w:proofErr w:type="spellStart"/>
      <w:r>
        <w:t>Klapper</w:t>
      </w:r>
      <w:proofErr w:type="spellEnd"/>
      <w:r>
        <w:t xml:space="preserve"> et al., 2019). It has dramatically reduced credit limits (Yin et al., 2019). Researchers predict that non-SOE firms in less developed regions will be more advantaged by AI financing.</w:t>
      </w:r>
    </w:p>
    <w:p w14:paraId="594D06A2" w14:textId="77777777" w:rsidR="00170360" w:rsidRDefault="00170360" w:rsidP="00170360">
      <w:pPr>
        <w:spacing w:line="276" w:lineRule="auto"/>
      </w:pPr>
    </w:p>
    <w:p w14:paraId="7B04597A" w14:textId="77777777" w:rsidR="00170360" w:rsidRDefault="00170360" w:rsidP="00170360">
      <w:pPr>
        <w:pStyle w:val="2"/>
        <w:spacing w:line="276" w:lineRule="auto"/>
      </w:pPr>
      <w:bookmarkStart w:id="29" w:name="_Toc122467203"/>
      <w:r>
        <w:t>3.2 Two Debates Discussion</w:t>
      </w:r>
      <w:bookmarkEnd w:id="29"/>
    </w:p>
    <w:p w14:paraId="70E99B59" w14:textId="77777777" w:rsidR="00170360" w:rsidRDefault="00170360" w:rsidP="00170360"/>
    <w:p w14:paraId="4CF99340" w14:textId="77777777" w:rsidR="00170360" w:rsidRPr="008373D2" w:rsidRDefault="00170360" w:rsidP="00170360">
      <w:pPr>
        <w:pStyle w:val="3"/>
      </w:pPr>
      <w:bookmarkStart w:id="30" w:name="_Toc122467204"/>
      <w:r>
        <w:t>3.2.1 Debate on the impact of AI to risk management</w:t>
      </w:r>
      <w:bookmarkEnd w:id="30"/>
    </w:p>
    <w:p w14:paraId="1D92EA13" w14:textId="77777777" w:rsidR="00170360" w:rsidRDefault="00170360" w:rsidP="00170360">
      <w:pPr>
        <w:spacing w:line="276" w:lineRule="auto"/>
      </w:pPr>
    </w:p>
    <w:p w14:paraId="282A9CFE" w14:textId="77777777" w:rsidR="00170360" w:rsidRDefault="00170360" w:rsidP="00170360">
      <w:pPr>
        <w:spacing w:line="276" w:lineRule="auto"/>
      </w:pPr>
      <w:r>
        <w:t>The first debate regards risk management.</w:t>
      </w:r>
      <w:r w:rsidRPr="002A20C5">
        <w:t xml:space="preserve"> Andersen et al. (2013)</w:t>
      </w:r>
      <w:r>
        <w:t xml:space="preserve"> summarise the concept of financial risk management as a process of recognising, detecting, valuing, and dealing with risk exposure by using financial tools in corporate financial management. Today’s artificial intelligence technology is not starting from a pure blank slate. However, AI needs to pre-set up specifically selected algorithms before being applied to any industry. With the following machine learning, AI would dynamically adjust the processing methods. </w:t>
      </w:r>
    </w:p>
    <w:p w14:paraId="05D577B2" w14:textId="77777777" w:rsidR="00170360" w:rsidRDefault="00170360" w:rsidP="00170360">
      <w:pPr>
        <w:spacing w:line="276" w:lineRule="auto"/>
      </w:pPr>
      <w:r>
        <w:t xml:space="preserve">Moreover, when the original algorithm works poorly in a specific field, AI needs to re-set up another algorithm system to work in that field again. The whole process needs to be supervised by specialists and AI engineers from the financial company. Marsh (2021) </w:t>
      </w:r>
      <w:r>
        <w:lastRenderedPageBreak/>
        <w:t xml:space="preserve">expressed that when AI is applied to portfolio management, there must be a set of clear rules and criteria. </w:t>
      </w:r>
      <w:proofErr w:type="spellStart"/>
      <w:r>
        <w:t>Fior</w:t>
      </w:r>
      <w:proofErr w:type="spellEnd"/>
      <w:r>
        <w:t xml:space="preserve">, </w:t>
      </w:r>
      <w:proofErr w:type="spellStart"/>
      <w:r>
        <w:t>Cagliero</w:t>
      </w:r>
      <w:proofErr w:type="spellEnd"/>
      <w:r>
        <w:t xml:space="preserve"> and Garza (2022) designed a system to supervise the portfolio construction process under AI’s management</w:t>
      </w:r>
      <w:r>
        <w:rPr>
          <w:rFonts w:hint="eastAsia"/>
        </w:rPr>
        <w:t>;</w:t>
      </w:r>
      <w:r>
        <w:t xml:space="preserve"> the unsuitable algorithm could be altered according to the supervising outcome. On the one hand, risk management becomes easier in AI in charge of portfolio situations. The only thing for the financial risk management team to consider is whether the ongoing algorithm system works well in the investment. It is unnecessary to examine the potential ethical problem risks because AI would unlikely have ethical problems as a machine. </w:t>
      </w:r>
      <w:r w:rsidRPr="000F0F75">
        <w:t>Nazir</w:t>
      </w:r>
      <w:r>
        <w:t xml:space="preserve"> </w:t>
      </w:r>
      <w:r w:rsidRPr="000F0F75">
        <w:t>(2019)</w:t>
      </w:r>
      <w:r>
        <w:t xml:space="preserve"> used an AI algorithm overcome in performance to </w:t>
      </w:r>
      <w:proofErr w:type="spellStart"/>
      <w:r>
        <w:t>Anticor</w:t>
      </w:r>
      <w:proofErr w:type="spellEnd"/>
      <w:r>
        <w:t xml:space="preserve"> and OLMAR-the two prominent portfolio selection strategies in four stock markets in USA and Canada. </w:t>
      </w:r>
      <w:r w:rsidRPr="00981B76">
        <w:t>Méndez-Suárez, García-Fernández and Gallardo (2019)</w:t>
      </w:r>
      <w:r>
        <w:t xml:space="preserve"> performed the historical database and declared that AI could give proper investment recommendations five days ahead in the copper market with a sufficient level of reliability.</w:t>
      </w:r>
    </w:p>
    <w:p w14:paraId="695D9CB6" w14:textId="77777777" w:rsidR="00170360" w:rsidRDefault="00170360" w:rsidP="00170360">
      <w:pPr>
        <w:spacing w:line="276" w:lineRule="auto"/>
      </w:pPr>
    </w:p>
    <w:p w14:paraId="4751E309" w14:textId="77777777" w:rsidR="00170360" w:rsidRDefault="00170360" w:rsidP="00170360">
      <w:pPr>
        <w:spacing w:line="276" w:lineRule="auto"/>
      </w:pPr>
      <w:r>
        <w:t xml:space="preserve">On the other hand, AI in charge of portfolio management increases the complexity of risk management systems in the financial industry. AI takes responsibility for all the investment decisions, but how to conduct risk management on those specialists and engineers who support AI? The supporting team pre-set up algorithms to start AI and supervises in the following stages, even altering the original algorithm when unexpected outcomes emerge.  The situation becomes a puzzle. Strict risk management would shake the meaning of a supportive team just as a passive side. In contrast, symbolic risk management would bring the ethical problem generated by the supporting human team. They are not purely rational; they may have family problems, they may suffer from depression, they may be greedy, and they get tired. The supporting human team may pre-set AI for their benefit. This severe risk management system will be built for all AI-involved financial institutions. </w:t>
      </w:r>
      <w:r w:rsidRPr="00E46DFF">
        <w:t xml:space="preserve">Plus, </w:t>
      </w:r>
      <w:proofErr w:type="spellStart"/>
      <w:r w:rsidRPr="00E46DFF">
        <w:t>Melnychenko</w:t>
      </w:r>
      <w:proofErr w:type="spellEnd"/>
      <w:r w:rsidRPr="00E46DFF">
        <w:t xml:space="preserve"> (2020) runs tests to </w:t>
      </w:r>
      <w:r>
        <w:t>demonstrate</w:t>
      </w:r>
      <w:r w:rsidRPr="002B703C">
        <w:t xml:space="preserve"> the disadvantages of artificial intelligence in financial analysis decisions, where all analysis is static because artificial intelligence only imitates human behaviour and where artificial intelligence </w:t>
      </w:r>
      <w:r>
        <w:t>cannot</w:t>
      </w:r>
      <w:r w:rsidRPr="002B703C">
        <w:t xml:space="preserve"> recognise dynamic factors and therefore causes bias in </w:t>
      </w:r>
      <w:r>
        <w:t>judgments.</w:t>
      </w:r>
    </w:p>
    <w:p w14:paraId="2B7F9FD8" w14:textId="77777777" w:rsidR="00170360" w:rsidRDefault="00170360" w:rsidP="00170360">
      <w:pPr>
        <w:spacing w:line="276" w:lineRule="auto"/>
      </w:pPr>
    </w:p>
    <w:p w14:paraId="5A23F78F" w14:textId="77777777" w:rsidR="00170360" w:rsidRDefault="00170360" w:rsidP="00170360">
      <w:pPr>
        <w:pStyle w:val="3"/>
      </w:pPr>
      <w:bookmarkStart w:id="31" w:name="_Toc122467205"/>
      <w:r>
        <w:t>3.2.2 Debate on the Impact of AI on management cost</w:t>
      </w:r>
      <w:bookmarkEnd w:id="31"/>
    </w:p>
    <w:p w14:paraId="30DD1DD7" w14:textId="77777777" w:rsidR="00170360" w:rsidRDefault="00170360" w:rsidP="00170360">
      <w:pPr>
        <w:spacing w:line="276" w:lineRule="auto"/>
      </w:pPr>
    </w:p>
    <w:p w14:paraId="2DCE825F" w14:textId="77777777" w:rsidR="00170360" w:rsidRDefault="00170360" w:rsidP="00170360">
      <w:pPr>
        <w:spacing w:line="276" w:lineRule="auto"/>
      </w:pPr>
      <w:r>
        <w:t xml:space="preserve">The second debate regards management costs. There are two crucial business activities for the insurance company to conduct after the product is designed and launched to the market: collecting insurance premiums and increasing the value of these funds. Ping </w:t>
      </w:r>
      <w:proofErr w:type="gramStart"/>
      <w:r>
        <w:t>An</w:t>
      </w:r>
      <w:proofErr w:type="gramEnd"/>
      <w:r>
        <w:t xml:space="preserve"> Group</w:t>
      </w:r>
      <w:r w:rsidRPr="00D5665A">
        <w:t xml:space="preserve">, the largest insurance </w:t>
      </w:r>
      <w:r>
        <w:t>group</w:t>
      </w:r>
      <w:r w:rsidRPr="00D5665A">
        <w:t xml:space="preserve"> in China, </w:t>
      </w:r>
      <w:r>
        <w:t xml:space="preserve">sacked the investment team of the casualty property insurance company and then established a new AI-driving department </w:t>
      </w:r>
      <w:r w:rsidRPr="00F61339">
        <w:t>to take over that assets management project simultaneously</w:t>
      </w:r>
      <w:r>
        <w:t xml:space="preserve">. There is a supportive human team </w:t>
      </w:r>
      <w:r>
        <w:lastRenderedPageBreak/>
        <w:t xml:space="preserve">that only provides passive assistance work to maintain the AI system working well. The group explained that the transition mainly aims to cut the management costs operating the assets management project. </w:t>
      </w:r>
    </w:p>
    <w:p w14:paraId="666C3201" w14:textId="77777777" w:rsidR="00170360" w:rsidRDefault="00170360" w:rsidP="00170360">
      <w:pPr>
        <w:spacing w:line="276" w:lineRule="auto"/>
      </w:pPr>
    </w:p>
    <w:p w14:paraId="5FC732BE" w14:textId="77777777" w:rsidR="00170360" w:rsidRDefault="00170360" w:rsidP="00170360">
      <w:pPr>
        <w:spacing w:line="276" w:lineRule="auto"/>
      </w:pPr>
      <w:proofErr w:type="spellStart"/>
      <w:r>
        <w:t>Viriato</w:t>
      </w:r>
      <w:proofErr w:type="spellEnd"/>
      <w:r>
        <w:t xml:space="preserve"> (2019) concluded that AI’s application could make the real estate investment rely less on kinds of consultants, which could cut the costs for project management. The main </w:t>
      </w:r>
      <w:r w:rsidRPr="00A23A54">
        <w:t>cost</w:t>
      </w:r>
      <w:r>
        <w:t xml:space="preserve"> of an AI system for a company is initial sunk costs or fixed costs for hardware and software preparation. Once the trial is done, only variable costs would occur, consisting of the personnel cost of supportive employees and the management cost of routine administration. Looking at this from a stationary perspective, we may </w:t>
      </w:r>
      <w:r w:rsidRPr="00D5665A">
        <w:t xml:space="preserve">conclude that AI applications in finance </w:t>
      </w:r>
      <w:r>
        <w:t>organisations</w:t>
      </w:r>
      <w:r w:rsidRPr="00D5665A">
        <w:t xml:space="preserve"> significantly reduce management costs</w:t>
      </w:r>
      <w:r>
        <w:t xml:space="preserve">. However, from a dynamic perspective, some points may be worth analysing. Firstly, the </w:t>
      </w:r>
      <w:r w:rsidRPr="00D5665A">
        <w:t xml:space="preserve">salary cost may not change much due to </w:t>
      </w:r>
      <w:r w:rsidRPr="005F2E1C">
        <w:t>AI-supportive employees' extremely high qualifications</w:t>
      </w:r>
      <w:r>
        <w:t xml:space="preserve">. A specialist professionalised in both AI technology and the complex financial market regularity could be qualified for an AI-supportive job in a financial company. Secondly, AI investment algorithms </w:t>
      </w:r>
      <w:r w:rsidRPr="00E82DC8">
        <w:t xml:space="preserve">use high-frequency quantitative methods to conduct portfolio construction, which could generate </w:t>
      </w:r>
      <w:r>
        <w:t>substantial transaction fees, especially in a market of intense fluctuation. High-frequency transaction fees could be a large part of management costs and should be calculated in different situations. Lastly, AI acting as an active decision-maker would shock the traditional cultural context in the financial industries.  The e</w:t>
      </w:r>
      <w:r>
        <w:rPr>
          <w:rFonts w:eastAsia="PMingLiU"/>
        </w:rPr>
        <w:t>conomic</w:t>
      </w:r>
      <w:r>
        <w:t xml:space="preserve"> i</w:t>
      </w:r>
      <w:r>
        <w:rPr>
          <w:rFonts w:eastAsia="PMingLiU"/>
        </w:rPr>
        <w:t>nitiatives</w:t>
      </w:r>
      <w:r>
        <w:t xml:space="preserve"> have traditionally emphasised a competitive teamwork culture very close to the professional sports team. AI’s interventions could harm this cooperation culture among colleagues and departments, which may cause hidden costs in other aspects significantly in the financial institutions. </w:t>
      </w:r>
    </w:p>
    <w:p w14:paraId="77F28FD1" w14:textId="77777777" w:rsidR="00170360" w:rsidRDefault="00170360" w:rsidP="00170360">
      <w:pPr>
        <w:spacing w:line="276" w:lineRule="auto"/>
      </w:pPr>
    </w:p>
    <w:p w14:paraId="2F843B3D" w14:textId="77777777" w:rsidR="00170360" w:rsidRDefault="00170360" w:rsidP="00170360">
      <w:pPr>
        <w:spacing w:line="276" w:lineRule="auto"/>
      </w:pPr>
      <w:r>
        <w:t xml:space="preserve">As a post-positivist position researcher, the researcher views AI technology positively impacting finance and the economy. </w:t>
      </w:r>
      <w:r w:rsidRPr="00C57E15">
        <w:t>The created surplus would cover the deficiencies</w:t>
      </w:r>
      <w:r>
        <w:t xml:space="preserve">. With more robust data collection and processing, the finance and economy would benefit both as a whole and as an individual enterprise. </w:t>
      </w:r>
    </w:p>
    <w:bookmarkEnd w:id="17"/>
    <w:p w14:paraId="329CC171" w14:textId="77777777" w:rsidR="00012893" w:rsidRDefault="00012893"/>
    <w:sectPr w:rsidR="00012893" w:rsidSect="00E371A0">
      <w:pgSz w:w="11906" w:h="16838"/>
      <w:pgMar w:top="1440" w:right="1800" w:bottom="1440" w:left="1800" w:header="851" w:footer="992" w:gutter="0"/>
      <w:cols w:space="425"/>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PMingLiU">
    <w:altName w:val="新細明體"/>
    <w:panose1 w:val="02010601000101010101"/>
    <w:charset w:val="88"/>
    <w:family w:val="roman"/>
    <w:pitch w:val="variable"/>
    <w:sig w:usb0="A00002FF" w:usb1="28CFFCFA" w:usb2="00000016" w:usb3="00000000" w:csb0="001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2151227"/>
    <w:multiLevelType w:val="multilevel"/>
    <w:tmpl w:val="0A9080CA"/>
    <w:lvl w:ilvl="0">
      <w:start w:val="1"/>
      <w:numFmt w:val="decimal"/>
      <w:lvlText w:val="%1"/>
      <w:lvlJc w:val="left"/>
      <w:pPr>
        <w:ind w:left="400" w:hanging="400"/>
      </w:pPr>
      <w:rPr>
        <w:rFonts w:hint="default"/>
      </w:rPr>
    </w:lvl>
    <w:lvl w:ilvl="1">
      <w:start w:val="1"/>
      <w:numFmt w:val="decimal"/>
      <w:lvlText w:val="%1.%2"/>
      <w:lvlJc w:val="left"/>
      <w:pPr>
        <w:ind w:left="400" w:hanging="4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94764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0360"/>
    <w:rsid w:val="00012893"/>
    <w:rsid w:val="00170360"/>
    <w:rsid w:val="0053573D"/>
    <w:rsid w:val="00717A14"/>
    <w:rsid w:val="00CA5830"/>
    <w:rsid w:val="00E371A0"/>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3BC4C7"/>
  <w15:chartTrackingRefBased/>
  <w15:docId w15:val="{B91FAE2F-EC4C-42B0-B640-2989290F0C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70360"/>
    <w:pPr>
      <w:widowControl w:val="0"/>
      <w:jc w:val="both"/>
    </w:pPr>
  </w:style>
  <w:style w:type="paragraph" w:styleId="1">
    <w:name w:val="heading 1"/>
    <w:basedOn w:val="a"/>
    <w:next w:val="a"/>
    <w:link w:val="10"/>
    <w:uiPriority w:val="9"/>
    <w:qFormat/>
    <w:rsid w:val="0017036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0"/>
    <w:uiPriority w:val="9"/>
    <w:semiHidden/>
    <w:unhideWhenUsed/>
    <w:qFormat/>
    <w:rsid w:val="0017036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0"/>
    <w:uiPriority w:val="9"/>
    <w:unhideWhenUsed/>
    <w:qFormat/>
    <w:rsid w:val="00170360"/>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170360"/>
    <w:rPr>
      <w:rFonts w:asciiTheme="majorHAnsi" w:eastAsiaTheme="majorEastAsia" w:hAnsiTheme="majorHAnsi" w:cstheme="majorBidi"/>
      <w:color w:val="2F5496" w:themeColor="accent1" w:themeShade="BF"/>
      <w:sz w:val="32"/>
      <w:szCs w:val="32"/>
    </w:rPr>
  </w:style>
  <w:style w:type="character" w:customStyle="1" w:styleId="20">
    <w:name w:val="标题 2 字符"/>
    <w:basedOn w:val="a0"/>
    <w:link w:val="2"/>
    <w:uiPriority w:val="9"/>
    <w:semiHidden/>
    <w:rsid w:val="00170360"/>
    <w:rPr>
      <w:rFonts w:asciiTheme="majorHAnsi" w:eastAsiaTheme="majorEastAsia" w:hAnsiTheme="majorHAnsi" w:cstheme="majorBidi"/>
      <w:color w:val="2F5496" w:themeColor="accent1" w:themeShade="BF"/>
      <w:sz w:val="26"/>
      <w:szCs w:val="26"/>
    </w:rPr>
  </w:style>
  <w:style w:type="character" w:customStyle="1" w:styleId="30">
    <w:name w:val="标题 3 字符"/>
    <w:basedOn w:val="a0"/>
    <w:link w:val="3"/>
    <w:uiPriority w:val="9"/>
    <w:rsid w:val="00170360"/>
    <w:rPr>
      <w:rFonts w:asciiTheme="majorHAnsi" w:eastAsiaTheme="majorEastAsia" w:hAnsiTheme="majorHAnsi" w:cstheme="majorBidi"/>
      <w:color w:val="1F3763" w:themeColor="accent1" w:themeShade="7F"/>
      <w:sz w:val="24"/>
      <w:szCs w:val="24"/>
    </w:rPr>
  </w:style>
  <w:style w:type="paragraph" w:styleId="a3">
    <w:name w:val="header"/>
    <w:basedOn w:val="a"/>
    <w:link w:val="a4"/>
    <w:uiPriority w:val="99"/>
    <w:unhideWhenUsed/>
    <w:rsid w:val="00170360"/>
    <w:pPr>
      <w:tabs>
        <w:tab w:val="center" w:pos="4153"/>
        <w:tab w:val="right" w:pos="8306"/>
      </w:tabs>
      <w:spacing w:after="0" w:line="240" w:lineRule="auto"/>
    </w:pPr>
  </w:style>
  <w:style w:type="character" w:customStyle="1" w:styleId="a4">
    <w:name w:val="页眉 字符"/>
    <w:basedOn w:val="a0"/>
    <w:link w:val="a3"/>
    <w:uiPriority w:val="99"/>
    <w:rsid w:val="00170360"/>
  </w:style>
  <w:style w:type="paragraph" w:styleId="a5">
    <w:name w:val="footer"/>
    <w:basedOn w:val="a"/>
    <w:link w:val="a6"/>
    <w:uiPriority w:val="99"/>
    <w:unhideWhenUsed/>
    <w:rsid w:val="00170360"/>
    <w:pPr>
      <w:tabs>
        <w:tab w:val="center" w:pos="4153"/>
        <w:tab w:val="right" w:pos="8306"/>
      </w:tabs>
      <w:spacing w:after="0" w:line="240" w:lineRule="auto"/>
    </w:pPr>
  </w:style>
  <w:style w:type="character" w:customStyle="1" w:styleId="a6">
    <w:name w:val="页脚 字符"/>
    <w:basedOn w:val="a0"/>
    <w:link w:val="a5"/>
    <w:uiPriority w:val="99"/>
    <w:rsid w:val="00170360"/>
  </w:style>
  <w:style w:type="paragraph" w:styleId="a7">
    <w:name w:val="Normal (Web)"/>
    <w:basedOn w:val="a"/>
    <w:uiPriority w:val="99"/>
    <w:unhideWhenUsed/>
    <w:rsid w:val="00170360"/>
    <w:pPr>
      <w:widowControl/>
      <w:spacing w:before="100" w:beforeAutospacing="1" w:after="100" w:afterAutospacing="1" w:line="240" w:lineRule="auto"/>
      <w:jc w:val="left"/>
    </w:pPr>
    <w:rPr>
      <w:rFonts w:ascii="Times New Roman" w:eastAsia="Times New Roman" w:hAnsi="Times New Roman" w:cs="Times New Roman"/>
      <w:sz w:val="24"/>
      <w:szCs w:val="24"/>
    </w:rPr>
  </w:style>
  <w:style w:type="character" w:styleId="a8">
    <w:name w:val="Hyperlink"/>
    <w:basedOn w:val="a0"/>
    <w:uiPriority w:val="99"/>
    <w:unhideWhenUsed/>
    <w:rsid w:val="00170360"/>
    <w:rPr>
      <w:color w:val="0563C1" w:themeColor="hyperlink"/>
      <w:u w:val="single"/>
    </w:rPr>
  </w:style>
  <w:style w:type="character" w:styleId="a9">
    <w:name w:val="Unresolved Mention"/>
    <w:basedOn w:val="a0"/>
    <w:uiPriority w:val="99"/>
    <w:semiHidden/>
    <w:unhideWhenUsed/>
    <w:rsid w:val="00170360"/>
    <w:rPr>
      <w:color w:val="605E5C"/>
      <w:shd w:val="clear" w:color="auto" w:fill="E1DFDD"/>
    </w:rPr>
  </w:style>
  <w:style w:type="paragraph" w:styleId="TOC">
    <w:name w:val="TOC Heading"/>
    <w:basedOn w:val="1"/>
    <w:next w:val="a"/>
    <w:uiPriority w:val="39"/>
    <w:unhideWhenUsed/>
    <w:qFormat/>
    <w:rsid w:val="00170360"/>
    <w:pPr>
      <w:widowControl/>
      <w:jc w:val="left"/>
      <w:outlineLvl w:val="9"/>
    </w:pPr>
  </w:style>
  <w:style w:type="paragraph" w:styleId="TOC1">
    <w:name w:val="toc 1"/>
    <w:basedOn w:val="a"/>
    <w:next w:val="a"/>
    <w:autoRedefine/>
    <w:uiPriority w:val="39"/>
    <w:unhideWhenUsed/>
    <w:rsid w:val="00170360"/>
    <w:pPr>
      <w:spacing w:after="100"/>
    </w:pPr>
  </w:style>
  <w:style w:type="paragraph" w:styleId="TOC2">
    <w:name w:val="toc 2"/>
    <w:basedOn w:val="a"/>
    <w:next w:val="a"/>
    <w:autoRedefine/>
    <w:uiPriority w:val="39"/>
    <w:unhideWhenUsed/>
    <w:rsid w:val="00170360"/>
    <w:pPr>
      <w:spacing w:after="100"/>
      <w:ind w:left="220"/>
    </w:pPr>
  </w:style>
  <w:style w:type="paragraph" w:styleId="aa">
    <w:name w:val="No Spacing"/>
    <w:link w:val="ab"/>
    <w:uiPriority w:val="1"/>
    <w:qFormat/>
    <w:rsid w:val="00170360"/>
    <w:pPr>
      <w:spacing w:after="0" w:line="240" w:lineRule="auto"/>
    </w:pPr>
  </w:style>
  <w:style w:type="character" w:customStyle="1" w:styleId="ab">
    <w:name w:val="无间隔 字符"/>
    <w:basedOn w:val="a0"/>
    <w:link w:val="aa"/>
    <w:uiPriority w:val="1"/>
    <w:rsid w:val="00170360"/>
  </w:style>
  <w:style w:type="paragraph" w:styleId="TOC3">
    <w:name w:val="toc 3"/>
    <w:basedOn w:val="a"/>
    <w:next w:val="a"/>
    <w:autoRedefine/>
    <w:uiPriority w:val="39"/>
    <w:unhideWhenUsed/>
    <w:rsid w:val="00170360"/>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n.wikipedia.org/wiki/Personal_loan" TargetMode="External"/><Relationship Id="rId3" Type="http://schemas.openxmlformats.org/officeDocument/2006/relationships/settings" Target="settings.xml"/><Relationship Id="rId7" Type="http://schemas.openxmlformats.org/officeDocument/2006/relationships/hyperlink" Target="https://en.wikipedia.org/wiki/Mortgage_loan"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en.wikipedia.org/wiki/Transactional_account" TargetMode="External"/><Relationship Id="rId11" Type="http://schemas.openxmlformats.org/officeDocument/2006/relationships/fontTable" Target="fontTable.xml"/><Relationship Id="rId5" Type="http://schemas.openxmlformats.org/officeDocument/2006/relationships/hyperlink" Target="https://en.wikipedia.org/wiki/Savings_account" TargetMode="External"/><Relationship Id="rId10" Type="http://schemas.openxmlformats.org/officeDocument/2006/relationships/hyperlink" Target="https://en.wikipedia.org/wiki/Credit_card" TargetMode="External"/><Relationship Id="rId4" Type="http://schemas.openxmlformats.org/officeDocument/2006/relationships/webSettings" Target="webSettings.xml"/><Relationship Id="rId9" Type="http://schemas.openxmlformats.org/officeDocument/2006/relationships/hyperlink" Target="https://en.wikipedia.org/wiki/Debit_card"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20</Pages>
  <Words>8287</Words>
  <Characters>45003</Characters>
  <Application>Microsoft Office Word</Application>
  <DocSecurity>0</DocSecurity>
  <Lines>750</Lines>
  <Paragraphs>86</Paragraphs>
  <ScaleCrop>false</ScaleCrop>
  <Company/>
  <LinksUpToDate>false</LinksUpToDate>
  <CharactersWithSpaces>53204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Ruixin Wang (2130119)</dc:creator>
  <cp:keywords/>
  <dc:description/>
  <cp:lastModifiedBy>Ruixin Wang (2130119)</cp:lastModifiedBy>
  <cp:revision>1</cp:revision>
  <dcterms:created xsi:type="dcterms:W3CDTF">2022-12-20T14:21:00Z</dcterms:created>
  <dcterms:modified xsi:type="dcterms:W3CDTF">2022-12-20T14:22:00Z</dcterms:modified>
</cp:coreProperties>
</file>