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DD44D8" w14:textId="77777777" w:rsidR="000C6D63" w:rsidRDefault="005562C4">
      <w:pPr>
        <w:rPr>
          <w:b/>
        </w:rPr>
      </w:pPr>
      <w:r>
        <w:rPr>
          <w:b/>
        </w:rPr>
        <w:t xml:space="preserve">How far are we justified in treating ‘religion’ as a valid area of academic study? </w:t>
      </w:r>
    </w:p>
    <w:p w14:paraId="64A6DA79" w14:textId="77777777" w:rsidR="000C6D63" w:rsidRDefault="000C6D63"/>
    <w:p w14:paraId="70184326" w14:textId="77777777" w:rsidR="000C6D63" w:rsidRDefault="000C6D63">
      <w:pPr>
        <w:rPr>
          <w:rFonts w:ascii="PMingLiU" w:eastAsia="PMingLiU" w:hAnsi="PMingLiU" w:cs="PMingLiU"/>
        </w:rPr>
      </w:pPr>
    </w:p>
    <w:p w14:paraId="2D954EBE" w14:textId="34A08650" w:rsidR="00523620" w:rsidRDefault="005562C4" w:rsidP="004A7CC1">
      <w:pPr>
        <w:spacing w:line="360" w:lineRule="auto"/>
        <w:rPr>
          <w:color w:val="000000"/>
        </w:rPr>
      </w:pPr>
      <w:r>
        <w:t xml:space="preserve">How far are we justified in treating ‘religion’ as a valid area of academic study or is it better to simply reframe the question and ask why religion should not be treated as a valid area of </w:t>
      </w:r>
      <w:r w:rsidR="00523620">
        <w:t>i</w:t>
      </w:r>
      <w:r w:rsidR="00774B98">
        <w:t>nquiry</w:t>
      </w:r>
      <w:r>
        <w:t>? Firstly, in anthropolog</w:t>
      </w:r>
      <w:r w:rsidR="005C6F30">
        <w:t>y, which faces similar scrutiny</w:t>
      </w:r>
      <w:r>
        <w:t xml:space="preserve"> is it acceptable or even politically correct to criticise or analyse religion</w:t>
      </w:r>
      <w:r w:rsidR="0048739F">
        <w:t>.</w:t>
      </w:r>
      <w:r>
        <w:t xml:space="preserve"> </w:t>
      </w:r>
      <w:r w:rsidR="002544A9">
        <w:t>By contrast, f</w:t>
      </w:r>
      <w:r>
        <w:t>o</w:t>
      </w:r>
      <w:r w:rsidR="002544A9">
        <w:t>r</w:t>
      </w:r>
      <w:r>
        <w:t xml:space="preserve"> many</w:t>
      </w:r>
      <w:r w:rsidR="002544A9">
        <w:t xml:space="preserve"> believers</w:t>
      </w:r>
      <w:r>
        <w:t>, it is a sacred subject, above and beyond the understanding of humanity</w:t>
      </w:r>
      <w:r w:rsidR="008744AB">
        <w:t>.</w:t>
      </w:r>
      <w:r>
        <w:t xml:space="preserve"> Secondly, what right has an outsider to interfere with another’s </w:t>
      </w:r>
      <w:r w:rsidR="00523620">
        <w:t>beliefs? Clearly, there are some clear</w:t>
      </w:r>
      <w:r>
        <w:rPr>
          <w:color w:val="ED7D31"/>
        </w:rPr>
        <w:t xml:space="preserve"> </w:t>
      </w:r>
      <w:r>
        <w:rPr>
          <w:color w:val="000000"/>
        </w:rPr>
        <w:t xml:space="preserve">objections to treating religion as a valid area of </w:t>
      </w:r>
      <w:r w:rsidR="00523620">
        <w:rPr>
          <w:color w:val="000000"/>
        </w:rPr>
        <w:t xml:space="preserve">academic </w:t>
      </w:r>
      <w:r>
        <w:rPr>
          <w:color w:val="000000"/>
        </w:rPr>
        <w:t xml:space="preserve">study. </w:t>
      </w:r>
    </w:p>
    <w:p w14:paraId="4F475953" w14:textId="77777777" w:rsidR="00523620" w:rsidRDefault="00523620" w:rsidP="004A7CC1">
      <w:pPr>
        <w:spacing w:line="360" w:lineRule="auto"/>
        <w:rPr>
          <w:color w:val="000000"/>
        </w:rPr>
      </w:pPr>
    </w:p>
    <w:p w14:paraId="6DD4F7EC" w14:textId="3C35C0CA" w:rsidR="000C6D63" w:rsidRDefault="0095016B" w:rsidP="004A7CC1">
      <w:pPr>
        <w:spacing w:line="360" w:lineRule="auto"/>
      </w:pPr>
      <w:r>
        <w:rPr>
          <w:color w:val="000000"/>
        </w:rPr>
        <w:t>According to Joh</w:t>
      </w:r>
      <w:r w:rsidR="000F5DC0">
        <w:rPr>
          <w:color w:val="000000"/>
        </w:rPr>
        <w:t xml:space="preserve">n Hinnells in </w:t>
      </w:r>
      <w:r w:rsidR="000F5DC0">
        <w:rPr>
          <w:i/>
          <w:color w:val="000000"/>
        </w:rPr>
        <w:t xml:space="preserve">Why Study Religions </w:t>
      </w:r>
      <w:r w:rsidR="000F5DC0">
        <w:rPr>
          <w:color w:val="000000"/>
        </w:rPr>
        <w:t>(2005),</w:t>
      </w:r>
      <w:r w:rsidR="005562C4">
        <w:rPr>
          <w:color w:val="000000"/>
        </w:rPr>
        <w:t xml:space="preserve"> an insider</w:t>
      </w:r>
      <w:r w:rsidR="000F5DC0">
        <w:rPr>
          <w:color w:val="000000"/>
        </w:rPr>
        <w:t xml:space="preserve"> or believer</w:t>
      </w:r>
      <w:r w:rsidR="005562C4">
        <w:t xml:space="preserve"> might wish to study religion because they simply wish to know more about it or wish to view their own religion in the context of others? It might also be part and parcel of their own spiritual journey</w:t>
      </w:r>
      <w:r w:rsidR="009F7E0B">
        <w:t xml:space="preserve"> (2005, p5)</w:t>
      </w:r>
      <w:r w:rsidR="005562C4">
        <w:t xml:space="preserve">. </w:t>
      </w:r>
      <w:r w:rsidR="00B25337">
        <w:t>However, f</w:t>
      </w:r>
      <w:r w:rsidR="005562C4">
        <w:t xml:space="preserve">rom an outsider’s perspective, we might ask what relevance is there for such a study, especially if one is an atheist? </w:t>
      </w:r>
      <w:r w:rsidR="009F7E0B">
        <w:t xml:space="preserve">Hinnells </w:t>
      </w:r>
      <w:r w:rsidR="00A33860">
        <w:t>argues that despite being an atheist</w:t>
      </w:r>
      <w:r w:rsidR="00C80D86">
        <w:t xml:space="preserve">, </w:t>
      </w:r>
      <w:r w:rsidR="005562C4">
        <w:t>religions ‘are dangerous because more people have been tortured and killed for religious reasons than for any other motive’ (2005, p5)</w:t>
      </w:r>
      <w:r w:rsidR="00C80D86">
        <w:t xml:space="preserve"> and this is why it is relevant to study it</w:t>
      </w:r>
      <w:r w:rsidR="005562C4">
        <w:t>. However, on a personal level, he accepts that religion offers help, support and joy to many believers, but also feelings of guilt and shame by not being able to live up to the ide</w:t>
      </w:r>
      <w:r w:rsidR="00B25337">
        <w:t>als of their religion. Hence,</w:t>
      </w:r>
      <w:r w:rsidR="005562C4">
        <w:t xml:space="preserve"> reason enough to study them </w:t>
      </w:r>
      <w:r w:rsidR="00B25337">
        <w:t>in so far as one</w:t>
      </w:r>
      <w:r w:rsidR="005562C4">
        <w:t xml:space="preserve"> one does not need to agree with something in order to study it. </w:t>
      </w:r>
    </w:p>
    <w:p w14:paraId="1E3800F6" w14:textId="77777777" w:rsidR="000C6D63" w:rsidRDefault="000C6D63" w:rsidP="004A7CC1">
      <w:pPr>
        <w:spacing w:line="360" w:lineRule="auto"/>
      </w:pPr>
    </w:p>
    <w:p w14:paraId="5D73614B" w14:textId="5D29060E" w:rsidR="000C6D63" w:rsidRDefault="005562C4" w:rsidP="004A7CC1">
      <w:pPr>
        <w:spacing w:line="360" w:lineRule="auto"/>
      </w:pPr>
      <w:r>
        <w:t xml:space="preserve">I intend to argue that it is acceptable to study religion academically, </w:t>
      </w:r>
      <w:r w:rsidR="006B6CC4">
        <w:t xml:space="preserve">as it should </w:t>
      </w:r>
      <w:r w:rsidR="00D46D6B">
        <w:t xml:space="preserve">not be beyond scrutiny. </w:t>
      </w:r>
      <w:r>
        <w:t>Increasingly</w:t>
      </w:r>
      <w:r w:rsidR="00B25337">
        <w:t>,</w:t>
      </w:r>
      <w:r>
        <w:t xml:space="preserve"> the educational departments of sociology, psychology, history and philosophy have taken an interest in religion. Indeed, if we are to make sense of another’s beliefs, then religion must be continuously studied, reported upon and debated. Hinnells (2005, p8-9), wonders whether </w:t>
      </w:r>
      <w:r w:rsidR="00D46D6B">
        <w:t xml:space="preserve">it is possible </w:t>
      </w:r>
      <w:r>
        <w:t>to understand any culture and social or political history without also understanding the relevant religions? I agree with him, even taking into account the contested debate of whether religion is</w:t>
      </w:r>
      <w:r>
        <w:rPr>
          <w:i/>
        </w:rPr>
        <w:t xml:space="preserve"> culture </w:t>
      </w:r>
      <w:r>
        <w:t xml:space="preserve">or the view that culture is something that includes religion. </w:t>
      </w:r>
      <w:r w:rsidR="00FD617A">
        <w:t xml:space="preserve">Then there is the argument whether religion is political or not. </w:t>
      </w:r>
      <w:r>
        <w:t xml:space="preserve">Why is religion, especially the more conservative, fundamentalist kind becoming more prominent? Why is there an increase in New Religious Movements (NRMs)? Academic study can help shed light on some </w:t>
      </w:r>
      <w:r w:rsidR="000B4C9F">
        <w:t xml:space="preserve">or all </w:t>
      </w:r>
      <w:r>
        <w:t xml:space="preserve">of these questions. It can reveal a different </w:t>
      </w:r>
      <w:r>
        <w:lastRenderedPageBreak/>
        <w:t>perspective</w:t>
      </w:r>
      <w:bookmarkStart w:id="0" w:name="_GoBack"/>
      <w:bookmarkEnd w:id="0"/>
      <w:r>
        <w:t xml:space="preserve"> and help address the big questions which many want to query; such as who am I, where do I come from and where am I going? </w:t>
      </w:r>
    </w:p>
    <w:p w14:paraId="2E6854D6" w14:textId="77777777" w:rsidR="000C6D63" w:rsidRDefault="000C6D63" w:rsidP="004A7CC1">
      <w:pPr>
        <w:spacing w:line="360" w:lineRule="auto"/>
      </w:pPr>
    </w:p>
    <w:p w14:paraId="738B605E" w14:textId="77777777" w:rsidR="000C6D63" w:rsidRDefault="005562C4" w:rsidP="004A7CC1">
      <w:pPr>
        <w:spacing w:line="360" w:lineRule="auto"/>
      </w:pPr>
      <w:r>
        <w:t xml:space="preserve">Robert Segal (2006) addresses the political aspects of religion by using a metaphor in </w:t>
      </w:r>
      <w:r>
        <w:rPr>
          <w:i/>
        </w:rPr>
        <w:t xml:space="preserve">All Generalizations Are Bad: Postmodernism on Theories, </w:t>
      </w:r>
      <w:r>
        <w:t>and likens the scholar to a doctor making a diagnosis:</w:t>
      </w:r>
    </w:p>
    <w:p w14:paraId="44FCF30E" w14:textId="77777777" w:rsidR="000C6D63" w:rsidRDefault="000C6D63" w:rsidP="004A7CC1"/>
    <w:p w14:paraId="37053222" w14:textId="77777777" w:rsidR="000C6D63" w:rsidRDefault="005562C4" w:rsidP="004A7CC1">
      <w:pPr>
        <w:ind w:left="1020" w:right="1020"/>
        <w:jc w:val="both"/>
      </w:pPr>
      <w:r>
        <w:t xml:space="preserve">It is not that religion is an illness but that the scholar is like the doctor and the religious adherent like the patient. Just as the patient has the disease but defers to the doctor's diagnosis, so the adherent has religion but defers, or should defer, to the scholar's analysis. The scholar, not the believer, is the expert. </w:t>
      </w:r>
      <w:r>
        <w:tab/>
      </w:r>
      <w:r>
        <w:tab/>
      </w:r>
      <w:r>
        <w:tab/>
      </w:r>
      <w:r>
        <w:tab/>
      </w:r>
    </w:p>
    <w:p w14:paraId="5D611838" w14:textId="77777777" w:rsidR="000C6D63" w:rsidRDefault="005562C4" w:rsidP="004A7CC1">
      <w:pPr>
        <w:ind w:left="6060" w:right="1020"/>
      </w:pPr>
      <w:r>
        <w:t>(Segal, 2006 p158)</w:t>
      </w:r>
    </w:p>
    <w:p w14:paraId="70EAFC53" w14:textId="77777777" w:rsidR="000C6D63" w:rsidRDefault="000C6D63" w:rsidP="004A7CC1">
      <w:pPr>
        <w:spacing w:line="360" w:lineRule="auto"/>
        <w:ind w:left="1020" w:right="1020"/>
      </w:pPr>
    </w:p>
    <w:p w14:paraId="01DEF025" w14:textId="71B30444" w:rsidR="00D46D6B" w:rsidRDefault="005562C4" w:rsidP="004A7CC1">
      <w:pPr>
        <w:spacing w:line="360" w:lineRule="auto"/>
      </w:pPr>
      <w:r>
        <w:t xml:space="preserve">Segal elaborates on this and suggests another metaphor in terms of the scholar’s medicine kit containing </w:t>
      </w:r>
      <w:r>
        <w:rPr>
          <w:i/>
        </w:rPr>
        <w:t>theories</w:t>
      </w:r>
      <w:r>
        <w:t>, which is what the believer lacks.  Segal goes onto say that the scholar and the believer are “conversation partners”, and as such</w:t>
      </w:r>
      <w:r w:rsidR="00BD1F5B">
        <w:t>,</w:t>
      </w:r>
      <w:r>
        <w:t xml:space="preserve"> are both equals, but then states that in ‘religious studies, as in medicine, the doctor knows best’ (2006, p158).</w:t>
      </w:r>
      <w:r>
        <w:rPr>
          <w:color w:val="ED7D31"/>
        </w:rPr>
        <w:t xml:space="preserve"> </w:t>
      </w:r>
      <w:r>
        <w:t xml:space="preserve">The diagnosis rests with the doctor who is trained to solicit information from the patient and identify their ailment. Deferring to the patient only confuses matters. </w:t>
      </w:r>
      <w:r w:rsidR="009506F4">
        <w:t xml:space="preserve">For example, </w:t>
      </w:r>
      <w:r>
        <w:t xml:space="preserve">Jonathon Z. Smith argues that ‘religion’ is a term created by scholars for intellectual purposes and cannot be defined by anyone other than a scholar (Segal, 2006, p161). </w:t>
      </w:r>
    </w:p>
    <w:p w14:paraId="60AF75CF" w14:textId="77777777" w:rsidR="00D46D6B" w:rsidRDefault="00D46D6B" w:rsidP="004A7CC1">
      <w:pPr>
        <w:spacing w:line="360" w:lineRule="auto"/>
      </w:pPr>
    </w:p>
    <w:p w14:paraId="46477326" w14:textId="019BCA44" w:rsidR="000C6D63" w:rsidRDefault="005562C4" w:rsidP="004A7CC1">
      <w:pPr>
        <w:spacing w:line="360" w:lineRule="auto"/>
      </w:pPr>
      <w:r>
        <w:rPr>
          <w:color w:val="000000"/>
        </w:rPr>
        <w:t xml:space="preserve">One </w:t>
      </w:r>
      <w:r>
        <w:t>wonders</w:t>
      </w:r>
      <w:r w:rsidR="009506F4">
        <w:t>, therefore,</w:t>
      </w:r>
      <w:r>
        <w:t xml:space="preserve"> what is to prevent the p</w:t>
      </w:r>
      <w:r w:rsidR="00774B98">
        <w:t>a</w:t>
      </w:r>
      <w:r w:rsidR="009506F4">
        <w:t>tient from self-diagnosing</w:t>
      </w:r>
      <w:r>
        <w:t>, especially if the relationship is one of doctor to doctor? What is striking</w:t>
      </w:r>
      <w:r w:rsidR="009506F4">
        <w:t>,</w:t>
      </w:r>
      <w:r w:rsidR="00774B98">
        <w:t xml:space="preserve"> </w:t>
      </w:r>
      <w:r>
        <w:t>is that there are numerous doctors of medicine and each wi</w:t>
      </w:r>
      <w:r w:rsidR="009506F4">
        <w:t xml:space="preserve">ll examine a patient from their </w:t>
      </w:r>
      <w:r>
        <w:t>particular point of view. Hence a doctor in psychology may identify a different diagnosis to a psychiatrist or psychotherapist</w:t>
      </w:r>
      <w:r w:rsidR="009506F4">
        <w:t>;</w:t>
      </w:r>
      <w:r>
        <w:t xml:space="preserve"> and is this not the problem? Each discipline will conjure up their own perception of </w:t>
      </w:r>
      <w:r w:rsidR="009506F4">
        <w:t xml:space="preserve">a </w:t>
      </w:r>
      <w:r>
        <w:t>diagnosis and this will only add to the confusion. Perhaps the subject needs to be examined in its own right and not as an adjunct to another field of discipline? What Segal does say is the following:</w:t>
      </w:r>
    </w:p>
    <w:p w14:paraId="3E194754" w14:textId="77777777" w:rsidR="000C6D63" w:rsidRDefault="000C6D63">
      <w:pPr>
        <w:rPr>
          <w:rFonts w:ascii="Helvetica Neue" w:eastAsia="Helvetica Neue" w:hAnsi="Helvetica Neue" w:cs="Helvetica Neue"/>
          <w:sz w:val="22"/>
          <w:szCs w:val="22"/>
        </w:rPr>
      </w:pPr>
    </w:p>
    <w:p w14:paraId="6AD24924" w14:textId="77777777" w:rsidR="000C6D63" w:rsidRDefault="005562C4">
      <w:pPr>
        <w:ind w:left="1020" w:right="1020"/>
        <w:jc w:val="both"/>
        <w:rPr>
          <w:color w:val="000000"/>
        </w:rPr>
      </w:pPr>
      <w:r>
        <w:rPr>
          <w:color w:val="000000"/>
        </w:rPr>
        <w:t xml:space="preserve">If one set of objections to social scientific theorizing is that the social sciences do not qualify as scientific, another set of objections is that the human world, including religion, defies scientific study. </w:t>
      </w:r>
    </w:p>
    <w:p w14:paraId="7EABD80B" w14:textId="77777777" w:rsidR="004A7CC1" w:rsidRDefault="004A7CC1">
      <w:pPr>
        <w:ind w:left="6060" w:right="1020"/>
        <w:jc w:val="both"/>
        <w:rPr>
          <w:color w:val="000000"/>
        </w:rPr>
      </w:pPr>
    </w:p>
    <w:p w14:paraId="204CCBF0" w14:textId="77777777" w:rsidR="000C6D63" w:rsidRDefault="005562C4">
      <w:pPr>
        <w:ind w:left="6060" w:right="1020"/>
        <w:jc w:val="both"/>
        <w:rPr>
          <w:color w:val="000000"/>
        </w:rPr>
      </w:pPr>
      <w:r>
        <w:rPr>
          <w:color w:val="000000"/>
        </w:rPr>
        <w:t>(Segal, 2006 p167)</w:t>
      </w:r>
    </w:p>
    <w:p w14:paraId="3D38725B" w14:textId="77777777" w:rsidR="000C6D63" w:rsidRDefault="000C6D63">
      <w:pPr>
        <w:rPr>
          <w:rFonts w:ascii="Helvetica Neue" w:eastAsia="Helvetica Neue" w:hAnsi="Helvetica Neue" w:cs="Helvetica Neue"/>
          <w:sz w:val="22"/>
          <w:szCs w:val="22"/>
        </w:rPr>
      </w:pPr>
    </w:p>
    <w:p w14:paraId="3987E16E" w14:textId="2EEBD526" w:rsidR="000C6D63" w:rsidRDefault="00DC2219">
      <w:pPr>
        <w:spacing w:line="360" w:lineRule="auto"/>
      </w:pPr>
      <w:r>
        <w:lastRenderedPageBreak/>
        <w:t xml:space="preserve">Social constructionist </w:t>
      </w:r>
      <w:r w:rsidR="005562C4">
        <w:t xml:space="preserve">Timothy Fitzgerald (2000), </w:t>
      </w:r>
      <w:r w:rsidR="00DB4309">
        <w:t xml:space="preserve">suggests </w:t>
      </w:r>
      <w:r w:rsidR="005562C4">
        <w:t xml:space="preserve">in </w:t>
      </w:r>
      <w:r w:rsidR="005562C4">
        <w:rPr>
          <w:i/>
        </w:rPr>
        <w:t>The Ideology of Religious Studies</w:t>
      </w:r>
      <w:r>
        <w:rPr>
          <w:i/>
        </w:rPr>
        <w:t xml:space="preserve"> </w:t>
      </w:r>
      <w:r w:rsidRPr="00DC2219">
        <w:t>(2000)</w:t>
      </w:r>
      <w:r>
        <w:t>,</w:t>
      </w:r>
      <w:r w:rsidR="005562C4">
        <w:t xml:space="preserve"> that the concept of religion itself should be abandoned and maintains that the comparative study of religion is none other than a form of ‘liberal ecumenical theology’ (2000, p5). According to Fitzgerald, by studying religion, we are pretending it is a science, and he suggests instead that religious studies can be re-represented under anthropology and cultural and literary studies</w:t>
      </w:r>
      <w:r w:rsidR="005562C4">
        <w:rPr>
          <w:color w:val="ED7D31"/>
        </w:rPr>
        <w:t>.</w:t>
      </w:r>
      <w:r w:rsidR="005562C4">
        <w:rPr>
          <w:color w:val="000000"/>
        </w:rPr>
        <w:t xml:space="preserve"> Fitzgerald argues that to study religion as a separate academic discipline makes no logical sense, other than for theologians. He acknowledges that ‘religion’ is a universal phenomenon loosely used by historians and social scientists</w:t>
      </w:r>
      <w:r w:rsidR="000F34F5">
        <w:rPr>
          <w:color w:val="000000"/>
        </w:rPr>
        <w:t>,</w:t>
      </w:r>
      <w:r w:rsidR="005562C4">
        <w:rPr>
          <w:color w:val="000000"/>
        </w:rPr>
        <w:t xml:space="preserve"> </w:t>
      </w:r>
      <w:r w:rsidR="000F34F5">
        <w:rPr>
          <w:color w:val="000000"/>
        </w:rPr>
        <w:t xml:space="preserve">and </w:t>
      </w:r>
      <w:r w:rsidR="005562C4">
        <w:rPr>
          <w:color w:val="000000"/>
        </w:rPr>
        <w:t>as if it were a genuine cross-cultural category, but maintains that such a distinction is at best unhelpful and at worst ‘positively misleading’</w:t>
      </w:r>
      <w:r w:rsidR="000F34F5">
        <w:rPr>
          <w:color w:val="000000"/>
        </w:rPr>
        <w:t>,</w:t>
      </w:r>
      <w:r w:rsidR="005562C4">
        <w:rPr>
          <w:color w:val="000000"/>
        </w:rPr>
        <w:t xml:space="preserve"> since it is a distortion of the facts. He propo</w:t>
      </w:r>
      <w:r w:rsidR="000F34F5">
        <w:rPr>
          <w:color w:val="000000"/>
        </w:rPr>
        <w:t>ses treating the word ‘religion</w:t>
      </w:r>
      <w:r w:rsidR="005562C4">
        <w:rPr>
          <w:color w:val="000000"/>
        </w:rPr>
        <w:t>’</w:t>
      </w:r>
      <w:r w:rsidR="000F34F5">
        <w:rPr>
          <w:color w:val="000000"/>
        </w:rPr>
        <w:t>,</w:t>
      </w:r>
      <w:r w:rsidR="005562C4">
        <w:rPr>
          <w:color w:val="000000"/>
        </w:rPr>
        <w:t xml:space="preserve"> along </w:t>
      </w:r>
      <w:r w:rsidR="000F34F5">
        <w:rPr>
          <w:color w:val="000000"/>
        </w:rPr>
        <w:t>with its opposite, ‘the secular</w:t>
      </w:r>
      <w:r w:rsidR="005562C4">
        <w:rPr>
          <w:color w:val="000000"/>
        </w:rPr>
        <w:t>’</w:t>
      </w:r>
      <w:r w:rsidR="000F34F5">
        <w:rPr>
          <w:color w:val="000000"/>
        </w:rPr>
        <w:t>,</w:t>
      </w:r>
      <w:r w:rsidR="005562C4">
        <w:rPr>
          <w:color w:val="000000"/>
        </w:rPr>
        <w:t xml:space="preserve"> as the subject </w:t>
      </w:r>
      <w:r w:rsidR="000F34F5">
        <w:rPr>
          <w:color w:val="000000"/>
        </w:rPr>
        <w:t>of historical and sociological i</w:t>
      </w:r>
      <w:r w:rsidR="005562C4">
        <w:rPr>
          <w:color w:val="000000"/>
        </w:rPr>
        <w:t>nquiry. Finally, he proposes that ‘religion’ be studied as an aspect of modern western ideology, with a specific location in history or indeed getting rid of the concept of religion altogether (2000, p128).</w:t>
      </w:r>
    </w:p>
    <w:p w14:paraId="2CE000AB" w14:textId="77777777" w:rsidR="000C6D63" w:rsidRDefault="000C6D63">
      <w:pPr>
        <w:spacing w:line="360" w:lineRule="auto"/>
        <w:rPr>
          <w:color w:val="000000"/>
        </w:rPr>
      </w:pPr>
    </w:p>
    <w:p w14:paraId="47F3D40F" w14:textId="3CD074BE" w:rsidR="00EC6158" w:rsidRDefault="005562C4" w:rsidP="00EC6158">
      <w:pPr>
        <w:spacing w:line="360" w:lineRule="auto"/>
      </w:pPr>
      <w:r>
        <w:rPr>
          <w:color w:val="000000"/>
        </w:rPr>
        <w:t xml:space="preserve">Russell T. McCutcheon </w:t>
      </w:r>
      <w:r w:rsidR="00AE3925">
        <w:rPr>
          <w:color w:val="000000"/>
        </w:rPr>
        <w:t>takes the criticism of the academic study of religion one step further, by suggesting</w:t>
      </w:r>
      <w:r>
        <w:rPr>
          <w:color w:val="000000"/>
        </w:rPr>
        <w:t xml:space="preserve"> in </w:t>
      </w:r>
      <w:r>
        <w:rPr>
          <w:i/>
          <w:color w:val="000000"/>
        </w:rPr>
        <w:t xml:space="preserve">The Discipline of Religion </w:t>
      </w:r>
      <w:r>
        <w:rPr>
          <w:color w:val="000000"/>
        </w:rPr>
        <w:t>(2003) that the invention of religion as a discipline blurs the distinction between claims of religious belief and academic discourse in its assertion of the relevance of faith as a credible object of study.</w:t>
      </w:r>
      <w:r>
        <w:rPr>
          <w:color w:val="ED7D31"/>
        </w:rPr>
        <w:t xml:space="preserve"> </w:t>
      </w:r>
      <w:r>
        <w:rPr>
          <w:color w:val="000000"/>
        </w:rPr>
        <w:t>Inspired by the work of Michel Foucault, McCutcheon wants to show us how an understanding of where the discipline comes from</w:t>
      </w:r>
      <w:r w:rsidR="003265B8">
        <w:rPr>
          <w:color w:val="000000"/>
        </w:rPr>
        <w:t>,</w:t>
      </w:r>
      <w:r>
        <w:rPr>
          <w:color w:val="000000"/>
        </w:rPr>
        <w:t xml:space="preserve"> helps shape where it is heading, thus reformulating the discipline for a </w:t>
      </w:r>
      <w:r>
        <w:t xml:space="preserve">post-phenomenological </w:t>
      </w:r>
      <w:r>
        <w:rPr>
          <w:color w:val="000000"/>
        </w:rPr>
        <w:t xml:space="preserve">age (2003, p1-12). According to Lars </w:t>
      </w:r>
      <w:r>
        <w:t xml:space="preserve">Albinus in his review of </w:t>
      </w:r>
      <w:r>
        <w:rPr>
          <w:i/>
        </w:rPr>
        <w:t xml:space="preserve">The Discipline of Religion </w:t>
      </w:r>
      <w:r>
        <w:t>(2006), McCutcheon’s goal to consider religion in a different light</w:t>
      </w:r>
      <w:r w:rsidR="003265B8">
        <w:t>,</w:t>
      </w:r>
      <w:r>
        <w:t xml:space="preserve"> reduces questions of truth to questions of power and becomes a ‘politically charged object of</w:t>
      </w:r>
      <w:r w:rsidR="00AD2F78">
        <w:t xml:space="preserve"> investigation’ (2006, 524-528). </w:t>
      </w:r>
    </w:p>
    <w:p w14:paraId="1EE88BC4" w14:textId="77777777" w:rsidR="000C6D63" w:rsidRDefault="000C6D63">
      <w:pPr>
        <w:spacing w:line="360" w:lineRule="auto"/>
      </w:pPr>
    </w:p>
    <w:p w14:paraId="5A46A96E" w14:textId="06D8580F" w:rsidR="000C6D63" w:rsidRDefault="00DD4CF1" w:rsidP="000F2BD3">
      <w:pPr>
        <w:spacing w:line="360" w:lineRule="auto"/>
      </w:pPr>
      <w:r>
        <w:t xml:space="preserve">In conclusion, </w:t>
      </w:r>
      <w:r w:rsidR="005562C4">
        <w:t xml:space="preserve">I witness the difficulties surrounding the study of religion as a separate </w:t>
      </w:r>
      <w:r>
        <w:t xml:space="preserve">justifiable </w:t>
      </w:r>
      <w:r w:rsidR="005562C4">
        <w:t>academic discipline</w:t>
      </w:r>
      <w:r>
        <w:t>, whilst acknowledging</w:t>
      </w:r>
      <w:r w:rsidR="005562C4">
        <w:t xml:space="preserve"> the observations and criticisms of scholars such as Fitzgerald</w:t>
      </w:r>
      <w:r>
        <w:t>,</w:t>
      </w:r>
      <w:r w:rsidR="005562C4">
        <w:t xml:space="preserve"> Segal</w:t>
      </w:r>
      <w:r>
        <w:t xml:space="preserve"> and Hinnells</w:t>
      </w:r>
      <w:r w:rsidR="005562C4">
        <w:t xml:space="preserve">. </w:t>
      </w:r>
      <w:r w:rsidR="00EC6158">
        <w:t xml:space="preserve">The study of religions is key to understanding other cultures and religions are central to social and political history. According to Hinnells (2005), ‘it is essential to know the values, ideals and priorities of those from another culture or religion’ (2005, p19). </w:t>
      </w:r>
    </w:p>
    <w:p w14:paraId="63DEC8E2" w14:textId="77777777" w:rsidR="000C6D63" w:rsidRDefault="000C6D63" w:rsidP="000F2BD3">
      <w:pPr>
        <w:spacing w:line="360" w:lineRule="auto"/>
      </w:pPr>
    </w:p>
    <w:p w14:paraId="74CD83D4" w14:textId="20959AF4" w:rsidR="000C6D63" w:rsidRDefault="005562C4" w:rsidP="000F2BD3">
      <w:pPr>
        <w:spacing w:line="360" w:lineRule="auto"/>
      </w:pPr>
      <w:r>
        <w:lastRenderedPageBreak/>
        <w:t>One possible way forward is McCutc</w:t>
      </w:r>
      <w:r w:rsidR="00F43083">
        <w:t xml:space="preserve">heon’s attempt to </w:t>
      </w:r>
      <w:r>
        <w:t xml:space="preserve">reformulate religion, drawing on the theories </w:t>
      </w:r>
      <w:r w:rsidRPr="003C7969">
        <w:rPr>
          <w:color w:val="000000" w:themeColor="text1"/>
        </w:rPr>
        <w:t xml:space="preserve">of </w:t>
      </w:r>
      <w:r w:rsidR="003C7969">
        <w:rPr>
          <w:color w:val="000000" w:themeColor="text1"/>
        </w:rPr>
        <w:t>Foucault</w:t>
      </w:r>
      <w:r w:rsidR="003265B8">
        <w:rPr>
          <w:color w:val="000000" w:themeColor="text1"/>
        </w:rPr>
        <w:t>.</w:t>
      </w:r>
      <w:r w:rsidRPr="003C7969">
        <w:rPr>
          <w:color w:val="000000" w:themeColor="text1"/>
        </w:rPr>
        <w:t xml:space="preserve"> </w:t>
      </w:r>
      <w:r w:rsidR="00F43083">
        <w:rPr>
          <w:color w:val="000000" w:themeColor="text1"/>
        </w:rPr>
        <w:t xml:space="preserve">However, </w:t>
      </w:r>
      <w:r w:rsidR="00F43083">
        <w:t>m</w:t>
      </w:r>
      <w:r>
        <w:t>y concern</w:t>
      </w:r>
      <w:r w:rsidR="00F43083">
        <w:t>,</w:t>
      </w:r>
      <w:r>
        <w:t xml:space="preserve"> is that by treating it as a separate academic discipline, it will in the end</w:t>
      </w:r>
      <w:r w:rsidR="00F43083">
        <w:t>,</w:t>
      </w:r>
      <w:r>
        <w:t xml:space="preserve"> destroy what religion symbolises to the lay person and society, which </w:t>
      </w:r>
      <w:r w:rsidR="00F43083">
        <w:t>would therefore make it</w:t>
      </w:r>
      <w:r>
        <w:t xml:space="preserve"> </w:t>
      </w:r>
      <w:r w:rsidR="00F43083">
        <w:t>(</w:t>
      </w:r>
      <w:r>
        <w:t>arguably</w:t>
      </w:r>
      <w:r w:rsidR="00F43083">
        <w:t>)</w:t>
      </w:r>
      <w:r>
        <w:t xml:space="preserve"> a subject beyond academic scrutiny. On the other hand, if we do not engage in the academic and possible objective scrutiny of religion, we face criticism from those who wish to challenge the notion that religion cannot be analytically criticised. </w:t>
      </w:r>
      <w:r w:rsidR="00F43083">
        <w:t>Therefore, a</w:t>
      </w:r>
      <w:r>
        <w:t>s long as the subject is part of the university syllabus, I think it is only fair to treat it like any other academic discipline and as a result, it has to stand up to continuous scrutiny.</w:t>
      </w:r>
    </w:p>
    <w:p w14:paraId="0B475447" w14:textId="77777777" w:rsidR="000C6D63" w:rsidRDefault="000C6D63">
      <w:pPr>
        <w:spacing w:line="360" w:lineRule="auto"/>
      </w:pPr>
    </w:p>
    <w:p w14:paraId="4A78EFCC" w14:textId="3DE5C427" w:rsidR="000C6D63" w:rsidRDefault="00F43083">
      <w:pPr>
        <w:rPr>
          <w:rFonts w:ascii="Calibri" w:eastAsia="Calibri" w:hAnsi="Calibri" w:cs="Calibri"/>
          <w:color w:val="000000"/>
        </w:rPr>
      </w:pPr>
      <w:r>
        <w:rPr>
          <w:rFonts w:ascii="Calibri" w:eastAsia="Calibri" w:hAnsi="Calibri" w:cs="Calibri"/>
          <w:color w:val="000000"/>
        </w:rPr>
        <w:t>(word count: 1335</w:t>
      </w:r>
      <w:r w:rsidR="005562C4">
        <w:rPr>
          <w:rFonts w:ascii="Calibri" w:eastAsia="Calibri" w:hAnsi="Calibri" w:cs="Calibri"/>
          <w:color w:val="000000"/>
        </w:rPr>
        <w:t>)</w:t>
      </w:r>
    </w:p>
    <w:p w14:paraId="1C94544E" w14:textId="77777777" w:rsidR="000C6D63" w:rsidRDefault="000C6D63">
      <w:pPr>
        <w:rPr>
          <w:rFonts w:ascii="Calibri" w:eastAsia="Calibri" w:hAnsi="Calibri" w:cs="Calibri"/>
          <w:color w:val="000000"/>
        </w:rPr>
      </w:pPr>
    </w:p>
    <w:p w14:paraId="0172FD18" w14:textId="77777777" w:rsidR="000C6D63" w:rsidRDefault="000C6D63"/>
    <w:p w14:paraId="1B9F47C1" w14:textId="77777777" w:rsidR="000C6D63" w:rsidRDefault="000C6D63">
      <w:pPr>
        <w:rPr>
          <w:b/>
          <w:sz w:val="28"/>
          <w:szCs w:val="28"/>
        </w:rPr>
      </w:pPr>
    </w:p>
    <w:p w14:paraId="48906874" w14:textId="77777777" w:rsidR="000C6D63" w:rsidRDefault="000C6D63">
      <w:pPr>
        <w:rPr>
          <w:b/>
          <w:sz w:val="28"/>
          <w:szCs w:val="28"/>
        </w:rPr>
      </w:pPr>
    </w:p>
    <w:p w14:paraId="67040836" w14:textId="77777777" w:rsidR="000C6D63" w:rsidRDefault="000C6D63">
      <w:pPr>
        <w:rPr>
          <w:b/>
          <w:sz w:val="28"/>
          <w:szCs w:val="28"/>
        </w:rPr>
      </w:pPr>
    </w:p>
    <w:p w14:paraId="20BBEE83" w14:textId="77777777" w:rsidR="000C6D63" w:rsidRDefault="000C6D63">
      <w:pPr>
        <w:rPr>
          <w:b/>
          <w:sz w:val="28"/>
          <w:szCs w:val="28"/>
        </w:rPr>
      </w:pPr>
    </w:p>
    <w:p w14:paraId="64B9EAD5" w14:textId="77777777" w:rsidR="000C6D63" w:rsidRDefault="000C6D63">
      <w:pPr>
        <w:rPr>
          <w:b/>
          <w:sz w:val="28"/>
          <w:szCs w:val="28"/>
        </w:rPr>
      </w:pPr>
    </w:p>
    <w:p w14:paraId="4B72E603" w14:textId="77777777" w:rsidR="000C6D63" w:rsidRDefault="000C6D63">
      <w:pPr>
        <w:rPr>
          <w:b/>
          <w:sz w:val="28"/>
          <w:szCs w:val="28"/>
        </w:rPr>
      </w:pPr>
    </w:p>
    <w:p w14:paraId="11EEEBDE" w14:textId="77777777" w:rsidR="000C6D63" w:rsidRDefault="000C6D63">
      <w:pPr>
        <w:rPr>
          <w:b/>
          <w:sz w:val="28"/>
          <w:szCs w:val="28"/>
        </w:rPr>
      </w:pPr>
    </w:p>
    <w:p w14:paraId="15DB50E8" w14:textId="77777777" w:rsidR="000C6D63" w:rsidRDefault="000C6D63">
      <w:pPr>
        <w:rPr>
          <w:b/>
          <w:sz w:val="28"/>
          <w:szCs w:val="28"/>
        </w:rPr>
      </w:pPr>
    </w:p>
    <w:p w14:paraId="19BBA309" w14:textId="77777777" w:rsidR="000C6D63" w:rsidRDefault="000C6D63">
      <w:pPr>
        <w:rPr>
          <w:b/>
          <w:sz w:val="28"/>
          <w:szCs w:val="28"/>
        </w:rPr>
      </w:pPr>
    </w:p>
    <w:p w14:paraId="4E6A4013" w14:textId="77777777" w:rsidR="000C6D63" w:rsidRDefault="000C6D63">
      <w:pPr>
        <w:rPr>
          <w:b/>
          <w:sz w:val="28"/>
          <w:szCs w:val="28"/>
        </w:rPr>
      </w:pPr>
    </w:p>
    <w:p w14:paraId="5D28EE65" w14:textId="77777777" w:rsidR="000C6D63" w:rsidRDefault="000C6D63">
      <w:pPr>
        <w:rPr>
          <w:b/>
          <w:sz w:val="28"/>
          <w:szCs w:val="28"/>
        </w:rPr>
      </w:pPr>
    </w:p>
    <w:p w14:paraId="064E7C33" w14:textId="77777777" w:rsidR="000C6D63" w:rsidRDefault="000C6D63">
      <w:pPr>
        <w:rPr>
          <w:b/>
          <w:sz w:val="28"/>
          <w:szCs w:val="28"/>
        </w:rPr>
      </w:pPr>
    </w:p>
    <w:p w14:paraId="0BFF6C66" w14:textId="77777777" w:rsidR="000C6D63" w:rsidRDefault="000C6D63">
      <w:pPr>
        <w:rPr>
          <w:b/>
          <w:sz w:val="28"/>
          <w:szCs w:val="28"/>
        </w:rPr>
      </w:pPr>
    </w:p>
    <w:p w14:paraId="60EE3D8D" w14:textId="77777777" w:rsidR="000C6D63" w:rsidRDefault="000C6D63">
      <w:pPr>
        <w:rPr>
          <w:b/>
          <w:sz w:val="28"/>
          <w:szCs w:val="28"/>
        </w:rPr>
      </w:pPr>
    </w:p>
    <w:p w14:paraId="2EBC226A" w14:textId="77777777" w:rsidR="000C6D63" w:rsidRDefault="000C6D63">
      <w:pPr>
        <w:rPr>
          <w:b/>
          <w:sz w:val="28"/>
          <w:szCs w:val="28"/>
        </w:rPr>
      </w:pPr>
    </w:p>
    <w:p w14:paraId="02810E55" w14:textId="77777777" w:rsidR="000C6D63" w:rsidRDefault="000C6D63">
      <w:pPr>
        <w:rPr>
          <w:b/>
          <w:sz w:val="28"/>
          <w:szCs w:val="28"/>
        </w:rPr>
      </w:pPr>
    </w:p>
    <w:p w14:paraId="2C0F93D8" w14:textId="77777777" w:rsidR="000C6D63" w:rsidRDefault="000C6D63">
      <w:pPr>
        <w:rPr>
          <w:b/>
          <w:sz w:val="28"/>
          <w:szCs w:val="28"/>
        </w:rPr>
      </w:pPr>
    </w:p>
    <w:p w14:paraId="6CA78B74" w14:textId="77777777" w:rsidR="000C6D63" w:rsidRDefault="000C6D63">
      <w:pPr>
        <w:rPr>
          <w:b/>
          <w:sz w:val="28"/>
          <w:szCs w:val="28"/>
        </w:rPr>
      </w:pPr>
    </w:p>
    <w:p w14:paraId="729DC4A5" w14:textId="77777777" w:rsidR="000C6D63" w:rsidRDefault="000C6D63">
      <w:pPr>
        <w:rPr>
          <w:b/>
          <w:sz w:val="28"/>
          <w:szCs w:val="28"/>
        </w:rPr>
      </w:pPr>
    </w:p>
    <w:p w14:paraId="298DD02D" w14:textId="77777777" w:rsidR="000C6D63" w:rsidRDefault="000C6D63">
      <w:pPr>
        <w:rPr>
          <w:b/>
          <w:sz w:val="28"/>
          <w:szCs w:val="28"/>
        </w:rPr>
      </w:pPr>
    </w:p>
    <w:p w14:paraId="407806EB" w14:textId="77777777" w:rsidR="000C6D63" w:rsidRDefault="000C6D63">
      <w:pPr>
        <w:rPr>
          <w:b/>
          <w:sz w:val="28"/>
          <w:szCs w:val="28"/>
        </w:rPr>
      </w:pPr>
    </w:p>
    <w:p w14:paraId="57AE4487" w14:textId="77777777" w:rsidR="000C6D63" w:rsidRDefault="000C6D63">
      <w:pPr>
        <w:rPr>
          <w:b/>
          <w:sz w:val="28"/>
          <w:szCs w:val="28"/>
        </w:rPr>
      </w:pPr>
    </w:p>
    <w:p w14:paraId="5387E31B" w14:textId="77777777" w:rsidR="000C6D63" w:rsidRDefault="000C6D63">
      <w:pPr>
        <w:rPr>
          <w:b/>
          <w:sz w:val="28"/>
          <w:szCs w:val="28"/>
        </w:rPr>
      </w:pPr>
    </w:p>
    <w:p w14:paraId="1F206A83" w14:textId="77777777" w:rsidR="000C6D63" w:rsidRDefault="000C6D63">
      <w:pPr>
        <w:rPr>
          <w:b/>
          <w:sz w:val="28"/>
          <w:szCs w:val="28"/>
        </w:rPr>
      </w:pPr>
    </w:p>
    <w:p w14:paraId="39A2E60D" w14:textId="77777777" w:rsidR="000C6D63" w:rsidRDefault="000C6D63">
      <w:pPr>
        <w:rPr>
          <w:b/>
          <w:sz w:val="28"/>
          <w:szCs w:val="28"/>
        </w:rPr>
      </w:pPr>
    </w:p>
    <w:p w14:paraId="39605EFC" w14:textId="77777777" w:rsidR="000C6D63" w:rsidRDefault="000C6D63">
      <w:pPr>
        <w:rPr>
          <w:b/>
          <w:sz w:val="28"/>
          <w:szCs w:val="28"/>
        </w:rPr>
      </w:pPr>
    </w:p>
    <w:p w14:paraId="4128B05B" w14:textId="77777777" w:rsidR="000C6D63" w:rsidRDefault="000C6D63">
      <w:pPr>
        <w:rPr>
          <w:b/>
          <w:sz w:val="28"/>
          <w:szCs w:val="28"/>
        </w:rPr>
      </w:pPr>
    </w:p>
    <w:p w14:paraId="02A46056" w14:textId="77777777" w:rsidR="004A7CC1" w:rsidRDefault="004A7CC1">
      <w:pPr>
        <w:rPr>
          <w:b/>
          <w:sz w:val="28"/>
          <w:szCs w:val="28"/>
        </w:rPr>
      </w:pPr>
    </w:p>
    <w:p w14:paraId="77107BF6" w14:textId="77777777" w:rsidR="004A7CC1" w:rsidRDefault="004A7CC1">
      <w:pPr>
        <w:rPr>
          <w:b/>
          <w:sz w:val="28"/>
          <w:szCs w:val="28"/>
        </w:rPr>
      </w:pPr>
    </w:p>
    <w:p w14:paraId="51025F7C" w14:textId="77777777" w:rsidR="000C6D63" w:rsidRDefault="005562C4">
      <w:pPr>
        <w:rPr>
          <w:b/>
          <w:sz w:val="28"/>
          <w:szCs w:val="28"/>
        </w:rPr>
      </w:pPr>
      <w:r>
        <w:rPr>
          <w:b/>
          <w:sz w:val="28"/>
          <w:szCs w:val="28"/>
        </w:rPr>
        <w:t>Bibliography</w:t>
      </w:r>
    </w:p>
    <w:p w14:paraId="6315FC60" w14:textId="77777777" w:rsidR="000C6D63" w:rsidRDefault="000C6D63">
      <w:pPr>
        <w:rPr>
          <w:b/>
          <w:sz w:val="28"/>
          <w:szCs w:val="28"/>
        </w:rPr>
      </w:pPr>
    </w:p>
    <w:p w14:paraId="5D7FD108" w14:textId="47E2F34A" w:rsidR="000C6D63" w:rsidRDefault="005562C4">
      <w:r>
        <w:t xml:space="preserve">Albinus, Lars. "The Discipline of Religion: Structure, Meaning, Rhetoric (review)." </w:t>
      </w:r>
      <w:r>
        <w:rPr>
          <w:i/>
        </w:rPr>
        <w:t>Journal of the American Academy of Religion</w:t>
      </w:r>
      <w:r>
        <w:t xml:space="preserve">, vol. 74 no. 2, 2006, pp. 524-528. </w:t>
      </w:r>
      <w:r>
        <w:rPr>
          <w:i/>
        </w:rPr>
        <w:t>Project MUSE</w:t>
      </w:r>
      <w:r w:rsidR="005606E3">
        <w:rPr>
          <w:i/>
        </w:rPr>
        <w:t>.</w:t>
      </w:r>
    </w:p>
    <w:p w14:paraId="0B82F7CD" w14:textId="1DB8C2DD" w:rsidR="000C6D63" w:rsidRDefault="005562C4">
      <w:r>
        <w:t>Fitzgerald, Timothy (2000)</w:t>
      </w:r>
      <w:r w:rsidR="005606E3">
        <w:t>,</w:t>
      </w:r>
      <w:r>
        <w:t xml:space="preserve"> </w:t>
      </w:r>
      <w:r>
        <w:rPr>
          <w:i/>
        </w:rPr>
        <w:t>The Ideology of Religious Studies</w:t>
      </w:r>
      <w:r w:rsidR="005606E3">
        <w:rPr>
          <w:i/>
        </w:rPr>
        <w:t>.</w:t>
      </w:r>
      <w:r>
        <w:rPr>
          <w:i/>
        </w:rPr>
        <w:t xml:space="preserve"> </w:t>
      </w:r>
      <w:r>
        <w:t xml:space="preserve">New York: Oxford University Press. </w:t>
      </w:r>
    </w:p>
    <w:p w14:paraId="3A69296C" w14:textId="5306D0BE" w:rsidR="000C6D63" w:rsidRDefault="005562C4">
      <w:r>
        <w:t>Hinnells, J</w:t>
      </w:r>
      <w:r w:rsidR="004A7CC1">
        <w:t>ohn R</w:t>
      </w:r>
      <w:r>
        <w:t xml:space="preserve"> </w:t>
      </w:r>
      <w:r w:rsidR="00A2094F">
        <w:t>(</w:t>
      </w:r>
      <w:r>
        <w:t>ed</w:t>
      </w:r>
      <w:r w:rsidR="00A2094F">
        <w:t>.)</w:t>
      </w:r>
      <w:r>
        <w:t xml:space="preserve"> (2005)</w:t>
      </w:r>
      <w:r w:rsidR="005606E3">
        <w:t>,</w:t>
      </w:r>
      <w:r>
        <w:t xml:space="preserve"> ‘Why Study Religions’ </w:t>
      </w:r>
      <w:r>
        <w:rPr>
          <w:i/>
        </w:rPr>
        <w:t>The Routledge Companion to the Study of Religion</w:t>
      </w:r>
      <w:r w:rsidR="005606E3">
        <w:rPr>
          <w:i/>
        </w:rPr>
        <w:t>.</w:t>
      </w:r>
      <w:r>
        <w:t xml:space="preserve"> New York: Routledge</w:t>
      </w:r>
      <w:r w:rsidR="005606E3">
        <w:t>.</w:t>
      </w:r>
    </w:p>
    <w:p w14:paraId="6F66E5AE" w14:textId="1D179571" w:rsidR="000C6D63" w:rsidRDefault="005562C4">
      <w:r>
        <w:t>McCutcheon, Russell T (2003)</w:t>
      </w:r>
      <w:r w:rsidR="005606E3">
        <w:t>,</w:t>
      </w:r>
      <w:r>
        <w:t xml:space="preserve"> </w:t>
      </w:r>
      <w:r>
        <w:rPr>
          <w:i/>
        </w:rPr>
        <w:t>The Discipline of Religion</w:t>
      </w:r>
      <w:r w:rsidR="005606E3">
        <w:rPr>
          <w:i/>
        </w:rPr>
        <w:t>.</w:t>
      </w:r>
      <w:r>
        <w:t xml:space="preserve"> London: Routledge</w:t>
      </w:r>
      <w:r w:rsidR="005606E3">
        <w:t>.</w:t>
      </w:r>
    </w:p>
    <w:p w14:paraId="59862F0F" w14:textId="1F5BBABD" w:rsidR="000C6D63" w:rsidRDefault="005562C4">
      <w:r>
        <w:t xml:space="preserve">Segal, Robert A. ‘All Generalizations Are Bad: Postmodernism on Theories’ </w:t>
      </w:r>
      <w:r>
        <w:rPr>
          <w:i/>
        </w:rPr>
        <w:t>Journal of the American Academy of Religion</w:t>
      </w:r>
      <w:r w:rsidR="005606E3">
        <w:rPr>
          <w:i/>
        </w:rPr>
        <w:t>.</w:t>
      </w:r>
      <w:r>
        <w:rPr>
          <w:i/>
        </w:rPr>
        <w:t xml:space="preserve"> </w:t>
      </w:r>
      <w:r>
        <w:t>Oxford University Press</w:t>
      </w:r>
      <w:r>
        <w:rPr>
          <w:i/>
        </w:rPr>
        <w:t xml:space="preserve">. </w:t>
      </w:r>
      <w:r>
        <w:t>March 2006, vol 74, no 1, pp. 157-171</w:t>
      </w:r>
      <w:r w:rsidR="005606E3">
        <w:t>.</w:t>
      </w:r>
    </w:p>
    <w:p w14:paraId="0BC82D31" w14:textId="77777777" w:rsidR="000C6D63" w:rsidRDefault="000C6D63">
      <w:pPr>
        <w:rPr>
          <w:rFonts w:ascii="Helvetica Neue" w:eastAsia="Helvetica Neue" w:hAnsi="Helvetica Neue" w:cs="Helvetica Neue"/>
        </w:rPr>
      </w:pPr>
    </w:p>
    <w:p w14:paraId="197A6301" w14:textId="77777777" w:rsidR="000C6D63" w:rsidRDefault="000C6D63"/>
    <w:p w14:paraId="0734EBAB" w14:textId="77777777" w:rsidR="000C6D63" w:rsidRDefault="000C6D63">
      <w:pPr>
        <w:pBdr>
          <w:top w:val="nil"/>
          <w:left w:val="nil"/>
          <w:bottom w:val="nil"/>
          <w:right w:val="nil"/>
          <w:between w:val="nil"/>
        </w:pBdr>
        <w:ind w:left="720" w:hanging="720"/>
        <w:rPr>
          <w:rFonts w:ascii="Helvetica Neue" w:eastAsia="Helvetica Neue" w:hAnsi="Helvetica Neue" w:cs="Helvetica Neue"/>
          <w:color w:val="000000"/>
          <w:sz w:val="21"/>
          <w:szCs w:val="21"/>
        </w:rPr>
      </w:pPr>
    </w:p>
    <w:p w14:paraId="1441AB7B" w14:textId="77777777" w:rsidR="000C6D63" w:rsidRDefault="000C6D63">
      <w:pPr>
        <w:pBdr>
          <w:top w:val="nil"/>
          <w:left w:val="nil"/>
          <w:bottom w:val="nil"/>
          <w:right w:val="nil"/>
          <w:between w:val="nil"/>
        </w:pBdr>
        <w:ind w:left="720" w:hanging="720"/>
        <w:rPr>
          <w:rFonts w:ascii="Helvetica Neue" w:eastAsia="Helvetica Neue" w:hAnsi="Helvetica Neue" w:cs="Helvetica Neue"/>
          <w:color w:val="000000"/>
          <w:sz w:val="21"/>
          <w:szCs w:val="21"/>
        </w:rPr>
      </w:pPr>
    </w:p>
    <w:p w14:paraId="365C558A" w14:textId="77777777" w:rsidR="000C6D63" w:rsidRDefault="000C6D63">
      <w:pPr>
        <w:pBdr>
          <w:top w:val="nil"/>
          <w:left w:val="nil"/>
          <w:bottom w:val="nil"/>
          <w:right w:val="nil"/>
          <w:between w:val="nil"/>
        </w:pBdr>
        <w:ind w:left="720" w:hanging="720"/>
        <w:rPr>
          <w:rFonts w:ascii="Helvetica Neue" w:eastAsia="Helvetica Neue" w:hAnsi="Helvetica Neue" w:cs="Helvetica Neue"/>
          <w:color w:val="000000"/>
          <w:sz w:val="21"/>
          <w:szCs w:val="21"/>
        </w:rPr>
      </w:pPr>
    </w:p>
    <w:sectPr w:rsidR="000C6D63">
      <w:headerReference w:type="default" r:id="rId6"/>
      <w:footerReference w:type="even" r:id="rId7"/>
      <w:footerReference w:type="default" r:id="rId8"/>
      <w:pgSz w:w="11900" w:h="16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43C20A" w14:textId="77777777" w:rsidR="00F92463" w:rsidRDefault="00F92463">
      <w:r>
        <w:separator/>
      </w:r>
    </w:p>
  </w:endnote>
  <w:endnote w:type="continuationSeparator" w:id="0">
    <w:p w14:paraId="3AC1D194" w14:textId="77777777" w:rsidR="00F92463" w:rsidRDefault="00F924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PMingLiU">
    <w:panose1 w:val="02020500000000000000"/>
    <w:charset w:val="88"/>
    <w:family w:val="roman"/>
    <w:pitch w:val="variable"/>
    <w:sig w:usb0="A00002FF" w:usb1="28CFFCFA" w:usb2="00000016" w:usb3="00000000" w:csb0="00100001" w:csb1="00000000"/>
  </w:font>
  <w:font w:name="Helvetica Neue">
    <w:panose1 w:val="02000503000000020004"/>
    <w:charset w:val="00"/>
    <w:family w:val="swiss"/>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1C5D89" w14:textId="77777777" w:rsidR="000C6D63" w:rsidRDefault="005562C4">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end"/>
    </w:r>
  </w:p>
  <w:p w14:paraId="043D193B" w14:textId="77777777" w:rsidR="000C6D63" w:rsidRDefault="000C6D63">
    <w:pPr>
      <w:pBdr>
        <w:top w:val="nil"/>
        <w:left w:val="nil"/>
        <w:bottom w:val="nil"/>
        <w:right w:val="nil"/>
        <w:between w:val="nil"/>
      </w:pBdr>
      <w:tabs>
        <w:tab w:val="center" w:pos="4513"/>
        <w:tab w:val="right" w:pos="9026"/>
      </w:tabs>
      <w:ind w:right="360"/>
      <w:rPr>
        <w:color w:val="000000"/>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E436BA" w14:textId="77777777" w:rsidR="000C6D63" w:rsidRDefault="005562C4">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sidR="00CD6592">
      <w:rPr>
        <w:noProof/>
        <w:color w:val="000000"/>
      </w:rPr>
      <w:t>2</w:t>
    </w:r>
    <w:r>
      <w:rPr>
        <w:color w:val="000000"/>
      </w:rPr>
      <w:fldChar w:fldCharType="end"/>
    </w:r>
  </w:p>
  <w:p w14:paraId="2614419B" w14:textId="77777777" w:rsidR="000C6D63" w:rsidRDefault="005562C4">
    <w:pPr>
      <w:pBdr>
        <w:top w:val="nil"/>
        <w:left w:val="nil"/>
        <w:bottom w:val="nil"/>
        <w:right w:val="nil"/>
        <w:between w:val="nil"/>
      </w:pBdr>
      <w:tabs>
        <w:tab w:val="center" w:pos="4513"/>
        <w:tab w:val="right" w:pos="9026"/>
      </w:tabs>
      <w:ind w:right="360"/>
      <w:rPr>
        <w:color w:val="000000"/>
      </w:rPr>
    </w:pPr>
    <w:r>
      <w:rPr>
        <w:color w:val="000000"/>
      </w:rPr>
      <w:t>25/1/19</w:t>
    </w:r>
  </w:p>
  <w:p w14:paraId="7225AE73" w14:textId="77777777" w:rsidR="000C6D63" w:rsidRDefault="000C6D63">
    <w:pPr>
      <w:pBdr>
        <w:top w:val="nil"/>
        <w:left w:val="nil"/>
        <w:bottom w:val="nil"/>
        <w:right w:val="nil"/>
        <w:between w:val="nil"/>
      </w:pBdr>
      <w:tabs>
        <w:tab w:val="center" w:pos="4513"/>
        <w:tab w:val="right" w:pos="9026"/>
      </w:tabs>
      <w:ind w:right="360"/>
      <w:rPr>
        <w:color w:val="000000"/>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59C197" w14:textId="77777777" w:rsidR="00F92463" w:rsidRDefault="00F92463">
      <w:r>
        <w:separator/>
      </w:r>
    </w:p>
  </w:footnote>
  <w:footnote w:type="continuationSeparator" w:id="0">
    <w:p w14:paraId="3F562DC5" w14:textId="77777777" w:rsidR="00F92463" w:rsidRDefault="00F9246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85DF51" w14:textId="6107AE05" w:rsidR="000C6D63" w:rsidRDefault="004A7CC1">
    <w:pPr>
      <w:pBdr>
        <w:top w:val="nil"/>
        <w:left w:val="nil"/>
        <w:bottom w:val="nil"/>
        <w:right w:val="nil"/>
        <w:between w:val="nil"/>
      </w:pBdr>
      <w:tabs>
        <w:tab w:val="center" w:pos="4513"/>
        <w:tab w:val="right" w:pos="9026"/>
      </w:tabs>
      <w:rPr>
        <w:color w:val="000000"/>
      </w:rPr>
    </w:pPr>
    <w:r>
      <w:rPr>
        <w:color w:val="000000"/>
      </w:rPr>
      <w:t>Jolyon Denton Williams</w:t>
    </w:r>
    <w:r w:rsidRPr="004A7CC1">
      <w:rPr>
        <w:color w:val="000000"/>
      </w:rPr>
      <w:ptab w:relativeTo="margin" w:alignment="center" w:leader="none"/>
    </w:r>
    <w:r>
      <w:rPr>
        <w:color w:val="000000"/>
      </w:rPr>
      <w:t>TRDL7107</w:t>
    </w:r>
    <w:r w:rsidRPr="004A7CC1">
      <w:rPr>
        <w:color w:val="000000"/>
      </w:rPr>
      <w:ptab w:relativeTo="margin" w:alignment="right" w:leader="none"/>
    </w:r>
    <w:r>
      <w:rPr>
        <w:color w:val="000000"/>
      </w:rPr>
      <w:t>1502516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0C6D63"/>
    <w:rsid w:val="000B4C9F"/>
    <w:rsid w:val="000C6D63"/>
    <w:rsid w:val="000F2BD3"/>
    <w:rsid w:val="000F34F5"/>
    <w:rsid w:val="000F5DC0"/>
    <w:rsid w:val="002544A9"/>
    <w:rsid w:val="003265B8"/>
    <w:rsid w:val="003C7969"/>
    <w:rsid w:val="0048739F"/>
    <w:rsid w:val="004A7CC1"/>
    <w:rsid w:val="00523620"/>
    <w:rsid w:val="00555D9C"/>
    <w:rsid w:val="005562C4"/>
    <w:rsid w:val="005606E3"/>
    <w:rsid w:val="00581852"/>
    <w:rsid w:val="005C6F30"/>
    <w:rsid w:val="006B6CC4"/>
    <w:rsid w:val="00774B98"/>
    <w:rsid w:val="00801C0F"/>
    <w:rsid w:val="008744AB"/>
    <w:rsid w:val="0095016B"/>
    <w:rsid w:val="009506F4"/>
    <w:rsid w:val="009F7E0B"/>
    <w:rsid w:val="00A2094F"/>
    <w:rsid w:val="00A33860"/>
    <w:rsid w:val="00AD2F78"/>
    <w:rsid w:val="00AE3925"/>
    <w:rsid w:val="00B25337"/>
    <w:rsid w:val="00BD1F5B"/>
    <w:rsid w:val="00C80D86"/>
    <w:rsid w:val="00C87B04"/>
    <w:rsid w:val="00CD6592"/>
    <w:rsid w:val="00D46D6B"/>
    <w:rsid w:val="00D725E2"/>
    <w:rsid w:val="00DB4309"/>
    <w:rsid w:val="00DC2219"/>
    <w:rsid w:val="00DD4CF1"/>
    <w:rsid w:val="00EC6158"/>
    <w:rsid w:val="00F43083"/>
    <w:rsid w:val="00F92463"/>
    <w:rsid w:val="00FD617A"/>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6C83B7B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94F1F"/>
  </w:style>
  <w:style w:type="paragraph" w:styleId="Heading1">
    <w:name w:val="heading 1"/>
    <w:basedOn w:val="Normal"/>
    <w:link w:val="Heading1Char"/>
    <w:uiPriority w:val="9"/>
    <w:qFormat/>
    <w:rsid w:val="00154412"/>
    <w:pPr>
      <w:spacing w:before="100" w:beforeAutospacing="1" w:after="100" w:afterAutospacing="1"/>
      <w:outlineLvl w:val="0"/>
    </w:pPr>
    <w:rPr>
      <w:b/>
      <w:bCs/>
      <w:kern w:val="36"/>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370836"/>
    <w:pPr>
      <w:ind w:left="720"/>
      <w:contextualSpacing/>
    </w:pPr>
    <w:rPr>
      <w:rFonts w:asciiTheme="minorHAnsi" w:hAnsiTheme="minorHAnsi" w:cstheme="minorBidi"/>
      <w:lang w:eastAsia="en-US"/>
    </w:rPr>
  </w:style>
  <w:style w:type="character" w:customStyle="1" w:styleId="cr-widget-crossmarketplacesharing">
    <w:name w:val="cr-widget-crossmarketplacesharing"/>
    <w:basedOn w:val="DefaultParagraphFont"/>
    <w:rsid w:val="00E454A8"/>
  </w:style>
  <w:style w:type="paragraph" w:styleId="NormalWeb">
    <w:name w:val="Normal (Web)"/>
    <w:basedOn w:val="Normal"/>
    <w:uiPriority w:val="99"/>
    <w:semiHidden/>
    <w:unhideWhenUsed/>
    <w:rsid w:val="008A12D9"/>
    <w:pPr>
      <w:spacing w:before="100" w:beforeAutospacing="1" w:after="100" w:afterAutospacing="1"/>
    </w:pPr>
  </w:style>
  <w:style w:type="character" w:customStyle="1" w:styleId="apple-converted-space">
    <w:name w:val="apple-converted-space"/>
    <w:basedOn w:val="DefaultParagraphFont"/>
    <w:rsid w:val="008A12D9"/>
  </w:style>
  <w:style w:type="character" w:customStyle="1" w:styleId="Heading1Char">
    <w:name w:val="Heading 1 Char"/>
    <w:basedOn w:val="DefaultParagraphFont"/>
    <w:link w:val="Heading1"/>
    <w:uiPriority w:val="9"/>
    <w:rsid w:val="00154412"/>
    <w:rPr>
      <w:rFonts w:ascii="Times New Roman" w:hAnsi="Times New Roman" w:cs="Times New Roman"/>
      <w:b/>
      <w:bCs/>
      <w:kern w:val="36"/>
      <w:sz w:val="48"/>
      <w:szCs w:val="48"/>
      <w:lang w:eastAsia="en-GB"/>
    </w:rPr>
  </w:style>
  <w:style w:type="paragraph" w:customStyle="1" w:styleId="3text">
    <w:name w:val="3text"/>
    <w:basedOn w:val="Normal"/>
    <w:rsid w:val="0085750D"/>
    <w:pPr>
      <w:spacing w:before="100" w:beforeAutospacing="1" w:after="100" w:afterAutospacing="1"/>
    </w:pPr>
  </w:style>
  <w:style w:type="character" w:styleId="Emphasis">
    <w:name w:val="Emphasis"/>
    <w:basedOn w:val="DefaultParagraphFont"/>
    <w:uiPriority w:val="20"/>
    <w:qFormat/>
    <w:rsid w:val="0065650F"/>
    <w:rPr>
      <w:i/>
      <w:iCs/>
    </w:rPr>
  </w:style>
  <w:style w:type="character" w:styleId="Strong">
    <w:name w:val="Strong"/>
    <w:basedOn w:val="DefaultParagraphFont"/>
    <w:uiPriority w:val="22"/>
    <w:qFormat/>
    <w:rsid w:val="001A0F55"/>
    <w:rPr>
      <w:b/>
      <w:bCs/>
    </w:rPr>
  </w:style>
  <w:style w:type="paragraph" w:styleId="Footer">
    <w:name w:val="footer"/>
    <w:basedOn w:val="Normal"/>
    <w:link w:val="FooterChar"/>
    <w:uiPriority w:val="99"/>
    <w:unhideWhenUsed/>
    <w:rsid w:val="003718BC"/>
    <w:pPr>
      <w:tabs>
        <w:tab w:val="center" w:pos="4513"/>
        <w:tab w:val="right" w:pos="9026"/>
      </w:tabs>
    </w:pPr>
  </w:style>
  <w:style w:type="character" w:customStyle="1" w:styleId="FooterChar">
    <w:name w:val="Footer Char"/>
    <w:basedOn w:val="DefaultParagraphFont"/>
    <w:link w:val="Footer"/>
    <w:uiPriority w:val="99"/>
    <w:rsid w:val="003718BC"/>
    <w:rPr>
      <w:rFonts w:ascii="Times New Roman" w:hAnsi="Times New Roman" w:cs="Times New Roman"/>
      <w:lang w:eastAsia="en-GB"/>
    </w:rPr>
  </w:style>
  <w:style w:type="character" w:styleId="PageNumber">
    <w:name w:val="page number"/>
    <w:basedOn w:val="DefaultParagraphFont"/>
    <w:uiPriority w:val="99"/>
    <w:semiHidden/>
    <w:unhideWhenUsed/>
    <w:rsid w:val="003718BC"/>
  </w:style>
  <w:style w:type="paragraph" w:styleId="Header">
    <w:name w:val="header"/>
    <w:basedOn w:val="Normal"/>
    <w:link w:val="HeaderChar"/>
    <w:uiPriority w:val="99"/>
    <w:unhideWhenUsed/>
    <w:rsid w:val="003718BC"/>
    <w:pPr>
      <w:tabs>
        <w:tab w:val="center" w:pos="4513"/>
        <w:tab w:val="right" w:pos="9026"/>
      </w:tabs>
    </w:pPr>
  </w:style>
  <w:style w:type="character" w:customStyle="1" w:styleId="HeaderChar">
    <w:name w:val="Header Char"/>
    <w:basedOn w:val="DefaultParagraphFont"/>
    <w:link w:val="Header"/>
    <w:uiPriority w:val="99"/>
    <w:rsid w:val="003718BC"/>
    <w:rPr>
      <w:rFonts w:ascii="Times New Roman" w:hAnsi="Times New Roman" w:cs="Times New Roman"/>
      <w:lang w:eastAsia="en-GB"/>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8"/>
      <w:szCs w:val="18"/>
    </w:rPr>
  </w:style>
  <w:style w:type="paragraph" w:styleId="BalloonText">
    <w:name w:val="Balloon Text"/>
    <w:basedOn w:val="Normal"/>
    <w:link w:val="BalloonTextChar"/>
    <w:uiPriority w:val="99"/>
    <w:semiHidden/>
    <w:unhideWhenUsed/>
    <w:rsid w:val="008744AB"/>
    <w:rPr>
      <w:sz w:val="18"/>
      <w:szCs w:val="18"/>
    </w:rPr>
  </w:style>
  <w:style w:type="character" w:customStyle="1" w:styleId="BalloonTextChar">
    <w:name w:val="Balloon Text Char"/>
    <w:basedOn w:val="DefaultParagraphFont"/>
    <w:link w:val="BalloonText"/>
    <w:uiPriority w:val="99"/>
    <w:semiHidden/>
    <w:rsid w:val="008744AB"/>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120</TotalTime>
  <Pages>5</Pages>
  <Words>1351</Words>
  <Characters>7701</Characters>
  <Application>Microsoft Macintosh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1502516@student.uwtsd.ac.uk</cp:lastModifiedBy>
  <cp:revision>5</cp:revision>
  <dcterms:created xsi:type="dcterms:W3CDTF">2019-01-19T14:12:00Z</dcterms:created>
  <dcterms:modified xsi:type="dcterms:W3CDTF">2019-01-24T12:32:00Z</dcterms:modified>
</cp:coreProperties>
</file>