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contextualSpacing/>
      </w:pPr>
    </w:p>
    <w:p>
      <w:pPr>
        <w:contextualSpacing/>
      </w:pPr>
    </w:p>
    <w:p>
      <w:pPr>
        <w:contextualSpacing/>
      </w:pPr>
    </w:p>
    <w:p>
      <w:pPr>
        <w:contextualSpacing/>
        <w:jc w:val="center"/>
      </w:pPr>
      <w:r>
        <w:rPr>
          <w:b/>
          <w:bCs/>
        </w:rPr>
        <w:t>Key Issues in Linguistics: Critical Assessment of Research Article</w:t>
      </w:r>
    </w:p>
    <w:p>
      <w:pPr>
        <w:contextualSpacing/>
        <w:jc w:val="center"/>
      </w:pPr>
    </w:p>
    <w:p>
      <w:pPr>
        <w:contextualSpacing/>
        <w:jc w:val="center"/>
        <w:rPr>
          <w:rFonts w:hint="eastAsia" w:eastAsia="宋体"/>
          <w:lang w:val="en-US" w:eastAsia="zh-CN"/>
        </w:rPr>
      </w:pPr>
      <w:r>
        <w:rPr>
          <w:rFonts w:hint="eastAsia" w:eastAsia="宋体"/>
          <w:lang w:val="en-US" w:eastAsia="zh-CN"/>
        </w:rPr>
        <w:t>Keqing Yao</w:t>
      </w:r>
    </w:p>
    <w:p>
      <w:pPr>
        <w:contextualSpacing/>
        <w:jc w:val="center"/>
      </w:pPr>
      <w:r>
        <w:rPr>
          <w:rFonts w:hint="eastAsia" w:eastAsia="宋体"/>
          <w:lang w:val="en-US" w:eastAsia="zh-CN"/>
        </w:rPr>
        <w:t>Student ID:2213810</w:t>
      </w:r>
      <w:r>
        <w:br w:type="page"/>
      </w:r>
    </w:p>
    <w:p>
      <w:pPr>
        <w:contextualSpacing/>
      </w:pPr>
      <w:bookmarkStart w:id="0" w:name="_GoBack"/>
      <w:bookmarkEnd w:id="0"/>
      <w:r>
        <w:t xml:space="preserve"> </w:t>
      </w:r>
      <w:r>
        <w:rPr>
          <w:szCs w:val="24"/>
        </w:rPr>
        <w:t>Article: Alt, M. &amp; Spaulding, T. (2011). The effect of time on word learning: An examination of decay of the memory trace and vocal rehearsal in children with and without specific language impairment. Journal of Communication Disorders, 44(6), 640-654. DOI: 10.1016/j.jcomdis.2011.07.001</w:t>
      </w:r>
    </w:p>
    <w:p>
      <w:pPr>
        <w:pStyle w:val="2"/>
      </w:pPr>
      <w:r>
        <w:t xml:space="preserve">Introduction: Brief Summary of Article’s Main Points </w:t>
      </w:r>
    </w:p>
    <w:p>
      <w:r>
        <w:tab/>
      </w:r>
      <w:r>
        <w:t>Alt and Spaulding focused on determining the influence of time delay on children's phonological and lexical development. They argued that the world learning process is complicated since children must develop a combination of lexical, phonological, semantical, and cognitive abilities. However, children with specific language impairment struggle more with the world learning process than children with typical development. It is worth noting that specific language impairment is characterized by a child's language development progress with no particular reasons. In contrast, a child with typical development is one experiencing normal and healthy language development (Bishop, 2006). The authors explained that children's ability to learn new words is highly determined by their capacity to maintain the words in their memory. Importantly, children with specific language impairments have a poor capacity to keep the words in their memory, which explains why they find word learning challenging. Poor memory or rapid forgetting by children with specific language impairment is caused by interference of information stored in the memory and the increased rate of forgetting. Interference happens when children consume a huge quantity of information. They find it challenging to familiarize a word, making them forget the words they have just fed their brains. Notably, Alt and Spaulding express their concerns that studies on forgetting have been conducted from a quantity-capacity perspective which only explores children's cognitive space to store information. They emphasize the importance of studying the time of storing information to determine ways of improving word learning among children with specific learning impairments.</w:t>
      </w:r>
    </w:p>
    <w:p>
      <w:pPr>
        <w:pStyle w:val="2"/>
      </w:pPr>
      <w:r>
        <w:t xml:space="preserve">Critical Analysis of the Article </w:t>
      </w:r>
    </w:p>
    <w:p>
      <w:pPr>
        <w:pStyle w:val="3"/>
      </w:pPr>
      <w:r>
        <w:t xml:space="preserve">Theoretical Considerations </w:t>
      </w:r>
    </w:p>
    <w:p>
      <w:r>
        <w:tab/>
      </w:r>
      <w:r>
        <w:t xml:space="preserve">The article aims at testing the working memory model by Alan Baddeley and Graham Hitch. The  working memory model works under the understanding that the working memory has  a limited space for retaining information for a specific amount of time (Chai et al., 2018). The space in the working memory is significant because it provides a mental workspace from which is held or transmitted cognitively to direct a certain action. Notably, Baddeley and Hitch’s working memory model constitutes three critical components that support the storage and manipulation of information. The most critical component of the three is the central executive as it is responsible for coordination activities in the work memory (Chai et al., 2018). It determines which part of the working memory deals with which type of information. Moreover, it decides which information is more important and urgent to remember (Chai et al., 2018). This aspect explains why people are quick to forget the less important information but will remember the information when the need to do so arises. </w:t>
      </w:r>
    </w:p>
    <w:p>
      <w:r>
        <w:tab/>
      </w:r>
      <w:r>
        <w:rPr>
          <w:color w:val="0E101A"/>
        </w:rPr>
        <w:t>The other component of the working memory is the phonological loop, which Baddeley and Hitch referred to as the “sound store.” It is responsible for holding written and spoken information (Chai et al., 2018). Notably, the phonological loop comprises two parts, the phonological store and the articulatory control system. The phonological store, also regarded as the inner ear, retains information in speech form. In this regard, spoken information is retained instantly, while written information must first be converted into speech form through speaking (Chai et al., 2018). The articulatory control system acts as the rehearsal centre. The information stored that the phonological store is repeated with the help of this component, enabling the working memory to retain the information (Chai et al., 2018). The last component of the working memory model is the visuospatial sketchpad. It deals with visual information. It is responsible for remembering data that people feed through observing (Chai et al., 2018). In summary, the working memory model determines the capacity and time at which people store information in their memory.</w:t>
      </w:r>
    </w:p>
    <w:p>
      <w:pPr>
        <w:pStyle w:val="3"/>
        <w:shd w:val="clear" w:color="auto" w:fill="FFFFFF"/>
        <w:rPr>
          <w:bCs/>
          <w:color w:val="0E101A"/>
        </w:rPr>
      </w:pPr>
      <w:r>
        <w:rPr>
          <w:bCs/>
          <w:color w:val="0E101A"/>
        </w:rPr>
        <w:t>Specific Predictions of the Working Memory Model Being Tested in the Article</w:t>
      </w:r>
    </w:p>
    <w:p>
      <w:pPr>
        <w:pStyle w:val="5"/>
        <w:shd w:val="clear" w:color="auto" w:fill="FFFFFF"/>
        <w:spacing w:after="0" w:line="480" w:lineRule="auto"/>
        <w:rPr>
          <w:color w:val="0E101A"/>
        </w:rPr>
      </w:pPr>
      <w:r>
        <w:rPr>
          <w:color w:val="0E101A"/>
        </w:rPr>
        <w:t>The following were the specific predictions of the working memory model, which the article tested.</w:t>
      </w:r>
    </w:p>
    <w:p>
      <w:pPr>
        <w:pStyle w:val="5"/>
        <w:shd w:val="clear" w:color="auto" w:fill="FFFFFF"/>
        <w:spacing w:after="0" w:line="480" w:lineRule="auto"/>
      </w:pPr>
      <w:r>
        <w:rPr>
          <w:rStyle w:val="18"/>
          <w:color w:val="0E101A"/>
        </w:rPr>
        <w:t>1. Word learning would be more difficult in children with specific language impairments since they have increased length of the delay and low phonotactic probability words.</w:t>
      </w:r>
    </w:p>
    <w:p>
      <w:pPr>
        <w:pStyle w:val="5"/>
        <w:shd w:val="clear" w:color="auto" w:fill="FFFFFF"/>
        <w:spacing w:after="0" w:line="480" w:lineRule="auto"/>
        <w:rPr>
          <w:color w:val="0E101A"/>
        </w:rPr>
      </w:pPr>
      <w:r>
        <w:rPr>
          <w:color w:val="0E101A"/>
        </w:rPr>
        <w:tab/>
      </w:r>
      <w:r>
        <w:rPr>
          <w:color w:val="0E101A"/>
        </w:rPr>
        <w:t>Notably, this prediction follows the working memory model tested in the article. As explained above, the working memory model works under the idea that the working memory has limited space for storing information. The specific language impairment condition makes people lack skills useful for memory, increasing their length of decay. Leonard (2014) explained that children with specific language impairment lack rehearsal skills, which involves repeating a word frequently to facilitate memory. This aspect reduces the length of decay since the repetition “assures” the working memory that the repeated word is important and should be retained. The child “enjoys” a prolonged duration in which he can access the word, making learning easy.</w:t>
      </w:r>
    </w:p>
    <w:p>
      <w:r>
        <w:rPr>
          <w:b/>
          <w:bCs/>
        </w:rPr>
        <w:t>2. Children would use vocal rehearsal to retain the “phonological” representation of new words in their working memory. However, children with specific learning impairments would experience difficulty in employing this strategy in word learning.</w:t>
      </w:r>
    </w:p>
    <w:p>
      <w:r>
        <w:tab/>
      </w:r>
      <w:r>
        <w:rPr>
          <w:color w:val="0E101A"/>
        </w:rPr>
        <w:t>This prediction fits the working memory model because of the concept of voice rehearsal. Notably, voice rehearsal entails repeating a word to avoid forgetting it. The repetition acts as a refreshing mechanism in the phonological loop as it directs the working memory to consider the repeated word more significant than other information (Leonard, 2014). The prioritizing mechanism of the repeated word ensures that it is retained for a more extended period. However, children with specific language impairments still struggle with the voice rehearsal strategy when learning new words. They suffer from utilization deficiency, which means that their memory degradation affects their ability to benefit from task performance strategies (Archibald &amp; Gathercole, 2006). In this regard, they are unable to repeat a word adequately, making it challenging to memorize the word.</w:t>
      </w:r>
    </w:p>
    <w:p>
      <w:pPr>
        <w:pStyle w:val="5"/>
        <w:shd w:val="clear" w:color="auto" w:fill="FFFFFF"/>
        <w:spacing w:after="0" w:line="480" w:lineRule="auto"/>
      </w:pPr>
      <w:r>
        <w:rPr>
          <w:rStyle w:val="18"/>
          <w:color w:val="0E101A"/>
        </w:rPr>
        <w:t>3. The benefit of vocal rehearsal would be higher in children with typical development, considering those with specific language impairments suffer utilization deficiency.</w:t>
      </w:r>
    </w:p>
    <w:p>
      <w:pPr>
        <w:pStyle w:val="5"/>
        <w:shd w:val="clear" w:color="auto" w:fill="FFFFFF"/>
        <w:spacing w:after="0" w:line="480" w:lineRule="auto"/>
        <w:rPr>
          <w:color w:val="0E101A"/>
        </w:rPr>
      </w:pPr>
      <w:r>
        <w:rPr>
          <w:color w:val="0E101A"/>
        </w:rPr>
        <w:tab/>
      </w:r>
      <w:r>
        <w:rPr>
          <w:color w:val="0E101A"/>
        </w:rPr>
        <w:t>This prediction reflects how typically developing children are more conversant in using effective voice rehearsal than children with specific language impairments. Children with specific language impairments undergo utilization deficiency. Ineffective voice rehearsal can include repeating words for a short period or getting distracted during the repetition exercise (Leornard, 2014). Such factors lower the performance of retaining information at the phonological loop for extensive memory.</w:t>
      </w:r>
    </w:p>
    <w:p>
      <w:pPr>
        <w:pStyle w:val="2"/>
        <w:shd w:val="clear" w:color="auto" w:fill="FFFFFF"/>
        <w:rPr>
          <w:bCs/>
          <w:color w:val="0E101A"/>
        </w:rPr>
      </w:pPr>
      <w:r>
        <w:rPr>
          <w:bCs/>
          <w:color w:val="0E101A"/>
        </w:rPr>
        <w:t>Methodology</w:t>
      </w:r>
    </w:p>
    <w:p>
      <w:pPr>
        <w:pStyle w:val="3"/>
        <w:shd w:val="clear" w:color="auto" w:fill="FFFFFF"/>
        <w:rPr>
          <w:bCs/>
          <w:color w:val="0E101A"/>
        </w:rPr>
      </w:pPr>
      <w:r>
        <w:rPr>
          <w:bCs/>
          <w:color w:val="0E101A"/>
        </w:rPr>
        <w:t>Methodology Used in the Article</w:t>
      </w:r>
    </w:p>
    <w:p>
      <w:pPr>
        <w:pStyle w:val="5"/>
        <w:shd w:val="clear" w:color="auto" w:fill="FFFFFF"/>
        <w:spacing w:after="0" w:line="480" w:lineRule="auto"/>
        <w:rPr>
          <w:color w:val="0E101A"/>
        </w:rPr>
      </w:pPr>
      <w:r>
        <w:rPr>
          <w:color w:val="0E101A"/>
        </w:rPr>
        <w:tab/>
      </w:r>
      <w:r>
        <w:rPr>
          <w:color w:val="0E101A"/>
        </w:rPr>
        <w:t>The study involved 40 participants, children aged 7-8 years. Half had specific language impairment, and the other half had typical development. The aspect that was used separate them was the maternal level of education. The researchers used the parental report to determine the participants' maternal level of education. Notably, they avoided using participants diagnosed with conditions such as hyperactivity and autism. The participants also spoke English as their dominant language.</w:t>
      </w:r>
    </w:p>
    <w:p>
      <w:pPr>
        <w:pStyle w:val="5"/>
        <w:shd w:val="clear" w:color="auto" w:fill="FFFFFF"/>
        <w:spacing w:after="0" w:line="480" w:lineRule="auto"/>
        <w:rPr>
          <w:color w:val="0E101A"/>
        </w:rPr>
      </w:pPr>
      <w:r>
        <w:rPr>
          <w:color w:val="0E101A"/>
        </w:rPr>
        <w:tab/>
      </w:r>
      <w:r>
        <w:rPr>
          <w:color w:val="0E101A"/>
        </w:rPr>
        <w:t>Apart from the maternal level of education, the participants underwent the Clinical Evaluation of Language Fundamentals Fourth Edition (CELF-IV) test to determine whether they would be in the specific language impairment group or the typical development group (Alt &amp; Spaulding, 2011). Children from the typical development group scored higher than the standard score of 85 points.</w:t>
      </w:r>
    </w:p>
    <w:p>
      <w:pPr>
        <w:pStyle w:val="5"/>
        <w:shd w:val="clear" w:color="auto" w:fill="FFFFFF"/>
        <w:spacing w:after="0" w:line="480" w:lineRule="auto"/>
        <w:rPr>
          <w:color w:val="0E101A"/>
        </w:rPr>
      </w:pPr>
      <w:r>
        <w:rPr>
          <w:color w:val="0E101A"/>
        </w:rPr>
        <w:tab/>
      </w:r>
      <w:r>
        <w:rPr>
          <w:color w:val="0E101A"/>
        </w:rPr>
        <w:t>After separating the children into specific learning impairment and typical development groups, the researchers administered experimental tasks that included mispronunciation detection and production tasks. The children were first taken through training before they were given experimental tasks. The training aimed at determining whether the children understood what was expected in the experimental tasks (Alt &amp; Spaulding, 2011). Significantly, the children were presented with real-life stimuli of lexical words, which they identified effectively, assuring the researchers that they were fit for the experimental tasks. During the mispronunciation detection task, which the researchers identified as the recognition task, the children were given a laptop from which they watched and listened to stimuli. Here, the researchers asked the children to fast-map new lexical of an item after hearing its name two times (Alt &amp; Spaulding, 2011). They then proceeded to the recognition test. They presented the item's real name or another name which was phonologically close to the real name. The children were expected to listen to the names and press the button once they identified the item. Notably, the children identified items independently, and the researchers avoided giving them feedback on their answers. Feedback would have influenced the children's performance, causing the study to lose its credibility.</w:t>
      </w:r>
    </w:p>
    <w:p>
      <w:pPr>
        <w:pStyle w:val="5"/>
        <w:shd w:val="clear" w:color="auto" w:fill="FFFFFF"/>
        <w:spacing w:after="0" w:line="480" w:lineRule="auto"/>
        <w:rPr>
          <w:color w:val="0E101A"/>
        </w:rPr>
      </w:pPr>
      <w:r>
        <w:rPr>
          <w:color w:val="0E101A"/>
        </w:rPr>
        <w:tab/>
      </w:r>
      <w:r>
        <w:rPr>
          <w:color w:val="0E101A"/>
        </w:rPr>
        <w:t>The production experiment task involved testing the effect of high and low phonotactic probability. The researchers created 24 nonwords where each word had four syllables. The words' probability was tested using the Phonotactic Probability Calculator, whose median standard for high phonotactic probability was (X=1.02) and (X=1.00) for low phonotactic probability (Alt &amp; Spaulding). The vocal rehearsal was tested by the number of times a child repeated the name of an item after it was measured.</w:t>
      </w:r>
    </w:p>
    <w:p>
      <w:pPr>
        <w:pStyle w:val="3"/>
        <w:shd w:val="clear" w:color="auto" w:fill="FFFFFF"/>
        <w:rPr>
          <w:bCs/>
          <w:color w:val="0E101A"/>
        </w:rPr>
      </w:pPr>
      <w:r>
        <w:rPr>
          <w:bCs/>
          <w:color w:val="0E101A"/>
        </w:rPr>
        <w:t>Alternative Study</w:t>
      </w:r>
    </w:p>
    <w:p>
      <w:pPr>
        <w:pStyle w:val="5"/>
        <w:shd w:val="clear" w:color="auto" w:fill="FFFFFF"/>
        <w:spacing w:after="0" w:line="480" w:lineRule="auto"/>
        <w:rPr>
          <w:color w:val="0E101A"/>
        </w:rPr>
      </w:pPr>
      <w:r>
        <w:rPr>
          <w:color w:val="0E101A"/>
        </w:rPr>
        <w:tab/>
      </w:r>
      <w:r>
        <w:rPr>
          <w:color w:val="0E101A"/>
        </w:rPr>
        <w:t>While the experiment tasks (recognition and production) used in the article's methodology sufficiently tested the working memory model, a recall memory experiment task would also have been useful. The recall memory experiment tests an individual's ability to remember using clues of associations (Alloway &amp; Ledwon, 2014). In this study approach, the participants are expected to remember items in the order they fed the working memory. The advantage of experimental tasks is that the researcher can also determine the participants' semantical memory (Alloway &amp; Ledwon, 2014). The recalling abilities refresh the temporary memory systems like the phonological loop, enabling the information to be integrated to form semantical memory, which interprets to long-term memory.</w:t>
      </w:r>
    </w:p>
    <w:p>
      <w:pPr>
        <w:pStyle w:val="2"/>
      </w:pPr>
      <w:r>
        <w:t xml:space="preserve">Results and Relevance to Working Memory Model </w:t>
      </w:r>
    </w:p>
    <w:p>
      <w:pPr>
        <w:pStyle w:val="3"/>
      </w:pPr>
      <w:r>
        <w:t xml:space="preserve">Results of The Study </w:t>
      </w:r>
    </w:p>
    <w:p>
      <w:r>
        <w:tab/>
      </w:r>
      <w:r>
        <w:rPr>
          <w:color w:val="0E101A"/>
        </w:rPr>
        <w:t>The findings revealed that the learning abilities through fast mapping are influenced by voice rehearsal and memory decay with time. The researchers found that typically developing children performed better than children with specific language impairments. Children with specific language impairments recorded a high rate of memory trace degradation as they kept repeating a word many times to avoid forgetting. Typically developing children repeated names but not as many times as the other group. The study also showed that children in both groups performed poorly in pronouncing the word with low phonotactic probability.</w:t>
      </w:r>
    </w:p>
    <w:p>
      <w:pPr>
        <w:pStyle w:val="3"/>
        <w:shd w:val="clear" w:color="auto" w:fill="FFFFFF"/>
        <w:rPr>
          <w:bCs/>
          <w:color w:val="0E101A"/>
        </w:rPr>
      </w:pPr>
      <w:r>
        <w:rPr>
          <w:bCs/>
          <w:color w:val="0E101A"/>
        </w:rPr>
        <w:t>Relevance of The Findings to The Working Memory Model</w:t>
      </w:r>
    </w:p>
    <w:p>
      <w:pPr>
        <w:pStyle w:val="5"/>
        <w:shd w:val="clear" w:color="auto" w:fill="FFFFFF"/>
        <w:spacing w:after="0" w:line="480" w:lineRule="auto"/>
        <w:rPr>
          <w:color w:val="0E101A"/>
        </w:rPr>
      </w:pPr>
      <w:r>
        <w:rPr>
          <w:color w:val="0E101A"/>
        </w:rPr>
        <w:tab/>
      </w:r>
      <w:r>
        <w:rPr>
          <w:color w:val="0E101A"/>
        </w:rPr>
        <w:t>The findings of the study reflect the concept of the working memory model. The study showed that children with specific language impairments have poor learning abilities because they experience a high rate of memory decay. The condition causes the children to experience deficient language development. This aspect affects the efficacy of the phonological loop of the working memory responsible for retaining information in speech form (Archibald &amp; Gathercole, 2006). Poor language abilities mean that the child with specific language impairment finds it difficult to feed in the information through speech, causing the phonological loop to lose flexibility in manipulating information (Archibald &amp; Gathercole, 2006). Another aspect of the results that connect the study to working memory is the phonotactic probability. The study revealed that typically developing children and those with specific language impairment struggle with word learning when the words have a low phonotactic probability. Archibald and Gathercole (2006) interpreted this aspect by arguing that children experience deficient non-word repetitions when interacting with words with low phonotactic probability. It is worth noting that phonotactic probability refers to how a child is familiar with a word (Archibald &amp; Gathercole, 2006). New words with unfamiliar phonological sequences are hard to pronounce, causing the individual not to repeat them as frequently as possible.</w:t>
      </w:r>
    </w:p>
    <w:p/>
    <w:p>
      <w:r>
        <w:t xml:space="preserve">                                                                                                                                                                                                                                                                                                                                                                                                                                                                                                                                                                                                                                                                                                                                                                                                                                                                                                                                                                                                                                                                                                                                                                                                                                                                                                                                                                                                                                                                                                                                                                               </w:t>
      </w:r>
    </w:p>
    <w:p>
      <w:pPr>
        <w:rPr>
          <w:b/>
          <w:bCs/>
        </w:rPr>
      </w:pPr>
    </w:p>
    <w:p>
      <w:pPr>
        <w:jc w:val="center"/>
        <w:rPr>
          <w:b/>
          <w:bCs/>
        </w:rPr>
      </w:pPr>
    </w:p>
    <w:p>
      <w:pPr>
        <w:jc w:val="center"/>
      </w:pPr>
      <w:r>
        <w:rPr>
          <w:b/>
          <w:bCs/>
        </w:rPr>
        <w:t>References</w:t>
      </w:r>
    </w:p>
    <w:p>
      <w:pPr>
        <w:ind w:left="720" w:hanging="720"/>
        <w:contextualSpacing/>
      </w:pPr>
      <w:r>
        <w:rPr>
          <w:szCs w:val="24"/>
        </w:rPr>
        <w:t xml:space="preserve">Alloway, P. T. &amp; Ledwon, F. (2014). Working memory and sentences recall in children. </w:t>
      </w:r>
      <w:r>
        <w:rPr>
          <w:i/>
          <w:iCs/>
          <w:szCs w:val="24"/>
        </w:rPr>
        <w:t>International Journal of Educational Research</w:t>
      </w:r>
      <w:r>
        <w:rPr>
          <w:szCs w:val="24"/>
        </w:rPr>
        <w:t>, 65, 1-8. Doi:10.1016/j.ijer.2013.12.001</w:t>
      </w:r>
    </w:p>
    <w:p>
      <w:pPr>
        <w:ind w:left="720" w:hanging="720"/>
        <w:contextualSpacing/>
      </w:pPr>
      <w:r>
        <w:rPr>
          <w:szCs w:val="24"/>
        </w:rPr>
        <w:t xml:space="preserve">Archibald, L.  M. &amp; Gathercole, S. E. (2006). Short-term and working memory in specific language impairment. </w:t>
      </w:r>
      <w:r>
        <w:rPr>
          <w:i/>
          <w:iCs/>
          <w:szCs w:val="24"/>
        </w:rPr>
        <w:t>International Journal of Language &amp; Communication Disorders</w:t>
      </w:r>
      <w:r>
        <w:rPr>
          <w:szCs w:val="24"/>
        </w:rPr>
        <w:t>, 41(6), 675-693. Doi: 10.1080/13682820500442602</w:t>
      </w:r>
    </w:p>
    <w:p>
      <w:pPr>
        <w:ind w:left="720" w:hanging="720"/>
        <w:contextualSpacing/>
      </w:pPr>
      <w:r>
        <w:rPr>
          <w:szCs w:val="24"/>
        </w:rPr>
        <w:t xml:space="preserve">Alt, M. &amp; Spaulding, T. (2011). The effect of time on word learning: An examination of decay of the memory trace and vocal rehearsal in children with and without specific language impairment. </w:t>
      </w:r>
      <w:r>
        <w:rPr>
          <w:i/>
          <w:iCs/>
          <w:szCs w:val="24"/>
        </w:rPr>
        <w:t>Journal of Communication Disorders</w:t>
      </w:r>
      <w:r>
        <w:rPr>
          <w:szCs w:val="24"/>
        </w:rPr>
        <w:t xml:space="preserve">, 44(6), 640-654. DOI: 10.1016/j.jcomdis.2011.07.001   </w:t>
      </w:r>
    </w:p>
    <w:p>
      <w:pPr>
        <w:ind w:left="720" w:hanging="720"/>
        <w:contextualSpacing/>
      </w:pPr>
      <w:r>
        <w:rPr>
          <w:szCs w:val="24"/>
        </w:rPr>
        <w:t xml:space="preserve">Chai, J. W., Hamid, A. I. A. &amp; Abdullah, M. J. (2018). Working memory from the psychological and neurosciences perspectives: A Review. </w:t>
      </w:r>
      <w:r>
        <w:rPr>
          <w:i/>
          <w:iCs/>
          <w:szCs w:val="24"/>
        </w:rPr>
        <w:t>Frontier Psychology.</w:t>
      </w:r>
      <w:r>
        <w:rPr>
          <w:szCs w:val="24"/>
        </w:rPr>
        <w:t xml:space="preserve"> Doi:10.3389/fpsyg.2018.00401</w:t>
      </w:r>
    </w:p>
    <w:p>
      <w:pPr>
        <w:ind w:left="720" w:hanging="720"/>
        <w:contextualSpacing/>
      </w:pPr>
      <w:r>
        <w:rPr>
          <w:szCs w:val="24"/>
        </w:rPr>
        <w:t xml:space="preserve">Leonard, B. L. (2014). Children with specific language impairment and their contribution to the study of language development. </w:t>
      </w:r>
      <w:r>
        <w:rPr>
          <w:i/>
          <w:iCs/>
          <w:szCs w:val="24"/>
        </w:rPr>
        <w:t>Journal of Child Language</w:t>
      </w:r>
      <w:r>
        <w:rPr>
          <w:szCs w:val="24"/>
        </w:rPr>
        <w:t xml:space="preserve">, 41(1), 38-47. </w:t>
      </w:r>
      <w:r>
        <w:rPr>
          <w:rFonts w:ascii="Helvetica Neue;Helvetica;Arial;" w:hAnsi="Helvetica Neue;Helvetica;Arial;"/>
          <w:color w:val="212121"/>
          <w:szCs w:val="24"/>
        </w:rPr>
        <w:t>doi: </w:t>
      </w:r>
      <w:r>
        <w:fldChar w:fldCharType="begin"/>
      </w:r>
      <w:r>
        <w:instrText xml:space="preserve"> HYPERLINK "https://doi.org/10.1017%2FS0305000914000130" \h </w:instrText>
      </w:r>
      <w:r>
        <w:fldChar w:fldCharType="separate"/>
      </w:r>
      <w:r>
        <w:rPr>
          <w:rStyle w:val="16"/>
          <w:rFonts w:ascii="Helvetica Neue;Helvetica;Arial;" w:hAnsi="Helvetica Neue;Helvetica;Arial;"/>
          <w:color w:val="205493"/>
          <w:szCs w:val="24"/>
          <w:highlight w:val="white"/>
        </w:rPr>
        <w:t>10.1017/S0305000914000130</w:t>
      </w:r>
      <w:r>
        <w:rPr>
          <w:rStyle w:val="16"/>
          <w:rFonts w:ascii="Helvetica Neue;Helvetica;Arial;" w:hAnsi="Helvetica Neue;Helvetica;Arial;"/>
          <w:color w:val="205493"/>
          <w:szCs w:val="24"/>
          <w:highlight w:val="white"/>
        </w:rPr>
        <w:fldChar w:fldCharType="end"/>
      </w:r>
    </w:p>
    <w:sectPr>
      <w:headerReference r:id="rId6" w:type="first"/>
      <w:headerReference r:id="rId5" w:type="default"/>
      <w:pgSz w:w="12240" w:h="15840"/>
      <w:pgMar w:top="1440" w:right="1440" w:bottom="1440" w:left="1440" w:header="720" w:footer="0" w:gutter="0"/>
      <w:cols w:space="720" w:num="1"/>
      <w:formProt w:val="0"/>
      <w:titlePg/>
      <w:docGrid w:linePitch="360" w:charSpace="-6145"/>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Lohit Devanagari">
    <w:altName w:val="Segoe Print"/>
    <w:panose1 w:val="00000000000000000000"/>
    <w:charset w:val="00"/>
    <w:family w:val="roman"/>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Liberation Sans">
    <w:altName w:val="Arial"/>
    <w:panose1 w:val="00000000000000000000"/>
    <w:charset w:val="01"/>
    <w:family w:val="roman"/>
    <w:pitch w:val="default"/>
    <w:sig w:usb0="00000000" w:usb1="00000000" w:usb2="00000000" w:usb3="00000000" w:csb0="00000000" w:csb1="00000000"/>
  </w:font>
  <w:font w:name="WenQuanYi Micro Hei">
    <w:altName w:val="Segoe Print"/>
    <w:panose1 w:val="00000000000000000000"/>
    <w:charset w:val="00"/>
    <w:family w:val="roman"/>
    <w:pitch w:val="default"/>
    <w:sig w:usb0="00000000" w:usb1="00000000" w:usb2="00000000" w:usb3="00000000" w:csb0="00000000" w:csb1="00000000"/>
  </w:font>
  <w:font w:name="Helvetica Neue;Helvetica;Arial;">
    <w:altName w:val="Arial"/>
    <w:panose1 w:val="00000000000000000000"/>
    <w:charset w:val="00"/>
    <w:family w:val="roman"/>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pPr>
    <w:r>
      <w:fldChar w:fldCharType="begin"/>
    </w:r>
    <w:r>
      <w:instrText xml:space="preserve">PAGE</w:instrText>
    </w:r>
    <w:r>
      <w:fldChar w:fldCharType="separate"/>
    </w:r>
    <w:r>
      <w:t>9</w:t>
    </w:r>
    <w:r>
      <w:fldChar w:fldCharType="end"/>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pPr>
    <w:r>
      <w:tab/>
    </w:r>
    <w:r>
      <w:fldChar w:fldCharType="begin"/>
    </w:r>
    <w:r>
      <w:instrText xml:space="preserve">PAGE</w:instrText>
    </w:r>
    <w:r>
      <w:fldChar w:fldCharType="separate"/>
    </w:r>
    <w:r>
      <w:t>1</w:t>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view w:val="web"/>
  <w:zoom w:percent="9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2ZiMWU4NjE2ZThjZWFmNTIyNjY1N2Y2MGM4NGU0YzgifQ=="/>
  </w:docVars>
  <w:rsids>
    <w:rsidRoot w:val="00971887"/>
    <w:rsid w:val="00971887"/>
    <w:rsid w:val="00B47514"/>
    <w:rsid w:val="3A6C1665"/>
    <w:rsid w:val="691860F9"/>
  </w:rsids>
  <m:mathPr>
    <m:mathFont m:val="Cambria Math"/>
    <m:brkBin m:val="before"/>
    <m:brkBinSub m:val="--"/>
    <m:smallFrac m:val="0"/>
    <m:dispDef/>
    <m:lMargin m:val="0"/>
    <m:rMargin m:val="0"/>
    <m:defJc m:val="centerGroup"/>
    <m:wrapIndent m:val="1440"/>
    <m:intLim m:val="subSup"/>
    <m:naryLim m:val="undOvr"/>
  </m:mathPr>
  <w:themeFontLang w:val="zh-CN" w:eastAsia="zh-CN" w:bidi="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Calibri"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nhideWhenUsed="0" w:uiPriority="0" w:semiHidden="0" w:name="header"/>
    <w:lsdException w:qFormat="1" w:unhideWhenUsed="0" w:uiPriority="0" w:semiHidden="0" w:name="footer"/>
    <w:lsdException w:uiPriority="99" w:name="index heading"/>
    <w:lsdException w:qFormat="1" w:unhideWhenUsed="0" w:uiPriority="0"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qFormat="1" w:unhideWhenUsed="0" w:uiPriority="0" w:semiHidden="0"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qFormat="1" w:unhideWhenUsed="0" w:uiPriority="0"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overflowPunct w:val="0"/>
      <w:spacing w:line="480" w:lineRule="auto"/>
    </w:pPr>
    <w:rPr>
      <w:rFonts w:ascii="Times New Roman" w:hAnsi="Times New Roman" w:eastAsia="Calibri" w:cs="Times New Roman"/>
      <w:color w:val="00000A"/>
      <w:sz w:val="24"/>
      <w:szCs w:val="22"/>
      <w:lang w:val="en-US" w:eastAsia="en-US" w:bidi="ar-SA"/>
    </w:rPr>
  </w:style>
  <w:style w:type="paragraph" w:styleId="2">
    <w:name w:val="heading 1"/>
    <w:basedOn w:val="1"/>
    <w:next w:val="1"/>
    <w:qFormat/>
    <w:uiPriority w:val="9"/>
    <w:pPr>
      <w:keepNext/>
      <w:keepLines/>
      <w:jc w:val="center"/>
      <w:outlineLvl w:val="0"/>
    </w:pPr>
    <w:rPr>
      <w:b/>
      <w:szCs w:val="32"/>
    </w:rPr>
  </w:style>
  <w:style w:type="paragraph" w:styleId="3">
    <w:name w:val="heading 2"/>
    <w:basedOn w:val="1"/>
    <w:next w:val="1"/>
    <w:unhideWhenUsed/>
    <w:qFormat/>
    <w:uiPriority w:val="9"/>
    <w:pPr>
      <w:keepNext/>
      <w:keepLines/>
      <w:outlineLvl w:val="1"/>
    </w:pPr>
    <w:rPr>
      <w:b/>
      <w:szCs w:val="26"/>
    </w:rPr>
  </w:style>
  <w:style w:type="character" w:default="1" w:styleId="10">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4">
    <w:name w:val="caption"/>
    <w:basedOn w:val="1"/>
    <w:next w:val="1"/>
    <w:qFormat/>
    <w:uiPriority w:val="0"/>
    <w:pPr>
      <w:suppressLineNumbers/>
      <w:spacing w:before="120" w:after="120"/>
    </w:pPr>
    <w:rPr>
      <w:rFonts w:cs="Lohit Devanagari"/>
      <w:i/>
      <w:iCs/>
      <w:szCs w:val="24"/>
    </w:rPr>
  </w:style>
  <w:style w:type="paragraph" w:styleId="5">
    <w:name w:val="Body Text"/>
    <w:basedOn w:val="1"/>
    <w:qFormat/>
    <w:uiPriority w:val="0"/>
    <w:pPr>
      <w:spacing w:after="140" w:line="288" w:lineRule="auto"/>
    </w:pPr>
  </w:style>
  <w:style w:type="paragraph" w:styleId="6">
    <w:name w:val="footer"/>
    <w:basedOn w:val="1"/>
    <w:qFormat/>
    <w:uiPriority w:val="0"/>
    <w:pPr>
      <w:tabs>
        <w:tab w:val="center" w:pos="4680"/>
        <w:tab w:val="right" w:pos="9360"/>
      </w:tabs>
      <w:spacing w:line="240" w:lineRule="auto"/>
    </w:pPr>
  </w:style>
  <w:style w:type="paragraph" w:styleId="7">
    <w:name w:val="header"/>
    <w:basedOn w:val="1"/>
    <w:qFormat/>
    <w:uiPriority w:val="0"/>
    <w:pPr>
      <w:tabs>
        <w:tab w:val="center" w:pos="4680"/>
        <w:tab w:val="right" w:pos="9360"/>
      </w:tabs>
      <w:spacing w:line="240" w:lineRule="auto"/>
    </w:pPr>
  </w:style>
  <w:style w:type="paragraph" w:styleId="8">
    <w:name w:val="List"/>
    <w:basedOn w:val="5"/>
    <w:qFormat/>
    <w:uiPriority w:val="0"/>
    <w:rPr>
      <w:rFonts w:cs="Lohit Devanagari"/>
    </w:rPr>
  </w:style>
  <w:style w:type="character" w:styleId="11">
    <w:name w:val="FollowedHyperlink"/>
    <w:basedOn w:val="10"/>
    <w:qFormat/>
    <w:uiPriority w:val="0"/>
    <w:rPr>
      <w:color w:val="954F72"/>
      <w:u w:val="single"/>
    </w:rPr>
  </w:style>
  <w:style w:type="character" w:customStyle="1" w:styleId="12">
    <w:name w:val="Header Char"/>
    <w:basedOn w:val="10"/>
    <w:qFormat/>
    <w:uiPriority w:val="0"/>
  </w:style>
  <w:style w:type="character" w:customStyle="1" w:styleId="13">
    <w:name w:val="Footer Char"/>
    <w:basedOn w:val="10"/>
    <w:qFormat/>
    <w:uiPriority w:val="0"/>
  </w:style>
  <w:style w:type="character" w:customStyle="1" w:styleId="14">
    <w:name w:val="Heading 1 Char"/>
    <w:basedOn w:val="10"/>
    <w:qFormat/>
    <w:uiPriority w:val="0"/>
    <w:rPr>
      <w:rFonts w:eastAsia="Calibri" w:cs="Times New Roman"/>
      <w:b/>
      <w:szCs w:val="32"/>
    </w:rPr>
  </w:style>
  <w:style w:type="character" w:customStyle="1" w:styleId="15">
    <w:name w:val="Heading 2 Char"/>
    <w:basedOn w:val="10"/>
    <w:qFormat/>
    <w:uiPriority w:val="0"/>
    <w:rPr>
      <w:rFonts w:eastAsia="Calibri" w:cs="Times New Roman"/>
      <w:b/>
      <w:szCs w:val="26"/>
    </w:rPr>
  </w:style>
  <w:style w:type="character" w:customStyle="1" w:styleId="16">
    <w:name w:val="Internet Link"/>
    <w:basedOn w:val="10"/>
    <w:qFormat/>
    <w:uiPriority w:val="0"/>
    <w:rPr>
      <w:color w:val="0563C1"/>
      <w:u w:val="single"/>
    </w:rPr>
  </w:style>
  <w:style w:type="character" w:customStyle="1" w:styleId="17">
    <w:name w:val="Unresolved Mention"/>
    <w:basedOn w:val="10"/>
    <w:qFormat/>
    <w:uiPriority w:val="0"/>
    <w:rPr>
      <w:color w:val="605E5C"/>
      <w:highlight w:val="lightGray"/>
    </w:rPr>
  </w:style>
  <w:style w:type="character" w:customStyle="1" w:styleId="18">
    <w:name w:val="Strong Emphasis"/>
    <w:qFormat/>
    <w:uiPriority w:val="0"/>
    <w:rPr>
      <w:b/>
      <w:bCs/>
    </w:rPr>
  </w:style>
  <w:style w:type="paragraph" w:customStyle="1" w:styleId="19">
    <w:name w:val="Heading"/>
    <w:basedOn w:val="1"/>
    <w:next w:val="5"/>
    <w:qFormat/>
    <w:uiPriority w:val="0"/>
    <w:pPr>
      <w:keepNext/>
      <w:spacing w:before="240" w:after="120"/>
    </w:pPr>
    <w:rPr>
      <w:rFonts w:ascii="Liberation Sans" w:hAnsi="Liberation Sans" w:eastAsia="WenQuanYi Micro Hei" w:cs="Lohit Devanagari"/>
      <w:sz w:val="28"/>
      <w:szCs w:val="28"/>
    </w:rPr>
  </w:style>
  <w:style w:type="paragraph" w:customStyle="1" w:styleId="20">
    <w:name w:val="Index"/>
    <w:basedOn w:val="1"/>
    <w:qFormat/>
    <w:uiPriority w:val="0"/>
    <w:pPr>
      <w:suppressLineNumbers/>
    </w:pPr>
    <w:rPr>
      <w:rFonts w:cs="Lohit Devanagari"/>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theme" Target="theme/theme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Pages>
  <Words>2374</Words>
  <Characters>13534</Characters>
  <Lines>112</Lines>
  <Paragraphs>31</Paragraphs>
  <TotalTime>893</TotalTime>
  <ScaleCrop>false</ScaleCrop>
  <LinksUpToDate>false</LinksUpToDate>
  <CharactersWithSpaces>15877</CharactersWithSpaces>
  <Application>WPS Office_11.1.0.12132_F1E327BC-269C-435d-A152-05C5408002CA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2022-11-25T10:03:00Z</dcterms:created>
  <dc:creator>Gerald Morio</dc:creator>
  <cp:lastModifiedBy>WPS_1605680342</cp:lastModifiedBy>
  <dcterms:modified xsi:type="dcterms:W3CDTF">2022-11-27T11:58:24Z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y fmtid="{D5CDD505-2E9C-101B-9397-08002B2CF9AE}" pid="8" name="KSOProductBuildVer">
    <vt:lpwstr>2052-11.1.0.12132</vt:lpwstr>
  </property>
  <property fmtid="{D5CDD505-2E9C-101B-9397-08002B2CF9AE}" pid="9" name="ICV">
    <vt:lpwstr>5A8D48F1F5FE49F3A11F1B0795D8E49C</vt:lpwstr>
  </property>
</Properties>
</file>