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CDE8FD" w14:textId="77777777" w:rsidR="00AC5724" w:rsidRDefault="00AC5724" w:rsidP="00AC5724">
      <w:pPr>
        <w:pStyle w:val="NormalWeb"/>
        <w:spacing w:before="0" w:beforeAutospacing="0" w:after="0" w:afterAutospacing="0"/>
        <w:ind w:left="-180" w:right="-334"/>
        <w:rPr>
          <w:rFonts w:ascii="Trebuchet MS" w:hAnsi="Trebuchet MS" w:cs="Tahoma"/>
          <w:sz w:val="24"/>
          <w:szCs w:val="24"/>
        </w:rPr>
      </w:pPr>
      <w:r>
        <w:rPr>
          <w:noProof/>
          <w:lang w:val="en-US" w:eastAsia="en-US"/>
        </w:rPr>
        <w:drawing>
          <wp:inline distT="0" distB="0" distL="0" distR="0" wp14:anchorId="493078CA" wp14:editId="6396A670">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0F701232" w14:textId="77777777" w:rsidR="00AC5724" w:rsidRDefault="00AC5724" w:rsidP="00AC5724">
      <w:pPr>
        <w:pStyle w:val="Heading1"/>
        <w:jc w:val="center"/>
        <w:rPr>
          <w:lang w:val="cy-GB"/>
        </w:rPr>
      </w:pPr>
      <w:r>
        <w:rPr>
          <w:lang w:val="cy-GB"/>
        </w:rPr>
        <w:t>Undergraduate a</w:t>
      </w:r>
      <w:r w:rsidRPr="0065654E">
        <w:rPr>
          <w:lang w:val="cy-GB"/>
        </w:rPr>
        <w:t>ssignment</w:t>
      </w:r>
      <w:r>
        <w:rPr>
          <w:lang w:val="cy-GB"/>
        </w:rPr>
        <w:t xml:space="preserve"> </w:t>
      </w:r>
      <w:r w:rsidRPr="0065654E">
        <w:rPr>
          <w:lang w:val="cy-GB"/>
        </w:rPr>
        <w:t>feedback form</w:t>
      </w:r>
    </w:p>
    <w:p w14:paraId="5976CB60" w14:textId="77777777" w:rsidR="00AC5724" w:rsidRPr="001E50BB" w:rsidRDefault="00AC5724" w:rsidP="00AC5724">
      <w:pPr>
        <w:jc w:val="center"/>
        <w:rPr>
          <w:rFonts w:ascii="Arial" w:hAnsi="Arial" w:cs="Arial"/>
          <w:b/>
          <w:lang w:val="cy-GB"/>
        </w:rPr>
      </w:pPr>
      <w:r w:rsidRPr="001E50BB">
        <w:rPr>
          <w:rFonts w:ascii="Arial" w:hAnsi="Arial" w:cs="Arial"/>
          <w:b/>
          <w:lang w:val="cy-GB"/>
        </w:rPr>
        <w:t>(to be completed by marker)</w:t>
      </w:r>
    </w:p>
    <w:p w14:paraId="3D64F918" w14:textId="77777777" w:rsidR="00AC5724" w:rsidRPr="001E50BB" w:rsidRDefault="00AC5724" w:rsidP="00AC5724">
      <w:pPr>
        <w:jc w:val="center"/>
        <w:rPr>
          <w:rFonts w:ascii="Arial" w:hAnsi="Arial" w:cs="Arial"/>
          <w:b/>
          <w:lang w:val="cy-GB"/>
        </w:rPr>
      </w:pPr>
    </w:p>
    <w:p w14:paraId="65B4D1AD" w14:textId="77777777" w:rsidR="00AC5724" w:rsidRDefault="00AC5724" w:rsidP="00AC5724">
      <w:pPr>
        <w:pStyle w:val="Heading3"/>
        <w:rPr>
          <w:rFonts w:ascii="Trebuchet MS" w:hAnsi="Trebuchet M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AC5724" w:rsidRPr="0065654E" w14:paraId="736EFE2F" w14:textId="77777777" w:rsidTr="003E1B67">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14:paraId="64DCD062" w14:textId="77777777" w:rsidR="00AC5724" w:rsidRDefault="00AC5724" w:rsidP="003E1B67">
            <w:pPr>
              <w:pStyle w:val="NormalWeb"/>
              <w:spacing w:before="0" w:beforeAutospacing="0" w:after="0" w:afterAutospacing="0"/>
              <w:ind w:right="34"/>
              <w:rPr>
                <w:rFonts w:ascii="Calibri" w:hAnsi="Calibri" w:cs="Tahoma"/>
                <w:i/>
                <w:sz w:val="24"/>
                <w:szCs w:val="24"/>
              </w:rPr>
            </w:pPr>
            <w:r w:rsidRPr="0065654E">
              <w:rPr>
                <w:rFonts w:ascii="Calibri" w:hAnsi="Calibri" w:cs="Tahoma"/>
                <w:i/>
                <w:sz w:val="24"/>
                <w:szCs w:val="24"/>
              </w:rPr>
              <w:t>Student Na</w:t>
            </w:r>
            <w:r>
              <w:rPr>
                <w:rFonts w:ascii="Calibri" w:hAnsi="Calibri" w:cs="Tahoma"/>
                <w:i/>
                <w:sz w:val="24"/>
                <w:szCs w:val="24"/>
              </w:rPr>
              <w:t>me: Mary Bowen-Perkins</w:t>
            </w:r>
          </w:p>
          <w:p w14:paraId="06332715" w14:textId="77777777" w:rsidR="00AC5724" w:rsidRPr="0065654E" w:rsidRDefault="00AC5724" w:rsidP="003E1B67">
            <w:pPr>
              <w:pStyle w:val="NormalWeb"/>
              <w:spacing w:before="0" w:beforeAutospacing="0" w:after="0" w:afterAutospacing="0"/>
              <w:ind w:right="34"/>
              <w:rPr>
                <w:rFonts w:ascii="Calibri" w:hAnsi="Calibri" w:cs="Tahoma"/>
                <w:i/>
                <w:sz w:val="24"/>
                <w:szCs w:val="24"/>
              </w:rPr>
            </w:pPr>
          </w:p>
        </w:tc>
      </w:tr>
      <w:tr w:rsidR="00AC5724" w:rsidRPr="0065654E" w14:paraId="32D09DB4" w14:textId="77777777" w:rsidTr="003E1B67">
        <w:trPr>
          <w:trHeight w:val="849"/>
        </w:trPr>
        <w:tc>
          <w:tcPr>
            <w:tcW w:w="4788" w:type="dxa"/>
            <w:tcBorders>
              <w:top w:val="single" w:sz="4" w:space="0" w:color="auto"/>
              <w:left w:val="single" w:sz="4" w:space="0" w:color="auto"/>
              <w:bottom w:val="single" w:sz="4" w:space="0" w:color="auto"/>
              <w:right w:val="single" w:sz="4" w:space="0" w:color="auto"/>
            </w:tcBorders>
            <w:vAlign w:val="center"/>
          </w:tcPr>
          <w:p w14:paraId="041A3BB3" w14:textId="77777777" w:rsidR="00AC5724" w:rsidRDefault="00AC5724" w:rsidP="003E1B67">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Module Code: CSEN</w:t>
            </w:r>
            <w:r w:rsidR="00824DCF">
              <w:rPr>
                <w:rFonts w:ascii="Calibri" w:hAnsi="Calibri" w:cs="Tahoma"/>
                <w:i/>
                <w:sz w:val="24"/>
                <w:szCs w:val="24"/>
              </w:rPr>
              <w:t>5014</w:t>
            </w:r>
          </w:p>
          <w:p w14:paraId="7D7107C8" w14:textId="77777777" w:rsidR="00AC5724" w:rsidRDefault="00AC5724" w:rsidP="003E1B67">
            <w:pPr>
              <w:pStyle w:val="NormalWeb"/>
              <w:spacing w:before="0" w:beforeAutospacing="0" w:after="0" w:afterAutospacing="0"/>
              <w:ind w:right="34"/>
              <w:rPr>
                <w:rFonts w:ascii="Calibri" w:hAnsi="Calibri" w:cs="Tahoma"/>
                <w:i/>
                <w:sz w:val="24"/>
                <w:szCs w:val="24"/>
              </w:rPr>
            </w:pPr>
          </w:p>
          <w:p w14:paraId="744487FA" w14:textId="77777777" w:rsidR="00AC5724" w:rsidRDefault="00AC5724" w:rsidP="003E1B67">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Module </w:t>
            </w:r>
            <w:r w:rsidRPr="0065654E">
              <w:rPr>
                <w:rFonts w:ascii="Calibri" w:hAnsi="Calibri" w:cs="Tahoma"/>
                <w:i/>
                <w:sz w:val="24"/>
                <w:szCs w:val="24"/>
              </w:rPr>
              <w:t>title</w:t>
            </w:r>
            <w:r>
              <w:rPr>
                <w:rFonts w:ascii="Calibri" w:hAnsi="Calibri" w:cs="Tahoma"/>
                <w:i/>
                <w:sz w:val="24"/>
                <w:szCs w:val="24"/>
              </w:rPr>
              <w:t xml:space="preserve">: </w:t>
            </w:r>
            <w:r w:rsidR="00824DCF">
              <w:rPr>
                <w:rFonts w:ascii="Calibri" w:hAnsi="Calibri" w:cs="Tahoma"/>
                <w:i/>
                <w:sz w:val="24"/>
                <w:szCs w:val="24"/>
              </w:rPr>
              <w:t>Critical and Cultural Theory</w:t>
            </w:r>
          </w:p>
          <w:p w14:paraId="042179A2" w14:textId="77777777" w:rsidR="00AC5724" w:rsidRPr="0065654E" w:rsidRDefault="00AC5724" w:rsidP="003E1B67">
            <w:pPr>
              <w:pStyle w:val="NormalWeb"/>
              <w:spacing w:before="0" w:beforeAutospacing="0" w:after="0" w:afterAutospacing="0"/>
              <w:ind w:right="34"/>
              <w:rPr>
                <w:rFonts w:ascii="Calibri" w:hAnsi="Calibri" w:cs="Tahoma"/>
                <w:i/>
                <w:sz w:val="24"/>
                <w:szCs w:val="24"/>
              </w:rPr>
            </w:pPr>
          </w:p>
        </w:tc>
        <w:tc>
          <w:tcPr>
            <w:tcW w:w="3967" w:type="dxa"/>
            <w:gridSpan w:val="2"/>
            <w:tcBorders>
              <w:top w:val="single" w:sz="4" w:space="0" w:color="auto"/>
              <w:left w:val="single" w:sz="4" w:space="0" w:color="auto"/>
              <w:bottom w:val="single" w:sz="4" w:space="0" w:color="auto"/>
              <w:right w:val="single" w:sz="4" w:space="0" w:color="auto"/>
            </w:tcBorders>
          </w:tcPr>
          <w:p w14:paraId="1344006A" w14:textId="77777777" w:rsidR="00AC5724" w:rsidRPr="0065654E" w:rsidRDefault="00AC5724" w:rsidP="003E1B67">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Student </w:t>
            </w:r>
            <w:r w:rsidRPr="0065654E">
              <w:rPr>
                <w:rFonts w:ascii="Calibri" w:hAnsi="Calibri" w:cs="Tahoma"/>
                <w:i/>
                <w:sz w:val="24"/>
                <w:szCs w:val="24"/>
              </w:rPr>
              <w:t>number:</w:t>
            </w:r>
            <w:r>
              <w:rPr>
                <w:rFonts w:ascii="Calibri" w:hAnsi="Calibri" w:cs="Tahoma"/>
                <w:i/>
                <w:sz w:val="24"/>
                <w:szCs w:val="24"/>
              </w:rPr>
              <w:t xml:space="preserve"> 1601141</w:t>
            </w:r>
          </w:p>
        </w:tc>
      </w:tr>
      <w:tr w:rsidR="00AC5724" w:rsidRPr="0065654E" w14:paraId="14881B07" w14:textId="77777777" w:rsidTr="003E1B67">
        <w:trPr>
          <w:trHeight w:val="3972"/>
        </w:trPr>
        <w:tc>
          <w:tcPr>
            <w:tcW w:w="8755" w:type="dxa"/>
            <w:gridSpan w:val="3"/>
            <w:tcBorders>
              <w:top w:val="single" w:sz="4" w:space="0" w:color="auto"/>
              <w:left w:val="single" w:sz="4" w:space="0" w:color="auto"/>
              <w:bottom w:val="single" w:sz="4" w:space="0" w:color="auto"/>
              <w:right w:val="single" w:sz="4" w:space="0" w:color="auto"/>
            </w:tcBorders>
          </w:tcPr>
          <w:p w14:paraId="083EC8E7" w14:textId="77777777" w:rsidR="00AC5724" w:rsidRPr="0065654E" w:rsidRDefault="00AC5724" w:rsidP="003E1B67">
            <w:pPr>
              <w:pStyle w:val="NormalWeb"/>
              <w:spacing w:before="0" w:beforeAutospacing="0" w:after="0" w:afterAutospacing="0"/>
              <w:rPr>
                <w:rFonts w:ascii="Calibri" w:hAnsi="Calibri" w:cs="Tahoma"/>
                <w:i/>
                <w:sz w:val="24"/>
                <w:szCs w:val="24"/>
              </w:rPr>
            </w:pPr>
            <w:r w:rsidRPr="0065654E">
              <w:rPr>
                <w:rFonts w:ascii="Calibri" w:hAnsi="Calibri" w:cs="Tahoma"/>
                <w:i/>
                <w:sz w:val="24"/>
                <w:szCs w:val="24"/>
              </w:rPr>
              <w:t>For completion by marker:</w:t>
            </w:r>
          </w:p>
          <w:p w14:paraId="6BADF678" w14:textId="77777777" w:rsidR="00AC5724" w:rsidRDefault="00AC5724" w:rsidP="003E1B67">
            <w:pPr>
              <w:pStyle w:val="NormalWeb"/>
              <w:rPr>
                <w:rFonts w:ascii="Calibri" w:hAnsi="Calibri" w:cs="Tahoma"/>
                <w:i/>
                <w:sz w:val="24"/>
                <w:szCs w:val="24"/>
              </w:rPr>
            </w:pPr>
            <w:r w:rsidRPr="0065654E">
              <w:rPr>
                <w:rFonts w:ascii="Calibri" w:hAnsi="Calibri" w:cs="Tahoma"/>
                <w:i/>
                <w:sz w:val="24"/>
                <w:szCs w:val="24"/>
              </w:rPr>
              <w:t>Comments:</w:t>
            </w:r>
          </w:p>
          <w:p w14:paraId="0BD54E69" w14:textId="77777777" w:rsidR="00AC5724" w:rsidRDefault="00AC5724" w:rsidP="003E1B67">
            <w:pPr>
              <w:pStyle w:val="NormalWeb"/>
              <w:rPr>
                <w:rFonts w:ascii="Calibri" w:hAnsi="Calibri" w:cs="Tahoma"/>
                <w:i/>
                <w:sz w:val="24"/>
                <w:szCs w:val="24"/>
              </w:rPr>
            </w:pPr>
          </w:p>
          <w:p w14:paraId="112DCC84" w14:textId="77777777" w:rsidR="00AC5724" w:rsidRDefault="00AC5724" w:rsidP="003E1B67">
            <w:pPr>
              <w:pStyle w:val="NormalWeb"/>
              <w:rPr>
                <w:rFonts w:ascii="Calibri" w:hAnsi="Calibri" w:cs="Tahoma"/>
                <w:i/>
                <w:sz w:val="24"/>
                <w:szCs w:val="24"/>
              </w:rPr>
            </w:pPr>
          </w:p>
          <w:p w14:paraId="250BAA8A" w14:textId="77777777" w:rsidR="00AC5724" w:rsidRDefault="00AC5724" w:rsidP="003E1B67">
            <w:pPr>
              <w:pStyle w:val="NormalWeb"/>
              <w:rPr>
                <w:rFonts w:ascii="Calibri" w:hAnsi="Calibri" w:cs="Tahoma"/>
                <w:i/>
                <w:sz w:val="24"/>
                <w:szCs w:val="24"/>
              </w:rPr>
            </w:pPr>
          </w:p>
          <w:p w14:paraId="4B9A27A8" w14:textId="77777777" w:rsidR="00AC5724" w:rsidRDefault="00AC5724" w:rsidP="003E1B67">
            <w:pPr>
              <w:pStyle w:val="NormalWeb"/>
              <w:rPr>
                <w:rFonts w:ascii="Calibri" w:hAnsi="Calibri" w:cs="Tahoma"/>
                <w:i/>
                <w:sz w:val="24"/>
                <w:szCs w:val="24"/>
              </w:rPr>
            </w:pPr>
          </w:p>
          <w:p w14:paraId="73F0225B" w14:textId="77777777" w:rsidR="00AC5724" w:rsidRDefault="00AC5724" w:rsidP="003E1B67">
            <w:pPr>
              <w:pStyle w:val="NormalWeb"/>
              <w:rPr>
                <w:rFonts w:ascii="Calibri" w:hAnsi="Calibri" w:cs="Tahoma"/>
                <w:i/>
                <w:sz w:val="24"/>
                <w:szCs w:val="24"/>
              </w:rPr>
            </w:pPr>
          </w:p>
          <w:p w14:paraId="5E630474" w14:textId="77777777" w:rsidR="00AC5724" w:rsidRDefault="00AC5724" w:rsidP="003E1B67">
            <w:pPr>
              <w:pStyle w:val="NormalWeb"/>
              <w:rPr>
                <w:rFonts w:ascii="Calibri" w:hAnsi="Calibri" w:cs="Tahoma"/>
                <w:i/>
                <w:sz w:val="24"/>
                <w:szCs w:val="24"/>
              </w:rPr>
            </w:pPr>
          </w:p>
          <w:p w14:paraId="17AEB8AD" w14:textId="77777777" w:rsidR="00AC5724" w:rsidRDefault="00AC5724" w:rsidP="003E1B67">
            <w:pPr>
              <w:pStyle w:val="NormalWeb"/>
              <w:rPr>
                <w:rFonts w:ascii="Calibri" w:hAnsi="Calibri" w:cs="Tahoma"/>
                <w:i/>
                <w:sz w:val="24"/>
                <w:szCs w:val="24"/>
              </w:rPr>
            </w:pPr>
          </w:p>
          <w:p w14:paraId="24EF72DB" w14:textId="77777777" w:rsidR="00AC5724" w:rsidRDefault="00AC5724" w:rsidP="003E1B67">
            <w:pPr>
              <w:pStyle w:val="NormalWeb"/>
              <w:rPr>
                <w:rFonts w:ascii="Calibri" w:hAnsi="Calibri" w:cs="Tahoma"/>
                <w:i/>
                <w:sz w:val="24"/>
                <w:szCs w:val="24"/>
              </w:rPr>
            </w:pPr>
          </w:p>
          <w:p w14:paraId="11160345" w14:textId="77777777" w:rsidR="00AC5724" w:rsidRPr="0065654E" w:rsidRDefault="00AC5724" w:rsidP="003E1B67">
            <w:pPr>
              <w:pStyle w:val="NormalWeb"/>
              <w:rPr>
                <w:rFonts w:ascii="Calibri" w:hAnsi="Calibri" w:cs="Tahoma"/>
                <w:i/>
                <w:sz w:val="24"/>
                <w:szCs w:val="24"/>
              </w:rPr>
            </w:pPr>
          </w:p>
        </w:tc>
      </w:tr>
      <w:tr w:rsidR="00AC5724" w:rsidRPr="0065654E" w14:paraId="21AC39AD" w14:textId="77777777" w:rsidTr="003E1B67">
        <w:trPr>
          <w:trHeight w:val="492"/>
        </w:trPr>
        <w:tc>
          <w:tcPr>
            <w:tcW w:w="6768" w:type="dxa"/>
            <w:gridSpan w:val="2"/>
            <w:tcBorders>
              <w:top w:val="single" w:sz="4" w:space="0" w:color="auto"/>
            </w:tcBorders>
            <w:vAlign w:val="center"/>
          </w:tcPr>
          <w:p w14:paraId="44818E6B" w14:textId="77777777" w:rsidR="00AC5724" w:rsidRPr="0065654E" w:rsidRDefault="00AC5724" w:rsidP="003E1B67">
            <w:pPr>
              <w:pStyle w:val="NormalWeb"/>
              <w:ind w:left="142" w:right="34"/>
              <w:rPr>
                <w:rFonts w:ascii="Calibri" w:hAnsi="Calibri" w:cs="Tahoma"/>
                <w:i/>
                <w:sz w:val="24"/>
                <w:szCs w:val="24"/>
              </w:rPr>
            </w:pPr>
            <w:r w:rsidRPr="0065654E">
              <w:rPr>
                <w:rFonts w:ascii="Calibri" w:hAnsi="Calibri" w:cs="Tahoma"/>
                <w:i/>
                <w:sz w:val="24"/>
                <w:szCs w:val="24"/>
              </w:rPr>
              <w:t>Marker</w:t>
            </w:r>
            <w:r>
              <w:rPr>
                <w:rFonts w:ascii="Calibri" w:hAnsi="Calibri" w:cs="Tahoma"/>
                <w:i/>
                <w:sz w:val="24"/>
                <w:szCs w:val="24"/>
              </w:rPr>
              <w:t xml:space="preserve">’s </w:t>
            </w:r>
            <w:r w:rsidRPr="0065654E">
              <w:rPr>
                <w:rFonts w:ascii="Calibri" w:hAnsi="Calibri" w:cs="Tahoma"/>
                <w:i/>
                <w:sz w:val="24"/>
                <w:szCs w:val="24"/>
              </w:rPr>
              <w:t>signature:</w:t>
            </w:r>
          </w:p>
        </w:tc>
        <w:tc>
          <w:tcPr>
            <w:tcW w:w="1987" w:type="dxa"/>
            <w:tcBorders>
              <w:top w:val="single" w:sz="4" w:space="0" w:color="auto"/>
            </w:tcBorders>
            <w:vAlign w:val="center"/>
          </w:tcPr>
          <w:p w14:paraId="39418586" w14:textId="77777777" w:rsidR="00AC5724" w:rsidRPr="0065654E" w:rsidRDefault="00AC5724" w:rsidP="003E1B67">
            <w:pPr>
              <w:pStyle w:val="NormalWeb"/>
              <w:spacing w:after="0"/>
              <w:ind w:left="142" w:right="34"/>
              <w:rPr>
                <w:rFonts w:ascii="Calibri" w:hAnsi="Calibri" w:cs="Tahoma"/>
                <w:i/>
                <w:sz w:val="24"/>
                <w:szCs w:val="24"/>
              </w:rPr>
            </w:pPr>
            <w:r>
              <w:rPr>
                <w:rFonts w:ascii="Calibri" w:hAnsi="Calibri" w:cs="Tahoma"/>
                <w:i/>
                <w:sz w:val="24"/>
                <w:szCs w:val="24"/>
              </w:rPr>
              <w:t>D</w:t>
            </w:r>
            <w:r w:rsidRPr="0065654E">
              <w:rPr>
                <w:rFonts w:ascii="Calibri" w:hAnsi="Calibri" w:cs="Tahoma"/>
                <w:i/>
                <w:sz w:val="24"/>
                <w:szCs w:val="24"/>
              </w:rPr>
              <w:t>ate</w:t>
            </w:r>
            <w:r>
              <w:rPr>
                <w:rFonts w:ascii="Calibri" w:hAnsi="Calibri" w:cs="Tahoma"/>
                <w:i/>
                <w:sz w:val="24"/>
                <w:szCs w:val="24"/>
              </w:rPr>
              <w:t>:</w:t>
            </w:r>
          </w:p>
        </w:tc>
      </w:tr>
      <w:tr w:rsidR="00AC5724" w:rsidRPr="0065654E" w14:paraId="2588F162" w14:textId="77777777" w:rsidTr="003E1B67">
        <w:tc>
          <w:tcPr>
            <w:tcW w:w="8755" w:type="dxa"/>
            <w:gridSpan w:val="3"/>
            <w:vAlign w:val="center"/>
          </w:tcPr>
          <w:p w14:paraId="672D6D13" w14:textId="77777777" w:rsidR="00AC5724" w:rsidRDefault="00AC5724" w:rsidP="003E1B67">
            <w:pPr>
              <w:pStyle w:val="NormalWeb"/>
              <w:spacing w:before="0" w:beforeAutospacing="0" w:after="0" w:afterAutospacing="0"/>
              <w:ind w:left="142" w:right="34"/>
              <w:rPr>
                <w:rFonts w:ascii="Calibri" w:hAnsi="Calibri" w:cs="Tahoma"/>
                <w:i/>
                <w:sz w:val="24"/>
                <w:szCs w:val="24"/>
              </w:rPr>
            </w:pPr>
            <w:r w:rsidRPr="0065654E">
              <w:rPr>
                <w:rFonts w:ascii="Calibri" w:hAnsi="Calibri" w:cs="Tahoma"/>
                <w:i/>
                <w:sz w:val="24"/>
                <w:szCs w:val="24"/>
              </w:rPr>
              <w:t xml:space="preserve">Provisional mark: </w:t>
            </w:r>
          </w:p>
          <w:p w14:paraId="54BE59D4" w14:textId="77777777" w:rsidR="00AC5724" w:rsidRPr="0065654E" w:rsidRDefault="00AC5724" w:rsidP="003E1B67">
            <w:pPr>
              <w:pStyle w:val="NormalWeb"/>
              <w:spacing w:before="0" w:beforeAutospacing="0" w:after="0" w:afterAutospacing="0"/>
              <w:ind w:left="142" w:right="34"/>
              <w:rPr>
                <w:rFonts w:ascii="Calibri" w:hAnsi="Calibri" w:cs="Tahoma"/>
                <w:i/>
                <w:sz w:val="24"/>
                <w:szCs w:val="24"/>
              </w:rPr>
            </w:pPr>
            <w:r w:rsidRPr="0065654E">
              <w:rPr>
                <w:rFonts w:ascii="Calibri" w:hAnsi="Calibri" w:cs="Tahoma"/>
                <w:b/>
                <w:i/>
                <w:sz w:val="24"/>
                <w:szCs w:val="24"/>
              </w:rPr>
              <w:t>NB.</w:t>
            </w:r>
            <w:r w:rsidRPr="0065654E">
              <w:rPr>
                <w:rFonts w:ascii="Calibri" w:hAnsi="Calibri" w:cs="Tahoma"/>
                <w:i/>
                <w:sz w:val="24"/>
                <w:szCs w:val="24"/>
              </w:rPr>
              <w:t xml:space="preserve">  All marks are provisional until confirmed by the </w:t>
            </w:r>
            <w:r>
              <w:rPr>
                <w:rFonts w:ascii="Calibri" w:hAnsi="Calibri" w:cs="Tahoma"/>
                <w:i/>
                <w:sz w:val="24"/>
                <w:szCs w:val="24"/>
              </w:rPr>
              <w:t xml:space="preserve">final </w:t>
            </w:r>
            <w:r w:rsidRPr="0065654E">
              <w:rPr>
                <w:rFonts w:ascii="Calibri" w:hAnsi="Calibri" w:cs="Tahoma"/>
                <w:i/>
                <w:sz w:val="24"/>
                <w:szCs w:val="24"/>
              </w:rPr>
              <w:t>exam</w:t>
            </w:r>
            <w:r>
              <w:rPr>
                <w:rFonts w:ascii="Calibri" w:hAnsi="Calibri" w:cs="Tahoma"/>
                <w:i/>
                <w:sz w:val="24"/>
                <w:szCs w:val="24"/>
              </w:rPr>
              <w:t>ination</w:t>
            </w:r>
            <w:r w:rsidRPr="0065654E">
              <w:rPr>
                <w:rFonts w:ascii="Calibri" w:hAnsi="Calibri" w:cs="Tahoma"/>
                <w:i/>
                <w:sz w:val="24"/>
                <w:szCs w:val="24"/>
              </w:rPr>
              <w:t xml:space="preserve"> board. </w:t>
            </w:r>
          </w:p>
        </w:tc>
      </w:tr>
    </w:tbl>
    <w:p w14:paraId="11A10E80" w14:textId="77777777" w:rsidR="00AC5724" w:rsidRDefault="00AC5724" w:rsidP="00817A44">
      <w:pPr>
        <w:spacing w:after="0" w:line="480" w:lineRule="auto"/>
        <w:rPr>
          <w:rFonts w:ascii="Georgia" w:hAnsi="Georgia"/>
          <w:sz w:val="24"/>
          <w:szCs w:val="24"/>
        </w:rPr>
      </w:pPr>
    </w:p>
    <w:p w14:paraId="6AB60C6E" w14:textId="77777777" w:rsidR="00E11F02" w:rsidRPr="00620631" w:rsidRDefault="00E11F02" w:rsidP="00817A44">
      <w:pPr>
        <w:spacing w:after="0" w:line="480" w:lineRule="auto"/>
        <w:rPr>
          <w:rFonts w:ascii="Georgia" w:hAnsi="Georgia"/>
          <w:sz w:val="24"/>
          <w:szCs w:val="24"/>
        </w:rPr>
      </w:pPr>
      <w:r w:rsidRPr="00620631">
        <w:rPr>
          <w:rFonts w:ascii="Georgia" w:hAnsi="Georgia"/>
          <w:sz w:val="24"/>
          <w:szCs w:val="24"/>
        </w:rPr>
        <w:lastRenderedPageBreak/>
        <w:t>Mary Bowen-Perkins</w:t>
      </w:r>
      <w:r w:rsidR="00C9546A" w:rsidRPr="00620631">
        <w:rPr>
          <w:rFonts w:ascii="Georgia" w:hAnsi="Georgia"/>
          <w:sz w:val="24"/>
          <w:szCs w:val="24"/>
        </w:rPr>
        <w:t xml:space="preserve"> (1601141)</w:t>
      </w:r>
    </w:p>
    <w:p w14:paraId="6507C02F" w14:textId="77777777" w:rsidR="00026059" w:rsidRPr="00620631" w:rsidRDefault="0010206F" w:rsidP="00C9546A">
      <w:pPr>
        <w:tabs>
          <w:tab w:val="left" w:pos="3810"/>
        </w:tabs>
        <w:spacing w:after="0" w:line="480" w:lineRule="auto"/>
        <w:rPr>
          <w:rFonts w:ascii="Georgia" w:hAnsi="Georgia"/>
          <w:sz w:val="24"/>
          <w:szCs w:val="24"/>
        </w:rPr>
      </w:pPr>
      <w:r w:rsidRPr="00620631">
        <w:rPr>
          <w:rFonts w:ascii="Georgia" w:hAnsi="Georgia"/>
          <w:sz w:val="24"/>
          <w:szCs w:val="24"/>
        </w:rPr>
        <w:t>Critical and Cultural Theory</w:t>
      </w:r>
      <w:r w:rsidR="00C9546A" w:rsidRPr="00620631">
        <w:rPr>
          <w:rFonts w:ascii="Georgia" w:hAnsi="Georgia"/>
          <w:sz w:val="24"/>
          <w:szCs w:val="24"/>
        </w:rPr>
        <w:t xml:space="preserve"> (CSEN</w:t>
      </w:r>
      <w:r w:rsidRPr="00620631">
        <w:rPr>
          <w:rFonts w:ascii="Georgia" w:hAnsi="Georgia"/>
          <w:sz w:val="24"/>
          <w:szCs w:val="24"/>
        </w:rPr>
        <w:t>5014</w:t>
      </w:r>
      <w:r w:rsidR="00C9546A" w:rsidRPr="00620631">
        <w:rPr>
          <w:rFonts w:ascii="Georgia" w:hAnsi="Georgia"/>
          <w:sz w:val="24"/>
          <w:szCs w:val="24"/>
        </w:rPr>
        <w:t>)</w:t>
      </w:r>
      <w:r w:rsidR="00C9546A" w:rsidRPr="00620631">
        <w:rPr>
          <w:rFonts w:ascii="Georgia" w:hAnsi="Georgia"/>
          <w:sz w:val="24"/>
          <w:szCs w:val="24"/>
        </w:rPr>
        <w:tab/>
      </w:r>
    </w:p>
    <w:p w14:paraId="7564BE50" w14:textId="65EA4705" w:rsidR="00026059" w:rsidRPr="00620631" w:rsidRDefault="007E6314" w:rsidP="00817A44">
      <w:pPr>
        <w:spacing w:after="0" w:line="480" w:lineRule="auto"/>
        <w:rPr>
          <w:rFonts w:ascii="Georgia" w:hAnsi="Georgia"/>
          <w:sz w:val="24"/>
          <w:szCs w:val="24"/>
        </w:rPr>
      </w:pPr>
      <w:r w:rsidRPr="00620631">
        <w:rPr>
          <w:rFonts w:ascii="Georgia" w:hAnsi="Georgia"/>
          <w:sz w:val="24"/>
          <w:szCs w:val="24"/>
        </w:rPr>
        <w:t>25</w:t>
      </w:r>
      <w:r w:rsidRPr="00620631">
        <w:rPr>
          <w:rFonts w:ascii="Georgia" w:hAnsi="Georgia"/>
          <w:sz w:val="24"/>
          <w:szCs w:val="24"/>
          <w:vertAlign w:val="superscript"/>
        </w:rPr>
        <w:t>th</w:t>
      </w:r>
      <w:r w:rsidRPr="00620631">
        <w:rPr>
          <w:rFonts w:ascii="Georgia" w:hAnsi="Georgia"/>
          <w:sz w:val="24"/>
          <w:szCs w:val="24"/>
        </w:rPr>
        <w:t xml:space="preserve"> January 2018</w:t>
      </w:r>
    </w:p>
    <w:p w14:paraId="34E5EAD7" w14:textId="40E484F7" w:rsidR="00026059" w:rsidRPr="00620631" w:rsidRDefault="00026059" w:rsidP="00817A44">
      <w:pPr>
        <w:spacing w:after="0" w:line="480" w:lineRule="auto"/>
        <w:rPr>
          <w:rFonts w:ascii="Georgia" w:hAnsi="Georgia"/>
          <w:bCs/>
          <w:sz w:val="24"/>
          <w:szCs w:val="24"/>
          <w:shd w:val="clear" w:color="auto" w:fill="FFFFFF"/>
        </w:rPr>
      </w:pPr>
      <w:r w:rsidRPr="00620631">
        <w:rPr>
          <w:rFonts w:ascii="Georgia" w:hAnsi="Georgia"/>
          <w:sz w:val="24"/>
          <w:szCs w:val="24"/>
        </w:rPr>
        <w:t xml:space="preserve">Assignment: </w:t>
      </w:r>
      <w:r w:rsidR="007E6314" w:rsidRPr="00620631">
        <w:rPr>
          <w:rFonts w:ascii="Georgia" w:hAnsi="Georgia"/>
          <w:sz w:val="24"/>
          <w:szCs w:val="24"/>
        </w:rPr>
        <w:t>Presentation</w:t>
      </w:r>
    </w:p>
    <w:p w14:paraId="736F039B" w14:textId="77777777" w:rsidR="00E7589F" w:rsidRPr="00620631" w:rsidRDefault="00E7589F" w:rsidP="00817A44">
      <w:pPr>
        <w:spacing w:after="0" w:line="480" w:lineRule="auto"/>
        <w:rPr>
          <w:rFonts w:ascii="Georgia" w:hAnsi="Georgia"/>
        </w:rPr>
      </w:pPr>
    </w:p>
    <w:p w14:paraId="04EA58C8" w14:textId="44CA57D3" w:rsidR="0014185B" w:rsidRPr="00620631" w:rsidRDefault="00620631" w:rsidP="00817A44">
      <w:pPr>
        <w:spacing w:line="480" w:lineRule="auto"/>
        <w:jc w:val="center"/>
        <w:rPr>
          <w:rFonts w:ascii="Georgia" w:hAnsi="Georgia"/>
          <w:sz w:val="28"/>
          <w:szCs w:val="28"/>
        </w:rPr>
      </w:pPr>
      <w:r>
        <w:rPr>
          <w:rFonts w:ascii="Georgia" w:hAnsi="Georgia"/>
          <w:sz w:val="28"/>
          <w:szCs w:val="28"/>
        </w:rPr>
        <w:t>In Defence of Gertrude: Psychoanalytic and Feminist Interpretations</w:t>
      </w:r>
    </w:p>
    <w:p w14:paraId="7747C99B" w14:textId="40130682" w:rsidR="00C77934" w:rsidRPr="00620631" w:rsidRDefault="00C77934" w:rsidP="00C77934">
      <w:pPr>
        <w:shd w:val="clear" w:color="auto" w:fill="FFFFFF"/>
        <w:spacing w:line="480" w:lineRule="auto"/>
        <w:jc w:val="both"/>
        <w:rPr>
          <w:rFonts w:ascii="Georgia" w:hAnsi="Georgia"/>
          <w:sz w:val="24"/>
          <w:szCs w:val="24"/>
        </w:rPr>
      </w:pPr>
      <w:r w:rsidRPr="00620631">
        <w:rPr>
          <w:rFonts w:ascii="Georgia" w:hAnsi="Georgia"/>
          <w:sz w:val="24"/>
          <w:szCs w:val="24"/>
        </w:rPr>
        <w:t xml:space="preserve">Slide One: The title of the presentation which I will be giving is ‘In Defence of Gertrude’, which refers to one of the main characters in Shakespeare’s play Hamlet. I wanted to do my presentation on her because to me she is an interesting character to analyse, although admittedly the source text does not give you a lot to go on in terms of her characterization. The defence part of this title refers to the fact that, personally, I feel Gertrude is often either unnecessarily attacked or ignored, both by characters in the play and by readers, and I hope that this presentation might help to put forward a slightly more sympathetic view of her. In the process of this presentation, we will be looking at both elements of both feminist and psychoanalytic theory, </w:t>
      </w:r>
      <w:r w:rsidR="002B4527">
        <w:rPr>
          <w:rFonts w:ascii="Georgia" w:hAnsi="Georgia"/>
          <w:sz w:val="24"/>
          <w:szCs w:val="24"/>
        </w:rPr>
        <w:t xml:space="preserve">particularly the idea of the Madonna-whore complex, </w:t>
      </w:r>
      <w:r w:rsidRPr="00620631">
        <w:rPr>
          <w:rFonts w:ascii="Georgia" w:hAnsi="Georgia"/>
          <w:sz w:val="24"/>
          <w:szCs w:val="24"/>
        </w:rPr>
        <w:t>then taking these and considering how they can be and have been applied to analysis of Gertrude’s character.</w:t>
      </w:r>
      <w:r w:rsidR="002B4527">
        <w:rPr>
          <w:rFonts w:ascii="Georgia" w:hAnsi="Georgia"/>
          <w:sz w:val="24"/>
          <w:szCs w:val="24"/>
        </w:rPr>
        <w:t xml:space="preserve"> The main point that I wish to get across is that much of Hamlet’s negative attitude towards Gertrude stems from her deviation from what he and society see as the ideal, making his criticism of her less specific to her and part of his more general misogynistic thinking.</w:t>
      </w:r>
    </w:p>
    <w:p w14:paraId="2D5CB3B8" w14:textId="739C954E" w:rsidR="001B0F37" w:rsidRPr="00620631" w:rsidRDefault="00C77934" w:rsidP="00C77934">
      <w:pPr>
        <w:shd w:val="clear" w:color="auto" w:fill="FFFFFF"/>
        <w:spacing w:line="480" w:lineRule="auto"/>
        <w:jc w:val="both"/>
        <w:rPr>
          <w:rFonts w:ascii="Georgia" w:hAnsi="Georgia"/>
          <w:sz w:val="24"/>
          <w:szCs w:val="24"/>
        </w:rPr>
      </w:pPr>
      <w:r w:rsidRPr="00620631">
        <w:rPr>
          <w:rFonts w:ascii="Georgia" w:hAnsi="Georgia"/>
          <w:sz w:val="24"/>
          <w:szCs w:val="24"/>
        </w:rPr>
        <w:t xml:space="preserve">Slide Two: Before we can get into the theories surrounding her character, we need to look at Gertrude’s role within the play. </w:t>
      </w:r>
      <w:r w:rsidR="0090042F" w:rsidRPr="00620631">
        <w:rPr>
          <w:rFonts w:ascii="Georgia" w:hAnsi="Georgia"/>
          <w:sz w:val="24"/>
          <w:szCs w:val="24"/>
        </w:rPr>
        <w:t xml:space="preserve">Because Gertrude is not really given the chance to define herself in the </w:t>
      </w:r>
      <w:r w:rsidR="002B4527" w:rsidRPr="002B4527">
        <w:rPr>
          <w:rFonts w:ascii="Georgia" w:hAnsi="Georgia"/>
          <w:i/>
          <w:sz w:val="24"/>
          <w:szCs w:val="24"/>
        </w:rPr>
        <w:t>Hamlet</w:t>
      </w:r>
      <w:r w:rsidR="0090042F" w:rsidRPr="00620631">
        <w:rPr>
          <w:rFonts w:ascii="Georgia" w:hAnsi="Georgia"/>
          <w:sz w:val="24"/>
          <w:szCs w:val="24"/>
        </w:rPr>
        <w:t xml:space="preserve">, it is through these roles that she is perceived, both by </w:t>
      </w:r>
      <w:r w:rsidR="0090042F" w:rsidRPr="00620631">
        <w:rPr>
          <w:rFonts w:ascii="Georgia" w:hAnsi="Georgia"/>
          <w:sz w:val="24"/>
          <w:szCs w:val="24"/>
        </w:rPr>
        <w:lastRenderedPageBreak/>
        <w:t xml:space="preserve">the other characters in the play and by many readers as well. </w:t>
      </w:r>
      <w:r w:rsidRPr="00620631">
        <w:rPr>
          <w:rFonts w:ascii="Georgia" w:hAnsi="Georgia"/>
          <w:sz w:val="24"/>
          <w:szCs w:val="24"/>
        </w:rPr>
        <w:t xml:space="preserve">She has </w:t>
      </w:r>
      <w:proofErr w:type="gramStart"/>
      <w:r w:rsidRPr="00620631">
        <w:rPr>
          <w:rFonts w:ascii="Georgia" w:hAnsi="Georgia"/>
          <w:sz w:val="24"/>
          <w:szCs w:val="24"/>
        </w:rPr>
        <w:t>a number of</w:t>
      </w:r>
      <w:proofErr w:type="gramEnd"/>
      <w:r w:rsidRPr="00620631">
        <w:rPr>
          <w:rFonts w:ascii="Georgia" w:hAnsi="Georgia"/>
          <w:sz w:val="24"/>
          <w:szCs w:val="24"/>
        </w:rPr>
        <w:t xml:space="preserve"> positions, being: the queen of Denmark, the widow of old Hamlet, the wife of Claudius, and the mother of young Hamlet.</w:t>
      </w:r>
      <w:r w:rsidR="00AF5056" w:rsidRPr="00620631">
        <w:rPr>
          <w:rFonts w:ascii="Georgia" w:hAnsi="Georgia"/>
          <w:sz w:val="24"/>
          <w:szCs w:val="24"/>
        </w:rPr>
        <w:t xml:space="preserve"> As you can see, </w:t>
      </w:r>
      <w:proofErr w:type="gramStart"/>
      <w:r w:rsidR="00AF5056" w:rsidRPr="00620631">
        <w:rPr>
          <w:rFonts w:ascii="Georgia" w:hAnsi="Georgia"/>
          <w:sz w:val="24"/>
          <w:szCs w:val="24"/>
        </w:rPr>
        <w:t>all of</w:t>
      </w:r>
      <w:proofErr w:type="gramEnd"/>
      <w:r w:rsidR="00AF5056" w:rsidRPr="00620631">
        <w:rPr>
          <w:rFonts w:ascii="Georgia" w:hAnsi="Georgia"/>
          <w:sz w:val="24"/>
          <w:szCs w:val="24"/>
        </w:rPr>
        <w:t xml:space="preserve"> these roles automatically relate to her identity as a woman. This is obvious in her roles as wife and mother, of course, but even her status as queen is gendered, since as queen consort she only holds the title through marriage. </w:t>
      </w:r>
      <w:r w:rsidR="001F24CC" w:rsidRPr="00620631">
        <w:rPr>
          <w:rFonts w:ascii="Georgia" w:hAnsi="Georgia"/>
          <w:sz w:val="24"/>
          <w:szCs w:val="24"/>
        </w:rPr>
        <w:t xml:space="preserve">Beyond her being queen, the three remaining roles she plays are all clearly defined by her relationship with men in the play, being widow, wife, and mother. </w:t>
      </w:r>
      <w:r w:rsidRPr="00620631">
        <w:rPr>
          <w:rFonts w:ascii="Georgia" w:hAnsi="Georgia"/>
          <w:sz w:val="24"/>
          <w:szCs w:val="24"/>
        </w:rPr>
        <w:t>Out of three, two of these are</w:t>
      </w:r>
      <w:r w:rsidR="002B4527">
        <w:rPr>
          <w:rFonts w:ascii="Georgia" w:hAnsi="Georgia"/>
          <w:sz w:val="24"/>
          <w:szCs w:val="24"/>
        </w:rPr>
        <w:t xml:space="preserve"> or were</w:t>
      </w:r>
      <w:r w:rsidRPr="00620631">
        <w:rPr>
          <w:rFonts w:ascii="Georgia" w:hAnsi="Georgia"/>
          <w:sz w:val="24"/>
          <w:szCs w:val="24"/>
        </w:rPr>
        <w:t xml:space="preserve"> sexual – according to some academics, which we will get to later, even the relationship with Hamlet is a sexual one. </w:t>
      </w:r>
      <w:proofErr w:type="gramStart"/>
      <w:r w:rsidRPr="00620631">
        <w:rPr>
          <w:rFonts w:ascii="Georgia" w:hAnsi="Georgia"/>
          <w:sz w:val="24"/>
          <w:szCs w:val="24"/>
        </w:rPr>
        <w:t>As a result of</w:t>
      </w:r>
      <w:proofErr w:type="gramEnd"/>
      <w:r w:rsidRPr="00620631">
        <w:rPr>
          <w:rFonts w:ascii="Georgia" w:hAnsi="Georgia"/>
          <w:sz w:val="24"/>
          <w:szCs w:val="24"/>
        </w:rPr>
        <w:t xml:space="preserve"> this, most analysis of Gertrude is done through the lens of sexuality, as this is how she is perceived in the play.</w:t>
      </w:r>
      <w:r w:rsidR="003B75FC" w:rsidRPr="00620631">
        <w:rPr>
          <w:rFonts w:ascii="Georgia" w:hAnsi="Georgia"/>
          <w:sz w:val="24"/>
          <w:szCs w:val="24"/>
        </w:rPr>
        <w:t xml:space="preserve"> So, how is Gertrude’s sexuality presented in the play and interpreted by academics? </w:t>
      </w:r>
      <w:r w:rsidR="00041EA4" w:rsidRPr="00620631">
        <w:rPr>
          <w:rFonts w:ascii="Georgia" w:hAnsi="Georgia"/>
          <w:sz w:val="24"/>
          <w:szCs w:val="24"/>
        </w:rPr>
        <w:t>Hamlet’s apparent obsession with her sex life</w:t>
      </w:r>
      <w:r w:rsidR="00984AA1">
        <w:rPr>
          <w:rFonts w:ascii="Georgia" w:hAnsi="Georgia"/>
          <w:sz w:val="24"/>
          <w:szCs w:val="24"/>
        </w:rPr>
        <w:t xml:space="preserve"> (which leads to many angry monologues and comments by him)</w:t>
      </w:r>
      <w:r w:rsidR="00041EA4" w:rsidRPr="00620631">
        <w:rPr>
          <w:rFonts w:ascii="Georgia" w:hAnsi="Georgia"/>
          <w:sz w:val="24"/>
          <w:szCs w:val="24"/>
        </w:rPr>
        <w:t xml:space="preserve"> has not gone unnoticed by writers, and it is from this that has sprung one of the most influential analyses of Gertrude: </w:t>
      </w:r>
      <w:proofErr w:type="gramStart"/>
      <w:r w:rsidR="00041EA4" w:rsidRPr="00620631">
        <w:rPr>
          <w:rFonts w:ascii="Georgia" w:hAnsi="Georgia"/>
          <w:sz w:val="24"/>
          <w:szCs w:val="24"/>
        </w:rPr>
        <w:t>the</w:t>
      </w:r>
      <w:proofErr w:type="gramEnd"/>
      <w:r w:rsidR="00041EA4" w:rsidRPr="00620631">
        <w:rPr>
          <w:rFonts w:ascii="Georgia" w:hAnsi="Georgia"/>
          <w:sz w:val="24"/>
          <w:szCs w:val="24"/>
        </w:rPr>
        <w:t xml:space="preserve"> Oedipal interpretation.</w:t>
      </w:r>
    </w:p>
    <w:p w14:paraId="3F81D808" w14:textId="0918B279" w:rsidR="00C77934" w:rsidRPr="00620631" w:rsidRDefault="00C77934" w:rsidP="008B0C11">
      <w:pPr>
        <w:shd w:val="clear" w:color="auto" w:fill="FFFFFF"/>
        <w:spacing w:line="480" w:lineRule="auto"/>
        <w:jc w:val="both"/>
        <w:rPr>
          <w:rFonts w:ascii="Georgia" w:hAnsi="Georgia"/>
          <w:sz w:val="24"/>
          <w:szCs w:val="24"/>
        </w:rPr>
      </w:pPr>
      <w:r w:rsidRPr="00620631">
        <w:rPr>
          <w:rFonts w:ascii="Georgia" w:hAnsi="Georgia"/>
          <w:sz w:val="24"/>
          <w:szCs w:val="24"/>
        </w:rPr>
        <w:t>Slide Three: According to psychoanaly</w:t>
      </w:r>
      <w:r w:rsidR="00093858" w:rsidRPr="00620631">
        <w:rPr>
          <w:rFonts w:ascii="Georgia" w:hAnsi="Georgia"/>
          <w:sz w:val="24"/>
          <w:szCs w:val="24"/>
        </w:rPr>
        <w:t xml:space="preserve">sis, the Oedipus complex is when a son feels sexual attraction to his mother and envy for his father. If we apply this to the play, this means that </w:t>
      </w:r>
      <w:r w:rsidRPr="00620631">
        <w:rPr>
          <w:rFonts w:ascii="Georgia" w:hAnsi="Georgia"/>
          <w:sz w:val="24"/>
          <w:szCs w:val="24"/>
        </w:rPr>
        <w:t xml:space="preserve">Hamlet feels sexual desire for his mother, which (consciously or otherwise) becomes one of the driving forces behind his actions in the play. According to Ernest </w:t>
      </w:r>
      <w:r w:rsidR="00093858" w:rsidRPr="00620631">
        <w:rPr>
          <w:rFonts w:ascii="Georgia" w:hAnsi="Georgia"/>
          <w:sz w:val="24"/>
          <w:szCs w:val="24"/>
        </w:rPr>
        <w:t>J</w:t>
      </w:r>
      <w:r w:rsidRPr="00620631">
        <w:rPr>
          <w:rFonts w:ascii="Georgia" w:hAnsi="Georgia"/>
          <w:sz w:val="24"/>
          <w:szCs w:val="24"/>
        </w:rPr>
        <w:t xml:space="preserve">ones, </w:t>
      </w:r>
      <w:r w:rsidR="00093858" w:rsidRPr="00620631">
        <w:rPr>
          <w:rFonts w:ascii="Georgia" w:hAnsi="Georgia"/>
          <w:sz w:val="24"/>
          <w:szCs w:val="24"/>
        </w:rPr>
        <w:t xml:space="preserve">whose writing on the subject was inspired by the thoughts of Freud himself, </w:t>
      </w:r>
      <w:r w:rsidRPr="00620631">
        <w:rPr>
          <w:rFonts w:ascii="Georgia" w:hAnsi="Georgia"/>
          <w:sz w:val="24"/>
          <w:szCs w:val="24"/>
        </w:rPr>
        <w:t xml:space="preserve">Hamlet’s procrastination when it comes to murdering his stepfather is due to his own internal conflict about his feelings for his mother, and his guilt at some part of him feeling relieved at his father’s death (because a source of competition for his mother’s </w:t>
      </w:r>
      <w:r w:rsidRPr="00620631">
        <w:rPr>
          <w:rFonts w:ascii="Georgia" w:hAnsi="Georgia"/>
          <w:sz w:val="24"/>
          <w:szCs w:val="24"/>
        </w:rPr>
        <w:lastRenderedPageBreak/>
        <w:t>love has disappeared). By extension, Hamlet’s apparent obsession with his mother’s sexuality would stem from this complex. His horror at the idea of his mother’s sex life with Claudius would not really come from disapproval of his mother, but rather from his internal disgust at his own sexual feelings for her.</w:t>
      </w:r>
      <w:r w:rsidR="00984AA1">
        <w:rPr>
          <w:rStyle w:val="FootnoteReference"/>
          <w:rFonts w:ascii="Georgia" w:hAnsi="Georgia"/>
          <w:sz w:val="24"/>
          <w:szCs w:val="24"/>
        </w:rPr>
        <w:footnoteReference w:id="1"/>
      </w:r>
      <w:r w:rsidRPr="00620631">
        <w:rPr>
          <w:rFonts w:ascii="Georgia" w:hAnsi="Georgia"/>
          <w:sz w:val="24"/>
          <w:szCs w:val="24"/>
        </w:rPr>
        <w:t xml:space="preserve"> Janet </w:t>
      </w:r>
      <w:proofErr w:type="spellStart"/>
      <w:r w:rsidRPr="00620631">
        <w:rPr>
          <w:rFonts w:ascii="Georgia" w:hAnsi="Georgia"/>
          <w:sz w:val="24"/>
          <w:szCs w:val="24"/>
        </w:rPr>
        <w:t>Aldman</w:t>
      </w:r>
      <w:proofErr w:type="spellEnd"/>
      <w:r w:rsidRPr="00620631">
        <w:rPr>
          <w:rFonts w:ascii="Georgia" w:hAnsi="Georgia"/>
          <w:sz w:val="24"/>
          <w:szCs w:val="24"/>
        </w:rPr>
        <w:t xml:space="preserve">, </w:t>
      </w:r>
      <w:r w:rsidR="00984AA1">
        <w:rPr>
          <w:rFonts w:ascii="Georgia" w:hAnsi="Georgia"/>
          <w:sz w:val="24"/>
          <w:szCs w:val="24"/>
        </w:rPr>
        <w:t xml:space="preserve">author of </w:t>
      </w:r>
      <w:r w:rsidR="00984AA1" w:rsidRPr="00AA396E">
        <w:rPr>
          <w:rFonts w:ascii="Georgia" w:hAnsi="Georgia"/>
          <w:i/>
          <w:sz w:val="24"/>
          <w:szCs w:val="24"/>
        </w:rPr>
        <w:t xml:space="preserve">Suffocating Mothers: Fantasies of Maternal Origin in Shakespeare’s Plays </w:t>
      </w:r>
      <w:r w:rsidRPr="00AA396E">
        <w:rPr>
          <w:rFonts w:ascii="Georgia" w:hAnsi="Georgia"/>
          <w:i/>
          <w:sz w:val="24"/>
          <w:szCs w:val="24"/>
        </w:rPr>
        <w:t xml:space="preserve"> </w:t>
      </w:r>
      <w:r w:rsidRPr="00620631">
        <w:rPr>
          <w:rFonts w:ascii="Georgia" w:hAnsi="Georgia"/>
          <w:sz w:val="24"/>
          <w:szCs w:val="24"/>
        </w:rPr>
        <w:t xml:space="preserve">wrote that ‘female sexuality in </w:t>
      </w:r>
      <w:r w:rsidRPr="00620631">
        <w:rPr>
          <w:rFonts w:ascii="Georgia" w:hAnsi="Georgia"/>
          <w:i/>
          <w:iCs/>
          <w:sz w:val="24"/>
          <w:szCs w:val="24"/>
        </w:rPr>
        <w:t>Hamlet</w:t>
      </w:r>
      <w:r w:rsidRPr="00620631">
        <w:rPr>
          <w:rFonts w:ascii="Georgia" w:hAnsi="Georgia"/>
          <w:sz w:val="24"/>
          <w:szCs w:val="24"/>
        </w:rPr>
        <w:t xml:space="preserve"> is always maternal sexuality: Gertrude’s is the only fully sexualized female body in the play, and we experience her sexuality largely through the imagination of her son.’</w:t>
      </w:r>
      <w:r w:rsidR="00AA396E">
        <w:rPr>
          <w:rStyle w:val="FootnoteReference"/>
          <w:rFonts w:ascii="Georgia" w:hAnsi="Georgia"/>
          <w:sz w:val="24"/>
          <w:szCs w:val="24"/>
        </w:rPr>
        <w:footnoteReference w:id="2"/>
      </w:r>
      <w:r w:rsidRPr="00620631">
        <w:rPr>
          <w:rFonts w:ascii="Georgia" w:hAnsi="Georgia"/>
          <w:sz w:val="24"/>
          <w:szCs w:val="24"/>
        </w:rPr>
        <w:t xml:space="preserve"> I would be inclined to mostly agree with this quote, since it is hard to escape the shadow Gertrude’s sexuality casts over the play, mostly because Hamlet devotes so much time and energy to talking about it. However, I do take issue with looking at Hamlet’s criticism of his mother’s sexuality and immediately linking that to an Oedipus complex. In my mind, there are </w:t>
      </w:r>
      <w:proofErr w:type="gramStart"/>
      <w:r w:rsidRPr="00620631">
        <w:rPr>
          <w:rFonts w:ascii="Georgia" w:hAnsi="Georgia"/>
          <w:sz w:val="24"/>
          <w:szCs w:val="24"/>
        </w:rPr>
        <w:t>a number of</w:t>
      </w:r>
      <w:proofErr w:type="gramEnd"/>
      <w:r w:rsidRPr="00620631">
        <w:rPr>
          <w:rFonts w:ascii="Georgia" w:hAnsi="Georgia"/>
          <w:sz w:val="24"/>
          <w:szCs w:val="24"/>
        </w:rPr>
        <w:t xml:space="preserve"> reasons why Hamlet would be so preoccupied with Gertrude’s sex life, none of which necessarily mean he was attracted to her.</w:t>
      </w:r>
    </w:p>
    <w:p w14:paraId="0A07AAEB" w14:textId="45939162" w:rsidR="00C77934" w:rsidRPr="00620631" w:rsidRDefault="00C77934" w:rsidP="00C77934">
      <w:pPr>
        <w:shd w:val="clear" w:color="auto" w:fill="FFFFFF"/>
        <w:spacing w:line="480" w:lineRule="auto"/>
        <w:jc w:val="both"/>
        <w:rPr>
          <w:rFonts w:ascii="Georgia" w:hAnsi="Georgia"/>
          <w:sz w:val="24"/>
          <w:szCs w:val="24"/>
        </w:rPr>
      </w:pPr>
      <w:r w:rsidRPr="00620631">
        <w:rPr>
          <w:rFonts w:ascii="Georgia" w:hAnsi="Georgia"/>
          <w:sz w:val="24"/>
          <w:szCs w:val="24"/>
        </w:rPr>
        <w:t xml:space="preserve">Slide Four: One common element in Oedipus interpretations of </w:t>
      </w:r>
      <w:r w:rsidRPr="00620631">
        <w:rPr>
          <w:rFonts w:ascii="Georgia" w:hAnsi="Georgia"/>
          <w:i/>
          <w:iCs/>
          <w:sz w:val="24"/>
          <w:szCs w:val="24"/>
        </w:rPr>
        <w:t>Hamlet</w:t>
      </w:r>
      <w:r w:rsidRPr="00620631">
        <w:rPr>
          <w:rFonts w:ascii="Georgia" w:hAnsi="Georgia"/>
          <w:sz w:val="24"/>
          <w:szCs w:val="24"/>
        </w:rPr>
        <w:t xml:space="preserve"> is to say that Hamlet, the character, sees the image of his mother reflected in all women in the play (which in this case means Ophelia in specific). I would like to propose a counter to that: what if instead of seeing his mother reflected in other women, Hamlet sees other women reflected in her? </w:t>
      </w:r>
      <w:proofErr w:type="gramStart"/>
      <w:r w:rsidRPr="00620631">
        <w:rPr>
          <w:rFonts w:ascii="Georgia" w:hAnsi="Georgia"/>
          <w:sz w:val="24"/>
          <w:szCs w:val="24"/>
        </w:rPr>
        <w:t>That is to say, what</w:t>
      </w:r>
      <w:proofErr w:type="gramEnd"/>
      <w:r w:rsidRPr="00620631">
        <w:rPr>
          <w:rFonts w:ascii="Georgia" w:hAnsi="Georgia"/>
          <w:sz w:val="24"/>
          <w:szCs w:val="24"/>
        </w:rPr>
        <w:t xml:space="preserve"> if his criticism of Gertrude is not specific to her as his mother, but rather part of a broader cultural attitude towards women and sexuality</w:t>
      </w:r>
      <w:r w:rsidR="003837F7" w:rsidRPr="00620631">
        <w:rPr>
          <w:rFonts w:ascii="Georgia" w:hAnsi="Georgia"/>
          <w:sz w:val="24"/>
          <w:szCs w:val="24"/>
        </w:rPr>
        <w:t xml:space="preserve">? Society at the time of Shakespeare was a decisively </w:t>
      </w:r>
      <w:r w:rsidR="00AA396E">
        <w:rPr>
          <w:rFonts w:ascii="Georgia" w:hAnsi="Georgia"/>
          <w:sz w:val="24"/>
          <w:szCs w:val="24"/>
        </w:rPr>
        <w:t xml:space="preserve">gendered, patriarchal </w:t>
      </w:r>
      <w:r w:rsidR="003837F7" w:rsidRPr="00620631">
        <w:rPr>
          <w:rFonts w:ascii="Georgia" w:hAnsi="Georgia"/>
          <w:sz w:val="24"/>
          <w:szCs w:val="24"/>
        </w:rPr>
        <w:t xml:space="preserve">one. Women were expected to be nice, quiet wives and daughters who did as they were told by their </w:t>
      </w:r>
      <w:r w:rsidR="003837F7" w:rsidRPr="00620631">
        <w:rPr>
          <w:rFonts w:ascii="Georgia" w:hAnsi="Georgia"/>
          <w:sz w:val="24"/>
          <w:szCs w:val="24"/>
        </w:rPr>
        <w:lastRenderedPageBreak/>
        <w:t xml:space="preserve">husbands or fathers. </w:t>
      </w:r>
      <w:r w:rsidR="008D51A1" w:rsidRPr="00620631">
        <w:rPr>
          <w:rFonts w:ascii="Georgia" w:hAnsi="Georgia"/>
          <w:sz w:val="24"/>
          <w:szCs w:val="24"/>
        </w:rPr>
        <w:t xml:space="preserve">If you did not particularly feel like conforming to this ideal, then that was simply </w:t>
      </w:r>
      <w:r w:rsidR="00AA396E">
        <w:rPr>
          <w:rFonts w:ascii="Georgia" w:hAnsi="Georgia"/>
          <w:sz w:val="24"/>
          <w:szCs w:val="24"/>
        </w:rPr>
        <w:t>accepted</w:t>
      </w:r>
      <w:r w:rsidR="008D51A1" w:rsidRPr="00620631">
        <w:rPr>
          <w:rFonts w:ascii="Georgia" w:hAnsi="Georgia"/>
          <w:sz w:val="24"/>
          <w:szCs w:val="24"/>
        </w:rPr>
        <w:t xml:space="preserve">. As Susan Dwyer </w:t>
      </w:r>
      <w:proofErr w:type="spellStart"/>
      <w:r w:rsidR="008D51A1" w:rsidRPr="00620631">
        <w:rPr>
          <w:rFonts w:ascii="Georgia" w:hAnsi="Georgia"/>
          <w:sz w:val="24"/>
          <w:szCs w:val="24"/>
        </w:rPr>
        <w:t>Amussen</w:t>
      </w:r>
      <w:proofErr w:type="spellEnd"/>
      <w:r w:rsidR="008D51A1" w:rsidRPr="00620631">
        <w:rPr>
          <w:rFonts w:ascii="Georgia" w:hAnsi="Georgia"/>
          <w:sz w:val="24"/>
          <w:szCs w:val="24"/>
        </w:rPr>
        <w:t xml:space="preserve"> wrote</w:t>
      </w:r>
      <w:r w:rsidR="00AA396E">
        <w:rPr>
          <w:rFonts w:ascii="Georgia" w:hAnsi="Georgia"/>
          <w:sz w:val="24"/>
          <w:szCs w:val="24"/>
        </w:rPr>
        <w:t xml:space="preserve"> about gender politics in Shakespeare’s period</w:t>
      </w:r>
      <w:r w:rsidR="008D51A1" w:rsidRPr="00620631">
        <w:rPr>
          <w:rFonts w:ascii="Georgia" w:hAnsi="Georgia"/>
          <w:sz w:val="24"/>
          <w:szCs w:val="24"/>
        </w:rPr>
        <w:t xml:space="preserve">, ‘From the perspective of men, there was great anxiety about women who might </w:t>
      </w:r>
      <w:r w:rsidR="008D51A1" w:rsidRPr="00620631">
        <w:rPr>
          <w:rFonts w:ascii="Georgia" w:hAnsi="Georgia"/>
          <w:i/>
          <w:iCs/>
          <w:sz w:val="24"/>
          <w:szCs w:val="24"/>
        </w:rPr>
        <w:t>not</w:t>
      </w:r>
      <w:r w:rsidR="008D51A1" w:rsidRPr="00620631">
        <w:rPr>
          <w:rFonts w:ascii="Georgia" w:hAnsi="Georgia"/>
          <w:sz w:val="24"/>
          <w:szCs w:val="24"/>
        </w:rPr>
        <w:t xml:space="preserve"> be chaste and silent’.</w:t>
      </w:r>
      <w:r w:rsidR="00AA396E">
        <w:rPr>
          <w:rStyle w:val="FootnoteReference"/>
          <w:rFonts w:ascii="Georgia" w:hAnsi="Georgia"/>
          <w:sz w:val="24"/>
          <w:szCs w:val="24"/>
        </w:rPr>
        <w:footnoteReference w:id="3"/>
      </w:r>
      <w:r w:rsidR="008D51A1" w:rsidRPr="00620631">
        <w:rPr>
          <w:rFonts w:ascii="Georgia" w:hAnsi="Georgia"/>
          <w:sz w:val="24"/>
          <w:szCs w:val="24"/>
        </w:rPr>
        <w:t xml:space="preserve"> </w:t>
      </w:r>
      <w:r w:rsidR="0040392D" w:rsidRPr="00620631">
        <w:rPr>
          <w:rFonts w:ascii="Georgia" w:hAnsi="Georgia"/>
          <w:sz w:val="24"/>
          <w:szCs w:val="24"/>
        </w:rPr>
        <w:t xml:space="preserve">This anxiety manifested itself in </w:t>
      </w:r>
      <w:proofErr w:type="gramStart"/>
      <w:r w:rsidR="0040392D" w:rsidRPr="00620631">
        <w:rPr>
          <w:rFonts w:ascii="Georgia" w:hAnsi="Georgia"/>
          <w:sz w:val="24"/>
          <w:szCs w:val="24"/>
        </w:rPr>
        <w:t>a number of</w:t>
      </w:r>
      <w:proofErr w:type="gramEnd"/>
      <w:r w:rsidR="0040392D" w:rsidRPr="00620631">
        <w:rPr>
          <w:rFonts w:ascii="Georgia" w:hAnsi="Georgia"/>
          <w:sz w:val="24"/>
          <w:szCs w:val="24"/>
        </w:rPr>
        <w:t xml:space="preserve"> ways, from public shaming to verbal criticism.</w:t>
      </w:r>
      <w:r w:rsidR="001123C5" w:rsidRPr="00620631">
        <w:rPr>
          <w:rFonts w:ascii="Georgia" w:hAnsi="Georgia"/>
          <w:sz w:val="24"/>
          <w:szCs w:val="24"/>
        </w:rPr>
        <w:t xml:space="preserve"> </w:t>
      </w:r>
      <w:r w:rsidR="00AA396E">
        <w:rPr>
          <w:rFonts w:ascii="Georgia" w:hAnsi="Georgia"/>
          <w:sz w:val="24"/>
          <w:szCs w:val="24"/>
        </w:rPr>
        <w:t>Behaviour including, but not limited to, being</w:t>
      </w:r>
      <w:r w:rsidR="001123C5" w:rsidRPr="00620631">
        <w:rPr>
          <w:rFonts w:ascii="Georgia" w:hAnsi="Georgia"/>
          <w:sz w:val="24"/>
          <w:szCs w:val="24"/>
        </w:rPr>
        <w:t xml:space="preserve"> ‘disobedient to their husbands, extravagant, unfaithful, and manipulative’</w:t>
      </w:r>
      <w:r w:rsidR="00AA396E">
        <w:rPr>
          <w:rFonts w:ascii="Georgia" w:hAnsi="Georgia"/>
          <w:sz w:val="24"/>
          <w:szCs w:val="24"/>
        </w:rPr>
        <w:t>, could earn you the label of ‘unruly’ woman</w:t>
      </w:r>
      <w:r w:rsidR="001123C5" w:rsidRPr="00620631">
        <w:rPr>
          <w:rFonts w:ascii="Georgia" w:hAnsi="Georgia"/>
          <w:sz w:val="24"/>
          <w:szCs w:val="24"/>
        </w:rPr>
        <w:t>.</w:t>
      </w:r>
      <w:r w:rsidR="00AA396E">
        <w:rPr>
          <w:rStyle w:val="FootnoteReference"/>
          <w:rFonts w:ascii="Georgia" w:hAnsi="Georgia"/>
          <w:sz w:val="24"/>
          <w:szCs w:val="24"/>
        </w:rPr>
        <w:footnoteReference w:id="4"/>
      </w:r>
      <w:r w:rsidR="003853F1" w:rsidRPr="00620631">
        <w:rPr>
          <w:rFonts w:ascii="Georgia" w:hAnsi="Georgia"/>
          <w:sz w:val="24"/>
          <w:szCs w:val="24"/>
        </w:rPr>
        <w:t xml:space="preserve"> </w:t>
      </w:r>
      <w:r w:rsidR="002D053D" w:rsidRPr="00620631">
        <w:rPr>
          <w:rFonts w:ascii="Georgia" w:hAnsi="Georgia"/>
          <w:sz w:val="24"/>
          <w:szCs w:val="24"/>
        </w:rPr>
        <w:t>There was clearly as sense of a right and wrong way to be a woman at the time</w:t>
      </w:r>
      <w:r w:rsidR="00797475" w:rsidRPr="00620631">
        <w:rPr>
          <w:rFonts w:ascii="Georgia" w:hAnsi="Georgia"/>
          <w:sz w:val="24"/>
          <w:szCs w:val="24"/>
        </w:rPr>
        <w:t>. Women who got it right were praised and idealised, while women who got it wrong were punished and shamed. The presence of this dichotomy brings me to another element of both psychoanalytic and feminist theory which is very relevant to analysis of Gertrude</w:t>
      </w:r>
      <w:r w:rsidR="00C90CE5" w:rsidRPr="00620631">
        <w:rPr>
          <w:rFonts w:ascii="Georgia" w:hAnsi="Georgia"/>
          <w:sz w:val="24"/>
          <w:szCs w:val="24"/>
        </w:rPr>
        <w:t>: the Madonna-</w:t>
      </w:r>
      <w:r w:rsidR="00E85286" w:rsidRPr="00620631">
        <w:rPr>
          <w:rFonts w:ascii="Georgia" w:hAnsi="Georgia"/>
          <w:sz w:val="24"/>
          <w:szCs w:val="24"/>
        </w:rPr>
        <w:t>w</w:t>
      </w:r>
      <w:r w:rsidR="00C90CE5" w:rsidRPr="00620631">
        <w:rPr>
          <w:rFonts w:ascii="Georgia" w:hAnsi="Georgia"/>
          <w:sz w:val="24"/>
          <w:szCs w:val="24"/>
        </w:rPr>
        <w:t>hore complex.</w:t>
      </w:r>
    </w:p>
    <w:p w14:paraId="65493DFD" w14:textId="361EB22D" w:rsidR="00C77934" w:rsidRPr="00620631" w:rsidRDefault="00C77934" w:rsidP="007E6314">
      <w:pPr>
        <w:shd w:val="clear" w:color="auto" w:fill="FFFFFF"/>
        <w:spacing w:after="0" w:line="480" w:lineRule="auto"/>
        <w:jc w:val="both"/>
        <w:rPr>
          <w:rFonts w:ascii="Georgia" w:hAnsi="Georgia"/>
          <w:sz w:val="24"/>
          <w:szCs w:val="24"/>
        </w:rPr>
      </w:pPr>
    </w:p>
    <w:p w14:paraId="070216EA" w14:textId="14CED763" w:rsidR="00C77934" w:rsidRPr="00620631" w:rsidRDefault="00C77934" w:rsidP="00C77934">
      <w:pPr>
        <w:shd w:val="clear" w:color="auto" w:fill="FFFFFF"/>
        <w:spacing w:line="480" w:lineRule="auto"/>
        <w:jc w:val="both"/>
        <w:rPr>
          <w:rFonts w:ascii="Georgia" w:hAnsi="Georgia"/>
          <w:sz w:val="24"/>
          <w:szCs w:val="24"/>
        </w:rPr>
      </w:pPr>
      <w:r w:rsidRPr="00620631">
        <w:rPr>
          <w:rFonts w:ascii="Georgia" w:hAnsi="Georgia"/>
          <w:sz w:val="24"/>
          <w:szCs w:val="24"/>
        </w:rPr>
        <w:t xml:space="preserve">Slide Five: The Madonna-whore complex is an idea that originated in psychoanalysis, being originally applied to men that could only see women as fitting into one of two mutually exclusive categories: </w:t>
      </w:r>
      <w:r w:rsidR="002160D7" w:rsidRPr="00620631">
        <w:rPr>
          <w:rFonts w:ascii="Georgia" w:hAnsi="Georgia"/>
          <w:sz w:val="24"/>
          <w:szCs w:val="24"/>
        </w:rPr>
        <w:t>the</w:t>
      </w:r>
      <w:r w:rsidR="004969CB" w:rsidRPr="00620631">
        <w:rPr>
          <w:rFonts w:ascii="Georgia" w:hAnsi="Georgia"/>
          <w:sz w:val="24"/>
          <w:szCs w:val="24"/>
        </w:rPr>
        <w:t xml:space="preserve"> Madonna (who is chaste, pure, and seen as wife-material) and the whore (who is promiscuous, perceived as dirty and as a sex object)</w:t>
      </w:r>
      <w:r w:rsidR="002160D7" w:rsidRPr="00620631">
        <w:rPr>
          <w:rFonts w:ascii="Georgia" w:hAnsi="Georgia"/>
          <w:sz w:val="24"/>
          <w:szCs w:val="24"/>
        </w:rPr>
        <w:t>.</w:t>
      </w:r>
      <w:r w:rsidR="00FC6AFA" w:rsidRPr="00620631">
        <w:rPr>
          <w:rStyle w:val="FootnoteReference"/>
          <w:rFonts w:ascii="Georgia" w:hAnsi="Georgia"/>
          <w:sz w:val="24"/>
          <w:szCs w:val="24"/>
        </w:rPr>
        <w:footnoteReference w:id="5"/>
      </w:r>
      <w:r w:rsidR="004969CB" w:rsidRPr="00620631">
        <w:rPr>
          <w:rFonts w:ascii="Georgia" w:hAnsi="Georgia"/>
          <w:sz w:val="24"/>
          <w:szCs w:val="24"/>
        </w:rPr>
        <w:t xml:space="preserve"> Beyond psychoanalysis, the idea of the Madonna-whore dichotomy has been adopted by feminist theory, where it is used to refer to the way women a</w:t>
      </w:r>
      <w:r w:rsidR="00AA396E">
        <w:rPr>
          <w:rFonts w:ascii="Georgia" w:hAnsi="Georgia"/>
          <w:sz w:val="24"/>
          <w:szCs w:val="24"/>
        </w:rPr>
        <w:t>re culturally</w:t>
      </w:r>
      <w:r w:rsidR="004969CB" w:rsidRPr="00620631">
        <w:rPr>
          <w:rFonts w:ascii="Georgia" w:hAnsi="Georgia"/>
          <w:sz w:val="24"/>
          <w:szCs w:val="24"/>
        </w:rPr>
        <w:t xml:space="preserve"> put into one of two mutually exclusive categories according to their sexual behaviour. </w:t>
      </w:r>
      <w:r w:rsidR="00B54A7D" w:rsidRPr="00620631">
        <w:rPr>
          <w:rFonts w:ascii="Georgia" w:hAnsi="Georgia"/>
          <w:sz w:val="24"/>
          <w:szCs w:val="24"/>
        </w:rPr>
        <w:t xml:space="preserve">Naturally, since it comes from Freudian theory, this complex is also connected to the perception of mothers. David D. Gilmore described its origins by saying: ‘The debasement of the sexual function goes hand in hand with an overvaluation - in fact, idolization - of the </w:t>
      </w:r>
      <w:r w:rsidR="00B54A7D" w:rsidRPr="00620631">
        <w:rPr>
          <w:rFonts w:ascii="Georgia" w:hAnsi="Georgia"/>
          <w:sz w:val="24"/>
          <w:szCs w:val="24"/>
        </w:rPr>
        <w:lastRenderedPageBreak/>
        <w:t xml:space="preserve">mother as pure and sexless, and therefore the exact opposite of a sexual woman’. So essentially it is the idolisation of mothers which supposedly causes men to view all other sexual women as whores. </w:t>
      </w:r>
      <w:r w:rsidR="008E198E" w:rsidRPr="00620631">
        <w:rPr>
          <w:rFonts w:ascii="Georgia" w:hAnsi="Georgia"/>
          <w:sz w:val="24"/>
          <w:szCs w:val="24"/>
        </w:rPr>
        <w:t xml:space="preserve">This is very relevant to the perception of Gertrude by Hamlet, as he sees her as a sexual being, which no doubt conflicts with his ideas about what a mother is supposed to be. </w:t>
      </w:r>
      <w:r w:rsidR="00AA396E">
        <w:rPr>
          <w:rFonts w:ascii="Georgia" w:hAnsi="Georgia"/>
          <w:sz w:val="24"/>
          <w:szCs w:val="24"/>
        </w:rPr>
        <w:t xml:space="preserve">The issue, essentially, is that Gertrude is meant to be a Madonna; however, she is seen as a whore due to her remarrying soon after her first husband’s death and by being seen (at least by Hamlet) to have a sex life with her new husband. </w:t>
      </w:r>
    </w:p>
    <w:p w14:paraId="05FC3C5C" w14:textId="7F87F1F4" w:rsidR="00C77934" w:rsidRPr="00620631" w:rsidRDefault="00C77934" w:rsidP="007E6314">
      <w:pPr>
        <w:shd w:val="clear" w:color="auto" w:fill="FFFFFF"/>
        <w:spacing w:after="0" w:line="480" w:lineRule="auto"/>
        <w:jc w:val="both"/>
        <w:rPr>
          <w:rFonts w:ascii="Georgia" w:hAnsi="Georgia"/>
          <w:sz w:val="24"/>
          <w:szCs w:val="24"/>
        </w:rPr>
      </w:pPr>
    </w:p>
    <w:p w14:paraId="1BBE25E3" w14:textId="59980896" w:rsidR="00C77934" w:rsidRPr="00620631" w:rsidRDefault="00C77934" w:rsidP="007E6314">
      <w:pPr>
        <w:shd w:val="clear" w:color="auto" w:fill="FFFFFF"/>
        <w:spacing w:after="0" w:line="480" w:lineRule="auto"/>
        <w:jc w:val="both"/>
        <w:rPr>
          <w:rFonts w:ascii="Georgia" w:hAnsi="Georgia"/>
          <w:sz w:val="24"/>
          <w:szCs w:val="24"/>
        </w:rPr>
      </w:pPr>
      <w:r w:rsidRPr="00620631">
        <w:rPr>
          <w:rFonts w:ascii="Georgia" w:hAnsi="Georgia"/>
          <w:sz w:val="24"/>
          <w:szCs w:val="24"/>
        </w:rPr>
        <w:t>Slide Six:</w:t>
      </w:r>
      <w:r w:rsidR="008E198E" w:rsidRPr="00620631">
        <w:rPr>
          <w:rFonts w:ascii="Georgia" w:hAnsi="Georgia"/>
          <w:sz w:val="24"/>
          <w:szCs w:val="24"/>
        </w:rPr>
        <w:t xml:space="preserve"> </w:t>
      </w:r>
      <w:r w:rsidR="004B66BA" w:rsidRPr="00620631">
        <w:rPr>
          <w:rFonts w:ascii="Georgia" w:hAnsi="Georgia"/>
          <w:sz w:val="24"/>
          <w:szCs w:val="24"/>
        </w:rPr>
        <w:t xml:space="preserve">The academic Kay Stanton agreed with the idea that the Madonna-whore complex applied to Hamlet, writing ‘Women in </w:t>
      </w:r>
      <w:r w:rsidR="004B66BA" w:rsidRPr="00620631">
        <w:rPr>
          <w:rFonts w:ascii="Georgia" w:hAnsi="Georgia"/>
          <w:i/>
          <w:iCs/>
          <w:sz w:val="24"/>
          <w:szCs w:val="24"/>
        </w:rPr>
        <w:t>Hamlet</w:t>
      </w:r>
      <w:r w:rsidR="004B66BA" w:rsidRPr="00620631">
        <w:rPr>
          <w:rFonts w:ascii="Georgia" w:hAnsi="Georgia"/>
          <w:sz w:val="24"/>
          <w:szCs w:val="24"/>
        </w:rPr>
        <w:t xml:space="preserve"> are allowed by the play’s men to have two and only two choices: virgin or whore’.</w:t>
      </w:r>
      <w:r w:rsidR="00AA396E">
        <w:rPr>
          <w:rStyle w:val="FootnoteReference"/>
          <w:rFonts w:ascii="Georgia" w:hAnsi="Georgia"/>
          <w:sz w:val="24"/>
          <w:szCs w:val="24"/>
        </w:rPr>
        <w:footnoteReference w:id="6"/>
      </w:r>
      <w:r w:rsidR="004B66BA" w:rsidRPr="00620631">
        <w:rPr>
          <w:rFonts w:ascii="Georgia" w:hAnsi="Georgia"/>
          <w:sz w:val="24"/>
          <w:szCs w:val="24"/>
        </w:rPr>
        <w:t xml:space="preserve"> </w:t>
      </w:r>
      <w:r w:rsidR="00AA396E">
        <w:rPr>
          <w:rFonts w:ascii="Georgia" w:hAnsi="Georgia"/>
          <w:sz w:val="24"/>
          <w:szCs w:val="24"/>
        </w:rPr>
        <w:t>If you were still not convinced that Gertrude has been placed in the latter category,</w:t>
      </w:r>
      <w:r w:rsidR="008E198E" w:rsidRPr="00620631">
        <w:rPr>
          <w:rFonts w:ascii="Georgia" w:hAnsi="Georgia"/>
          <w:sz w:val="24"/>
          <w:szCs w:val="24"/>
        </w:rPr>
        <w:t xml:space="preserve"> we have a quote from </w:t>
      </w:r>
      <w:r w:rsidR="00AA396E">
        <w:rPr>
          <w:rFonts w:ascii="Georgia" w:hAnsi="Georgia"/>
          <w:sz w:val="24"/>
          <w:szCs w:val="24"/>
        </w:rPr>
        <w:t xml:space="preserve">the ghost of </w:t>
      </w:r>
      <w:r w:rsidR="008E198E" w:rsidRPr="00620631">
        <w:rPr>
          <w:rFonts w:ascii="Georgia" w:hAnsi="Georgia"/>
          <w:sz w:val="24"/>
          <w:szCs w:val="24"/>
        </w:rPr>
        <w:t>her late husband. He says that ‘[Claudius] won to his shameful lust / The will of my most seeming-virtuous queen. / O Hamlet, what a falling-off was there’</w:t>
      </w:r>
      <w:r w:rsidR="00AA396E">
        <w:rPr>
          <w:rFonts w:ascii="Georgia" w:hAnsi="Georgia"/>
          <w:sz w:val="24"/>
          <w:szCs w:val="24"/>
        </w:rPr>
        <w:t>.</w:t>
      </w:r>
      <w:r w:rsidR="00AA396E">
        <w:rPr>
          <w:rStyle w:val="FootnoteReference"/>
          <w:rFonts w:ascii="Georgia" w:hAnsi="Georgia"/>
          <w:sz w:val="24"/>
          <w:szCs w:val="24"/>
        </w:rPr>
        <w:footnoteReference w:id="7"/>
      </w:r>
      <w:r w:rsidR="008E198E" w:rsidRPr="00620631">
        <w:rPr>
          <w:rFonts w:ascii="Georgia" w:hAnsi="Georgia"/>
          <w:sz w:val="24"/>
          <w:szCs w:val="24"/>
        </w:rPr>
        <w:t xml:space="preserve"> Here you can see the fall from Madonna to whore. Whereas before Gertrude was the perfect wife and mother, her marriage to Claudius has </w:t>
      </w:r>
      <w:r w:rsidR="004B66BA" w:rsidRPr="00620631">
        <w:rPr>
          <w:rFonts w:ascii="Georgia" w:hAnsi="Georgia"/>
          <w:sz w:val="24"/>
          <w:szCs w:val="24"/>
        </w:rPr>
        <w:t xml:space="preserve">moved her firmly into whore territory. </w:t>
      </w:r>
      <w:r w:rsidR="002728DE" w:rsidRPr="00620631">
        <w:rPr>
          <w:rFonts w:ascii="Georgia" w:hAnsi="Georgia"/>
          <w:sz w:val="24"/>
          <w:szCs w:val="24"/>
        </w:rPr>
        <w:t>This is the primary way in which Gertrude is seen as a deviant, ‘unruly’ woman in Hamlet, but it is not the only one.</w:t>
      </w:r>
    </w:p>
    <w:p w14:paraId="29CD2F70" w14:textId="77777777" w:rsidR="008E198E" w:rsidRPr="00620631" w:rsidRDefault="008E198E" w:rsidP="007E6314">
      <w:pPr>
        <w:shd w:val="clear" w:color="auto" w:fill="FFFFFF"/>
        <w:spacing w:after="0" w:line="480" w:lineRule="auto"/>
        <w:jc w:val="both"/>
        <w:rPr>
          <w:rFonts w:ascii="Georgia" w:hAnsi="Georgia"/>
          <w:sz w:val="24"/>
          <w:szCs w:val="24"/>
        </w:rPr>
      </w:pPr>
    </w:p>
    <w:p w14:paraId="3B7BFAD8" w14:textId="66B50505" w:rsidR="00C77934" w:rsidRPr="00620631" w:rsidRDefault="00C77934" w:rsidP="007E6314">
      <w:pPr>
        <w:shd w:val="clear" w:color="auto" w:fill="FFFFFF"/>
        <w:spacing w:after="0" w:line="480" w:lineRule="auto"/>
        <w:jc w:val="both"/>
        <w:rPr>
          <w:rFonts w:ascii="Georgia" w:hAnsi="Georgia"/>
          <w:sz w:val="24"/>
          <w:szCs w:val="24"/>
        </w:rPr>
      </w:pPr>
      <w:r w:rsidRPr="00620631">
        <w:rPr>
          <w:rFonts w:ascii="Georgia" w:hAnsi="Georgia"/>
          <w:sz w:val="24"/>
          <w:szCs w:val="24"/>
        </w:rPr>
        <w:t>Slide Seven:</w:t>
      </w:r>
      <w:r w:rsidR="002728DE" w:rsidRPr="00620631">
        <w:rPr>
          <w:rFonts w:ascii="Georgia" w:hAnsi="Georgia"/>
          <w:sz w:val="24"/>
          <w:szCs w:val="24"/>
        </w:rPr>
        <w:t xml:space="preserve"> On top of being a whore, what makes Gertrude’s transgression </w:t>
      </w:r>
      <w:r w:rsidR="00B83F6B" w:rsidRPr="00620631">
        <w:rPr>
          <w:rFonts w:ascii="Georgia" w:hAnsi="Georgia"/>
          <w:sz w:val="24"/>
          <w:szCs w:val="24"/>
        </w:rPr>
        <w:t xml:space="preserve">of </w:t>
      </w:r>
      <w:r w:rsidR="002728DE" w:rsidRPr="00620631">
        <w:rPr>
          <w:rFonts w:ascii="Georgia" w:hAnsi="Georgia"/>
          <w:sz w:val="24"/>
          <w:szCs w:val="24"/>
        </w:rPr>
        <w:t xml:space="preserve">being a sexual woman all the worse is that she does it within her second marriage. </w:t>
      </w:r>
      <w:r w:rsidR="00B83F6B" w:rsidRPr="00620631">
        <w:rPr>
          <w:rFonts w:ascii="Georgia" w:hAnsi="Georgia"/>
          <w:sz w:val="24"/>
          <w:szCs w:val="24"/>
        </w:rPr>
        <w:t xml:space="preserve">Susan Dwyer </w:t>
      </w:r>
      <w:proofErr w:type="spellStart"/>
      <w:r w:rsidR="00B83F6B" w:rsidRPr="00620631">
        <w:rPr>
          <w:rFonts w:ascii="Georgia" w:hAnsi="Georgia"/>
          <w:sz w:val="24"/>
          <w:szCs w:val="24"/>
        </w:rPr>
        <w:lastRenderedPageBreak/>
        <w:t>Amussen</w:t>
      </w:r>
      <w:proofErr w:type="spellEnd"/>
      <w:r w:rsidR="00B83F6B" w:rsidRPr="00620631">
        <w:rPr>
          <w:rFonts w:ascii="Georgia" w:hAnsi="Georgia"/>
          <w:sz w:val="24"/>
          <w:szCs w:val="24"/>
        </w:rPr>
        <w:t xml:space="preserve">, who we saw earlier on when looking at the roles of women in Shakespearean society, wrote that ‘Anxiety about unruly women extended not only to those who were married, but perhaps even more to those who were not – single women and widows who were not controlled by any man.’ </w:t>
      </w:r>
      <w:proofErr w:type="gramStart"/>
      <w:r w:rsidR="00B83F6B" w:rsidRPr="00620631">
        <w:rPr>
          <w:rFonts w:ascii="Georgia" w:hAnsi="Georgia"/>
          <w:sz w:val="24"/>
          <w:szCs w:val="24"/>
        </w:rPr>
        <w:t>Certainly</w:t>
      </w:r>
      <w:proofErr w:type="gramEnd"/>
      <w:r w:rsidR="00B83F6B" w:rsidRPr="00620631">
        <w:rPr>
          <w:rFonts w:ascii="Georgia" w:hAnsi="Georgia"/>
          <w:sz w:val="24"/>
          <w:szCs w:val="24"/>
        </w:rPr>
        <w:t xml:space="preserve"> Gertrude’s apparent lack of mourning are much commented on by other characters in the play, from characters like Hamlet who go on long rants about it, to side characters such as Horatio who make passing comments on it. Hamlet declares that ‘[A] beast that wants discourse of reason / Would have mourned longer’. If Gertrude’s being a widow was already concerning to Shakespearean society, essentially what she has done by remarrying so soon after is to confirm </w:t>
      </w:r>
      <w:r w:rsidR="001615BC">
        <w:rPr>
          <w:rFonts w:ascii="Georgia" w:hAnsi="Georgia"/>
          <w:sz w:val="24"/>
          <w:szCs w:val="24"/>
        </w:rPr>
        <w:t xml:space="preserve">cultural </w:t>
      </w:r>
      <w:r w:rsidR="00B83F6B" w:rsidRPr="00620631">
        <w:rPr>
          <w:rFonts w:ascii="Georgia" w:hAnsi="Georgia"/>
          <w:sz w:val="24"/>
          <w:szCs w:val="24"/>
        </w:rPr>
        <w:t>fears about widowed women. Rather than play the proper role of grieving widow</w:t>
      </w:r>
      <w:r w:rsidR="000D58B0" w:rsidRPr="00620631">
        <w:rPr>
          <w:rFonts w:ascii="Georgia" w:hAnsi="Georgia"/>
          <w:sz w:val="24"/>
          <w:szCs w:val="24"/>
        </w:rPr>
        <w:t xml:space="preserve">, she has got married to Claudius and </w:t>
      </w:r>
      <w:r w:rsidR="001615BC">
        <w:rPr>
          <w:rFonts w:ascii="Georgia" w:hAnsi="Georgia"/>
          <w:sz w:val="24"/>
          <w:szCs w:val="24"/>
        </w:rPr>
        <w:t xml:space="preserve">is </w:t>
      </w:r>
      <w:r w:rsidR="000D58B0" w:rsidRPr="00620631">
        <w:rPr>
          <w:rFonts w:ascii="Georgia" w:hAnsi="Georgia"/>
          <w:sz w:val="24"/>
          <w:szCs w:val="24"/>
        </w:rPr>
        <w:t xml:space="preserve">apparently enjoying her marital sex life. </w:t>
      </w:r>
      <w:r w:rsidR="00D119A9" w:rsidRPr="00620631">
        <w:rPr>
          <w:rFonts w:ascii="Georgia" w:hAnsi="Georgia"/>
          <w:sz w:val="24"/>
          <w:szCs w:val="24"/>
        </w:rPr>
        <w:t>This, to both Hamlet and the surrounding culture, is not acceptable.</w:t>
      </w:r>
    </w:p>
    <w:p w14:paraId="6FF20E0D" w14:textId="77777777" w:rsidR="002728DE" w:rsidRPr="00620631" w:rsidRDefault="002728DE" w:rsidP="007E6314">
      <w:pPr>
        <w:shd w:val="clear" w:color="auto" w:fill="FFFFFF"/>
        <w:spacing w:after="0" w:line="480" w:lineRule="auto"/>
        <w:jc w:val="both"/>
        <w:rPr>
          <w:rFonts w:ascii="Georgia" w:hAnsi="Georgia"/>
          <w:sz w:val="24"/>
          <w:szCs w:val="24"/>
        </w:rPr>
      </w:pPr>
    </w:p>
    <w:p w14:paraId="422CC84D" w14:textId="551ACA29" w:rsidR="008E198E" w:rsidRPr="00620631" w:rsidRDefault="00C77934" w:rsidP="00191214">
      <w:pPr>
        <w:shd w:val="clear" w:color="auto" w:fill="FFFFFF"/>
        <w:spacing w:line="480" w:lineRule="auto"/>
        <w:jc w:val="both"/>
        <w:rPr>
          <w:rFonts w:ascii="Georgia" w:hAnsi="Georgia"/>
          <w:sz w:val="24"/>
          <w:szCs w:val="24"/>
        </w:rPr>
      </w:pPr>
      <w:r w:rsidRPr="00620631">
        <w:rPr>
          <w:rFonts w:ascii="Georgia" w:hAnsi="Georgia"/>
          <w:sz w:val="24"/>
          <w:szCs w:val="24"/>
        </w:rPr>
        <w:t xml:space="preserve">Slide </w:t>
      </w:r>
      <w:r w:rsidR="00D119A9" w:rsidRPr="00620631">
        <w:rPr>
          <w:rFonts w:ascii="Georgia" w:hAnsi="Georgia"/>
          <w:sz w:val="24"/>
          <w:szCs w:val="24"/>
        </w:rPr>
        <w:t>Eight</w:t>
      </w:r>
      <w:r w:rsidRPr="00620631">
        <w:rPr>
          <w:rFonts w:ascii="Georgia" w:hAnsi="Georgia"/>
          <w:sz w:val="24"/>
          <w:szCs w:val="24"/>
        </w:rPr>
        <w:t>:</w:t>
      </w:r>
      <w:r w:rsidR="006737D9" w:rsidRPr="00620631">
        <w:rPr>
          <w:rFonts w:ascii="Georgia" w:hAnsi="Georgia"/>
          <w:sz w:val="24"/>
          <w:szCs w:val="24"/>
        </w:rPr>
        <w:t xml:space="preserve"> </w:t>
      </w:r>
      <w:r w:rsidR="009E4C88" w:rsidRPr="00620631">
        <w:rPr>
          <w:rFonts w:ascii="Georgia" w:hAnsi="Georgia"/>
          <w:sz w:val="24"/>
          <w:szCs w:val="24"/>
        </w:rPr>
        <w:t>Finally, Gertrude transgresses in one more way: by being an aging wom</w:t>
      </w:r>
      <w:r w:rsidR="00C2280E">
        <w:rPr>
          <w:rFonts w:ascii="Georgia" w:hAnsi="Georgia"/>
          <w:sz w:val="24"/>
          <w:szCs w:val="24"/>
        </w:rPr>
        <w:t>a</w:t>
      </w:r>
      <w:r w:rsidR="009E4C88" w:rsidRPr="00620631">
        <w:rPr>
          <w:rFonts w:ascii="Georgia" w:hAnsi="Georgia"/>
          <w:sz w:val="24"/>
          <w:szCs w:val="24"/>
        </w:rPr>
        <w:t xml:space="preserve">n. This is again connected to her sexuality, which in Hamlet’s mind is grotesque when connected with her age. </w:t>
      </w:r>
      <w:r w:rsidR="000F63BD" w:rsidRPr="00620631">
        <w:rPr>
          <w:rFonts w:ascii="Georgia" w:hAnsi="Georgia"/>
          <w:sz w:val="24"/>
          <w:szCs w:val="24"/>
        </w:rPr>
        <w:t>He tells Gertrude that ‘You cannot call [</w:t>
      </w:r>
      <w:r w:rsidR="00C2280E">
        <w:rPr>
          <w:rFonts w:ascii="Georgia" w:hAnsi="Georgia"/>
          <w:sz w:val="24"/>
          <w:szCs w:val="24"/>
        </w:rPr>
        <w:t>her</w:t>
      </w:r>
      <w:r w:rsidR="000F63BD" w:rsidRPr="00620631">
        <w:rPr>
          <w:rFonts w:ascii="Georgia" w:hAnsi="Georgia"/>
          <w:sz w:val="24"/>
          <w:szCs w:val="24"/>
        </w:rPr>
        <w:t xml:space="preserve"> relationship with Claudius] love; for at your age / The hey-day in the blood is tame’.</w:t>
      </w:r>
      <w:r w:rsidR="002238AF">
        <w:rPr>
          <w:rStyle w:val="FootnoteReference"/>
          <w:rFonts w:ascii="Georgia" w:hAnsi="Georgia"/>
          <w:sz w:val="24"/>
          <w:szCs w:val="24"/>
        </w:rPr>
        <w:footnoteReference w:id="8"/>
      </w:r>
      <w:r w:rsidR="000F63BD" w:rsidRPr="00620631">
        <w:rPr>
          <w:rFonts w:ascii="Georgia" w:hAnsi="Georgia"/>
          <w:sz w:val="24"/>
          <w:szCs w:val="24"/>
        </w:rPr>
        <w:t xml:space="preserve"> He also says that she ‘canst </w:t>
      </w:r>
      <w:proofErr w:type="spellStart"/>
      <w:r w:rsidR="000F63BD" w:rsidRPr="00620631">
        <w:rPr>
          <w:rFonts w:ascii="Georgia" w:hAnsi="Georgia"/>
          <w:sz w:val="24"/>
          <w:szCs w:val="24"/>
        </w:rPr>
        <w:t>mutine</w:t>
      </w:r>
      <w:proofErr w:type="spellEnd"/>
      <w:r w:rsidR="000F63BD" w:rsidRPr="00620631">
        <w:rPr>
          <w:rFonts w:ascii="Georgia" w:hAnsi="Georgia"/>
          <w:sz w:val="24"/>
          <w:szCs w:val="24"/>
        </w:rPr>
        <w:t xml:space="preserve"> in a matron's bones’.</w:t>
      </w:r>
      <w:r w:rsidR="002238AF">
        <w:rPr>
          <w:rStyle w:val="FootnoteReference"/>
          <w:rFonts w:ascii="Georgia" w:hAnsi="Georgia"/>
          <w:sz w:val="24"/>
          <w:szCs w:val="24"/>
        </w:rPr>
        <w:footnoteReference w:id="9"/>
      </w:r>
      <w:r w:rsidR="000F63BD" w:rsidRPr="00620631">
        <w:rPr>
          <w:rFonts w:ascii="Georgia" w:hAnsi="Georgia"/>
          <w:sz w:val="24"/>
          <w:szCs w:val="24"/>
        </w:rPr>
        <w:t xml:space="preserve"> The reference to her age here is not at all incidental – it is a key part of why her sexuality is so monstrous to Hamlet. </w:t>
      </w:r>
      <w:r w:rsidR="009E4C88" w:rsidRPr="00620631">
        <w:rPr>
          <w:rFonts w:ascii="Georgia" w:hAnsi="Georgia"/>
          <w:sz w:val="24"/>
          <w:szCs w:val="24"/>
        </w:rPr>
        <w:t xml:space="preserve">Steven Mullaney writes that </w:t>
      </w:r>
      <w:r w:rsidR="008E198E" w:rsidRPr="00620631">
        <w:rPr>
          <w:rFonts w:ascii="Georgia" w:hAnsi="Georgia"/>
          <w:sz w:val="24"/>
          <w:szCs w:val="24"/>
        </w:rPr>
        <w:t xml:space="preserve">‘What distracts Hamlet from his almost blunted purpose is Gertrude’s </w:t>
      </w:r>
      <w:r w:rsidR="008E198E" w:rsidRPr="00620631">
        <w:rPr>
          <w:rFonts w:ascii="Georgia" w:hAnsi="Georgia"/>
          <w:i/>
          <w:iCs/>
          <w:sz w:val="24"/>
          <w:szCs w:val="24"/>
        </w:rPr>
        <w:t>aging</w:t>
      </w:r>
      <w:r w:rsidR="008E198E" w:rsidRPr="00620631">
        <w:rPr>
          <w:rFonts w:ascii="Georgia" w:hAnsi="Georgia"/>
          <w:sz w:val="24"/>
          <w:szCs w:val="24"/>
        </w:rPr>
        <w:t xml:space="preserve"> sexuality, conceived at times as a contradiction in terms, at times as a violation of her own body akin in its unnaturalness to a rebellion in the body politic’</w:t>
      </w:r>
      <w:r w:rsidR="009E4C88" w:rsidRPr="00620631">
        <w:rPr>
          <w:rFonts w:ascii="Georgia" w:hAnsi="Georgia"/>
          <w:sz w:val="24"/>
          <w:szCs w:val="24"/>
        </w:rPr>
        <w:t>.</w:t>
      </w:r>
      <w:r w:rsidR="002238AF">
        <w:rPr>
          <w:rStyle w:val="FootnoteReference"/>
          <w:rFonts w:ascii="Georgia" w:hAnsi="Georgia"/>
          <w:sz w:val="24"/>
          <w:szCs w:val="24"/>
        </w:rPr>
        <w:footnoteReference w:id="10"/>
      </w:r>
      <w:r w:rsidR="009E4C88" w:rsidRPr="00620631">
        <w:rPr>
          <w:rFonts w:ascii="Georgia" w:hAnsi="Georgia"/>
          <w:sz w:val="24"/>
          <w:szCs w:val="24"/>
        </w:rPr>
        <w:t xml:space="preserve"> </w:t>
      </w:r>
      <w:r w:rsidR="000F63BD" w:rsidRPr="00620631">
        <w:rPr>
          <w:rFonts w:ascii="Georgia" w:hAnsi="Georgia"/>
          <w:sz w:val="24"/>
          <w:szCs w:val="24"/>
        </w:rPr>
        <w:t xml:space="preserve">These are strong </w:t>
      </w:r>
      <w:r w:rsidR="000F63BD" w:rsidRPr="00620631">
        <w:rPr>
          <w:rFonts w:ascii="Georgia" w:hAnsi="Georgia"/>
          <w:sz w:val="24"/>
          <w:szCs w:val="24"/>
        </w:rPr>
        <w:lastRenderedPageBreak/>
        <w:t xml:space="preserve">terms, but they do well to describe just how transgressive and apparently horrific Gertrude’s actions are, at least when seen through the </w:t>
      </w:r>
      <w:r w:rsidR="002238AF">
        <w:rPr>
          <w:rFonts w:ascii="Georgia" w:hAnsi="Georgia"/>
          <w:sz w:val="24"/>
          <w:szCs w:val="24"/>
        </w:rPr>
        <w:t>subconsciously misogynistic</w:t>
      </w:r>
      <w:r w:rsidR="000F63BD" w:rsidRPr="00620631">
        <w:rPr>
          <w:rFonts w:ascii="Georgia" w:hAnsi="Georgia"/>
          <w:sz w:val="24"/>
          <w:szCs w:val="24"/>
        </w:rPr>
        <w:t xml:space="preserve"> eyes of Hamlet. </w:t>
      </w:r>
      <w:r w:rsidR="0071262A" w:rsidRPr="00620631">
        <w:rPr>
          <w:rFonts w:ascii="Georgia" w:hAnsi="Georgia"/>
          <w:sz w:val="24"/>
          <w:szCs w:val="24"/>
        </w:rPr>
        <w:t>In being a sexual, remarried, older woman, Gertrude once more steps outside the realm of what was expected of women</w:t>
      </w:r>
      <w:r w:rsidR="00191214" w:rsidRPr="00620631">
        <w:rPr>
          <w:rFonts w:ascii="Georgia" w:hAnsi="Georgia"/>
          <w:sz w:val="24"/>
          <w:szCs w:val="24"/>
        </w:rPr>
        <w:t xml:space="preserve">, and </w:t>
      </w:r>
      <w:r w:rsidR="00675EA0" w:rsidRPr="00620631">
        <w:rPr>
          <w:rFonts w:ascii="Georgia" w:hAnsi="Georgia"/>
          <w:sz w:val="24"/>
          <w:szCs w:val="24"/>
        </w:rPr>
        <w:t xml:space="preserve">Hamlet is disgusted by this. </w:t>
      </w:r>
    </w:p>
    <w:p w14:paraId="5E35DB24" w14:textId="4C146E73" w:rsidR="0071262A" w:rsidRPr="00620631" w:rsidRDefault="00675EA0" w:rsidP="000B6C73">
      <w:pPr>
        <w:shd w:val="clear" w:color="auto" w:fill="FFFFFF"/>
        <w:spacing w:line="480" w:lineRule="auto"/>
        <w:rPr>
          <w:rFonts w:ascii="Georgia" w:hAnsi="Georgia"/>
          <w:sz w:val="24"/>
          <w:szCs w:val="24"/>
        </w:rPr>
      </w:pPr>
      <w:r w:rsidRPr="00620631">
        <w:rPr>
          <w:rFonts w:ascii="Georgia" w:hAnsi="Georgia"/>
          <w:sz w:val="24"/>
          <w:szCs w:val="24"/>
        </w:rPr>
        <w:t xml:space="preserve">Slide Nine: </w:t>
      </w:r>
      <w:r w:rsidR="000B6C73" w:rsidRPr="00620631">
        <w:rPr>
          <w:rFonts w:ascii="Georgia" w:hAnsi="Georgia"/>
          <w:sz w:val="24"/>
          <w:szCs w:val="24"/>
        </w:rPr>
        <w:t xml:space="preserve">Hamlet finds his mother’s sexuality abhorrent, and he sees her as a whore as a result. We can tell that this is not simply his condemning his mother, but rather a broader judgement on </w:t>
      </w:r>
      <w:proofErr w:type="gramStart"/>
      <w:r w:rsidR="000B6C73" w:rsidRPr="00620631">
        <w:rPr>
          <w:rFonts w:ascii="Georgia" w:hAnsi="Georgia"/>
          <w:sz w:val="24"/>
          <w:szCs w:val="24"/>
        </w:rPr>
        <w:t>women as a whole, through</w:t>
      </w:r>
      <w:proofErr w:type="gramEnd"/>
      <w:r w:rsidR="000B6C73" w:rsidRPr="00620631">
        <w:rPr>
          <w:rFonts w:ascii="Georgia" w:hAnsi="Georgia"/>
          <w:sz w:val="24"/>
          <w:szCs w:val="24"/>
        </w:rPr>
        <w:t xml:space="preserve"> his interactions with Ophelia. </w:t>
      </w:r>
      <w:r w:rsidR="0071262A" w:rsidRPr="00620631">
        <w:rPr>
          <w:rFonts w:ascii="Georgia" w:hAnsi="Georgia"/>
          <w:sz w:val="24"/>
          <w:szCs w:val="24"/>
        </w:rPr>
        <w:t>Hamlet projects his anxieties about Gertrude onto Ophelia</w:t>
      </w:r>
      <w:r w:rsidR="000B6C73" w:rsidRPr="00620631">
        <w:rPr>
          <w:rFonts w:ascii="Georgia" w:hAnsi="Georgia"/>
          <w:sz w:val="24"/>
          <w:szCs w:val="24"/>
        </w:rPr>
        <w:t xml:space="preserve"> – Gertrude is a whore in his mind, but Ophelia remains a Madonna. It seems that after following his mother’s transition into a whore, he fears idealizing any more women. We can see Hamlet’s disillusionment with women when he says to Ophelia,</w:t>
      </w:r>
      <w:r w:rsidR="0071262A" w:rsidRPr="00620631">
        <w:rPr>
          <w:rFonts w:ascii="Georgia" w:hAnsi="Georgia"/>
          <w:sz w:val="24"/>
          <w:szCs w:val="24"/>
        </w:rPr>
        <w:t xml:space="preserve"> ‘the power of beauty will sooner / transform honesty from what it is to a bawd than the / force of honesty can translate beauty into his / likeness: this was sometime a paradox, but now the / time gives it proof’</w:t>
      </w:r>
      <w:r w:rsidR="000B6C73" w:rsidRPr="00620631">
        <w:rPr>
          <w:rFonts w:ascii="Georgia" w:hAnsi="Georgia"/>
          <w:sz w:val="24"/>
          <w:szCs w:val="24"/>
        </w:rPr>
        <w:t>.</w:t>
      </w:r>
      <w:r w:rsidR="002238AF">
        <w:rPr>
          <w:rStyle w:val="FootnoteReference"/>
          <w:rFonts w:ascii="Georgia" w:hAnsi="Georgia"/>
          <w:sz w:val="24"/>
          <w:szCs w:val="24"/>
        </w:rPr>
        <w:footnoteReference w:id="11"/>
      </w:r>
      <w:r w:rsidR="000B6C73" w:rsidRPr="00620631">
        <w:rPr>
          <w:rFonts w:ascii="Georgia" w:hAnsi="Georgia"/>
          <w:sz w:val="24"/>
          <w:szCs w:val="24"/>
        </w:rPr>
        <w:t xml:space="preserve"> His treatment of Ophelia in this regard is also tinged with Hamlet’s own experience of the Madonna-whore complex with regards to his own sexuality: he cannot view Ophelia as an object of desire, because to do so would be to view her as a whore, which he does not want to do. </w:t>
      </w:r>
      <w:r w:rsidR="002238AF">
        <w:rPr>
          <w:rFonts w:ascii="Georgia" w:hAnsi="Georgia"/>
          <w:sz w:val="24"/>
          <w:szCs w:val="24"/>
        </w:rPr>
        <w:t xml:space="preserve">As </w:t>
      </w:r>
      <w:r w:rsidR="000B6C73" w:rsidRPr="00620631">
        <w:rPr>
          <w:rFonts w:ascii="Georgia" w:hAnsi="Georgia"/>
          <w:sz w:val="24"/>
          <w:szCs w:val="24"/>
        </w:rPr>
        <w:t>Kay Sta</w:t>
      </w:r>
      <w:r w:rsidR="002238AF">
        <w:rPr>
          <w:rFonts w:ascii="Georgia" w:hAnsi="Georgia"/>
          <w:sz w:val="24"/>
          <w:szCs w:val="24"/>
        </w:rPr>
        <w:t>n</w:t>
      </w:r>
      <w:r w:rsidR="000B6C73" w:rsidRPr="00620631">
        <w:rPr>
          <w:rFonts w:ascii="Georgia" w:hAnsi="Georgia"/>
          <w:sz w:val="24"/>
          <w:szCs w:val="24"/>
        </w:rPr>
        <w:t xml:space="preserve">ton </w:t>
      </w:r>
      <w:r w:rsidR="002238AF">
        <w:rPr>
          <w:rFonts w:ascii="Georgia" w:hAnsi="Georgia"/>
          <w:sz w:val="24"/>
          <w:szCs w:val="24"/>
        </w:rPr>
        <w:t xml:space="preserve">put it, </w:t>
      </w:r>
      <w:r w:rsidR="000B6C73" w:rsidRPr="00620631">
        <w:rPr>
          <w:rFonts w:ascii="Georgia" w:hAnsi="Georgia"/>
          <w:sz w:val="24"/>
          <w:szCs w:val="24"/>
        </w:rPr>
        <w:t xml:space="preserve">Hamlet </w:t>
      </w:r>
      <w:r w:rsidR="002238AF">
        <w:rPr>
          <w:rFonts w:ascii="Georgia" w:hAnsi="Georgia"/>
          <w:sz w:val="24"/>
          <w:szCs w:val="24"/>
        </w:rPr>
        <w:t>fears</w:t>
      </w:r>
      <w:r w:rsidR="000B6C73" w:rsidRPr="00620631">
        <w:rPr>
          <w:rFonts w:ascii="Georgia" w:hAnsi="Georgia"/>
          <w:sz w:val="24"/>
          <w:szCs w:val="24"/>
        </w:rPr>
        <w:t xml:space="preserve"> </w:t>
      </w:r>
      <w:r w:rsidR="0071262A" w:rsidRPr="00620631">
        <w:rPr>
          <w:rFonts w:ascii="Georgia" w:hAnsi="Georgia"/>
          <w:sz w:val="24"/>
          <w:szCs w:val="24"/>
        </w:rPr>
        <w:t>‘The world will corrupt Ophelia as it has corrupted Gertrude; Gertrude has become a whore, a fate that Hamlet wishes Ophelia to avoid’</w:t>
      </w:r>
      <w:r w:rsidR="002238AF">
        <w:rPr>
          <w:rFonts w:ascii="Georgia" w:hAnsi="Georgia"/>
          <w:sz w:val="24"/>
          <w:szCs w:val="24"/>
        </w:rPr>
        <w:t>.</w:t>
      </w:r>
      <w:r w:rsidR="002238AF">
        <w:rPr>
          <w:rStyle w:val="FootnoteReference"/>
          <w:rFonts w:ascii="Georgia" w:hAnsi="Georgia"/>
          <w:sz w:val="24"/>
          <w:szCs w:val="24"/>
        </w:rPr>
        <w:footnoteReference w:id="12"/>
      </w:r>
      <w:r w:rsidR="0071262A" w:rsidRPr="00620631">
        <w:rPr>
          <w:rFonts w:ascii="Georgia" w:hAnsi="Georgia"/>
          <w:sz w:val="24"/>
          <w:szCs w:val="24"/>
        </w:rPr>
        <w:t xml:space="preserve"> </w:t>
      </w:r>
    </w:p>
    <w:p w14:paraId="3CD8918C" w14:textId="6BF3C091" w:rsidR="000C29C5" w:rsidRPr="00620631" w:rsidRDefault="00620631" w:rsidP="00620631">
      <w:pPr>
        <w:shd w:val="clear" w:color="auto" w:fill="FFFFFF"/>
        <w:spacing w:line="480" w:lineRule="auto"/>
        <w:rPr>
          <w:rFonts w:ascii="Georgia" w:hAnsi="Georgia"/>
          <w:sz w:val="24"/>
          <w:szCs w:val="24"/>
        </w:rPr>
      </w:pPr>
      <w:r w:rsidRPr="00620631">
        <w:rPr>
          <w:rFonts w:ascii="Georgia" w:hAnsi="Georgia"/>
          <w:sz w:val="24"/>
          <w:szCs w:val="24"/>
        </w:rPr>
        <w:t>Slide Ten: To conclude the presentation, I would like to make three points. Firstly, that t</w:t>
      </w:r>
      <w:r w:rsidR="00285FEC" w:rsidRPr="00620631">
        <w:rPr>
          <w:rFonts w:ascii="Georgia" w:hAnsi="Georgia"/>
          <w:sz w:val="24"/>
          <w:szCs w:val="24"/>
        </w:rPr>
        <w:t xml:space="preserve">he portrayal and reception of Gertrude in </w:t>
      </w:r>
      <w:r w:rsidR="00285FEC" w:rsidRPr="00620631">
        <w:rPr>
          <w:rFonts w:ascii="Georgia" w:hAnsi="Georgia"/>
          <w:i/>
          <w:iCs/>
          <w:sz w:val="24"/>
          <w:szCs w:val="24"/>
        </w:rPr>
        <w:t>Hamlet</w:t>
      </w:r>
      <w:r w:rsidR="00285FEC" w:rsidRPr="00620631">
        <w:rPr>
          <w:rFonts w:ascii="Georgia" w:hAnsi="Georgia"/>
          <w:sz w:val="24"/>
          <w:szCs w:val="24"/>
        </w:rPr>
        <w:t xml:space="preserve"> is inescapably bound up with the perception of her sexuality, particularly her sexuality as </w:t>
      </w:r>
      <w:proofErr w:type="spellStart"/>
      <w:proofErr w:type="gramStart"/>
      <w:r w:rsidR="00285FEC" w:rsidRPr="00620631">
        <w:rPr>
          <w:rFonts w:ascii="Georgia" w:hAnsi="Georgia"/>
          <w:sz w:val="24"/>
          <w:szCs w:val="24"/>
        </w:rPr>
        <w:t>a</w:t>
      </w:r>
      <w:proofErr w:type="spellEnd"/>
      <w:proofErr w:type="gramEnd"/>
      <w:r w:rsidR="00285FEC" w:rsidRPr="00620631">
        <w:rPr>
          <w:rFonts w:ascii="Georgia" w:hAnsi="Georgia"/>
          <w:sz w:val="24"/>
          <w:szCs w:val="24"/>
        </w:rPr>
        <w:t xml:space="preserve"> older, widowed woman.</w:t>
      </w:r>
      <w:r w:rsidRPr="00620631">
        <w:rPr>
          <w:rFonts w:ascii="Georgia" w:hAnsi="Georgia"/>
          <w:sz w:val="24"/>
          <w:szCs w:val="24"/>
        </w:rPr>
        <w:t xml:space="preserve"> </w:t>
      </w:r>
      <w:r w:rsidRPr="00620631">
        <w:rPr>
          <w:rFonts w:ascii="Georgia" w:hAnsi="Georgia"/>
          <w:sz w:val="24"/>
          <w:szCs w:val="24"/>
        </w:rPr>
        <w:lastRenderedPageBreak/>
        <w:t xml:space="preserve">Secondly, </w:t>
      </w:r>
      <w:r w:rsidR="00285FEC" w:rsidRPr="00620631">
        <w:rPr>
          <w:rFonts w:ascii="Georgia" w:hAnsi="Georgia"/>
          <w:sz w:val="24"/>
          <w:szCs w:val="24"/>
        </w:rPr>
        <w:t>Hamlet</w:t>
      </w:r>
      <w:r w:rsidR="00705AC4">
        <w:rPr>
          <w:rFonts w:ascii="Georgia" w:hAnsi="Georgia"/>
          <w:sz w:val="24"/>
          <w:szCs w:val="24"/>
        </w:rPr>
        <w:t xml:space="preserve"> (and men in the play generally)</w:t>
      </w:r>
      <w:r w:rsidR="00285FEC" w:rsidRPr="00620631">
        <w:rPr>
          <w:rFonts w:ascii="Georgia" w:hAnsi="Georgia"/>
          <w:sz w:val="24"/>
          <w:szCs w:val="24"/>
        </w:rPr>
        <w:t xml:space="preserve"> condemns Gertrude not as a single woman, but as a representative of women more broadly – we can see this in his treatment of Ophelia.</w:t>
      </w:r>
      <w:r w:rsidRPr="00620631">
        <w:rPr>
          <w:rFonts w:ascii="Georgia" w:hAnsi="Georgia"/>
          <w:sz w:val="24"/>
          <w:szCs w:val="24"/>
        </w:rPr>
        <w:t xml:space="preserve"> Finally, I would like us to ask ourselves, when analysing the character of Gertrude: </w:t>
      </w:r>
      <w:r w:rsidR="00285FEC" w:rsidRPr="00620631">
        <w:rPr>
          <w:rFonts w:ascii="Georgia" w:hAnsi="Georgia"/>
          <w:sz w:val="24"/>
          <w:szCs w:val="24"/>
        </w:rPr>
        <w:t>Is it possible to remove ourselves from Hamlet’s view of Gertrude through the lens of his own patriarchal society and the Madonna-whore complex? If we were able to, would our view of Gertrude be a more sympathetic one?</w:t>
      </w:r>
      <w:bookmarkStart w:id="0" w:name="_GoBack"/>
      <w:bookmarkEnd w:id="0"/>
    </w:p>
    <w:p w14:paraId="48AB9E55" w14:textId="0D4E37A7" w:rsidR="0071262A" w:rsidRPr="000B6C73" w:rsidRDefault="0071262A" w:rsidP="000B6C73">
      <w:pPr>
        <w:shd w:val="clear" w:color="auto" w:fill="FFFFFF"/>
        <w:spacing w:line="480" w:lineRule="auto"/>
        <w:rPr>
          <w:rFonts w:ascii="Georgia" w:hAnsi="Georgia"/>
          <w:sz w:val="24"/>
          <w:szCs w:val="24"/>
          <w:lang w:val="en-US"/>
        </w:rPr>
      </w:pPr>
    </w:p>
    <w:p w14:paraId="0DEAA2B1" w14:textId="5F5C9B9B" w:rsidR="00675EA0" w:rsidRPr="00191214" w:rsidRDefault="00675EA0" w:rsidP="00191214">
      <w:pPr>
        <w:shd w:val="clear" w:color="auto" w:fill="FFFFFF"/>
        <w:spacing w:line="480" w:lineRule="auto"/>
        <w:jc w:val="both"/>
        <w:rPr>
          <w:rFonts w:ascii="Georgia" w:hAnsi="Georgia"/>
          <w:sz w:val="24"/>
          <w:szCs w:val="24"/>
        </w:rPr>
      </w:pPr>
    </w:p>
    <w:p w14:paraId="1D4E9B57" w14:textId="51A21D7B" w:rsidR="00C77934" w:rsidRPr="00C77934" w:rsidRDefault="00C77934" w:rsidP="007E6314">
      <w:pPr>
        <w:shd w:val="clear" w:color="auto" w:fill="FFFFFF"/>
        <w:spacing w:after="0" w:line="480" w:lineRule="auto"/>
        <w:jc w:val="both"/>
        <w:rPr>
          <w:rFonts w:ascii="Georgia" w:hAnsi="Georgia"/>
          <w:sz w:val="24"/>
          <w:szCs w:val="24"/>
        </w:rPr>
      </w:pPr>
    </w:p>
    <w:p w14:paraId="5867631F" w14:textId="77777777" w:rsidR="00BF109B" w:rsidRDefault="00BF109B" w:rsidP="0025655B">
      <w:pPr>
        <w:shd w:val="clear" w:color="auto" w:fill="FFFFFF"/>
        <w:spacing w:after="0" w:line="480" w:lineRule="auto"/>
        <w:ind w:firstLine="720"/>
        <w:jc w:val="both"/>
        <w:rPr>
          <w:rFonts w:ascii="Georgia" w:hAnsi="Georgia"/>
          <w:sz w:val="24"/>
          <w:szCs w:val="24"/>
        </w:rPr>
      </w:pPr>
    </w:p>
    <w:p w14:paraId="11528ED5" w14:textId="77777777" w:rsidR="00BF109B" w:rsidRDefault="00BF109B" w:rsidP="0025655B">
      <w:pPr>
        <w:shd w:val="clear" w:color="auto" w:fill="FFFFFF"/>
        <w:spacing w:after="0" w:line="480" w:lineRule="auto"/>
        <w:ind w:firstLine="720"/>
        <w:jc w:val="both"/>
        <w:rPr>
          <w:rFonts w:ascii="Georgia" w:hAnsi="Georgia"/>
          <w:sz w:val="24"/>
          <w:szCs w:val="24"/>
        </w:rPr>
      </w:pPr>
    </w:p>
    <w:p w14:paraId="273E2A71" w14:textId="77777777" w:rsidR="00BF109B" w:rsidRDefault="00BF109B" w:rsidP="0025655B">
      <w:pPr>
        <w:shd w:val="clear" w:color="auto" w:fill="FFFFFF"/>
        <w:spacing w:after="0" w:line="480" w:lineRule="auto"/>
        <w:ind w:firstLine="720"/>
        <w:jc w:val="both"/>
        <w:rPr>
          <w:rFonts w:ascii="Georgia" w:hAnsi="Georgia"/>
          <w:sz w:val="24"/>
          <w:szCs w:val="24"/>
        </w:rPr>
      </w:pPr>
    </w:p>
    <w:p w14:paraId="16EEF936" w14:textId="77777777" w:rsidR="00BF109B" w:rsidRDefault="00BF109B" w:rsidP="0025655B">
      <w:pPr>
        <w:shd w:val="clear" w:color="auto" w:fill="FFFFFF"/>
        <w:spacing w:after="0" w:line="480" w:lineRule="auto"/>
        <w:ind w:firstLine="720"/>
        <w:jc w:val="both"/>
        <w:rPr>
          <w:rFonts w:ascii="Georgia" w:hAnsi="Georgia"/>
          <w:sz w:val="24"/>
          <w:szCs w:val="24"/>
        </w:rPr>
      </w:pPr>
    </w:p>
    <w:p w14:paraId="68DB3D05" w14:textId="77777777" w:rsidR="004339B0" w:rsidRDefault="004339B0" w:rsidP="0025655B">
      <w:pPr>
        <w:shd w:val="clear" w:color="auto" w:fill="FFFFFF"/>
        <w:spacing w:after="0" w:line="480" w:lineRule="auto"/>
        <w:ind w:firstLine="720"/>
        <w:jc w:val="both"/>
        <w:rPr>
          <w:rFonts w:ascii="Georgia" w:hAnsi="Georgia"/>
          <w:sz w:val="24"/>
          <w:szCs w:val="24"/>
        </w:rPr>
      </w:pPr>
    </w:p>
    <w:p w14:paraId="3DC0CFB2" w14:textId="77777777" w:rsidR="003E1B67" w:rsidRDefault="003E1B67" w:rsidP="0010206F">
      <w:pPr>
        <w:shd w:val="clear" w:color="auto" w:fill="FFFFFF"/>
        <w:spacing w:after="0" w:line="480" w:lineRule="auto"/>
        <w:jc w:val="both"/>
        <w:rPr>
          <w:rFonts w:ascii="Georgia" w:hAnsi="Georgia"/>
          <w:sz w:val="24"/>
          <w:szCs w:val="24"/>
        </w:rPr>
      </w:pPr>
    </w:p>
    <w:p w14:paraId="28ECA234" w14:textId="77777777" w:rsidR="00BF109B" w:rsidRPr="00F13458" w:rsidRDefault="00BF109B" w:rsidP="00F13458">
      <w:pPr>
        <w:shd w:val="clear" w:color="auto" w:fill="FFFFFF"/>
        <w:spacing w:after="0" w:line="240" w:lineRule="auto"/>
        <w:rPr>
          <w:rFonts w:ascii="Georgia" w:hAnsi="Georgia"/>
          <w:sz w:val="24"/>
          <w:szCs w:val="24"/>
        </w:rPr>
      </w:pPr>
    </w:p>
    <w:p w14:paraId="191763C2" w14:textId="77777777" w:rsidR="008E2BF6" w:rsidRPr="00863CDE" w:rsidRDefault="0014185B" w:rsidP="004A1033">
      <w:pPr>
        <w:spacing w:line="480" w:lineRule="auto"/>
        <w:jc w:val="center"/>
        <w:rPr>
          <w:rFonts w:ascii="Georgia" w:hAnsi="Georgia"/>
          <w:sz w:val="24"/>
          <w:szCs w:val="24"/>
        </w:rPr>
      </w:pPr>
      <w:r w:rsidRPr="00863CDE">
        <w:rPr>
          <w:rFonts w:ascii="Georgia" w:hAnsi="Georgia"/>
          <w:sz w:val="28"/>
          <w:szCs w:val="28"/>
        </w:rPr>
        <w:t>Bibliography</w:t>
      </w:r>
    </w:p>
    <w:p w14:paraId="315ACC2A" w14:textId="77777777" w:rsidR="00780637" w:rsidRPr="00C40E4C" w:rsidRDefault="00780637" w:rsidP="000209E6">
      <w:pPr>
        <w:pStyle w:val="FootnoteText"/>
        <w:spacing w:line="480" w:lineRule="auto"/>
        <w:ind w:left="720" w:hanging="720"/>
        <w:rPr>
          <w:rFonts w:ascii="Georgia" w:hAnsi="Georgia"/>
          <w:sz w:val="22"/>
          <w:szCs w:val="22"/>
          <w:lang w:val="en-US"/>
        </w:rPr>
      </w:pPr>
      <w:proofErr w:type="spellStart"/>
      <w:r w:rsidRPr="00C40E4C">
        <w:rPr>
          <w:rFonts w:ascii="Georgia" w:hAnsi="Georgia"/>
          <w:sz w:val="22"/>
          <w:szCs w:val="22"/>
        </w:rPr>
        <w:t>Baldick</w:t>
      </w:r>
      <w:proofErr w:type="spellEnd"/>
      <w:r w:rsidRPr="00C40E4C">
        <w:rPr>
          <w:rFonts w:ascii="Georgia" w:hAnsi="Georgia"/>
          <w:sz w:val="22"/>
          <w:szCs w:val="22"/>
        </w:rPr>
        <w:t xml:space="preserve">, Chris, </w:t>
      </w:r>
      <w:r w:rsidRPr="00C40E4C">
        <w:rPr>
          <w:rFonts w:ascii="Georgia" w:hAnsi="Georgia"/>
          <w:i/>
          <w:sz w:val="22"/>
          <w:szCs w:val="22"/>
        </w:rPr>
        <w:t>The Oxford Dictionary of Literary Terms</w:t>
      </w:r>
      <w:r w:rsidRPr="00C40E4C">
        <w:rPr>
          <w:rFonts w:ascii="Georgia" w:hAnsi="Georgia"/>
          <w:sz w:val="22"/>
          <w:szCs w:val="22"/>
        </w:rPr>
        <w:t>, 4</w:t>
      </w:r>
      <w:r w:rsidRPr="00C40E4C">
        <w:rPr>
          <w:rFonts w:ascii="Georgia" w:hAnsi="Georgia"/>
          <w:sz w:val="22"/>
          <w:szCs w:val="22"/>
          <w:vertAlign w:val="superscript"/>
        </w:rPr>
        <w:t>th</w:t>
      </w:r>
      <w:r w:rsidRPr="00C40E4C">
        <w:rPr>
          <w:rFonts w:ascii="Georgia" w:hAnsi="Georgia"/>
          <w:sz w:val="22"/>
          <w:szCs w:val="22"/>
        </w:rPr>
        <w:t xml:space="preserve"> edition, (Oxford: Oxford University Press, 2015)</w:t>
      </w:r>
    </w:p>
    <w:p w14:paraId="75E0B945" w14:textId="315A767E" w:rsidR="00780637" w:rsidRPr="00C40E4C" w:rsidRDefault="00780637" w:rsidP="000209E6">
      <w:pPr>
        <w:pStyle w:val="FootnoteText"/>
        <w:spacing w:line="480" w:lineRule="auto"/>
        <w:ind w:left="720" w:hanging="720"/>
        <w:rPr>
          <w:rFonts w:ascii="Georgia" w:hAnsi="Georgia"/>
          <w:sz w:val="22"/>
          <w:szCs w:val="22"/>
          <w:lang w:val="en-US"/>
        </w:rPr>
      </w:pPr>
    </w:p>
    <w:sectPr w:rsidR="00780637" w:rsidRPr="00C40E4C" w:rsidSect="001E765B">
      <w:headerReference w:type="default" r:id="rId9"/>
      <w:pgSz w:w="12240" w:h="15840"/>
      <w:pgMar w:top="1440" w:right="1440" w:bottom="1397"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C72DB65" w14:textId="77777777" w:rsidR="005E57DA" w:rsidRDefault="005E57DA" w:rsidP="007A6B7C">
      <w:pPr>
        <w:spacing w:after="0" w:line="240" w:lineRule="auto"/>
      </w:pPr>
      <w:r>
        <w:separator/>
      </w:r>
    </w:p>
  </w:endnote>
  <w:endnote w:type="continuationSeparator" w:id="0">
    <w:p w14:paraId="40FB6450" w14:textId="77777777" w:rsidR="005E57DA" w:rsidRDefault="005E57DA" w:rsidP="007A6B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A89890D" w14:textId="77777777" w:rsidR="005E57DA" w:rsidRDefault="005E57DA" w:rsidP="007A6B7C">
      <w:pPr>
        <w:spacing w:after="0" w:line="240" w:lineRule="auto"/>
      </w:pPr>
      <w:r>
        <w:separator/>
      </w:r>
    </w:p>
  </w:footnote>
  <w:footnote w:type="continuationSeparator" w:id="0">
    <w:p w14:paraId="23297555" w14:textId="77777777" w:rsidR="005E57DA" w:rsidRDefault="005E57DA" w:rsidP="007A6B7C">
      <w:pPr>
        <w:spacing w:after="0" w:line="240" w:lineRule="auto"/>
      </w:pPr>
      <w:r>
        <w:continuationSeparator/>
      </w:r>
    </w:p>
  </w:footnote>
  <w:footnote w:id="1">
    <w:p w14:paraId="1BAB0763" w14:textId="042B07E0" w:rsidR="00984AA1" w:rsidRPr="00984AA1" w:rsidRDefault="00984AA1">
      <w:pPr>
        <w:pStyle w:val="FootnoteText"/>
        <w:rPr>
          <w:lang w:val="en-US"/>
        </w:rPr>
      </w:pPr>
      <w:r>
        <w:rPr>
          <w:rStyle w:val="FootnoteReference"/>
        </w:rPr>
        <w:footnoteRef/>
      </w:r>
      <w:r>
        <w:t xml:space="preserve"> </w:t>
      </w:r>
      <w:r>
        <w:rPr>
          <w:lang w:val="en-US"/>
        </w:rPr>
        <w:t>Ernest Jones</w:t>
      </w:r>
    </w:p>
  </w:footnote>
  <w:footnote w:id="2">
    <w:p w14:paraId="13837219" w14:textId="09BEDE80" w:rsidR="00AA396E" w:rsidRPr="00AA396E" w:rsidRDefault="00AA396E">
      <w:pPr>
        <w:pStyle w:val="FootnoteText"/>
        <w:rPr>
          <w:lang w:val="en-US"/>
        </w:rPr>
      </w:pPr>
      <w:r>
        <w:rPr>
          <w:rStyle w:val="FootnoteReference"/>
        </w:rPr>
        <w:footnoteRef/>
      </w:r>
      <w:r>
        <w:t xml:space="preserve"> </w:t>
      </w:r>
      <w:r>
        <w:rPr>
          <w:lang w:val="en-US"/>
        </w:rPr>
        <w:t xml:space="preserve">Janet </w:t>
      </w:r>
      <w:proofErr w:type="spellStart"/>
      <w:r>
        <w:rPr>
          <w:lang w:val="en-US"/>
        </w:rPr>
        <w:t>Aldman</w:t>
      </w:r>
      <w:proofErr w:type="spellEnd"/>
      <w:r>
        <w:rPr>
          <w:lang w:val="en-US"/>
        </w:rPr>
        <w:t>, Suffocating Mothers: Fantasies of Maternal Origin in Shakespeare’s Plays, Hamlet to The Tempest</w:t>
      </w:r>
    </w:p>
  </w:footnote>
  <w:footnote w:id="3">
    <w:p w14:paraId="493D32D8" w14:textId="38D4A441" w:rsidR="00AA396E" w:rsidRPr="00AA396E" w:rsidRDefault="00AA396E">
      <w:pPr>
        <w:pStyle w:val="FootnoteText"/>
        <w:rPr>
          <w:lang w:val="en-US"/>
        </w:rPr>
      </w:pPr>
      <w:r>
        <w:rPr>
          <w:rStyle w:val="FootnoteReference"/>
        </w:rPr>
        <w:footnoteRef/>
      </w:r>
      <w:r>
        <w:t xml:space="preserve"> </w:t>
      </w:r>
      <w:r>
        <w:rPr>
          <w:lang w:val="en-US"/>
        </w:rPr>
        <w:t xml:space="preserve">Susan Dwyer </w:t>
      </w:r>
      <w:proofErr w:type="spellStart"/>
      <w:r>
        <w:rPr>
          <w:lang w:val="en-US"/>
        </w:rPr>
        <w:t>Amussen</w:t>
      </w:r>
      <w:proofErr w:type="spellEnd"/>
      <w:r>
        <w:rPr>
          <w:lang w:val="en-US"/>
        </w:rPr>
        <w:t>, Companion to Shakespeare</w:t>
      </w:r>
    </w:p>
  </w:footnote>
  <w:footnote w:id="4">
    <w:p w14:paraId="1BC2F322" w14:textId="7280F956" w:rsidR="00AA396E" w:rsidRPr="00AA396E" w:rsidRDefault="00AA396E">
      <w:pPr>
        <w:pStyle w:val="FootnoteText"/>
        <w:rPr>
          <w:lang w:val="en-US"/>
        </w:rPr>
      </w:pPr>
      <w:r>
        <w:rPr>
          <w:rStyle w:val="FootnoteReference"/>
        </w:rPr>
        <w:footnoteRef/>
      </w:r>
      <w:r>
        <w:t xml:space="preserve"> </w:t>
      </w:r>
      <w:r>
        <w:rPr>
          <w:lang w:val="en-US"/>
        </w:rPr>
        <w:t xml:space="preserve">Susan Dwyer </w:t>
      </w:r>
      <w:proofErr w:type="spellStart"/>
      <w:r>
        <w:rPr>
          <w:lang w:val="en-US"/>
        </w:rPr>
        <w:t>Amussen</w:t>
      </w:r>
      <w:proofErr w:type="spellEnd"/>
      <w:r>
        <w:rPr>
          <w:lang w:val="en-US"/>
        </w:rPr>
        <w:t>, Companion to Shakespeare</w:t>
      </w:r>
    </w:p>
  </w:footnote>
  <w:footnote w:id="5">
    <w:p w14:paraId="1849BACD" w14:textId="64370735" w:rsidR="0071262A" w:rsidRPr="00FC6AFA" w:rsidRDefault="0071262A">
      <w:pPr>
        <w:pStyle w:val="FootnoteText"/>
        <w:rPr>
          <w:lang w:val="en-US"/>
        </w:rPr>
      </w:pPr>
      <w:r>
        <w:rPr>
          <w:rStyle w:val="FootnoteReference"/>
        </w:rPr>
        <w:footnoteRef/>
      </w:r>
      <w:r>
        <w:t xml:space="preserve"> David D. Gilmore, </w:t>
      </w:r>
      <w:r>
        <w:rPr>
          <w:lang w:val="en-US"/>
        </w:rPr>
        <w:t>Misogyny: The Male Malady</w:t>
      </w:r>
    </w:p>
  </w:footnote>
  <w:footnote w:id="6">
    <w:p w14:paraId="388E4493" w14:textId="0728EFCF" w:rsidR="00AA396E" w:rsidRPr="00AA396E" w:rsidRDefault="00AA396E">
      <w:pPr>
        <w:pStyle w:val="FootnoteText"/>
        <w:rPr>
          <w:lang w:val="en-US"/>
        </w:rPr>
      </w:pPr>
      <w:r>
        <w:rPr>
          <w:rStyle w:val="FootnoteReference"/>
        </w:rPr>
        <w:footnoteRef/>
      </w:r>
      <w:r>
        <w:t xml:space="preserve"> </w:t>
      </w:r>
      <w:r>
        <w:rPr>
          <w:lang w:val="en-US"/>
        </w:rPr>
        <w:t>Kay Stanton, Hamlet’s Whores</w:t>
      </w:r>
    </w:p>
  </w:footnote>
  <w:footnote w:id="7">
    <w:p w14:paraId="6196B4D0" w14:textId="758D9226" w:rsidR="00AA396E" w:rsidRPr="00AA396E" w:rsidRDefault="00AA396E">
      <w:pPr>
        <w:pStyle w:val="FootnoteText"/>
        <w:rPr>
          <w:lang w:val="en-US"/>
        </w:rPr>
      </w:pPr>
      <w:r>
        <w:rPr>
          <w:rStyle w:val="FootnoteReference"/>
        </w:rPr>
        <w:footnoteRef/>
      </w:r>
      <w:r>
        <w:t xml:space="preserve"> </w:t>
      </w:r>
      <w:r>
        <w:rPr>
          <w:lang w:val="en-US"/>
        </w:rPr>
        <w:t>Hamlet</w:t>
      </w:r>
    </w:p>
  </w:footnote>
  <w:footnote w:id="8">
    <w:p w14:paraId="7182DFDA" w14:textId="32D17AF8" w:rsidR="002238AF" w:rsidRPr="002238AF" w:rsidRDefault="002238AF">
      <w:pPr>
        <w:pStyle w:val="FootnoteText"/>
        <w:rPr>
          <w:lang w:val="en-US"/>
        </w:rPr>
      </w:pPr>
      <w:r>
        <w:rPr>
          <w:rStyle w:val="FootnoteReference"/>
        </w:rPr>
        <w:footnoteRef/>
      </w:r>
      <w:r>
        <w:t xml:space="preserve"> </w:t>
      </w:r>
      <w:r>
        <w:rPr>
          <w:lang w:val="en-US"/>
        </w:rPr>
        <w:t>Hamlet</w:t>
      </w:r>
    </w:p>
  </w:footnote>
  <w:footnote w:id="9">
    <w:p w14:paraId="0974978F" w14:textId="1EE720AC" w:rsidR="002238AF" w:rsidRPr="002238AF" w:rsidRDefault="002238AF">
      <w:pPr>
        <w:pStyle w:val="FootnoteText"/>
        <w:rPr>
          <w:lang w:val="en-US"/>
        </w:rPr>
      </w:pPr>
      <w:r>
        <w:rPr>
          <w:rStyle w:val="FootnoteReference"/>
        </w:rPr>
        <w:footnoteRef/>
      </w:r>
      <w:r>
        <w:t xml:space="preserve"> </w:t>
      </w:r>
      <w:r>
        <w:rPr>
          <w:lang w:val="en-US"/>
        </w:rPr>
        <w:t>Hamlet</w:t>
      </w:r>
    </w:p>
  </w:footnote>
  <w:footnote w:id="10">
    <w:p w14:paraId="79D3F47C" w14:textId="05DF0961" w:rsidR="002238AF" w:rsidRPr="002238AF" w:rsidRDefault="002238AF">
      <w:pPr>
        <w:pStyle w:val="FootnoteText"/>
        <w:rPr>
          <w:lang w:val="en-US"/>
        </w:rPr>
      </w:pPr>
      <w:r>
        <w:rPr>
          <w:rStyle w:val="FootnoteReference"/>
        </w:rPr>
        <w:footnoteRef/>
      </w:r>
      <w:r>
        <w:t xml:space="preserve"> </w:t>
      </w:r>
      <w:r>
        <w:rPr>
          <w:lang w:val="en-US"/>
        </w:rPr>
        <w:t>Steven Mullaney, Mourning and Misogyny</w:t>
      </w:r>
    </w:p>
  </w:footnote>
  <w:footnote w:id="11">
    <w:p w14:paraId="46DE06D2" w14:textId="25771131" w:rsidR="002238AF" w:rsidRPr="002238AF" w:rsidRDefault="002238AF">
      <w:pPr>
        <w:pStyle w:val="FootnoteText"/>
        <w:rPr>
          <w:lang w:val="en-US"/>
        </w:rPr>
      </w:pPr>
      <w:r>
        <w:rPr>
          <w:rStyle w:val="FootnoteReference"/>
        </w:rPr>
        <w:footnoteRef/>
      </w:r>
      <w:r>
        <w:t xml:space="preserve"> </w:t>
      </w:r>
      <w:r>
        <w:rPr>
          <w:lang w:val="en-US"/>
        </w:rPr>
        <w:t>Hamlet</w:t>
      </w:r>
    </w:p>
  </w:footnote>
  <w:footnote w:id="12">
    <w:p w14:paraId="1EC47CC4" w14:textId="3E32C238" w:rsidR="002238AF" w:rsidRPr="002238AF" w:rsidRDefault="002238AF">
      <w:pPr>
        <w:pStyle w:val="FootnoteText"/>
        <w:rPr>
          <w:lang w:val="en-US"/>
        </w:rPr>
      </w:pPr>
      <w:r>
        <w:rPr>
          <w:rStyle w:val="FootnoteReference"/>
        </w:rPr>
        <w:footnoteRef/>
      </w:r>
      <w:r>
        <w:t xml:space="preserve"> </w:t>
      </w:r>
      <w:r>
        <w:rPr>
          <w:lang w:val="en-US"/>
        </w:rPr>
        <w:t>Hamlet’s Whores</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9EFD7AD" w14:textId="5C4C80CA" w:rsidR="0071262A" w:rsidRPr="007A6B7C" w:rsidRDefault="0071262A">
    <w:pPr>
      <w:pStyle w:val="Header"/>
      <w:jc w:val="right"/>
      <w:rPr>
        <w:rFonts w:ascii="Georgia" w:hAnsi="Georgia"/>
        <w:sz w:val="24"/>
        <w:szCs w:val="24"/>
      </w:rPr>
    </w:pPr>
    <w:r w:rsidRPr="007A6B7C">
      <w:rPr>
        <w:rFonts w:ascii="Georgia" w:hAnsi="Georgia"/>
        <w:sz w:val="24"/>
        <w:szCs w:val="24"/>
      </w:rPr>
      <w:t xml:space="preserve">Bowen-Perkins </w:t>
    </w:r>
    <w:sdt>
      <w:sdtPr>
        <w:rPr>
          <w:rFonts w:ascii="Georgia" w:hAnsi="Georgia"/>
          <w:sz w:val="24"/>
          <w:szCs w:val="24"/>
        </w:rPr>
        <w:id w:val="-602037371"/>
        <w:docPartObj>
          <w:docPartGallery w:val="Page Numbers (Top of Page)"/>
          <w:docPartUnique/>
        </w:docPartObj>
      </w:sdtPr>
      <w:sdtEndPr>
        <w:rPr>
          <w:noProof/>
        </w:rPr>
      </w:sdtEndPr>
      <w:sdtContent>
        <w:r w:rsidRPr="007A6B7C">
          <w:rPr>
            <w:rFonts w:ascii="Georgia" w:hAnsi="Georgia"/>
            <w:sz w:val="24"/>
            <w:szCs w:val="24"/>
          </w:rPr>
          <w:fldChar w:fldCharType="begin"/>
        </w:r>
        <w:r w:rsidRPr="007A6B7C">
          <w:rPr>
            <w:rFonts w:ascii="Georgia" w:hAnsi="Georgia"/>
            <w:sz w:val="24"/>
            <w:szCs w:val="24"/>
          </w:rPr>
          <w:instrText xml:space="preserve"> PAGE   \* MERGEFORMAT </w:instrText>
        </w:r>
        <w:r w:rsidRPr="007A6B7C">
          <w:rPr>
            <w:rFonts w:ascii="Georgia" w:hAnsi="Georgia"/>
            <w:sz w:val="24"/>
            <w:szCs w:val="24"/>
          </w:rPr>
          <w:fldChar w:fldCharType="separate"/>
        </w:r>
        <w:r w:rsidR="00705AC4">
          <w:rPr>
            <w:rFonts w:ascii="Georgia" w:hAnsi="Georgia"/>
            <w:noProof/>
            <w:sz w:val="24"/>
            <w:szCs w:val="24"/>
          </w:rPr>
          <w:t>9</w:t>
        </w:r>
        <w:r w:rsidRPr="007A6B7C">
          <w:rPr>
            <w:rFonts w:ascii="Georgia" w:hAnsi="Georgia"/>
            <w:noProof/>
            <w:sz w:val="24"/>
            <w:szCs w:val="24"/>
          </w:rPr>
          <w:fldChar w:fldCharType="end"/>
        </w:r>
      </w:sdtContent>
    </w:sdt>
  </w:p>
  <w:p w14:paraId="4131E210" w14:textId="77777777" w:rsidR="0071262A" w:rsidRDefault="0071262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3E1660"/>
    <w:multiLevelType w:val="hybridMultilevel"/>
    <w:tmpl w:val="DEBA12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723477C"/>
    <w:multiLevelType w:val="hybridMultilevel"/>
    <w:tmpl w:val="32C647E8"/>
    <w:lvl w:ilvl="0" w:tplc="13E0007C">
      <w:start w:val="1"/>
      <w:numFmt w:val="bullet"/>
      <w:lvlText w:val="•"/>
      <w:lvlJc w:val="left"/>
      <w:pPr>
        <w:tabs>
          <w:tab w:val="num" w:pos="720"/>
        </w:tabs>
        <w:ind w:left="720" w:hanging="360"/>
      </w:pPr>
      <w:rPr>
        <w:rFonts w:ascii="Arial" w:hAnsi="Arial" w:hint="default"/>
      </w:rPr>
    </w:lvl>
    <w:lvl w:ilvl="1" w:tplc="F6B8B59E" w:tentative="1">
      <w:start w:val="1"/>
      <w:numFmt w:val="bullet"/>
      <w:lvlText w:val="•"/>
      <w:lvlJc w:val="left"/>
      <w:pPr>
        <w:tabs>
          <w:tab w:val="num" w:pos="1440"/>
        </w:tabs>
        <w:ind w:left="1440" w:hanging="360"/>
      </w:pPr>
      <w:rPr>
        <w:rFonts w:ascii="Arial" w:hAnsi="Arial" w:hint="default"/>
      </w:rPr>
    </w:lvl>
    <w:lvl w:ilvl="2" w:tplc="FCE8EA6C" w:tentative="1">
      <w:start w:val="1"/>
      <w:numFmt w:val="bullet"/>
      <w:lvlText w:val="•"/>
      <w:lvlJc w:val="left"/>
      <w:pPr>
        <w:tabs>
          <w:tab w:val="num" w:pos="2160"/>
        </w:tabs>
        <w:ind w:left="2160" w:hanging="360"/>
      </w:pPr>
      <w:rPr>
        <w:rFonts w:ascii="Arial" w:hAnsi="Arial" w:hint="default"/>
      </w:rPr>
    </w:lvl>
    <w:lvl w:ilvl="3" w:tplc="C72EAF96" w:tentative="1">
      <w:start w:val="1"/>
      <w:numFmt w:val="bullet"/>
      <w:lvlText w:val="•"/>
      <w:lvlJc w:val="left"/>
      <w:pPr>
        <w:tabs>
          <w:tab w:val="num" w:pos="2880"/>
        </w:tabs>
        <w:ind w:left="2880" w:hanging="360"/>
      </w:pPr>
      <w:rPr>
        <w:rFonts w:ascii="Arial" w:hAnsi="Arial" w:hint="default"/>
      </w:rPr>
    </w:lvl>
    <w:lvl w:ilvl="4" w:tplc="B24A4774" w:tentative="1">
      <w:start w:val="1"/>
      <w:numFmt w:val="bullet"/>
      <w:lvlText w:val="•"/>
      <w:lvlJc w:val="left"/>
      <w:pPr>
        <w:tabs>
          <w:tab w:val="num" w:pos="3600"/>
        </w:tabs>
        <w:ind w:left="3600" w:hanging="360"/>
      </w:pPr>
      <w:rPr>
        <w:rFonts w:ascii="Arial" w:hAnsi="Arial" w:hint="default"/>
      </w:rPr>
    </w:lvl>
    <w:lvl w:ilvl="5" w:tplc="7A429998" w:tentative="1">
      <w:start w:val="1"/>
      <w:numFmt w:val="bullet"/>
      <w:lvlText w:val="•"/>
      <w:lvlJc w:val="left"/>
      <w:pPr>
        <w:tabs>
          <w:tab w:val="num" w:pos="4320"/>
        </w:tabs>
        <w:ind w:left="4320" w:hanging="360"/>
      </w:pPr>
      <w:rPr>
        <w:rFonts w:ascii="Arial" w:hAnsi="Arial" w:hint="default"/>
      </w:rPr>
    </w:lvl>
    <w:lvl w:ilvl="6" w:tplc="C69E0DEE" w:tentative="1">
      <w:start w:val="1"/>
      <w:numFmt w:val="bullet"/>
      <w:lvlText w:val="•"/>
      <w:lvlJc w:val="left"/>
      <w:pPr>
        <w:tabs>
          <w:tab w:val="num" w:pos="5040"/>
        </w:tabs>
        <w:ind w:left="5040" w:hanging="360"/>
      </w:pPr>
      <w:rPr>
        <w:rFonts w:ascii="Arial" w:hAnsi="Arial" w:hint="default"/>
      </w:rPr>
    </w:lvl>
    <w:lvl w:ilvl="7" w:tplc="9E9C3098" w:tentative="1">
      <w:start w:val="1"/>
      <w:numFmt w:val="bullet"/>
      <w:lvlText w:val="•"/>
      <w:lvlJc w:val="left"/>
      <w:pPr>
        <w:tabs>
          <w:tab w:val="num" w:pos="5760"/>
        </w:tabs>
        <w:ind w:left="5760" w:hanging="360"/>
      </w:pPr>
      <w:rPr>
        <w:rFonts w:ascii="Arial" w:hAnsi="Arial" w:hint="default"/>
      </w:rPr>
    </w:lvl>
    <w:lvl w:ilvl="8" w:tplc="ACEC687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77A5DEC"/>
    <w:multiLevelType w:val="hybridMultilevel"/>
    <w:tmpl w:val="FE3CE28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3DB0E96"/>
    <w:multiLevelType w:val="hybridMultilevel"/>
    <w:tmpl w:val="95B49B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9E126A6"/>
    <w:multiLevelType w:val="hybridMultilevel"/>
    <w:tmpl w:val="B52CE370"/>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5" w15:restartNumberingAfterBreak="0">
    <w:nsid w:val="44E414EE"/>
    <w:multiLevelType w:val="hybridMultilevel"/>
    <w:tmpl w:val="5C18A094"/>
    <w:lvl w:ilvl="0" w:tplc="D772C7D6">
      <w:start w:val="1"/>
      <w:numFmt w:val="bullet"/>
      <w:lvlText w:val="•"/>
      <w:lvlJc w:val="left"/>
      <w:pPr>
        <w:tabs>
          <w:tab w:val="num" w:pos="720"/>
        </w:tabs>
        <w:ind w:left="720" w:hanging="360"/>
      </w:pPr>
      <w:rPr>
        <w:rFonts w:ascii="Arial" w:hAnsi="Arial" w:hint="default"/>
      </w:rPr>
    </w:lvl>
    <w:lvl w:ilvl="1" w:tplc="040CAD82" w:tentative="1">
      <w:start w:val="1"/>
      <w:numFmt w:val="bullet"/>
      <w:lvlText w:val="•"/>
      <w:lvlJc w:val="left"/>
      <w:pPr>
        <w:tabs>
          <w:tab w:val="num" w:pos="1440"/>
        </w:tabs>
        <w:ind w:left="1440" w:hanging="360"/>
      </w:pPr>
      <w:rPr>
        <w:rFonts w:ascii="Arial" w:hAnsi="Arial" w:hint="default"/>
      </w:rPr>
    </w:lvl>
    <w:lvl w:ilvl="2" w:tplc="E690BC22" w:tentative="1">
      <w:start w:val="1"/>
      <w:numFmt w:val="bullet"/>
      <w:lvlText w:val="•"/>
      <w:lvlJc w:val="left"/>
      <w:pPr>
        <w:tabs>
          <w:tab w:val="num" w:pos="2160"/>
        </w:tabs>
        <w:ind w:left="2160" w:hanging="360"/>
      </w:pPr>
      <w:rPr>
        <w:rFonts w:ascii="Arial" w:hAnsi="Arial" w:hint="default"/>
      </w:rPr>
    </w:lvl>
    <w:lvl w:ilvl="3" w:tplc="15DE53F4" w:tentative="1">
      <w:start w:val="1"/>
      <w:numFmt w:val="bullet"/>
      <w:lvlText w:val="•"/>
      <w:lvlJc w:val="left"/>
      <w:pPr>
        <w:tabs>
          <w:tab w:val="num" w:pos="2880"/>
        </w:tabs>
        <w:ind w:left="2880" w:hanging="360"/>
      </w:pPr>
      <w:rPr>
        <w:rFonts w:ascii="Arial" w:hAnsi="Arial" w:hint="default"/>
      </w:rPr>
    </w:lvl>
    <w:lvl w:ilvl="4" w:tplc="2B26D728" w:tentative="1">
      <w:start w:val="1"/>
      <w:numFmt w:val="bullet"/>
      <w:lvlText w:val="•"/>
      <w:lvlJc w:val="left"/>
      <w:pPr>
        <w:tabs>
          <w:tab w:val="num" w:pos="3600"/>
        </w:tabs>
        <w:ind w:left="3600" w:hanging="360"/>
      </w:pPr>
      <w:rPr>
        <w:rFonts w:ascii="Arial" w:hAnsi="Arial" w:hint="default"/>
      </w:rPr>
    </w:lvl>
    <w:lvl w:ilvl="5" w:tplc="AE5223E4" w:tentative="1">
      <w:start w:val="1"/>
      <w:numFmt w:val="bullet"/>
      <w:lvlText w:val="•"/>
      <w:lvlJc w:val="left"/>
      <w:pPr>
        <w:tabs>
          <w:tab w:val="num" w:pos="4320"/>
        </w:tabs>
        <w:ind w:left="4320" w:hanging="360"/>
      </w:pPr>
      <w:rPr>
        <w:rFonts w:ascii="Arial" w:hAnsi="Arial" w:hint="default"/>
      </w:rPr>
    </w:lvl>
    <w:lvl w:ilvl="6" w:tplc="4412CB1C" w:tentative="1">
      <w:start w:val="1"/>
      <w:numFmt w:val="bullet"/>
      <w:lvlText w:val="•"/>
      <w:lvlJc w:val="left"/>
      <w:pPr>
        <w:tabs>
          <w:tab w:val="num" w:pos="5040"/>
        </w:tabs>
        <w:ind w:left="5040" w:hanging="360"/>
      </w:pPr>
      <w:rPr>
        <w:rFonts w:ascii="Arial" w:hAnsi="Arial" w:hint="default"/>
      </w:rPr>
    </w:lvl>
    <w:lvl w:ilvl="7" w:tplc="8C74B6B8" w:tentative="1">
      <w:start w:val="1"/>
      <w:numFmt w:val="bullet"/>
      <w:lvlText w:val="•"/>
      <w:lvlJc w:val="left"/>
      <w:pPr>
        <w:tabs>
          <w:tab w:val="num" w:pos="5760"/>
        </w:tabs>
        <w:ind w:left="5760" w:hanging="360"/>
      </w:pPr>
      <w:rPr>
        <w:rFonts w:ascii="Arial" w:hAnsi="Arial" w:hint="default"/>
      </w:rPr>
    </w:lvl>
    <w:lvl w:ilvl="8" w:tplc="3D682890"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51240C06"/>
    <w:multiLevelType w:val="hybridMultilevel"/>
    <w:tmpl w:val="CB1EECF0"/>
    <w:lvl w:ilvl="0" w:tplc="04090001">
      <w:start w:val="1"/>
      <w:numFmt w:val="bullet"/>
      <w:lvlText w:val=""/>
      <w:lvlJc w:val="left"/>
      <w:pPr>
        <w:ind w:left="720" w:hanging="360"/>
      </w:pPr>
      <w:rPr>
        <w:rFonts w:ascii="Symbol" w:hAnsi="Symbol" w:hint="default"/>
      </w:rPr>
    </w:lvl>
    <w:lvl w:ilvl="1" w:tplc="0409000F">
      <w:start w:val="1"/>
      <w:numFmt w:val="decimal"/>
      <w:lvlText w:val="%2."/>
      <w:lvlJc w:val="left"/>
      <w:pPr>
        <w:ind w:left="1440" w:hanging="360"/>
      </w:pPr>
      <w:rPr>
        <w:rFonts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B8D68AA"/>
    <w:multiLevelType w:val="hybridMultilevel"/>
    <w:tmpl w:val="3E248086"/>
    <w:lvl w:ilvl="0" w:tplc="1A2435E6">
      <w:start w:val="1"/>
      <w:numFmt w:val="bullet"/>
      <w:lvlText w:val="•"/>
      <w:lvlJc w:val="left"/>
      <w:pPr>
        <w:tabs>
          <w:tab w:val="num" w:pos="720"/>
        </w:tabs>
        <w:ind w:left="720" w:hanging="360"/>
      </w:pPr>
      <w:rPr>
        <w:rFonts w:ascii="Arial" w:hAnsi="Arial" w:hint="default"/>
      </w:rPr>
    </w:lvl>
    <w:lvl w:ilvl="1" w:tplc="0E38D7F6" w:tentative="1">
      <w:start w:val="1"/>
      <w:numFmt w:val="bullet"/>
      <w:lvlText w:val="•"/>
      <w:lvlJc w:val="left"/>
      <w:pPr>
        <w:tabs>
          <w:tab w:val="num" w:pos="1440"/>
        </w:tabs>
        <w:ind w:left="1440" w:hanging="360"/>
      </w:pPr>
      <w:rPr>
        <w:rFonts w:ascii="Arial" w:hAnsi="Arial" w:hint="default"/>
      </w:rPr>
    </w:lvl>
    <w:lvl w:ilvl="2" w:tplc="BAAE57EC" w:tentative="1">
      <w:start w:val="1"/>
      <w:numFmt w:val="bullet"/>
      <w:lvlText w:val="•"/>
      <w:lvlJc w:val="left"/>
      <w:pPr>
        <w:tabs>
          <w:tab w:val="num" w:pos="2160"/>
        </w:tabs>
        <w:ind w:left="2160" w:hanging="360"/>
      </w:pPr>
      <w:rPr>
        <w:rFonts w:ascii="Arial" w:hAnsi="Arial" w:hint="default"/>
      </w:rPr>
    </w:lvl>
    <w:lvl w:ilvl="3" w:tplc="8E7A548E" w:tentative="1">
      <w:start w:val="1"/>
      <w:numFmt w:val="bullet"/>
      <w:lvlText w:val="•"/>
      <w:lvlJc w:val="left"/>
      <w:pPr>
        <w:tabs>
          <w:tab w:val="num" w:pos="2880"/>
        </w:tabs>
        <w:ind w:left="2880" w:hanging="360"/>
      </w:pPr>
      <w:rPr>
        <w:rFonts w:ascii="Arial" w:hAnsi="Arial" w:hint="default"/>
      </w:rPr>
    </w:lvl>
    <w:lvl w:ilvl="4" w:tplc="5AB66134" w:tentative="1">
      <w:start w:val="1"/>
      <w:numFmt w:val="bullet"/>
      <w:lvlText w:val="•"/>
      <w:lvlJc w:val="left"/>
      <w:pPr>
        <w:tabs>
          <w:tab w:val="num" w:pos="3600"/>
        </w:tabs>
        <w:ind w:left="3600" w:hanging="360"/>
      </w:pPr>
      <w:rPr>
        <w:rFonts w:ascii="Arial" w:hAnsi="Arial" w:hint="default"/>
      </w:rPr>
    </w:lvl>
    <w:lvl w:ilvl="5" w:tplc="943C5DB8" w:tentative="1">
      <w:start w:val="1"/>
      <w:numFmt w:val="bullet"/>
      <w:lvlText w:val="•"/>
      <w:lvlJc w:val="left"/>
      <w:pPr>
        <w:tabs>
          <w:tab w:val="num" w:pos="4320"/>
        </w:tabs>
        <w:ind w:left="4320" w:hanging="360"/>
      </w:pPr>
      <w:rPr>
        <w:rFonts w:ascii="Arial" w:hAnsi="Arial" w:hint="default"/>
      </w:rPr>
    </w:lvl>
    <w:lvl w:ilvl="6" w:tplc="ECD8E3F0" w:tentative="1">
      <w:start w:val="1"/>
      <w:numFmt w:val="bullet"/>
      <w:lvlText w:val="•"/>
      <w:lvlJc w:val="left"/>
      <w:pPr>
        <w:tabs>
          <w:tab w:val="num" w:pos="5040"/>
        </w:tabs>
        <w:ind w:left="5040" w:hanging="360"/>
      </w:pPr>
      <w:rPr>
        <w:rFonts w:ascii="Arial" w:hAnsi="Arial" w:hint="default"/>
      </w:rPr>
    </w:lvl>
    <w:lvl w:ilvl="7" w:tplc="01AC5E66" w:tentative="1">
      <w:start w:val="1"/>
      <w:numFmt w:val="bullet"/>
      <w:lvlText w:val="•"/>
      <w:lvlJc w:val="left"/>
      <w:pPr>
        <w:tabs>
          <w:tab w:val="num" w:pos="5760"/>
        </w:tabs>
        <w:ind w:left="5760" w:hanging="360"/>
      </w:pPr>
      <w:rPr>
        <w:rFonts w:ascii="Arial" w:hAnsi="Arial" w:hint="default"/>
      </w:rPr>
    </w:lvl>
    <w:lvl w:ilvl="8" w:tplc="FFE46C26"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5E01182A"/>
    <w:multiLevelType w:val="hybridMultilevel"/>
    <w:tmpl w:val="B750EE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E676817"/>
    <w:multiLevelType w:val="hybridMultilevel"/>
    <w:tmpl w:val="2D1CF99C"/>
    <w:lvl w:ilvl="0" w:tplc="7114B032">
      <w:start w:val="1"/>
      <w:numFmt w:val="bullet"/>
      <w:lvlText w:val="•"/>
      <w:lvlJc w:val="left"/>
      <w:pPr>
        <w:tabs>
          <w:tab w:val="num" w:pos="720"/>
        </w:tabs>
        <w:ind w:left="720" w:hanging="360"/>
      </w:pPr>
      <w:rPr>
        <w:rFonts w:ascii="Arial" w:hAnsi="Arial" w:hint="default"/>
      </w:rPr>
    </w:lvl>
    <w:lvl w:ilvl="1" w:tplc="F3BAE576" w:tentative="1">
      <w:start w:val="1"/>
      <w:numFmt w:val="bullet"/>
      <w:lvlText w:val="•"/>
      <w:lvlJc w:val="left"/>
      <w:pPr>
        <w:tabs>
          <w:tab w:val="num" w:pos="1440"/>
        </w:tabs>
        <w:ind w:left="1440" w:hanging="360"/>
      </w:pPr>
      <w:rPr>
        <w:rFonts w:ascii="Arial" w:hAnsi="Arial" w:hint="default"/>
      </w:rPr>
    </w:lvl>
    <w:lvl w:ilvl="2" w:tplc="6776A2A8" w:tentative="1">
      <w:start w:val="1"/>
      <w:numFmt w:val="bullet"/>
      <w:lvlText w:val="•"/>
      <w:lvlJc w:val="left"/>
      <w:pPr>
        <w:tabs>
          <w:tab w:val="num" w:pos="2160"/>
        </w:tabs>
        <w:ind w:left="2160" w:hanging="360"/>
      </w:pPr>
      <w:rPr>
        <w:rFonts w:ascii="Arial" w:hAnsi="Arial" w:hint="default"/>
      </w:rPr>
    </w:lvl>
    <w:lvl w:ilvl="3" w:tplc="9508F952" w:tentative="1">
      <w:start w:val="1"/>
      <w:numFmt w:val="bullet"/>
      <w:lvlText w:val="•"/>
      <w:lvlJc w:val="left"/>
      <w:pPr>
        <w:tabs>
          <w:tab w:val="num" w:pos="2880"/>
        </w:tabs>
        <w:ind w:left="2880" w:hanging="360"/>
      </w:pPr>
      <w:rPr>
        <w:rFonts w:ascii="Arial" w:hAnsi="Arial" w:hint="default"/>
      </w:rPr>
    </w:lvl>
    <w:lvl w:ilvl="4" w:tplc="596CFD14" w:tentative="1">
      <w:start w:val="1"/>
      <w:numFmt w:val="bullet"/>
      <w:lvlText w:val="•"/>
      <w:lvlJc w:val="left"/>
      <w:pPr>
        <w:tabs>
          <w:tab w:val="num" w:pos="3600"/>
        </w:tabs>
        <w:ind w:left="3600" w:hanging="360"/>
      </w:pPr>
      <w:rPr>
        <w:rFonts w:ascii="Arial" w:hAnsi="Arial" w:hint="default"/>
      </w:rPr>
    </w:lvl>
    <w:lvl w:ilvl="5" w:tplc="7500DC60" w:tentative="1">
      <w:start w:val="1"/>
      <w:numFmt w:val="bullet"/>
      <w:lvlText w:val="•"/>
      <w:lvlJc w:val="left"/>
      <w:pPr>
        <w:tabs>
          <w:tab w:val="num" w:pos="4320"/>
        </w:tabs>
        <w:ind w:left="4320" w:hanging="360"/>
      </w:pPr>
      <w:rPr>
        <w:rFonts w:ascii="Arial" w:hAnsi="Arial" w:hint="default"/>
      </w:rPr>
    </w:lvl>
    <w:lvl w:ilvl="6" w:tplc="11F89DE0" w:tentative="1">
      <w:start w:val="1"/>
      <w:numFmt w:val="bullet"/>
      <w:lvlText w:val="•"/>
      <w:lvlJc w:val="left"/>
      <w:pPr>
        <w:tabs>
          <w:tab w:val="num" w:pos="5040"/>
        </w:tabs>
        <w:ind w:left="5040" w:hanging="360"/>
      </w:pPr>
      <w:rPr>
        <w:rFonts w:ascii="Arial" w:hAnsi="Arial" w:hint="default"/>
      </w:rPr>
    </w:lvl>
    <w:lvl w:ilvl="7" w:tplc="362ED1BC" w:tentative="1">
      <w:start w:val="1"/>
      <w:numFmt w:val="bullet"/>
      <w:lvlText w:val="•"/>
      <w:lvlJc w:val="left"/>
      <w:pPr>
        <w:tabs>
          <w:tab w:val="num" w:pos="5760"/>
        </w:tabs>
        <w:ind w:left="5760" w:hanging="360"/>
      </w:pPr>
      <w:rPr>
        <w:rFonts w:ascii="Arial" w:hAnsi="Arial" w:hint="default"/>
      </w:rPr>
    </w:lvl>
    <w:lvl w:ilvl="8" w:tplc="CF84A866"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63CA0379"/>
    <w:multiLevelType w:val="hybridMultilevel"/>
    <w:tmpl w:val="E8EAF1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55C17CC"/>
    <w:multiLevelType w:val="hybridMultilevel"/>
    <w:tmpl w:val="3A401622"/>
    <w:lvl w:ilvl="0" w:tplc="04090001">
      <w:start w:val="1"/>
      <w:numFmt w:val="bullet"/>
      <w:lvlText w:val=""/>
      <w:lvlJc w:val="left"/>
      <w:pPr>
        <w:ind w:left="720" w:hanging="360"/>
      </w:pPr>
      <w:rPr>
        <w:rFonts w:ascii="Symbol" w:hAnsi="Symbol" w:hint="default"/>
      </w:rPr>
    </w:lvl>
    <w:lvl w:ilvl="1" w:tplc="0409000F">
      <w:start w:val="1"/>
      <w:numFmt w:val="decimal"/>
      <w:lvlText w:val="%2."/>
      <w:lvlJc w:val="left"/>
      <w:pPr>
        <w:ind w:left="1440" w:hanging="360"/>
      </w:pPr>
      <w:rPr>
        <w:rFonts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DCA0B16"/>
    <w:multiLevelType w:val="hybridMultilevel"/>
    <w:tmpl w:val="ED9C16C6"/>
    <w:lvl w:ilvl="0" w:tplc="04090001">
      <w:start w:val="1"/>
      <w:numFmt w:val="bullet"/>
      <w:lvlText w:val=""/>
      <w:lvlJc w:val="left"/>
      <w:pPr>
        <w:ind w:left="720" w:hanging="360"/>
      </w:pPr>
      <w:rPr>
        <w:rFonts w:ascii="Symbol" w:hAnsi="Symbol" w:hint="default"/>
      </w:rPr>
    </w:lvl>
    <w:lvl w:ilvl="1" w:tplc="0409000F">
      <w:start w:val="1"/>
      <w:numFmt w:val="decimal"/>
      <w:lvlText w:val="%2."/>
      <w:lvlJc w:val="left"/>
      <w:pPr>
        <w:ind w:left="1440" w:hanging="360"/>
      </w:pPr>
      <w:rPr>
        <w:rFonts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7DDC2474"/>
    <w:multiLevelType w:val="hybridMultilevel"/>
    <w:tmpl w:val="70107BF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4" w15:restartNumberingAfterBreak="0">
    <w:nsid w:val="7E2C3E56"/>
    <w:multiLevelType w:val="hybridMultilevel"/>
    <w:tmpl w:val="443E95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8"/>
  </w:num>
  <w:num w:numId="2">
    <w:abstractNumId w:val="12"/>
  </w:num>
  <w:num w:numId="3">
    <w:abstractNumId w:val="14"/>
  </w:num>
  <w:num w:numId="4">
    <w:abstractNumId w:val="6"/>
  </w:num>
  <w:num w:numId="5">
    <w:abstractNumId w:val="0"/>
  </w:num>
  <w:num w:numId="6">
    <w:abstractNumId w:val="11"/>
  </w:num>
  <w:num w:numId="7">
    <w:abstractNumId w:val="3"/>
  </w:num>
  <w:num w:numId="8">
    <w:abstractNumId w:val="13"/>
  </w:num>
  <w:num w:numId="9">
    <w:abstractNumId w:val="10"/>
  </w:num>
  <w:num w:numId="10">
    <w:abstractNumId w:val="2"/>
  </w:num>
  <w:num w:numId="11">
    <w:abstractNumId w:val="4"/>
  </w:num>
  <w:num w:numId="12">
    <w:abstractNumId w:val="7"/>
  </w:num>
  <w:num w:numId="13">
    <w:abstractNumId w:val="9"/>
  </w:num>
  <w:num w:numId="14">
    <w:abstractNumId w:val="5"/>
  </w:num>
  <w:num w:numId="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14185B"/>
    <w:rsid w:val="000024AD"/>
    <w:rsid w:val="00005AA6"/>
    <w:rsid w:val="00010B16"/>
    <w:rsid w:val="00012056"/>
    <w:rsid w:val="00015364"/>
    <w:rsid w:val="00016769"/>
    <w:rsid w:val="000209E6"/>
    <w:rsid w:val="0002142D"/>
    <w:rsid w:val="0002312F"/>
    <w:rsid w:val="000244AD"/>
    <w:rsid w:val="00024C1D"/>
    <w:rsid w:val="00025192"/>
    <w:rsid w:val="00026059"/>
    <w:rsid w:val="000274DD"/>
    <w:rsid w:val="00027D29"/>
    <w:rsid w:val="000315FF"/>
    <w:rsid w:val="00040EA5"/>
    <w:rsid w:val="00041DCF"/>
    <w:rsid w:val="00041EA4"/>
    <w:rsid w:val="00044B1A"/>
    <w:rsid w:val="00045984"/>
    <w:rsid w:val="00053EB6"/>
    <w:rsid w:val="00056561"/>
    <w:rsid w:val="00056C25"/>
    <w:rsid w:val="000579DB"/>
    <w:rsid w:val="00060C59"/>
    <w:rsid w:val="000619D6"/>
    <w:rsid w:val="00064661"/>
    <w:rsid w:val="00066679"/>
    <w:rsid w:val="0007137F"/>
    <w:rsid w:val="00071D3B"/>
    <w:rsid w:val="00077681"/>
    <w:rsid w:val="00081E96"/>
    <w:rsid w:val="00083B91"/>
    <w:rsid w:val="0008436D"/>
    <w:rsid w:val="00084BB8"/>
    <w:rsid w:val="00086D8D"/>
    <w:rsid w:val="0009353A"/>
    <w:rsid w:val="00093858"/>
    <w:rsid w:val="00093F71"/>
    <w:rsid w:val="000B344E"/>
    <w:rsid w:val="000B5A6F"/>
    <w:rsid w:val="000B6C21"/>
    <w:rsid w:val="000B6C73"/>
    <w:rsid w:val="000B77AC"/>
    <w:rsid w:val="000C0E1A"/>
    <w:rsid w:val="000C1253"/>
    <w:rsid w:val="000C29C5"/>
    <w:rsid w:val="000C576A"/>
    <w:rsid w:val="000C7663"/>
    <w:rsid w:val="000D1E4D"/>
    <w:rsid w:val="000D3D37"/>
    <w:rsid w:val="000D4768"/>
    <w:rsid w:val="000D58B0"/>
    <w:rsid w:val="000D6F75"/>
    <w:rsid w:val="000E1668"/>
    <w:rsid w:val="000E16B4"/>
    <w:rsid w:val="000E6FB4"/>
    <w:rsid w:val="000F1705"/>
    <w:rsid w:val="000F2500"/>
    <w:rsid w:val="000F351E"/>
    <w:rsid w:val="000F3F29"/>
    <w:rsid w:val="000F44D1"/>
    <w:rsid w:val="000F63BD"/>
    <w:rsid w:val="00101FA6"/>
    <w:rsid w:val="0010206F"/>
    <w:rsid w:val="00103531"/>
    <w:rsid w:val="0011062B"/>
    <w:rsid w:val="001108D6"/>
    <w:rsid w:val="00112003"/>
    <w:rsid w:val="001123C5"/>
    <w:rsid w:val="00113E3A"/>
    <w:rsid w:val="0012280E"/>
    <w:rsid w:val="001231B3"/>
    <w:rsid w:val="00124F93"/>
    <w:rsid w:val="00125449"/>
    <w:rsid w:val="00126A08"/>
    <w:rsid w:val="0013459D"/>
    <w:rsid w:val="00136AD4"/>
    <w:rsid w:val="0014185B"/>
    <w:rsid w:val="00143019"/>
    <w:rsid w:val="00143E1E"/>
    <w:rsid w:val="00153FA3"/>
    <w:rsid w:val="00156129"/>
    <w:rsid w:val="001615BC"/>
    <w:rsid w:val="00164FF0"/>
    <w:rsid w:val="001703F5"/>
    <w:rsid w:val="001730D8"/>
    <w:rsid w:val="00191214"/>
    <w:rsid w:val="001913EB"/>
    <w:rsid w:val="00192BEA"/>
    <w:rsid w:val="00194F0C"/>
    <w:rsid w:val="0019504F"/>
    <w:rsid w:val="00196B1C"/>
    <w:rsid w:val="00196BD3"/>
    <w:rsid w:val="0019757A"/>
    <w:rsid w:val="001A35C4"/>
    <w:rsid w:val="001A39C4"/>
    <w:rsid w:val="001B0DFA"/>
    <w:rsid w:val="001B0F37"/>
    <w:rsid w:val="001B1782"/>
    <w:rsid w:val="001B5D31"/>
    <w:rsid w:val="001C1E75"/>
    <w:rsid w:val="001C4619"/>
    <w:rsid w:val="001D1E6C"/>
    <w:rsid w:val="001D35D5"/>
    <w:rsid w:val="001D548B"/>
    <w:rsid w:val="001D76A6"/>
    <w:rsid w:val="001E0C44"/>
    <w:rsid w:val="001E12A2"/>
    <w:rsid w:val="001E2ED9"/>
    <w:rsid w:val="001E373E"/>
    <w:rsid w:val="001E6539"/>
    <w:rsid w:val="001E765B"/>
    <w:rsid w:val="001F08B5"/>
    <w:rsid w:val="001F24CC"/>
    <w:rsid w:val="001F25B6"/>
    <w:rsid w:val="001F7C51"/>
    <w:rsid w:val="0020549D"/>
    <w:rsid w:val="00210AFB"/>
    <w:rsid w:val="00213331"/>
    <w:rsid w:val="00215609"/>
    <w:rsid w:val="002160D7"/>
    <w:rsid w:val="002172C2"/>
    <w:rsid w:val="00217320"/>
    <w:rsid w:val="00220317"/>
    <w:rsid w:val="002213A9"/>
    <w:rsid w:val="00222C57"/>
    <w:rsid w:val="002238AF"/>
    <w:rsid w:val="00225646"/>
    <w:rsid w:val="00230616"/>
    <w:rsid w:val="00233560"/>
    <w:rsid w:val="00237C31"/>
    <w:rsid w:val="00241789"/>
    <w:rsid w:val="00241E8C"/>
    <w:rsid w:val="0024492D"/>
    <w:rsid w:val="00244B66"/>
    <w:rsid w:val="002462D2"/>
    <w:rsid w:val="00251BB8"/>
    <w:rsid w:val="00254488"/>
    <w:rsid w:val="0025655B"/>
    <w:rsid w:val="00265AC5"/>
    <w:rsid w:val="00266A31"/>
    <w:rsid w:val="00270EBB"/>
    <w:rsid w:val="002728DE"/>
    <w:rsid w:val="002762C1"/>
    <w:rsid w:val="00281316"/>
    <w:rsid w:val="00285FEC"/>
    <w:rsid w:val="00290628"/>
    <w:rsid w:val="00290721"/>
    <w:rsid w:val="002A1DA3"/>
    <w:rsid w:val="002B005E"/>
    <w:rsid w:val="002B2CFE"/>
    <w:rsid w:val="002B4527"/>
    <w:rsid w:val="002B52D3"/>
    <w:rsid w:val="002C1F95"/>
    <w:rsid w:val="002C2075"/>
    <w:rsid w:val="002C6549"/>
    <w:rsid w:val="002C74B7"/>
    <w:rsid w:val="002C7C8F"/>
    <w:rsid w:val="002D053D"/>
    <w:rsid w:val="002D06A6"/>
    <w:rsid w:val="002D5DE7"/>
    <w:rsid w:val="002E1563"/>
    <w:rsid w:val="002E240B"/>
    <w:rsid w:val="002F6EBD"/>
    <w:rsid w:val="003029D6"/>
    <w:rsid w:val="003139AD"/>
    <w:rsid w:val="00314EF2"/>
    <w:rsid w:val="0031577A"/>
    <w:rsid w:val="00315C5C"/>
    <w:rsid w:val="003163F6"/>
    <w:rsid w:val="00330EF5"/>
    <w:rsid w:val="00332C8D"/>
    <w:rsid w:val="00342887"/>
    <w:rsid w:val="00345F6D"/>
    <w:rsid w:val="00355E67"/>
    <w:rsid w:val="0036203D"/>
    <w:rsid w:val="003660AA"/>
    <w:rsid w:val="003722CC"/>
    <w:rsid w:val="00373085"/>
    <w:rsid w:val="00373A97"/>
    <w:rsid w:val="0037449F"/>
    <w:rsid w:val="00375496"/>
    <w:rsid w:val="0037553E"/>
    <w:rsid w:val="00377CFF"/>
    <w:rsid w:val="003808D5"/>
    <w:rsid w:val="003837F7"/>
    <w:rsid w:val="00384BE7"/>
    <w:rsid w:val="003853F1"/>
    <w:rsid w:val="00392587"/>
    <w:rsid w:val="0039486C"/>
    <w:rsid w:val="003A4F26"/>
    <w:rsid w:val="003A675E"/>
    <w:rsid w:val="003B294C"/>
    <w:rsid w:val="003B2C8E"/>
    <w:rsid w:val="003B67B3"/>
    <w:rsid w:val="003B75FC"/>
    <w:rsid w:val="003C00A4"/>
    <w:rsid w:val="003C01AE"/>
    <w:rsid w:val="003C0EC1"/>
    <w:rsid w:val="003C3F0D"/>
    <w:rsid w:val="003C4E97"/>
    <w:rsid w:val="003C5B89"/>
    <w:rsid w:val="003D0A2E"/>
    <w:rsid w:val="003D0BC0"/>
    <w:rsid w:val="003D4FA8"/>
    <w:rsid w:val="003D5AB3"/>
    <w:rsid w:val="003E1B67"/>
    <w:rsid w:val="003E302E"/>
    <w:rsid w:val="003E73BA"/>
    <w:rsid w:val="003F3466"/>
    <w:rsid w:val="003F3705"/>
    <w:rsid w:val="00403266"/>
    <w:rsid w:val="0040392D"/>
    <w:rsid w:val="00403FF2"/>
    <w:rsid w:val="004040C2"/>
    <w:rsid w:val="00404FCD"/>
    <w:rsid w:val="00405C4C"/>
    <w:rsid w:val="00411036"/>
    <w:rsid w:val="00412405"/>
    <w:rsid w:val="00415D54"/>
    <w:rsid w:val="0041722E"/>
    <w:rsid w:val="004261D7"/>
    <w:rsid w:val="004263AC"/>
    <w:rsid w:val="004269B7"/>
    <w:rsid w:val="004309B4"/>
    <w:rsid w:val="00431383"/>
    <w:rsid w:val="00431D57"/>
    <w:rsid w:val="004339B0"/>
    <w:rsid w:val="00434C2D"/>
    <w:rsid w:val="00437F3C"/>
    <w:rsid w:val="004402FF"/>
    <w:rsid w:val="00443028"/>
    <w:rsid w:val="00443520"/>
    <w:rsid w:val="00443B64"/>
    <w:rsid w:val="00444D07"/>
    <w:rsid w:val="00452D95"/>
    <w:rsid w:val="004553FA"/>
    <w:rsid w:val="004600E2"/>
    <w:rsid w:val="00474285"/>
    <w:rsid w:val="00475795"/>
    <w:rsid w:val="0047683A"/>
    <w:rsid w:val="0048018D"/>
    <w:rsid w:val="00480C4C"/>
    <w:rsid w:val="004916AE"/>
    <w:rsid w:val="004946B8"/>
    <w:rsid w:val="004969CB"/>
    <w:rsid w:val="004A1033"/>
    <w:rsid w:val="004B0FD4"/>
    <w:rsid w:val="004B2216"/>
    <w:rsid w:val="004B3640"/>
    <w:rsid w:val="004B66BA"/>
    <w:rsid w:val="004C17BD"/>
    <w:rsid w:val="004C1950"/>
    <w:rsid w:val="004C30B9"/>
    <w:rsid w:val="004D036A"/>
    <w:rsid w:val="004D220C"/>
    <w:rsid w:val="004D27AE"/>
    <w:rsid w:val="004D4CB6"/>
    <w:rsid w:val="004E3556"/>
    <w:rsid w:val="004F4763"/>
    <w:rsid w:val="004F4F5B"/>
    <w:rsid w:val="004F6200"/>
    <w:rsid w:val="00504426"/>
    <w:rsid w:val="00511169"/>
    <w:rsid w:val="00512FB6"/>
    <w:rsid w:val="00513729"/>
    <w:rsid w:val="005137FF"/>
    <w:rsid w:val="00513F53"/>
    <w:rsid w:val="005158A1"/>
    <w:rsid w:val="005176BA"/>
    <w:rsid w:val="00524B16"/>
    <w:rsid w:val="00532440"/>
    <w:rsid w:val="0053255E"/>
    <w:rsid w:val="00533EED"/>
    <w:rsid w:val="0053725F"/>
    <w:rsid w:val="005413AC"/>
    <w:rsid w:val="005429FF"/>
    <w:rsid w:val="0054415C"/>
    <w:rsid w:val="00545836"/>
    <w:rsid w:val="00545D4B"/>
    <w:rsid w:val="005504EB"/>
    <w:rsid w:val="00554461"/>
    <w:rsid w:val="00563496"/>
    <w:rsid w:val="00564817"/>
    <w:rsid w:val="0057501E"/>
    <w:rsid w:val="00576526"/>
    <w:rsid w:val="00576DB9"/>
    <w:rsid w:val="005802CC"/>
    <w:rsid w:val="00581377"/>
    <w:rsid w:val="00583E9A"/>
    <w:rsid w:val="00585845"/>
    <w:rsid w:val="0059420A"/>
    <w:rsid w:val="00596C3C"/>
    <w:rsid w:val="00597AF1"/>
    <w:rsid w:val="005A4AF7"/>
    <w:rsid w:val="005A560C"/>
    <w:rsid w:val="005A7C41"/>
    <w:rsid w:val="005B6187"/>
    <w:rsid w:val="005B6DBF"/>
    <w:rsid w:val="005C1247"/>
    <w:rsid w:val="005C2DA6"/>
    <w:rsid w:val="005C30BA"/>
    <w:rsid w:val="005C3C71"/>
    <w:rsid w:val="005C4747"/>
    <w:rsid w:val="005D0135"/>
    <w:rsid w:val="005E57DA"/>
    <w:rsid w:val="005E696D"/>
    <w:rsid w:val="005F4F34"/>
    <w:rsid w:val="005F53D8"/>
    <w:rsid w:val="005F6D56"/>
    <w:rsid w:val="0060112D"/>
    <w:rsid w:val="00605AE6"/>
    <w:rsid w:val="00610D55"/>
    <w:rsid w:val="00612270"/>
    <w:rsid w:val="00612EAB"/>
    <w:rsid w:val="006134F1"/>
    <w:rsid w:val="00613DEC"/>
    <w:rsid w:val="00620631"/>
    <w:rsid w:val="0062144A"/>
    <w:rsid w:val="0062318C"/>
    <w:rsid w:val="006255B0"/>
    <w:rsid w:val="00625774"/>
    <w:rsid w:val="00626974"/>
    <w:rsid w:val="00626E9E"/>
    <w:rsid w:val="00627FB5"/>
    <w:rsid w:val="00631134"/>
    <w:rsid w:val="00632029"/>
    <w:rsid w:val="006335D6"/>
    <w:rsid w:val="00636B83"/>
    <w:rsid w:val="00637A96"/>
    <w:rsid w:val="00642A9B"/>
    <w:rsid w:val="00650C97"/>
    <w:rsid w:val="00651D11"/>
    <w:rsid w:val="00661B59"/>
    <w:rsid w:val="00666FDD"/>
    <w:rsid w:val="00671F34"/>
    <w:rsid w:val="006733A6"/>
    <w:rsid w:val="006737D9"/>
    <w:rsid w:val="00675EA0"/>
    <w:rsid w:val="00676213"/>
    <w:rsid w:val="006803D2"/>
    <w:rsid w:val="006820C4"/>
    <w:rsid w:val="00682C53"/>
    <w:rsid w:val="00684ADE"/>
    <w:rsid w:val="00686199"/>
    <w:rsid w:val="006A43ED"/>
    <w:rsid w:val="006A499C"/>
    <w:rsid w:val="006A5629"/>
    <w:rsid w:val="006A6043"/>
    <w:rsid w:val="006A633E"/>
    <w:rsid w:val="006A6AAD"/>
    <w:rsid w:val="006B2A8D"/>
    <w:rsid w:val="006B31CF"/>
    <w:rsid w:val="006B4872"/>
    <w:rsid w:val="006B5EF4"/>
    <w:rsid w:val="006B64F6"/>
    <w:rsid w:val="006B6F02"/>
    <w:rsid w:val="006B7DD2"/>
    <w:rsid w:val="006C2E95"/>
    <w:rsid w:val="006D11DE"/>
    <w:rsid w:val="006D24FB"/>
    <w:rsid w:val="006D29A0"/>
    <w:rsid w:val="006D37B2"/>
    <w:rsid w:val="006D579F"/>
    <w:rsid w:val="006D70FB"/>
    <w:rsid w:val="006D7669"/>
    <w:rsid w:val="006E2434"/>
    <w:rsid w:val="006E5E1A"/>
    <w:rsid w:val="006F002C"/>
    <w:rsid w:val="006F2D99"/>
    <w:rsid w:val="006F34BA"/>
    <w:rsid w:val="006F5F6D"/>
    <w:rsid w:val="006F6615"/>
    <w:rsid w:val="006F7AC3"/>
    <w:rsid w:val="006F7ECF"/>
    <w:rsid w:val="00700791"/>
    <w:rsid w:val="007018BA"/>
    <w:rsid w:val="00705AC4"/>
    <w:rsid w:val="007064FA"/>
    <w:rsid w:val="007070D6"/>
    <w:rsid w:val="00710FE4"/>
    <w:rsid w:val="0071262A"/>
    <w:rsid w:val="00715B35"/>
    <w:rsid w:val="0072082B"/>
    <w:rsid w:val="007235D9"/>
    <w:rsid w:val="00725D7D"/>
    <w:rsid w:val="00730701"/>
    <w:rsid w:val="00733ADA"/>
    <w:rsid w:val="007342DA"/>
    <w:rsid w:val="00740B23"/>
    <w:rsid w:val="00741E65"/>
    <w:rsid w:val="007424CB"/>
    <w:rsid w:val="007426ED"/>
    <w:rsid w:val="00742C10"/>
    <w:rsid w:val="00744A08"/>
    <w:rsid w:val="00745E4D"/>
    <w:rsid w:val="00746533"/>
    <w:rsid w:val="00750285"/>
    <w:rsid w:val="00753739"/>
    <w:rsid w:val="0075495C"/>
    <w:rsid w:val="00754F25"/>
    <w:rsid w:val="00762013"/>
    <w:rsid w:val="00771B6C"/>
    <w:rsid w:val="007735BB"/>
    <w:rsid w:val="007775EC"/>
    <w:rsid w:val="00780637"/>
    <w:rsid w:val="00791A8E"/>
    <w:rsid w:val="007924B0"/>
    <w:rsid w:val="0079731B"/>
    <w:rsid w:val="00797475"/>
    <w:rsid w:val="007A358C"/>
    <w:rsid w:val="007A5685"/>
    <w:rsid w:val="007A6A21"/>
    <w:rsid w:val="007A6B7C"/>
    <w:rsid w:val="007C6EB4"/>
    <w:rsid w:val="007D090F"/>
    <w:rsid w:val="007D5DC4"/>
    <w:rsid w:val="007E0C93"/>
    <w:rsid w:val="007E3BEE"/>
    <w:rsid w:val="007E6314"/>
    <w:rsid w:val="007E6BB3"/>
    <w:rsid w:val="007F324F"/>
    <w:rsid w:val="007F4849"/>
    <w:rsid w:val="008016DD"/>
    <w:rsid w:val="0080312A"/>
    <w:rsid w:val="008053D1"/>
    <w:rsid w:val="008055E3"/>
    <w:rsid w:val="008079B7"/>
    <w:rsid w:val="00807A6F"/>
    <w:rsid w:val="0081008F"/>
    <w:rsid w:val="008125D2"/>
    <w:rsid w:val="008155CE"/>
    <w:rsid w:val="00817A44"/>
    <w:rsid w:val="00822D69"/>
    <w:rsid w:val="00824DCF"/>
    <w:rsid w:val="00830D7C"/>
    <w:rsid w:val="00831AE8"/>
    <w:rsid w:val="00831D57"/>
    <w:rsid w:val="00832C74"/>
    <w:rsid w:val="00832F6E"/>
    <w:rsid w:val="00833AD6"/>
    <w:rsid w:val="0084022D"/>
    <w:rsid w:val="00842ADD"/>
    <w:rsid w:val="00842B34"/>
    <w:rsid w:val="00863056"/>
    <w:rsid w:val="00863CDE"/>
    <w:rsid w:val="008662BE"/>
    <w:rsid w:val="00867E9C"/>
    <w:rsid w:val="0087361B"/>
    <w:rsid w:val="00873B74"/>
    <w:rsid w:val="00874E29"/>
    <w:rsid w:val="008833D0"/>
    <w:rsid w:val="008841D9"/>
    <w:rsid w:val="00884A31"/>
    <w:rsid w:val="00884A6A"/>
    <w:rsid w:val="00890ACD"/>
    <w:rsid w:val="00890BC2"/>
    <w:rsid w:val="0089455B"/>
    <w:rsid w:val="00895BBF"/>
    <w:rsid w:val="008A5622"/>
    <w:rsid w:val="008A5999"/>
    <w:rsid w:val="008A5A1E"/>
    <w:rsid w:val="008A7DD7"/>
    <w:rsid w:val="008B0C11"/>
    <w:rsid w:val="008B1843"/>
    <w:rsid w:val="008B490D"/>
    <w:rsid w:val="008B5245"/>
    <w:rsid w:val="008B5A72"/>
    <w:rsid w:val="008B5CB6"/>
    <w:rsid w:val="008C1375"/>
    <w:rsid w:val="008C3906"/>
    <w:rsid w:val="008C6907"/>
    <w:rsid w:val="008D115F"/>
    <w:rsid w:val="008D1909"/>
    <w:rsid w:val="008D51A1"/>
    <w:rsid w:val="008D78A6"/>
    <w:rsid w:val="008E198E"/>
    <w:rsid w:val="008E2583"/>
    <w:rsid w:val="008E2BF6"/>
    <w:rsid w:val="008E2C7C"/>
    <w:rsid w:val="008E3607"/>
    <w:rsid w:val="008E50E3"/>
    <w:rsid w:val="008F1998"/>
    <w:rsid w:val="008F252A"/>
    <w:rsid w:val="0090042F"/>
    <w:rsid w:val="00911864"/>
    <w:rsid w:val="00912B7A"/>
    <w:rsid w:val="00920923"/>
    <w:rsid w:val="00922842"/>
    <w:rsid w:val="0092406D"/>
    <w:rsid w:val="0093332D"/>
    <w:rsid w:val="00933BDC"/>
    <w:rsid w:val="009414C9"/>
    <w:rsid w:val="0094214C"/>
    <w:rsid w:val="00943989"/>
    <w:rsid w:val="0094410F"/>
    <w:rsid w:val="00945894"/>
    <w:rsid w:val="00952180"/>
    <w:rsid w:val="009601E5"/>
    <w:rsid w:val="00960552"/>
    <w:rsid w:val="009606BE"/>
    <w:rsid w:val="0096417D"/>
    <w:rsid w:val="00971132"/>
    <w:rsid w:val="009748EF"/>
    <w:rsid w:val="009752B7"/>
    <w:rsid w:val="0097695B"/>
    <w:rsid w:val="00981AED"/>
    <w:rsid w:val="00982A6C"/>
    <w:rsid w:val="00984AA1"/>
    <w:rsid w:val="0098694D"/>
    <w:rsid w:val="00986975"/>
    <w:rsid w:val="009870AB"/>
    <w:rsid w:val="00991204"/>
    <w:rsid w:val="009916C0"/>
    <w:rsid w:val="0099753F"/>
    <w:rsid w:val="009A0AA6"/>
    <w:rsid w:val="009B0CF4"/>
    <w:rsid w:val="009B115E"/>
    <w:rsid w:val="009B75AA"/>
    <w:rsid w:val="009C687C"/>
    <w:rsid w:val="009D0B3C"/>
    <w:rsid w:val="009D239D"/>
    <w:rsid w:val="009D32F4"/>
    <w:rsid w:val="009D7586"/>
    <w:rsid w:val="009E0B9E"/>
    <w:rsid w:val="009E4C88"/>
    <w:rsid w:val="009E528F"/>
    <w:rsid w:val="009F0F12"/>
    <w:rsid w:val="00A014FA"/>
    <w:rsid w:val="00A03CAB"/>
    <w:rsid w:val="00A050BE"/>
    <w:rsid w:val="00A05ABE"/>
    <w:rsid w:val="00A15C75"/>
    <w:rsid w:val="00A22DD9"/>
    <w:rsid w:val="00A247D1"/>
    <w:rsid w:val="00A30322"/>
    <w:rsid w:val="00A30C06"/>
    <w:rsid w:val="00A3166B"/>
    <w:rsid w:val="00A3263C"/>
    <w:rsid w:val="00A32F1D"/>
    <w:rsid w:val="00A34869"/>
    <w:rsid w:val="00A3554E"/>
    <w:rsid w:val="00A43E4B"/>
    <w:rsid w:val="00A5054D"/>
    <w:rsid w:val="00A51126"/>
    <w:rsid w:val="00A51858"/>
    <w:rsid w:val="00A51960"/>
    <w:rsid w:val="00A57AA5"/>
    <w:rsid w:val="00A608B8"/>
    <w:rsid w:val="00A61AA5"/>
    <w:rsid w:val="00A647E4"/>
    <w:rsid w:val="00A724AA"/>
    <w:rsid w:val="00A740BF"/>
    <w:rsid w:val="00A81D9F"/>
    <w:rsid w:val="00A8462C"/>
    <w:rsid w:val="00A85B08"/>
    <w:rsid w:val="00A90DF5"/>
    <w:rsid w:val="00A92745"/>
    <w:rsid w:val="00A97F36"/>
    <w:rsid w:val="00AA396E"/>
    <w:rsid w:val="00AA6DC2"/>
    <w:rsid w:val="00AA7621"/>
    <w:rsid w:val="00AC378A"/>
    <w:rsid w:val="00AC5724"/>
    <w:rsid w:val="00AC6EF9"/>
    <w:rsid w:val="00AD3BB3"/>
    <w:rsid w:val="00AD47DD"/>
    <w:rsid w:val="00AE0608"/>
    <w:rsid w:val="00AE0C7D"/>
    <w:rsid w:val="00AE1305"/>
    <w:rsid w:val="00AE25D4"/>
    <w:rsid w:val="00AE37ED"/>
    <w:rsid w:val="00AE471F"/>
    <w:rsid w:val="00AE5059"/>
    <w:rsid w:val="00AE58FE"/>
    <w:rsid w:val="00AF3424"/>
    <w:rsid w:val="00AF5056"/>
    <w:rsid w:val="00AF582F"/>
    <w:rsid w:val="00AF64CE"/>
    <w:rsid w:val="00AF763C"/>
    <w:rsid w:val="00AF77FB"/>
    <w:rsid w:val="00B03544"/>
    <w:rsid w:val="00B046D5"/>
    <w:rsid w:val="00B04A4D"/>
    <w:rsid w:val="00B156CD"/>
    <w:rsid w:val="00B2151D"/>
    <w:rsid w:val="00B215D6"/>
    <w:rsid w:val="00B21F0C"/>
    <w:rsid w:val="00B31B8C"/>
    <w:rsid w:val="00B35102"/>
    <w:rsid w:val="00B37561"/>
    <w:rsid w:val="00B4179A"/>
    <w:rsid w:val="00B41FEE"/>
    <w:rsid w:val="00B51A7C"/>
    <w:rsid w:val="00B52646"/>
    <w:rsid w:val="00B54A7D"/>
    <w:rsid w:val="00B56DC4"/>
    <w:rsid w:val="00B60571"/>
    <w:rsid w:val="00B66763"/>
    <w:rsid w:val="00B67CAD"/>
    <w:rsid w:val="00B715BD"/>
    <w:rsid w:val="00B737E6"/>
    <w:rsid w:val="00B75245"/>
    <w:rsid w:val="00B8190F"/>
    <w:rsid w:val="00B83F6B"/>
    <w:rsid w:val="00B84C6F"/>
    <w:rsid w:val="00B9195D"/>
    <w:rsid w:val="00B93950"/>
    <w:rsid w:val="00B944D6"/>
    <w:rsid w:val="00B9489D"/>
    <w:rsid w:val="00BA00F2"/>
    <w:rsid w:val="00BA4B4B"/>
    <w:rsid w:val="00BA55FC"/>
    <w:rsid w:val="00BA7812"/>
    <w:rsid w:val="00BB1110"/>
    <w:rsid w:val="00BB1DED"/>
    <w:rsid w:val="00BC04CD"/>
    <w:rsid w:val="00BC09AD"/>
    <w:rsid w:val="00BC10EE"/>
    <w:rsid w:val="00BC2EBC"/>
    <w:rsid w:val="00BD134D"/>
    <w:rsid w:val="00BD4125"/>
    <w:rsid w:val="00BD45CB"/>
    <w:rsid w:val="00BD4B56"/>
    <w:rsid w:val="00BE05FE"/>
    <w:rsid w:val="00BE2204"/>
    <w:rsid w:val="00BE3841"/>
    <w:rsid w:val="00BF0BCC"/>
    <w:rsid w:val="00BF109B"/>
    <w:rsid w:val="00BF1A7E"/>
    <w:rsid w:val="00C00AF5"/>
    <w:rsid w:val="00C02106"/>
    <w:rsid w:val="00C04269"/>
    <w:rsid w:val="00C06392"/>
    <w:rsid w:val="00C10C7F"/>
    <w:rsid w:val="00C11135"/>
    <w:rsid w:val="00C11FE9"/>
    <w:rsid w:val="00C128D7"/>
    <w:rsid w:val="00C15A90"/>
    <w:rsid w:val="00C15E6C"/>
    <w:rsid w:val="00C16EF9"/>
    <w:rsid w:val="00C17DDF"/>
    <w:rsid w:val="00C21D37"/>
    <w:rsid w:val="00C2280E"/>
    <w:rsid w:val="00C263F5"/>
    <w:rsid w:val="00C26C95"/>
    <w:rsid w:val="00C30295"/>
    <w:rsid w:val="00C3058A"/>
    <w:rsid w:val="00C31F3F"/>
    <w:rsid w:val="00C32BF3"/>
    <w:rsid w:val="00C40421"/>
    <w:rsid w:val="00C40E4C"/>
    <w:rsid w:val="00C41E0C"/>
    <w:rsid w:val="00C423FB"/>
    <w:rsid w:val="00C44727"/>
    <w:rsid w:val="00C47DA1"/>
    <w:rsid w:val="00C52B97"/>
    <w:rsid w:val="00C5357D"/>
    <w:rsid w:val="00C5419D"/>
    <w:rsid w:val="00C6331A"/>
    <w:rsid w:val="00C66E6F"/>
    <w:rsid w:val="00C71C9D"/>
    <w:rsid w:val="00C73F40"/>
    <w:rsid w:val="00C74F9D"/>
    <w:rsid w:val="00C77934"/>
    <w:rsid w:val="00C82160"/>
    <w:rsid w:val="00C8644C"/>
    <w:rsid w:val="00C87F6E"/>
    <w:rsid w:val="00C90CE5"/>
    <w:rsid w:val="00C9546A"/>
    <w:rsid w:val="00C960E1"/>
    <w:rsid w:val="00C97472"/>
    <w:rsid w:val="00C97A2D"/>
    <w:rsid w:val="00CA40C7"/>
    <w:rsid w:val="00CA43B2"/>
    <w:rsid w:val="00CA4C9B"/>
    <w:rsid w:val="00CB076C"/>
    <w:rsid w:val="00CB4B2E"/>
    <w:rsid w:val="00CC402B"/>
    <w:rsid w:val="00CC513D"/>
    <w:rsid w:val="00CD4437"/>
    <w:rsid w:val="00CD62FD"/>
    <w:rsid w:val="00CE21AD"/>
    <w:rsid w:val="00CE31C1"/>
    <w:rsid w:val="00CE43BD"/>
    <w:rsid w:val="00CE4845"/>
    <w:rsid w:val="00CE740B"/>
    <w:rsid w:val="00CF0790"/>
    <w:rsid w:val="00CF6234"/>
    <w:rsid w:val="00D02718"/>
    <w:rsid w:val="00D03F5A"/>
    <w:rsid w:val="00D07A1F"/>
    <w:rsid w:val="00D10532"/>
    <w:rsid w:val="00D119A9"/>
    <w:rsid w:val="00D12108"/>
    <w:rsid w:val="00D12986"/>
    <w:rsid w:val="00D1622C"/>
    <w:rsid w:val="00D169F5"/>
    <w:rsid w:val="00D16AAC"/>
    <w:rsid w:val="00D206E1"/>
    <w:rsid w:val="00D20BB8"/>
    <w:rsid w:val="00D25466"/>
    <w:rsid w:val="00D3099B"/>
    <w:rsid w:val="00D338AD"/>
    <w:rsid w:val="00D33DE5"/>
    <w:rsid w:val="00D35935"/>
    <w:rsid w:val="00D35AD4"/>
    <w:rsid w:val="00D37003"/>
    <w:rsid w:val="00D41738"/>
    <w:rsid w:val="00D41937"/>
    <w:rsid w:val="00D42C0B"/>
    <w:rsid w:val="00D436F3"/>
    <w:rsid w:val="00D43C63"/>
    <w:rsid w:val="00D45489"/>
    <w:rsid w:val="00D47006"/>
    <w:rsid w:val="00D50566"/>
    <w:rsid w:val="00D507E6"/>
    <w:rsid w:val="00D50D55"/>
    <w:rsid w:val="00D5615B"/>
    <w:rsid w:val="00D57A9E"/>
    <w:rsid w:val="00D57B7A"/>
    <w:rsid w:val="00D63984"/>
    <w:rsid w:val="00D650E5"/>
    <w:rsid w:val="00D66F19"/>
    <w:rsid w:val="00D82D4E"/>
    <w:rsid w:val="00D83338"/>
    <w:rsid w:val="00D8387C"/>
    <w:rsid w:val="00D83BA6"/>
    <w:rsid w:val="00D845A0"/>
    <w:rsid w:val="00DA144C"/>
    <w:rsid w:val="00DA5A36"/>
    <w:rsid w:val="00DB4440"/>
    <w:rsid w:val="00DB5C52"/>
    <w:rsid w:val="00DB61B0"/>
    <w:rsid w:val="00DB792A"/>
    <w:rsid w:val="00DC1BBC"/>
    <w:rsid w:val="00DC2E2E"/>
    <w:rsid w:val="00DC7327"/>
    <w:rsid w:val="00DD5D5F"/>
    <w:rsid w:val="00DE3F49"/>
    <w:rsid w:val="00DF25F6"/>
    <w:rsid w:val="00DF32EC"/>
    <w:rsid w:val="00E010C2"/>
    <w:rsid w:val="00E037C3"/>
    <w:rsid w:val="00E11F02"/>
    <w:rsid w:val="00E16944"/>
    <w:rsid w:val="00E21CB9"/>
    <w:rsid w:val="00E26EF3"/>
    <w:rsid w:val="00E30EC8"/>
    <w:rsid w:val="00E3446C"/>
    <w:rsid w:val="00E3582E"/>
    <w:rsid w:val="00E420FC"/>
    <w:rsid w:val="00E60C6F"/>
    <w:rsid w:val="00E61D2E"/>
    <w:rsid w:val="00E62915"/>
    <w:rsid w:val="00E62CA4"/>
    <w:rsid w:val="00E637C4"/>
    <w:rsid w:val="00E63EF8"/>
    <w:rsid w:val="00E65B14"/>
    <w:rsid w:val="00E71197"/>
    <w:rsid w:val="00E7267F"/>
    <w:rsid w:val="00E7381B"/>
    <w:rsid w:val="00E7393B"/>
    <w:rsid w:val="00E7589F"/>
    <w:rsid w:val="00E759C5"/>
    <w:rsid w:val="00E84588"/>
    <w:rsid w:val="00E85286"/>
    <w:rsid w:val="00E85935"/>
    <w:rsid w:val="00E90DE1"/>
    <w:rsid w:val="00E93A3A"/>
    <w:rsid w:val="00EA111E"/>
    <w:rsid w:val="00EA60EE"/>
    <w:rsid w:val="00EB2456"/>
    <w:rsid w:val="00EB4B32"/>
    <w:rsid w:val="00EC0C64"/>
    <w:rsid w:val="00EC0F51"/>
    <w:rsid w:val="00EC4D00"/>
    <w:rsid w:val="00ED1CFA"/>
    <w:rsid w:val="00ED575B"/>
    <w:rsid w:val="00ED5B39"/>
    <w:rsid w:val="00ED7457"/>
    <w:rsid w:val="00ED76F1"/>
    <w:rsid w:val="00EE0436"/>
    <w:rsid w:val="00EE0F56"/>
    <w:rsid w:val="00EE476D"/>
    <w:rsid w:val="00EE5403"/>
    <w:rsid w:val="00EF13E7"/>
    <w:rsid w:val="00EF1E37"/>
    <w:rsid w:val="00EF45C0"/>
    <w:rsid w:val="00EF7496"/>
    <w:rsid w:val="00F003FD"/>
    <w:rsid w:val="00F0241C"/>
    <w:rsid w:val="00F0486C"/>
    <w:rsid w:val="00F04F61"/>
    <w:rsid w:val="00F12FD1"/>
    <w:rsid w:val="00F13458"/>
    <w:rsid w:val="00F14D86"/>
    <w:rsid w:val="00F16FFD"/>
    <w:rsid w:val="00F177CD"/>
    <w:rsid w:val="00F2254D"/>
    <w:rsid w:val="00F247F8"/>
    <w:rsid w:val="00F33C41"/>
    <w:rsid w:val="00F34C6E"/>
    <w:rsid w:val="00F44E69"/>
    <w:rsid w:val="00F51FA0"/>
    <w:rsid w:val="00F52635"/>
    <w:rsid w:val="00F548D0"/>
    <w:rsid w:val="00F55217"/>
    <w:rsid w:val="00F55271"/>
    <w:rsid w:val="00F56B36"/>
    <w:rsid w:val="00F64F92"/>
    <w:rsid w:val="00F65182"/>
    <w:rsid w:val="00F655DA"/>
    <w:rsid w:val="00F707A3"/>
    <w:rsid w:val="00F821F8"/>
    <w:rsid w:val="00F9183F"/>
    <w:rsid w:val="00F96444"/>
    <w:rsid w:val="00FA0111"/>
    <w:rsid w:val="00FA0802"/>
    <w:rsid w:val="00FA2FAD"/>
    <w:rsid w:val="00FA47D6"/>
    <w:rsid w:val="00FB3643"/>
    <w:rsid w:val="00FB4A8C"/>
    <w:rsid w:val="00FB5678"/>
    <w:rsid w:val="00FB773F"/>
    <w:rsid w:val="00FC0309"/>
    <w:rsid w:val="00FC3B78"/>
    <w:rsid w:val="00FC44DF"/>
    <w:rsid w:val="00FC6AFA"/>
    <w:rsid w:val="00FD2A93"/>
    <w:rsid w:val="00FD3D41"/>
    <w:rsid w:val="00FE01C4"/>
    <w:rsid w:val="00FE0B70"/>
    <w:rsid w:val="00FE2454"/>
    <w:rsid w:val="00FE34F7"/>
    <w:rsid w:val="00FE42D6"/>
    <w:rsid w:val="00FE4D90"/>
    <w:rsid w:val="00FE4EB0"/>
    <w:rsid w:val="00FE5B48"/>
    <w:rsid w:val="00FE6477"/>
    <w:rsid w:val="00FE730B"/>
    <w:rsid w:val="00FF0F63"/>
    <w:rsid w:val="00FF1664"/>
    <w:rsid w:val="00FF1C26"/>
    <w:rsid w:val="00FF3A1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E92FA81"/>
  <w15:docId w15:val="{0338ACCE-C532-4532-A900-8B9EF56ACC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4185B"/>
    <w:rPr>
      <w:lang w:val="en-GB"/>
    </w:rPr>
  </w:style>
  <w:style w:type="paragraph" w:styleId="Heading1">
    <w:name w:val="heading 1"/>
    <w:basedOn w:val="Normal"/>
    <w:next w:val="Normal"/>
    <w:link w:val="Heading1Char"/>
    <w:qFormat/>
    <w:rsid w:val="00AC5724"/>
    <w:pPr>
      <w:keepNext/>
      <w:spacing w:before="240" w:after="60" w:line="240" w:lineRule="auto"/>
      <w:outlineLvl w:val="0"/>
    </w:pPr>
    <w:rPr>
      <w:rFonts w:ascii="Arial" w:eastAsia="SimSun" w:hAnsi="Arial" w:cs="Arial"/>
      <w:b/>
      <w:bCs/>
      <w:kern w:val="32"/>
      <w:sz w:val="32"/>
      <w:szCs w:val="32"/>
      <w:lang w:eastAsia="zh-CN"/>
    </w:rPr>
  </w:style>
  <w:style w:type="paragraph" w:styleId="Heading3">
    <w:name w:val="heading 3"/>
    <w:basedOn w:val="Normal"/>
    <w:link w:val="Heading3Char"/>
    <w:qFormat/>
    <w:rsid w:val="00AC5724"/>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E3841"/>
    <w:pPr>
      <w:ind w:left="720"/>
      <w:contextualSpacing/>
    </w:pPr>
    <w:rPr>
      <w:rFonts w:eastAsiaTheme="minorEastAsia"/>
      <w:lang w:val="en-US"/>
    </w:rPr>
  </w:style>
  <w:style w:type="character" w:styleId="Hyperlink">
    <w:name w:val="Hyperlink"/>
    <w:basedOn w:val="DefaultParagraphFont"/>
    <w:uiPriority w:val="99"/>
    <w:unhideWhenUsed/>
    <w:rsid w:val="00832C74"/>
    <w:rPr>
      <w:color w:val="0000FF" w:themeColor="hyperlink"/>
      <w:u w:val="single"/>
    </w:rPr>
  </w:style>
  <w:style w:type="paragraph" w:styleId="Header">
    <w:name w:val="header"/>
    <w:basedOn w:val="Normal"/>
    <w:link w:val="HeaderChar"/>
    <w:uiPriority w:val="99"/>
    <w:unhideWhenUsed/>
    <w:rsid w:val="007A6B7C"/>
    <w:pPr>
      <w:tabs>
        <w:tab w:val="center" w:pos="4680"/>
        <w:tab w:val="right" w:pos="9360"/>
      </w:tabs>
      <w:spacing w:after="0" w:line="240" w:lineRule="auto"/>
    </w:pPr>
  </w:style>
  <w:style w:type="character" w:customStyle="1" w:styleId="HeaderChar">
    <w:name w:val="Header Char"/>
    <w:basedOn w:val="DefaultParagraphFont"/>
    <w:link w:val="Header"/>
    <w:uiPriority w:val="99"/>
    <w:rsid w:val="007A6B7C"/>
    <w:rPr>
      <w:lang w:val="en-GB"/>
    </w:rPr>
  </w:style>
  <w:style w:type="paragraph" w:styleId="Footer">
    <w:name w:val="footer"/>
    <w:basedOn w:val="Normal"/>
    <w:link w:val="FooterChar"/>
    <w:uiPriority w:val="99"/>
    <w:unhideWhenUsed/>
    <w:rsid w:val="007A6B7C"/>
    <w:pPr>
      <w:tabs>
        <w:tab w:val="center" w:pos="4680"/>
        <w:tab w:val="right" w:pos="9360"/>
      </w:tabs>
      <w:spacing w:after="0" w:line="240" w:lineRule="auto"/>
    </w:pPr>
  </w:style>
  <w:style w:type="character" w:customStyle="1" w:styleId="FooterChar">
    <w:name w:val="Footer Char"/>
    <w:basedOn w:val="DefaultParagraphFont"/>
    <w:link w:val="Footer"/>
    <w:uiPriority w:val="99"/>
    <w:rsid w:val="007A6B7C"/>
    <w:rPr>
      <w:lang w:val="en-GB"/>
    </w:rPr>
  </w:style>
  <w:style w:type="paragraph" w:styleId="BalloonText">
    <w:name w:val="Balloon Text"/>
    <w:basedOn w:val="Normal"/>
    <w:link w:val="BalloonTextChar"/>
    <w:uiPriority w:val="99"/>
    <w:semiHidden/>
    <w:unhideWhenUsed/>
    <w:rsid w:val="007A6B7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A6B7C"/>
    <w:rPr>
      <w:rFonts w:ascii="Tahoma" w:hAnsi="Tahoma" w:cs="Tahoma"/>
      <w:sz w:val="16"/>
      <w:szCs w:val="16"/>
      <w:lang w:val="en-GB"/>
    </w:rPr>
  </w:style>
  <w:style w:type="paragraph" w:styleId="FootnoteText">
    <w:name w:val="footnote text"/>
    <w:basedOn w:val="Normal"/>
    <w:link w:val="FootnoteTextChar"/>
    <w:uiPriority w:val="99"/>
    <w:semiHidden/>
    <w:unhideWhenUsed/>
    <w:rsid w:val="001F25B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F25B6"/>
    <w:rPr>
      <w:sz w:val="20"/>
      <w:szCs w:val="20"/>
      <w:lang w:val="en-GB"/>
    </w:rPr>
  </w:style>
  <w:style w:type="character" w:styleId="FootnoteReference">
    <w:name w:val="footnote reference"/>
    <w:basedOn w:val="DefaultParagraphFont"/>
    <w:uiPriority w:val="99"/>
    <w:semiHidden/>
    <w:unhideWhenUsed/>
    <w:rsid w:val="001F25B6"/>
    <w:rPr>
      <w:vertAlign w:val="superscript"/>
    </w:rPr>
  </w:style>
  <w:style w:type="character" w:customStyle="1" w:styleId="Heading1Char">
    <w:name w:val="Heading 1 Char"/>
    <w:basedOn w:val="DefaultParagraphFont"/>
    <w:link w:val="Heading1"/>
    <w:rsid w:val="00AC5724"/>
    <w:rPr>
      <w:rFonts w:ascii="Arial" w:eastAsia="SimSun" w:hAnsi="Arial" w:cs="Arial"/>
      <w:b/>
      <w:bCs/>
      <w:kern w:val="32"/>
      <w:sz w:val="32"/>
      <w:szCs w:val="32"/>
      <w:lang w:val="en-GB" w:eastAsia="zh-CN"/>
    </w:rPr>
  </w:style>
  <w:style w:type="character" w:customStyle="1" w:styleId="Heading3Char">
    <w:name w:val="Heading 3 Char"/>
    <w:basedOn w:val="DefaultParagraphFont"/>
    <w:link w:val="Heading3"/>
    <w:rsid w:val="00AC5724"/>
    <w:rPr>
      <w:rFonts w:ascii="Tahoma" w:eastAsia="SimSun" w:hAnsi="Tahoma" w:cs="Tahoma"/>
      <w:b/>
      <w:bCs/>
      <w:sz w:val="20"/>
      <w:szCs w:val="20"/>
      <w:lang w:val="en-GB" w:eastAsia="zh-CN"/>
    </w:rPr>
  </w:style>
  <w:style w:type="paragraph" w:styleId="NormalWeb">
    <w:name w:val="Normal (Web)"/>
    <w:basedOn w:val="Normal"/>
    <w:uiPriority w:val="99"/>
    <w:rsid w:val="00AC5724"/>
    <w:pPr>
      <w:spacing w:before="100" w:beforeAutospacing="1" w:after="100" w:afterAutospacing="1" w:line="240" w:lineRule="auto"/>
    </w:pPr>
    <w:rPr>
      <w:rFonts w:ascii="Georgia" w:eastAsia="SimSun" w:hAnsi="Georgia" w:cs="Times New Roman"/>
      <w:color w:val="000000"/>
      <w:sz w:val="21"/>
      <w:szCs w:val="21"/>
      <w:lang w:eastAsia="zh-CN"/>
    </w:rPr>
  </w:style>
  <w:style w:type="character" w:styleId="UnresolvedMention">
    <w:name w:val="Unresolved Mention"/>
    <w:basedOn w:val="DefaultParagraphFont"/>
    <w:uiPriority w:val="99"/>
    <w:semiHidden/>
    <w:unhideWhenUsed/>
    <w:rsid w:val="003029D6"/>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558362">
      <w:bodyDiv w:val="1"/>
      <w:marLeft w:val="0"/>
      <w:marRight w:val="0"/>
      <w:marTop w:val="0"/>
      <w:marBottom w:val="0"/>
      <w:divBdr>
        <w:top w:val="none" w:sz="0" w:space="0" w:color="auto"/>
        <w:left w:val="none" w:sz="0" w:space="0" w:color="auto"/>
        <w:bottom w:val="none" w:sz="0" w:space="0" w:color="auto"/>
        <w:right w:val="none" w:sz="0" w:space="0" w:color="auto"/>
      </w:divBdr>
      <w:divsChild>
        <w:div w:id="1480031837">
          <w:marLeft w:val="0"/>
          <w:marRight w:val="0"/>
          <w:marTop w:val="0"/>
          <w:marBottom w:val="0"/>
          <w:divBdr>
            <w:top w:val="none" w:sz="0" w:space="0" w:color="auto"/>
            <w:left w:val="none" w:sz="0" w:space="0" w:color="auto"/>
            <w:bottom w:val="none" w:sz="0" w:space="0" w:color="auto"/>
            <w:right w:val="none" w:sz="0" w:space="0" w:color="auto"/>
          </w:divBdr>
        </w:div>
        <w:div w:id="1480417680">
          <w:marLeft w:val="0"/>
          <w:marRight w:val="0"/>
          <w:marTop w:val="0"/>
          <w:marBottom w:val="0"/>
          <w:divBdr>
            <w:top w:val="none" w:sz="0" w:space="0" w:color="auto"/>
            <w:left w:val="none" w:sz="0" w:space="0" w:color="auto"/>
            <w:bottom w:val="none" w:sz="0" w:space="0" w:color="auto"/>
            <w:right w:val="none" w:sz="0" w:space="0" w:color="auto"/>
          </w:divBdr>
        </w:div>
      </w:divsChild>
    </w:div>
    <w:div w:id="400643439">
      <w:bodyDiv w:val="1"/>
      <w:marLeft w:val="0"/>
      <w:marRight w:val="0"/>
      <w:marTop w:val="0"/>
      <w:marBottom w:val="0"/>
      <w:divBdr>
        <w:top w:val="none" w:sz="0" w:space="0" w:color="auto"/>
        <w:left w:val="none" w:sz="0" w:space="0" w:color="auto"/>
        <w:bottom w:val="none" w:sz="0" w:space="0" w:color="auto"/>
        <w:right w:val="none" w:sz="0" w:space="0" w:color="auto"/>
      </w:divBdr>
    </w:div>
    <w:div w:id="467287621">
      <w:bodyDiv w:val="1"/>
      <w:marLeft w:val="0"/>
      <w:marRight w:val="0"/>
      <w:marTop w:val="0"/>
      <w:marBottom w:val="0"/>
      <w:divBdr>
        <w:top w:val="none" w:sz="0" w:space="0" w:color="auto"/>
        <w:left w:val="none" w:sz="0" w:space="0" w:color="auto"/>
        <w:bottom w:val="none" w:sz="0" w:space="0" w:color="auto"/>
        <w:right w:val="none" w:sz="0" w:space="0" w:color="auto"/>
      </w:divBdr>
    </w:div>
    <w:div w:id="467359644">
      <w:bodyDiv w:val="1"/>
      <w:marLeft w:val="0"/>
      <w:marRight w:val="0"/>
      <w:marTop w:val="0"/>
      <w:marBottom w:val="0"/>
      <w:divBdr>
        <w:top w:val="none" w:sz="0" w:space="0" w:color="auto"/>
        <w:left w:val="none" w:sz="0" w:space="0" w:color="auto"/>
        <w:bottom w:val="none" w:sz="0" w:space="0" w:color="auto"/>
        <w:right w:val="none" w:sz="0" w:space="0" w:color="auto"/>
      </w:divBdr>
      <w:divsChild>
        <w:div w:id="390665055">
          <w:marLeft w:val="360"/>
          <w:marRight w:val="0"/>
          <w:marTop w:val="360"/>
          <w:marBottom w:val="0"/>
          <w:divBdr>
            <w:top w:val="none" w:sz="0" w:space="0" w:color="auto"/>
            <w:left w:val="none" w:sz="0" w:space="0" w:color="auto"/>
            <w:bottom w:val="none" w:sz="0" w:space="0" w:color="auto"/>
            <w:right w:val="none" w:sz="0" w:space="0" w:color="auto"/>
          </w:divBdr>
        </w:div>
        <w:div w:id="419183626">
          <w:marLeft w:val="360"/>
          <w:marRight w:val="0"/>
          <w:marTop w:val="360"/>
          <w:marBottom w:val="0"/>
          <w:divBdr>
            <w:top w:val="none" w:sz="0" w:space="0" w:color="auto"/>
            <w:left w:val="none" w:sz="0" w:space="0" w:color="auto"/>
            <w:bottom w:val="none" w:sz="0" w:space="0" w:color="auto"/>
            <w:right w:val="none" w:sz="0" w:space="0" w:color="auto"/>
          </w:divBdr>
        </w:div>
        <w:div w:id="1913738613">
          <w:marLeft w:val="360"/>
          <w:marRight w:val="0"/>
          <w:marTop w:val="360"/>
          <w:marBottom w:val="0"/>
          <w:divBdr>
            <w:top w:val="none" w:sz="0" w:space="0" w:color="auto"/>
            <w:left w:val="none" w:sz="0" w:space="0" w:color="auto"/>
            <w:bottom w:val="none" w:sz="0" w:space="0" w:color="auto"/>
            <w:right w:val="none" w:sz="0" w:space="0" w:color="auto"/>
          </w:divBdr>
        </w:div>
      </w:divsChild>
    </w:div>
    <w:div w:id="790392610">
      <w:bodyDiv w:val="1"/>
      <w:marLeft w:val="0"/>
      <w:marRight w:val="0"/>
      <w:marTop w:val="0"/>
      <w:marBottom w:val="0"/>
      <w:divBdr>
        <w:top w:val="none" w:sz="0" w:space="0" w:color="auto"/>
        <w:left w:val="none" w:sz="0" w:space="0" w:color="auto"/>
        <w:bottom w:val="none" w:sz="0" w:space="0" w:color="auto"/>
        <w:right w:val="none" w:sz="0" w:space="0" w:color="auto"/>
      </w:divBdr>
    </w:div>
    <w:div w:id="949707144">
      <w:bodyDiv w:val="1"/>
      <w:marLeft w:val="0"/>
      <w:marRight w:val="0"/>
      <w:marTop w:val="0"/>
      <w:marBottom w:val="0"/>
      <w:divBdr>
        <w:top w:val="none" w:sz="0" w:space="0" w:color="auto"/>
        <w:left w:val="none" w:sz="0" w:space="0" w:color="auto"/>
        <w:bottom w:val="none" w:sz="0" w:space="0" w:color="auto"/>
        <w:right w:val="none" w:sz="0" w:space="0" w:color="auto"/>
      </w:divBdr>
      <w:divsChild>
        <w:div w:id="2077824075">
          <w:marLeft w:val="0"/>
          <w:marRight w:val="0"/>
          <w:marTop w:val="0"/>
          <w:marBottom w:val="0"/>
          <w:divBdr>
            <w:top w:val="none" w:sz="0" w:space="0" w:color="auto"/>
            <w:left w:val="none" w:sz="0" w:space="0" w:color="auto"/>
            <w:bottom w:val="none" w:sz="0" w:space="0" w:color="auto"/>
            <w:right w:val="none" w:sz="0" w:space="0" w:color="auto"/>
          </w:divBdr>
        </w:div>
        <w:div w:id="528832062">
          <w:marLeft w:val="0"/>
          <w:marRight w:val="0"/>
          <w:marTop w:val="0"/>
          <w:marBottom w:val="0"/>
          <w:divBdr>
            <w:top w:val="none" w:sz="0" w:space="0" w:color="auto"/>
            <w:left w:val="none" w:sz="0" w:space="0" w:color="auto"/>
            <w:bottom w:val="none" w:sz="0" w:space="0" w:color="auto"/>
            <w:right w:val="none" w:sz="0" w:space="0" w:color="auto"/>
          </w:divBdr>
        </w:div>
        <w:div w:id="418216371">
          <w:marLeft w:val="0"/>
          <w:marRight w:val="0"/>
          <w:marTop w:val="0"/>
          <w:marBottom w:val="0"/>
          <w:divBdr>
            <w:top w:val="none" w:sz="0" w:space="0" w:color="auto"/>
            <w:left w:val="none" w:sz="0" w:space="0" w:color="auto"/>
            <w:bottom w:val="none" w:sz="0" w:space="0" w:color="auto"/>
            <w:right w:val="none" w:sz="0" w:space="0" w:color="auto"/>
          </w:divBdr>
        </w:div>
        <w:div w:id="1901360374">
          <w:marLeft w:val="0"/>
          <w:marRight w:val="0"/>
          <w:marTop w:val="0"/>
          <w:marBottom w:val="0"/>
          <w:divBdr>
            <w:top w:val="none" w:sz="0" w:space="0" w:color="auto"/>
            <w:left w:val="none" w:sz="0" w:space="0" w:color="auto"/>
            <w:bottom w:val="none" w:sz="0" w:space="0" w:color="auto"/>
            <w:right w:val="none" w:sz="0" w:space="0" w:color="auto"/>
          </w:divBdr>
        </w:div>
      </w:divsChild>
    </w:div>
    <w:div w:id="1041369206">
      <w:bodyDiv w:val="1"/>
      <w:marLeft w:val="0"/>
      <w:marRight w:val="0"/>
      <w:marTop w:val="0"/>
      <w:marBottom w:val="0"/>
      <w:divBdr>
        <w:top w:val="none" w:sz="0" w:space="0" w:color="auto"/>
        <w:left w:val="none" w:sz="0" w:space="0" w:color="auto"/>
        <w:bottom w:val="none" w:sz="0" w:space="0" w:color="auto"/>
        <w:right w:val="none" w:sz="0" w:space="0" w:color="auto"/>
      </w:divBdr>
      <w:divsChild>
        <w:div w:id="81340124">
          <w:marLeft w:val="0"/>
          <w:marRight w:val="0"/>
          <w:marTop w:val="0"/>
          <w:marBottom w:val="0"/>
          <w:divBdr>
            <w:top w:val="none" w:sz="0" w:space="0" w:color="auto"/>
            <w:left w:val="none" w:sz="0" w:space="0" w:color="auto"/>
            <w:bottom w:val="none" w:sz="0" w:space="0" w:color="auto"/>
            <w:right w:val="none" w:sz="0" w:space="0" w:color="auto"/>
          </w:divBdr>
        </w:div>
        <w:div w:id="1722752981">
          <w:marLeft w:val="0"/>
          <w:marRight w:val="0"/>
          <w:marTop w:val="0"/>
          <w:marBottom w:val="0"/>
          <w:divBdr>
            <w:top w:val="none" w:sz="0" w:space="0" w:color="auto"/>
            <w:left w:val="none" w:sz="0" w:space="0" w:color="auto"/>
            <w:bottom w:val="none" w:sz="0" w:space="0" w:color="auto"/>
            <w:right w:val="none" w:sz="0" w:space="0" w:color="auto"/>
          </w:divBdr>
        </w:div>
      </w:divsChild>
    </w:div>
    <w:div w:id="1050299329">
      <w:bodyDiv w:val="1"/>
      <w:marLeft w:val="0"/>
      <w:marRight w:val="0"/>
      <w:marTop w:val="0"/>
      <w:marBottom w:val="0"/>
      <w:divBdr>
        <w:top w:val="none" w:sz="0" w:space="0" w:color="auto"/>
        <w:left w:val="none" w:sz="0" w:space="0" w:color="auto"/>
        <w:bottom w:val="none" w:sz="0" w:space="0" w:color="auto"/>
        <w:right w:val="none" w:sz="0" w:space="0" w:color="auto"/>
      </w:divBdr>
    </w:div>
    <w:div w:id="1135098227">
      <w:bodyDiv w:val="1"/>
      <w:marLeft w:val="0"/>
      <w:marRight w:val="0"/>
      <w:marTop w:val="0"/>
      <w:marBottom w:val="0"/>
      <w:divBdr>
        <w:top w:val="none" w:sz="0" w:space="0" w:color="auto"/>
        <w:left w:val="none" w:sz="0" w:space="0" w:color="auto"/>
        <w:bottom w:val="none" w:sz="0" w:space="0" w:color="auto"/>
        <w:right w:val="none" w:sz="0" w:space="0" w:color="auto"/>
      </w:divBdr>
      <w:divsChild>
        <w:div w:id="1585528918">
          <w:marLeft w:val="360"/>
          <w:marRight w:val="0"/>
          <w:marTop w:val="360"/>
          <w:marBottom w:val="0"/>
          <w:divBdr>
            <w:top w:val="none" w:sz="0" w:space="0" w:color="auto"/>
            <w:left w:val="none" w:sz="0" w:space="0" w:color="auto"/>
            <w:bottom w:val="none" w:sz="0" w:space="0" w:color="auto"/>
            <w:right w:val="none" w:sz="0" w:space="0" w:color="auto"/>
          </w:divBdr>
        </w:div>
      </w:divsChild>
    </w:div>
    <w:div w:id="1325548827">
      <w:bodyDiv w:val="1"/>
      <w:marLeft w:val="0"/>
      <w:marRight w:val="0"/>
      <w:marTop w:val="0"/>
      <w:marBottom w:val="0"/>
      <w:divBdr>
        <w:top w:val="none" w:sz="0" w:space="0" w:color="auto"/>
        <w:left w:val="none" w:sz="0" w:space="0" w:color="auto"/>
        <w:bottom w:val="none" w:sz="0" w:space="0" w:color="auto"/>
        <w:right w:val="none" w:sz="0" w:space="0" w:color="auto"/>
      </w:divBdr>
    </w:div>
    <w:div w:id="1835105472">
      <w:bodyDiv w:val="1"/>
      <w:marLeft w:val="0"/>
      <w:marRight w:val="0"/>
      <w:marTop w:val="0"/>
      <w:marBottom w:val="0"/>
      <w:divBdr>
        <w:top w:val="none" w:sz="0" w:space="0" w:color="auto"/>
        <w:left w:val="none" w:sz="0" w:space="0" w:color="auto"/>
        <w:bottom w:val="none" w:sz="0" w:space="0" w:color="auto"/>
        <w:right w:val="none" w:sz="0" w:space="0" w:color="auto"/>
      </w:divBdr>
    </w:div>
    <w:div w:id="1890266457">
      <w:bodyDiv w:val="1"/>
      <w:marLeft w:val="0"/>
      <w:marRight w:val="0"/>
      <w:marTop w:val="0"/>
      <w:marBottom w:val="0"/>
      <w:divBdr>
        <w:top w:val="none" w:sz="0" w:space="0" w:color="auto"/>
        <w:left w:val="none" w:sz="0" w:space="0" w:color="auto"/>
        <w:bottom w:val="none" w:sz="0" w:space="0" w:color="auto"/>
        <w:right w:val="none" w:sz="0" w:space="0" w:color="auto"/>
      </w:divBdr>
      <w:divsChild>
        <w:div w:id="1961256713">
          <w:marLeft w:val="0"/>
          <w:marRight w:val="0"/>
          <w:marTop w:val="0"/>
          <w:marBottom w:val="0"/>
          <w:divBdr>
            <w:top w:val="none" w:sz="0" w:space="0" w:color="auto"/>
            <w:left w:val="none" w:sz="0" w:space="0" w:color="auto"/>
            <w:bottom w:val="none" w:sz="0" w:space="0" w:color="auto"/>
            <w:right w:val="none" w:sz="0" w:space="0" w:color="auto"/>
          </w:divBdr>
        </w:div>
        <w:div w:id="1989938078">
          <w:marLeft w:val="0"/>
          <w:marRight w:val="0"/>
          <w:marTop w:val="0"/>
          <w:marBottom w:val="0"/>
          <w:divBdr>
            <w:top w:val="none" w:sz="0" w:space="0" w:color="auto"/>
            <w:left w:val="none" w:sz="0" w:space="0" w:color="auto"/>
            <w:bottom w:val="none" w:sz="0" w:space="0" w:color="auto"/>
            <w:right w:val="none" w:sz="0" w:space="0" w:color="auto"/>
          </w:divBdr>
        </w:div>
        <w:div w:id="866673128">
          <w:marLeft w:val="0"/>
          <w:marRight w:val="0"/>
          <w:marTop w:val="0"/>
          <w:marBottom w:val="0"/>
          <w:divBdr>
            <w:top w:val="none" w:sz="0" w:space="0" w:color="auto"/>
            <w:left w:val="none" w:sz="0" w:space="0" w:color="auto"/>
            <w:bottom w:val="none" w:sz="0" w:space="0" w:color="auto"/>
            <w:right w:val="none" w:sz="0" w:space="0" w:color="auto"/>
          </w:divBdr>
        </w:div>
        <w:div w:id="722562232">
          <w:marLeft w:val="0"/>
          <w:marRight w:val="0"/>
          <w:marTop w:val="0"/>
          <w:marBottom w:val="0"/>
          <w:divBdr>
            <w:top w:val="none" w:sz="0" w:space="0" w:color="auto"/>
            <w:left w:val="none" w:sz="0" w:space="0" w:color="auto"/>
            <w:bottom w:val="none" w:sz="0" w:space="0" w:color="auto"/>
            <w:right w:val="none" w:sz="0" w:space="0" w:color="auto"/>
          </w:divBdr>
        </w:div>
      </w:divsChild>
    </w:div>
    <w:div w:id="1994485272">
      <w:bodyDiv w:val="1"/>
      <w:marLeft w:val="0"/>
      <w:marRight w:val="0"/>
      <w:marTop w:val="0"/>
      <w:marBottom w:val="0"/>
      <w:divBdr>
        <w:top w:val="none" w:sz="0" w:space="0" w:color="auto"/>
        <w:left w:val="none" w:sz="0" w:space="0" w:color="auto"/>
        <w:bottom w:val="none" w:sz="0" w:space="0" w:color="auto"/>
        <w:right w:val="none" w:sz="0" w:space="0" w:color="auto"/>
      </w:divBdr>
      <w:divsChild>
        <w:div w:id="106311399">
          <w:marLeft w:val="360"/>
          <w:marRight w:val="0"/>
          <w:marTop w:val="360"/>
          <w:marBottom w:val="0"/>
          <w:divBdr>
            <w:top w:val="none" w:sz="0" w:space="0" w:color="auto"/>
            <w:left w:val="none" w:sz="0" w:space="0" w:color="auto"/>
            <w:bottom w:val="none" w:sz="0" w:space="0" w:color="auto"/>
            <w:right w:val="none" w:sz="0" w:space="0" w:color="auto"/>
          </w:divBdr>
        </w:div>
        <w:div w:id="20395947">
          <w:marLeft w:val="360"/>
          <w:marRight w:val="0"/>
          <w:marTop w:val="360"/>
          <w:marBottom w:val="0"/>
          <w:divBdr>
            <w:top w:val="none" w:sz="0" w:space="0" w:color="auto"/>
            <w:left w:val="none" w:sz="0" w:space="0" w:color="auto"/>
            <w:bottom w:val="none" w:sz="0" w:space="0" w:color="auto"/>
            <w:right w:val="none" w:sz="0" w:space="0" w:color="auto"/>
          </w:divBdr>
        </w:div>
        <w:div w:id="2080784338">
          <w:marLeft w:val="360"/>
          <w:marRight w:val="0"/>
          <w:marTop w:val="360"/>
          <w:marBottom w:val="0"/>
          <w:divBdr>
            <w:top w:val="none" w:sz="0" w:space="0" w:color="auto"/>
            <w:left w:val="none" w:sz="0" w:space="0" w:color="auto"/>
            <w:bottom w:val="none" w:sz="0" w:space="0" w:color="auto"/>
            <w:right w:val="none" w:sz="0" w:space="0" w:color="auto"/>
          </w:divBdr>
        </w:div>
      </w:divsChild>
    </w:div>
    <w:div w:id="2014139207">
      <w:bodyDiv w:val="1"/>
      <w:marLeft w:val="0"/>
      <w:marRight w:val="0"/>
      <w:marTop w:val="0"/>
      <w:marBottom w:val="0"/>
      <w:divBdr>
        <w:top w:val="none" w:sz="0" w:space="0" w:color="auto"/>
        <w:left w:val="none" w:sz="0" w:space="0" w:color="auto"/>
        <w:bottom w:val="none" w:sz="0" w:space="0" w:color="auto"/>
        <w:right w:val="none" w:sz="0" w:space="0" w:color="auto"/>
      </w:divBdr>
      <w:divsChild>
        <w:div w:id="1818765678">
          <w:marLeft w:val="0"/>
          <w:marRight w:val="0"/>
          <w:marTop w:val="0"/>
          <w:marBottom w:val="0"/>
          <w:divBdr>
            <w:top w:val="none" w:sz="0" w:space="0" w:color="auto"/>
            <w:left w:val="none" w:sz="0" w:space="0" w:color="auto"/>
            <w:bottom w:val="none" w:sz="0" w:space="0" w:color="auto"/>
            <w:right w:val="none" w:sz="0" w:space="0" w:color="auto"/>
          </w:divBdr>
        </w:div>
        <w:div w:id="1976792382">
          <w:marLeft w:val="0"/>
          <w:marRight w:val="0"/>
          <w:marTop w:val="0"/>
          <w:marBottom w:val="0"/>
          <w:divBdr>
            <w:top w:val="none" w:sz="0" w:space="0" w:color="auto"/>
            <w:left w:val="none" w:sz="0" w:space="0" w:color="auto"/>
            <w:bottom w:val="none" w:sz="0" w:space="0" w:color="auto"/>
            <w:right w:val="none" w:sz="0" w:space="0" w:color="auto"/>
          </w:divBdr>
        </w:div>
      </w:divsChild>
    </w:div>
    <w:div w:id="2106728771">
      <w:bodyDiv w:val="1"/>
      <w:marLeft w:val="0"/>
      <w:marRight w:val="0"/>
      <w:marTop w:val="0"/>
      <w:marBottom w:val="0"/>
      <w:divBdr>
        <w:top w:val="none" w:sz="0" w:space="0" w:color="auto"/>
        <w:left w:val="none" w:sz="0" w:space="0" w:color="auto"/>
        <w:bottom w:val="none" w:sz="0" w:space="0" w:color="auto"/>
        <w:right w:val="none" w:sz="0" w:space="0" w:color="auto"/>
      </w:divBdr>
      <w:divsChild>
        <w:div w:id="1810706136">
          <w:marLeft w:val="360"/>
          <w:marRight w:val="0"/>
          <w:marTop w:val="360"/>
          <w:marBottom w:val="0"/>
          <w:divBdr>
            <w:top w:val="none" w:sz="0" w:space="0" w:color="auto"/>
            <w:left w:val="none" w:sz="0" w:space="0" w:color="auto"/>
            <w:bottom w:val="none" w:sz="0" w:space="0" w:color="auto"/>
            <w:right w:val="none" w:sz="0" w:space="0" w:color="auto"/>
          </w:divBdr>
        </w:div>
        <w:div w:id="3948301">
          <w:marLeft w:val="360"/>
          <w:marRight w:val="0"/>
          <w:marTop w:val="360"/>
          <w:marBottom w:val="0"/>
          <w:divBdr>
            <w:top w:val="none" w:sz="0" w:space="0" w:color="auto"/>
            <w:left w:val="none" w:sz="0" w:space="0" w:color="auto"/>
            <w:bottom w:val="none" w:sz="0" w:space="0" w:color="auto"/>
            <w:right w:val="none" w:sz="0" w:space="0" w:color="auto"/>
          </w:divBdr>
        </w:div>
        <w:div w:id="1516919504">
          <w:marLeft w:val="360"/>
          <w:marRight w:val="0"/>
          <w:marTop w:val="36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B833A6A-0B1D-4DBC-AF7B-7DDB5BCF69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248</TotalTime>
  <Pages>9</Pages>
  <Words>1989</Words>
  <Characters>11338</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lenovo</cp:lastModifiedBy>
  <cp:revision>166</cp:revision>
  <dcterms:created xsi:type="dcterms:W3CDTF">2018-01-24T02:30:00Z</dcterms:created>
  <dcterms:modified xsi:type="dcterms:W3CDTF">2018-01-25T13:42:00Z</dcterms:modified>
</cp:coreProperties>
</file>