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04DE" w:rsidRPr="0028464B" w:rsidRDefault="005C04DE" w:rsidP="005C04DE">
      <w:pPr>
        <w:rPr>
          <w:rFonts w:cs="Arial"/>
          <w:sz w:val="36"/>
          <w:szCs w:val="36"/>
        </w:rPr>
      </w:pPr>
      <w:r w:rsidRPr="0028464B">
        <w:rPr>
          <w:rFonts w:cs="Arial"/>
          <w:sz w:val="36"/>
          <w:szCs w:val="36"/>
        </w:rPr>
        <w:t>Qualification: CIPD Diploma in Applied Human Resources</w:t>
      </w:r>
    </w:p>
    <w:p w:rsidR="005C04DE" w:rsidRDefault="005C04DE" w:rsidP="005C04DE">
      <w:pPr>
        <w:rPr>
          <w:rFonts w:cs="Arial"/>
          <w:sz w:val="36"/>
          <w:szCs w:val="36"/>
        </w:rPr>
      </w:pPr>
      <w:r w:rsidRPr="0028464B">
        <w:rPr>
          <w:rFonts w:cs="Arial"/>
          <w:sz w:val="36"/>
          <w:szCs w:val="36"/>
        </w:rPr>
        <w:t xml:space="preserve">Module Name: </w:t>
      </w:r>
      <w:r>
        <w:rPr>
          <w:rFonts w:cs="Arial"/>
          <w:sz w:val="36"/>
          <w:szCs w:val="36"/>
        </w:rPr>
        <w:t>5CELW Employment Law</w:t>
      </w:r>
    </w:p>
    <w:p w:rsidR="005C04DE" w:rsidRDefault="005C04DE" w:rsidP="005C04DE">
      <w:pPr>
        <w:rPr>
          <w:rFonts w:cs="Arial"/>
          <w:sz w:val="36"/>
          <w:szCs w:val="36"/>
        </w:rPr>
      </w:pPr>
    </w:p>
    <w:p w:rsidR="005C04DE" w:rsidRPr="000D1DD5" w:rsidRDefault="005C04DE" w:rsidP="005C04DE">
      <w:pPr>
        <w:rPr>
          <w:rFonts w:cs="Arial"/>
          <w:sz w:val="36"/>
          <w:szCs w:val="36"/>
          <w:u w:val="single"/>
        </w:rPr>
      </w:pPr>
      <w:r w:rsidRPr="000D1DD5">
        <w:rPr>
          <w:rFonts w:cs="Arial"/>
          <w:sz w:val="36"/>
          <w:szCs w:val="36"/>
          <w:u w:val="single"/>
        </w:rPr>
        <w:t>Word Count</w:t>
      </w:r>
    </w:p>
    <w:p w:rsidR="005C04DE" w:rsidRDefault="005C04DE" w:rsidP="005C04DE">
      <w:pPr>
        <w:rPr>
          <w:rFonts w:cs="Arial"/>
          <w:sz w:val="36"/>
          <w:szCs w:val="36"/>
        </w:rPr>
      </w:pPr>
      <w:r>
        <w:rPr>
          <w:rFonts w:cs="Arial"/>
          <w:sz w:val="36"/>
          <w:szCs w:val="36"/>
        </w:rPr>
        <w:t>Task 1:</w:t>
      </w:r>
      <w:r>
        <w:rPr>
          <w:rFonts w:cs="Arial"/>
          <w:sz w:val="36"/>
          <w:szCs w:val="36"/>
        </w:rPr>
        <w:t xml:space="preserve"> 724</w:t>
      </w:r>
    </w:p>
    <w:p w:rsidR="005C04DE" w:rsidRDefault="005C04DE" w:rsidP="005C04DE">
      <w:pPr>
        <w:rPr>
          <w:rFonts w:cs="Arial"/>
          <w:sz w:val="36"/>
          <w:szCs w:val="36"/>
        </w:rPr>
      </w:pPr>
      <w:r>
        <w:rPr>
          <w:rFonts w:cs="Arial"/>
          <w:sz w:val="36"/>
          <w:szCs w:val="36"/>
        </w:rPr>
        <w:t>Task 2:</w:t>
      </w:r>
      <w:r>
        <w:rPr>
          <w:rFonts w:cs="Arial"/>
          <w:sz w:val="36"/>
          <w:szCs w:val="36"/>
        </w:rPr>
        <w:t xml:space="preserve"> 747</w:t>
      </w:r>
    </w:p>
    <w:p w:rsidR="005C04DE" w:rsidRDefault="005C04DE" w:rsidP="005C04DE">
      <w:pPr>
        <w:rPr>
          <w:rFonts w:cs="Arial"/>
          <w:sz w:val="36"/>
          <w:szCs w:val="36"/>
        </w:rPr>
      </w:pPr>
      <w:r>
        <w:rPr>
          <w:rFonts w:cs="Arial"/>
          <w:sz w:val="36"/>
          <w:szCs w:val="36"/>
        </w:rPr>
        <w:t>Task 3:</w:t>
      </w:r>
      <w:r>
        <w:rPr>
          <w:rFonts w:cs="Arial"/>
          <w:sz w:val="36"/>
          <w:szCs w:val="36"/>
        </w:rPr>
        <w:t xml:space="preserve"> 589</w:t>
      </w:r>
    </w:p>
    <w:p w:rsidR="005C04DE" w:rsidRDefault="005C04DE" w:rsidP="005C04DE">
      <w:pPr>
        <w:rPr>
          <w:rFonts w:cs="Arial"/>
          <w:sz w:val="36"/>
          <w:szCs w:val="36"/>
        </w:rPr>
      </w:pPr>
      <w:r>
        <w:rPr>
          <w:rFonts w:cs="Arial"/>
          <w:sz w:val="36"/>
          <w:szCs w:val="36"/>
        </w:rPr>
        <w:t>Task 4:</w:t>
      </w:r>
      <w:r>
        <w:rPr>
          <w:rFonts w:cs="Arial"/>
          <w:sz w:val="36"/>
          <w:szCs w:val="36"/>
        </w:rPr>
        <w:t xml:space="preserve"> 648</w:t>
      </w:r>
    </w:p>
    <w:p w:rsidR="005C04DE" w:rsidRDefault="005C04DE" w:rsidP="005C04DE">
      <w:pPr>
        <w:rPr>
          <w:rFonts w:cs="Arial"/>
          <w:sz w:val="36"/>
          <w:szCs w:val="36"/>
        </w:rPr>
      </w:pPr>
      <w:r>
        <w:rPr>
          <w:rFonts w:cs="Arial"/>
          <w:sz w:val="36"/>
          <w:szCs w:val="36"/>
        </w:rPr>
        <w:t>Task 5:</w:t>
      </w:r>
      <w:r>
        <w:rPr>
          <w:rFonts w:cs="Arial"/>
          <w:sz w:val="36"/>
          <w:szCs w:val="36"/>
        </w:rPr>
        <w:t xml:space="preserve"> 742</w:t>
      </w:r>
    </w:p>
    <w:p w:rsidR="005C04DE" w:rsidRPr="0028464B" w:rsidRDefault="005C04DE" w:rsidP="005C04DE">
      <w:pPr>
        <w:rPr>
          <w:rFonts w:cs="Arial"/>
          <w:sz w:val="36"/>
          <w:szCs w:val="36"/>
        </w:rPr>
      </w:pPr>
      <w:r>
        <w:rPr>
          <w:rFonts w:cs="Arial"/>
          <w:sz w:val="36"/>
          <w:szCs w:val="36"/>
        </w:rPr>
        <w:t>Task 6:</w:t>
      </w:r>
      <w:r>
        <w:rPr>
          <w:rFonts w:cs="Arial"/>
          <w:sz w:val="36"/>
          <w:szCs w:val="36"/>
        </w:rPr>
        <w:t xml:space="preserve"> 614</w:t>
      </w:r>
      <w:bookmarkStart w:id="0" w:name="_GoBack"/>
      <w:bookmarkEnd w:id="0"/>
    </w:p>
    <w:p w:rsidR="005C04DE" w:rsidRPr="0028464B" w:rsidRDefault="005C04DE" w:rsidP="005C04DE">
      <w:pPr>
        <w:rPr>
          <w:rFonts w:cs="Arial"/>
          <w:sz w:val="36"/>
          <w:szCs w:val="36"/>
        </w:rPr>
      </w:pPr>
    </w:p>
    <w:p w:rsidR="005C04DE" w:rsidRPr="0028464B" w:rsidRDefault="005C04DE" w:rsidP="005C04DE">
      <w:pPr>
        <w:rPr>
          <w:rFonts w:cs="Arial"/>
          <w:sz w:val="36"/>
          <w:szCs w:val="36"/>
        </w:rPr>
      </w:pPr>
    </w:p>
    <w:p w:rsidR="005C04DE" w:rsidRPr="0028464B" w:rsidRDefault="005C04DE" w:rsidP="005C04DE">
      <w:pPr>
        <w:rPr>
          <w:rFonts w:cs="Arial"/>
          <w:sz w:val="36"/>
          <w:szCs w:val="36"/>
        </w:rPr>
      </w:pPr>
      <w:r w:rsidRPr="0028464B">
        <w:rPr>
          <w:rFonts w:cs="Arial"/>
          <w:sz w:val="36"/>
          <w:szCs w:val="36"/>
        </w:rPr>
        <w:t>Student Name: Katy Barron</w:t>
      </w:r>
    </w:p>
    <w:p w:rsidR="005C04DE" w:rsidRPr="0028464B" w:rsidRDefault="005C04DE" w:rsidP="005C04DE">
      <w:pPr>
        <w:rPr>
          <w:rFonts w:cs="Arial"/>
          <w:sz w:val="36"/>
          <w:szCs w:val="36"/>
        </w:rPr>
      </w:pPr>
      <w:r w:rsidRPr="0028464B">
        <w:rPr>
          <w:rFonts w:cs="Arial"/>
          <w:sz w:val="36"/>
          <w:szCs w:val="36"/>
        </w:rPr>
        <w:t xml:space="preserve">Student Number: 1811083 </w:t>
      </w:r>
    </w:p>
    <w:p w:rsidR="005C04DE" w:rsidRPr="0028464B" w:rsidRDefault="005C04DE" w:rsidP="005C04DE">
      <w:pPr>
        <w:rPr>
          <w:rFonts w:cs="Arial"/>
          <w:sz w:val="36"/>
          <w:szCs w:val="36"/>
        </w:rPr>
      </w:pPr>
      <w:r w:rsidRPr="0028464B">
        <w:rPr>
          <w:rFonts w:cs="Arial"/>
          <w:sz w:val="36"/>
          <w:szCs w:val="36"/>
        </w:rPr>
        <w:t>CIPD Membership Number: 5339341X</w:t>
      </w:r>
    </w:p>
    <w:p w:rsidR="005C04DE" w:rsidRPr="0028464B" w:rsidRDefault="005C04DE" w:rsidP="005C04DE">
      <w:pPr>
        <w:rPr>
          <w:rFonts w:cs="Arial"/>
          <w:sz w:val="36"/>
          <w:szCs w:val="36"/>
        </w:rPr>
      </w:pPr>
    </w:p>
    <w:p w:rsidR="005C04DE" w:rsidRPr="0028464B" w:rsidRDefault="005C04DE" w:rsidP="005C04DE">
      <w:pPr>
        <w:rPr>
          <w:rFonts w:cs="Arial"/>
          <w:sz w:val="36"/>
          <w:szCs w:val="36"/>
        </w:rPr>
      </w:pPr>
      <w:r w:rsidRPr="0028464B">
        <w:rPr>
          <w:rFonts w:cs="Arial"/>
          <w:sz w:val="36"/>
          <w:szCs w:val="36"/>
        </w:rPr>
        <w:t>By signing below, I confirm that the work/evidence presented is my own, unaided work. I understand the regulations pertaining to candidate malpractice and the action that may be taken as a result.</w:t>
      </w:r>
    </w:p>
    <w:p w:rsidR="005C04DE" w:rsidRPr="0028464B" w:rsidRDefault="005C04DE" w:rsidP="005C04DE">
      <w:pPr>
        <w:rPr>
          <w:rFonts w:cs="Arial"/>
          <w:sz w:val="36"/>
          <w:szCs w:val="36"/>
        </w:rPr>
      </w:pPr>
    </w:p>
    <w:p w:rsidR="005C04DE" w:rsidRPr="0028464B" w:rsidRDefault="005C04DE" w:rsidP="005C04DE">
      <w:pPr>
        <w:rPr>
          <w:rFonts w:cs="Arial"/>
          <w:sz w:val="36"/>
          <w:szCs w:val="36"/>
        </w:rPr>
      </w:pPr>
      <w:r w:rsidRPr="0028464B">
        <w:rPr>
          <w:rFonts w:cs="Arial"/>
          <w:sz w:val="36"/>
          <w:szCs w:val="36"/>
        </w:rPr>
        <w:t xml:space="preserve">Signed: </w:t>
      </w:r>
      <w:proofErr w:type="spellStart"/>
      <w:r w:rsidRPr="0028464B">
        <w:rPr>
          <w:rFonts w:cs="Arial"/>
          <w:sz w:val="36"/>
          <w:szCs w:val="36"/>
        </w:rPr>
        <w:t>K.</w:t>
      </w:r>
      <w:proofErr w:type="gramStart"/>
      <w:r w:rsidRPr="0028464B">
        <w:rPr>
          <w:rFonts w:cs="Arial"/>
          <w:sz w:val="36"/>
          <w:szCs w:val="36"/>
        </w:rPr>
        <w:t>L.Barron</w:t>
      </w:r>
      <w:proofErr w:type="spellEnd"/>
      <w:proofErr w:type="gramEnd"/>
    </w:p>
    <w:p w:rsidR="005C04DE" w:rsidRPr="005C04DE" w:rsidRDefault="005C04DE">
      <w:pPr>
        <w:rPr>
          <w:rFonts w:cs="Arial"/>
          <w:sz w:val="36"/>
          <w:szCs w:val="36"/>
        </w:rPr>
      </w:pPr>
      <w:r w:rsidRPr="0028464B">
        <w:rPr>
          <w:rFonts w:cs="Arial"/>
          <w:sz w:val="36"/>
          <w:szCs w:val="36"/>
        </w:rPr>
        <w:t xml:space="preserve">Date: </w:t>
      </w:r>
      <w:r>
        <w:rPr>
          <w:rFonts w:cs="Arial"/>
          <w:sz w:val="36"/>
          <w:szCs w:val="36"/>
        </w:rPr>
        <w:t>11/03/2019</w:t>
      </w:r>
      <w:r>
        <w:rPr>
          <w:b/>
        </w:rPr>
        <w:br w:type="page"/>
      </w:r>
    </w:p>
    <w:p w:rsidR="00E05F71" w:rsidRPr="00210EA1" w:rsidRDefault="00E05F71" w:rsidP="00E05F71">
      <w:pPr>
        <w:rPr>
          <w:b/>
        </w:rPr>
      </w:pPr>
      <w:r w:rsidRPr="00210EA1">
        <w:rPr>
          <w:b/>
        </w:rPr>
        <w:lastRenderedPageBreak/>
        <w:t>Task 1</w:t>
      </w:r>
    </w:p>
    <w:p w:rsidR="00E05F71" w:rsidRDefault="00E05F71" w:rsidP="00E05F71">
      <w:r>
        <w:t>Employment law manages the exchange between employers and employee’s (Daniels, 2019a). Setting rules and boundaries in the workplace, protecting employees and ensuring the workplace maintains a good standard. By adhering to legislations, both employers and employees guarantee that the workplace and all processes are equal for every individual. Employment law assists in fighting discrimination and is an advocate for equality at work (</w:t>
      </w:r>
      <w:proofErr w:type="spellStart"/>
      <w:r>
        <w:t>Cheary</w:t>
      </w:r>
      <w:proofErr w:type="spellEnd"/>
      <w:r>
        <w:t>, 2019).</w:t>
      </w:r>
    </w:p>
    <w:p w:rsidR="00E05F71" w:rsidRDefault="00E05F71" w:rsidP="00E05F71">
      <w:r>
        <w:t xml:space="preserve">Employment law concentrates on civil law. However, criminal law can relate to employment matters therefore criminal law can’t be ignored. During the recent 50 years, the introduction of legislation has increased. See Appendices 1.1 and 1.2 for the system and structure for court claims. </w:t>
      </w:r>
    </w:p>
    <w:p w:rsidR="00E05F71" w:rsidRDefault="00E05F71" w:rsidP="00E05F71">
      <w:r>
        <w:t>Employment Tribunals, (ET) previously known as industrial tribunals were established in 1964 to manage appeals made by employers under the Industrial Training Act 1964 and to resolve disputes between employees and their employers (ACAS, 2019a).</w:t>
      </w:r>
    </w:p>
    <w:p w:rsidR="00E05F71" w:rsidRDefault="00E05F71" w:rsidP="00E05F71">
      <w:r>
        <w:t xml:space="preserve">Legislations are created through Statues, European directives, Codes of practice and Common law (CIPD, 2016) </w:t>
      </w:r>
    </w:p>
    <w:p w:rsidR="00E05F71" w:rsidRDefault="00E05F71" w:rsidP="00E05F71">
      <w:r>
        <w:t>During July 2013, fees were introduced when bringing claims to the ET; varying from £390 to £1200. In some cases, fees were waived but there was a fee remission process and criteria to meet. It was noticed that with the introduction of fees, 80% of Tribunal cases dropped.</w:t>
      </w:r>
    </w:p>
    <w:p w:rsidR="00E05F71" w:rsidRDefault="00E05F71" w:rsidP="00E05F71">
      <w:r>
        <w:t>However, Unison argued the fees in October 2013 and the issues reached the Supreme Court. Through consideration the fees were seen as unlawful and a decision was made to remove them in July 2017. The government haven’t ruled out the possibility of introducing fees in the future and brining a claim to ET can still be costly (Daniels, 2019a)</w:t>
      </w:r>
    </w:p>
    <w:p w:rsidR="00E05F71" w:rsidRDefault="00E05F71" w:rsidP="00E05F71">
      <w:r>
        <w:t>To submit a claim, the claimant must complete ACAS’ Early Conciliation form. ACAS will contact the claimant and respondent regularly during a 1-month period. Conciliation is declined if employers can’t be contacted by ACAS after 4 attempts. If conciliation doesn’t work, ACAS send’s the claimant an early conciliation certificate, which is used during the tribunal (GOV, 2019).</w:t>
      </w:r>
    </w:p>
    <w:p w:rsidR="00E05F71" w:rsidRDefault="00E05F71" w:rsidP="00E05F71">
      <w:r>
        <w:t>To bring a claim to the ET, a claimant is required to complete a form known as an ET1 and send it to the ET within 3-months of when the alleged incident happened; there’s certain claims where the 3-month decree is extended. Occasionally, the ET will accept delayed claims, on condition that there’s justification for the delay. The claim can then be directed to a preliminary hearing (Daniels, 2019a).</w:t>
      </w:r>
    </w:p>
    <w:p w:rsidR="00E05F71" w:rsidRDefault="00E05F71" w:rsidP="00E05F71">
      <w:r>
        <w:t>Once the ET1 has been received by the ET, an ET3 form is sent for completion to the respondent and they are required to return it within 28 days from the when the form was sent. The respondent must outline their defence of the claim in the ET3 (</w:t>
      </w:r>
      <w:proofErr w:type="spellStart"/>
      <w:r>
        <w:t>Honeyball</w:t>
      </w:r>
      <w:proofErr w:type="spellEnd"/>
      <w:r>
        <w:t>, 2014). If the respondent needs an extension, they must make this request within 28 days of receiving the form in accordance to the ET (Constitution and rules of Procedure) Regulations 2013.</w:t>
      </w:r>
    </w:p>
    <w:p w:rsidR="00E05F71" w:rsidRDefault="00E05F71" w:rsidP="00E05F71">
      <w:r>
        <w:t xml:space="preserve">A Preliminary Hearing is a review prior to a full hearing; and is a merge of a pre-hearing review and a case management discussion. A Preliminary Hearing discusses details that need resolving ahead of a full hearing. </w:t>
      </w:r>
    </w:p>
    <w:p w:rsidR="00E05F71" w:rsidRDefault="00E05F71" w:rsidP="00E05F71">
      <w:r>
        <w:t>ET consist of an Employment Judge who is a qualified lawyer (previously known as chairperson) and two lay members (non-legal members but with HR experience). One lay member will be from the employee’s background, whilst the other is from the employers. ET’s are less formal than court although both parties will be under oath (ACAS, 2019a).</w:t>
      </w:r>
    </w:p>
    <w:p w:rsidR="00E05F71" w:rsidRDefault="00E05F71" w:rsidP="00E05F71">
      <w:r>
        <w:lastRenderedPageBreak/>
        <w:t xml:space="preserve">Claims are sometimes resolved before an ET hearing, using ACAS’ conciliation service or through judicial mediation. (CIPD, 2019a) An ET1 and ET2 are submitted in the regular way and the Employment Judge will then decide by reading the documents, whether the case could be resolved through mediation. </w:t>
      </w:r>
    </w:p>
    <w:p w:rsidR="00E05F71" w:rsidRDefault="00E05F71" w:rsidP="00E05F71">
      <w:r>
        <w:t>The Employment Judge will review the documents and will decide the length of time to list the case. Apart from rare expectations, all hearings are open to the general public (</w:t>
      </w:r>
      <w:proofErr w:type="spellStart"/>
      <w:r>
        <w:t>Honeyball</w:t>
      </w:r>
      <w:proofErr w:type="spellEnd"/>
      <w:r>
        <w:t>, 2014).</w:t>
      </w:r>
    </w:p>
    <w:p w:rsidR="00E05F71" w:rsidRDefault="00E05F71" w:rsidP="00E05F71">
      <w:r>
        <w:t xml:space="preserve">During Tribunals, both parties present their evidence and the ET depart to reach a decision (CIPD, 2019a). The verdict explains the reason through a summary of facts. However, if either party require extended reasons, a request must be made within 14 days from when the summary was given. A decision is always confirmed in writing. </w:t>
      </w:r>
    </w:p>
    <w:p w:rsidR="00E05F71" w:rsidRDefault="00E05F71" w:rsidP="00E05F71">
      <w:r>
        <w:t xml:space="preserve">The decision will decide who ‘won’ the case and provide remedies; provided at the end of the Tribunal or during a separate remedy hearing. </w:t>
      </w:r>
    </w:p>
    <w:p w:rsidR="00E05F71" w:rsidRDefault="00E05F71" w:rsidP="00E05F71"/>
    <w:p w:rsidR="00E05F71" w:rsidRDefault="00E05F71" w:rsidP="00E05F71">
      <w:r w:rsidRPr="00690A71">
        <w:rPr>
          <w:noProof/>
          <w:lang w:eastAsia="en-GB"/>
        </w:rPr>
        <w:drawing>
          <wp:inline distT="0" distB="0" distL="0" distR="0" wp14:anchorId="566D1473" wp14:editId="31B654D2">
            <wp:extent cx="5731510" cy="1180577"/>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1180577"/>
                    </a:xfrm>
                    <a:prstGeom prst="rect">
                      <a:avLst/>
                    </a:prstGeom>
                    <a:noFill/>
                    <a:ln>
                      <a:noFill/>
                    </a:ln>
                  </pic:spPr>
                </pic:pic>
              </a:graphicData>
            </a:graphic>
          </wp:inline>
        </w:drawing>
      </w:r>
    </w:p>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Pr="00042CAB" w:rsidRDefault="00E05F71" w:rsidP="00E05F71">
      <w:pPr>
        <w:rPr>
          <w:b/>
        </w:rPr>
      </w:pPr>
      <w:r w:rsidRPr="00042CAB">
        <w:rPr>
          <w:b/>
        </w:rPr>
        <w:lastRenderedPageBreak/>
        <w:t>Task 2</w:t>
      </w:r>
    </w:p>
    <w:p w:rsidR="00E05F71" w:rsidRDefault="00E05F71" w:rsidP="00E05F71">
      <w:r>
        <w:t>Discrimination legislation has advanced over the years. Since the first discrimination legislation; Equal Pay Act 1970, a number of others have also been founded, such as: Sex Discrimination Act 1975, Race Relations Act 1976, Disability Discrimination act 1995, Sex Discrimination (Gender Reassignment) Regulations 1999, Employment Equality (Sexual Orientation) Regulations 2003, Employment Equality (Religion and Belief) Regulations 2003 and Employment Equality (Age) Regulations 2006 (Daniels, 2019b).</w:t>
      </w:r>
    </w:p>
    <w:p w:rsidR="00E05F71" w:rsidRDefault="00E05F71" w:rsidP="00E05F71">
      <w:r>
        <w:t>In October 2010, these all came under the Equality Act 2010. This Act assumed the 9 pieces of discrimination legislation and over 100 smaller legislations and has made the discrimination legislation clearer. (Daniels, 2019b)</w:t>
      </w:r>
    </w:p>
    <w:p w:rsidR="00E05F71" w:rsidRDefault="00E05F71" w:rsidP="00E05F71">
      <w:r>
        <w:t xml:space="preserve">There are 9 protected characteristics and 6 types of discrimination that are covered by the Equality Act 2010. The 9 protected characteristics are; Sex, Marital status and civil partnership, Pregnancy and Maternity, Race, Disability, Gender Reassignment, Sexual Orientation, Religion and Belief and Age (CIPD, 2017). Discrimination can form in 6 ways; direct, indirect, associative, perceptive, harassment and victimisation. </w:t>
      </w:r>
    </w:p>
    <w:p w:rsidR="00E05F71" w:rsidRDefault="00E05F71" w:rsidP="00E05F71">
      <w:r>
        <w:t>Positive action in recruitment and selection is lawful under the Equality Act 2010 and is demonstrated when an employer reasonably believes that people with protected characteristic are under-represented or whom are disadvantaged in the workplace connected to a protected characteristic; giving them access to work/training (GEO, 2011). E.g. Organisations such as Women Aid would only employ females due to the nature of the work involved.</w:t>
      </w:r>
    </w:p>
    <w:p w:rsidR="00E05F71" w:rsidRDefault="00E05F71" w:rsidP="00E05F71">
      <w:r>
        <w:t xml:space="preserve">Employers should be conscientious throughout the whole process of recruitment and selection, taking care that jobs are broadly advertised, avoiding focus on a particular geographical area, ensuring appropriate wording is used in the job descriptions and adverts etc. Employers should also guarantee that shortlisting is done fairly whilst using the same selection criteria for every candidate (CIPD, 2017). E.g. advertising jobs with a required number of years’ experience could be age discrimination. </w:t>
      </w:r>
    </w:p>
    <w:p w:rsidR="00E05F71" w:rsidRDefault="00E05F71" w:rsidP="00E05F71">
      <w:r>
        <w:t xml:space="preserve">When working for an organisation, there are employee’s, workers and the self-employed. The Employment Rights Act 1996 Section 230 (1) states that an employee is someone who begins or works secondary to a contract of employment. Section 230 (3) of the same Act, defined a worked to be a person who works under a contract of employment or under another contract where they agree to individually perform work for other parties. </w:t>
      </w:r>
    </w:p>
    <w:p w:rsidR="00E05F71" w:rsidRDefault="00E05F71" w:rsidP="00E05F71">
      <w:r>
        <w:t>When there is doubt of employment status, there are tests which are required to take and have been created through case law. The common tests used are the Multiple Test and the mutual obligations test. The less used are, control test, organisation test, ordinary person test and economic reality test (Daniel, 2019b)</w:t>
      </w:r>
    </w:p>
    <w:p w:rsidR="00E05F71" w:rsidRDefault="00E05F71" w:rsidP="00E05F71">
      <w:bookmarkStart w:id="1" w:name="_Hlk3101731"/>
      <w:bookmarkEnd w:id="1"/>
      <w:r w:rsidRPr="009E1F0D">
        <w:rPr>
          <w:noProof/>
          <w:lang w:eastAsia="en-GB"/>
        </w:rPr>
        <w:lastRenderedPageBreak/>
        <w:drawing>
          <wp:inline distT="0" distB="0" distL="0" distR="0" wp14:anchorId="0C509261" wp14:editId="0A0C3ABB">
            <wp:extent cx="5730240" cy="550545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0240" cy="5505450"/>
                    </a:xfrm>
                    <a:prstGeom prst="rect">
                      <a:avLst/>
                    </a:prstGeom>
                    <a:noFill/>
                    <a:ln>
                      <a:noFill/>
                    </a:ln>
                  </pic:spPr>
                </pic:pic>
              </a:graphicData>
            </a:graphic>
          </wp:inline>
        </w:drawing>
      </w:r>
    </w:p>
    <w:p w:rsidR="00E05F71" w:rsidRDefault="00E05F71" w:rsidP="00E05F71">
      <w:r>
        <w:t>A contract of employment is a legal document stating the employment relationship between the employer and an individual. It can be agreed orally or in writing and during an occurrence of a dispute, the contract is important as it describes how an employer and employee should work. The terms of a contract can be categorised into express terms and implied terms (Daniels, 2019b).</w:t>
      </w:r>
    </w:p>
    <w:p w:rsidR="00E05F71" w:rsidRDefault="00E05F71" w:rsidP="00E05F71">
      <w:r>
        <w:t>The Employment Rights Act 1996 section 1-7 state that all employees have a right to a written contract if they have worked for the employer for at least 1-month; this should be received no later than 2-months after their start date and should include details such as pay, holiday and hours. (ACAS, 2019b).</w:t>
      </w:r>
    </w:p>
    <w:p w:rsidR="00E05F71" w:rsidRDefault="00E05F71" w:rsidP="00E05F71">
      <w:r>
        <w:t xml:space="preserve">Legislation states that employers must provide a written statement of terms and conditions to workers and employees within 2 months.  A written statement also contains additional clauses but is still not the full contract of employment; only a statement of the agreed terms and conditions of employment. There is no legal requirement for the employee to sign the written statement. </w:t>
      </w:r>
    </w:p>
    <w:p w:rsidR="00E05F71" w:rsidRDefault="00E05F71" w:rsidP="00E05F71">
      <w:r>
        <w:t>Express terms are conditions that have been agreed between both employer and employee, and cannot abate statutory rights; they’re often agreed verbally. Implied terms are conditions which haven’t been agreed between employer and employee, but have come from various sources; Collective agreements, Statute, Custom and practice, the Courts and Work rules (Daniels, 2019).</w:t>
      </w:r>
    </w:p>
    <w:p w:rsidR="00E05F71" w:rsidRDefault="005C04DE" w:rsidP="00E05F71">
      <w:r w:rsidRPr="005C04DE">
        <w:lastRenderedPageBreak/>
        <w:drawing>
          <wp:inline distT="0" distB="0" distL="0" distR="0">
            <wp:extent cx="5731479" cy="4019550"/>
            <wp:effectExtent l="0" t="0" r="317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7553" cy="4023810"/>
                    </a:xfrm>
                    <a:prstGeom prst="rect">
                      <a:avLst/>
                    </a:prstGeom>
                    <a:noFill/>
                    <a:ln>
                      <a:noFill/>
                    </a:ln>
                  </pic:spPr>
                </pic:pic>
              </a:graphicData>
            </a:graphic>
          </wp:inline>
        </w:drawing>
      </w:r>
    </w:p>
    <w:p w:rsidR="00E05F71" w:rsidRDefault="00E05F71" w:rsidP="00E05F71">
      <w:r>
        <w:t xml:space="preserve">There are also implied terms of law, as well as the implied terms of a contract of employment; obligations that both employer and employee must adhere to by law. E.g., pay wages, provide work, provide and ensure correct and fair details within a reference, health and safety of staff, indemnify employees of liabilities, bringing matters to employees’ attention, support with bullying in the workplace, respect privacy and deal with grievances. </w:t>
      </w:r>
    </w:p>
    <w:p w:rsidR="00E05F71" w:rsidRDefault="00E05F71" w:rsidP="00E05F71">
      <w:r>
        <w:t xml:space="preserve">Duties on the employee would include the necessity to obey all instructions and co-operate with the employer, to have fidelity and taking reasonable care whilst carrying out work duties. </w:t>
      </w:r>
    </w:p>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Pr="00404089" w:rsidRDefault="00E05F71" w:rsidP="00E05F71">
      <w:pPr>
        <w:rPr>
          <w:b/>
        </w:rPr>
      </w:pPr>
      <w:r w:rsidRPr="00404089">
        <w:rPr>
          <w:b/>
        </w:rPr>
        <w:lastRenderedPageBreak/>
        <w:t>Task 3</w:t>
      </w:r>
    </w:p>
    <w:p w:rsidR="00E05F71" w:rsidRDefault="00E05F71" w:rsidP="00E05F71">
      <w:r>
        <w:t xml:space="preserve">There are times when an employer wishes to change a </w:t>
      </w:r>
      <w:r w:rsidRPr="00075889">
        <w:rPr>
          <w:b/>
          <w:i/>
        </w:rPr>
        <w:t>contract of employment</w:t>
      </w:r>
      <w:r>
        <w:t xml:space="preserve">, possibly to ensure that business survives by adjusted working hours etc. However, contracts of employment are a legal agreement meaning they can’t be changed without consulting the employee (Daniel, 2019c). </w:t>
      </w:r>
    </w:p>
    <w:p w:rsidR="00E05F71" w:rsidRDefault="00E05F71" w:rsidP="00E05F71">
      <w:r>
        <w:t xml:space="preserve">To begin the process of changing a contract lawfully, the employer must have a consultation with the affected employee(s). If the change will affect less than 20 employees, the consultation doesn’t require representatives, if affecting 21-99 employees, the consultation should be for a minimum of 30 days with representatives; with 100+ employees effected, the consultation increases to a minimum of 45 days. It is encouraged that employers consult with employees individually. </w:t>
      </w:r>
    </w:p>
    <w:p w:rsidR="00E05F71" w:rsidRDefault="00E05F71" w:rsidP="00E05F71">
      <w:r>
        <w:t>Following consultations agreements are usually made, however on the occasions that there isn’t an agreement between employer and employee, and the employee doesn’t work in agreement with the changes, the employer has the option to terminate the contract of employment for ‘some other substantial reason’ which is a fair reason for termination (Daniel, 2019c).</w:t>
      </w:r>
    </w:p>
    <w:p w:rsidR="00E05F71" w:rsidRDefault="00E05F71" w:rsidP="00E05F71">
      <w:r w:rsidRPr="00075889">
        <w:rPr>
          <w:b/>
          <w:i/>
        </w:rPr>
        <w:t>Redundancy</w:t>
      </w:r>
      <w:r>
        <w:t xml:space="preserve"> is a form of dismissal occurring when an employer must reduce the size of the workforce (CIPD, 2018b). </w:t>
      </w:r>
    </w:p>
    <w:p w:rsidR="00E05F71" w:rsidRDefault="00E05F71" w:rsidP="00E05F71">
      <w:r>
        <w:t xml:space="preserve">Redundancy is a fair reason for dismissal in accordance to the Employments Right Act 1996. Section 139 (1) of this act states that redundancy is fair if the employer has ceased the business because the employee was employed; the employer has ceased the business in the area that the employee was employed or that the requirement for the work that the employee completed has ceased. Employers must be cautious during this period to avoid any claims for unfair dismissal (Taylor and </w:t>
      </w:r>
      <w:proofErr w:type="spellStart"/>
      <w:r>
        <w:t>Woodhams</w:t>
      </w:r>
      <w:proofErr w:type="spellEnd"/>
      <w:r>
        <w:t>, 2016)</w:t>
      </w:r>
    </w:p>
    <w:p w:rsidR="00E05F71" w:rsidRDefault="00E05F71" w:rsidP="00E05F71">
      <w:r>
        <w:t>ACAS (</w:t>
      </w:r>
      <w:proofErr w:type="spellStart"/>
      <w:r>
        <w:t>NDc</w:t>
      </w:r>
      <w:proofErr w:type="spellEnd"/>
      <w:r>
        <w:t>) advise employers to make a ‘Redundancy Plan’ to guide them through the process. The plan should include, avoiding compulsory redundancies, consult the staff whom might be affected, select staff for redundancy using redundancy criteria, give the affected staff notice, work out their individual redundancy pay and provide substantial support for the employees to plan.</w:t>
      </w:r>
    </w:p>
    <w:p w:rsidR="00E05F71" w:rsidRDefault="00E05F71" w:rsidP="00E05F71">
      <w:r w:rsidRPr="009C2FD4">
        <w:rPr>
          <w:noProof/>
          <w:lang w:eastAsia="en-GB"/>
        </w:rPr>
        <w:lastRenderedPageBreak/>
        <w:drawing>
          <wp:inline distT="0" distB="0" distL="0" distR="0" wp14:anchorId="4D4323C4" wp14:editId="23BFE5C7">
            <wp:extent cx="5730240" cy="8343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0240" cy="8343900"/>
                    </a:xfrm>
                    <a:prstGeom prst="rect">
                      <a:avLst/>
                    </a:prstGeom>
                    <a:noFill/>
                    <a:ln>
                      <a:noFill/>
                    </a:ln>
                  </pic:spPr>
                </pic:pic>
              </a:graphicData>
            </a:graphic>
          </wp:inline>
        </w:drawing>
      </w:r>
    </w:p>
    <w:p w:rsidR="00E05F71" w:rsidRDefault="00E05F71" w:rsidP="00E05F71">
      <w:r w:rsidRPr="00075889">
        <w:rPr>
          <w:b/>
          <w:i/>
        </w:rPr>
        <w:t>The Transfer of Undertakings (Protection of Employment) Regulations 2006 (TUPE)</w:t>
      </w:r>
      <w:r>
        <w:t xml:space="preserve"> preserve employees’ terms and conditions when a business is transferred to a new employer. During the </w:t>
      </w:r>
      <w:r>
        <w:lastRenderedPageBreak/>
        <w:t xml:space="preserve">transfer, the contractual rights of an employee stay the same and are all transferred to the new employer. Rights such as, continuity of service, contracts of employment, trade union representatives, collective agreements and rights contained in the contract of employment (Daniels, 2019d). </w:t>
      </w:r>
    </w:p>
    <w:p w:rsidR="00E05F71" w:rsidRDefault="00E05F71" w:rsidP="00E05F71">
      <w:r>
        <w:t>TUPE applies to various situations, such as when a transfer of an economic entity keeps its identity, changes to a service provider a merger and the transferring of companies in administration. TUPE doesn’t apply when the customer changes, transfers of shares and where there isn’t an economic change (CIPD, 2018c).</w:t>
      </w:r>
    </w:p>
    <w:p w:rsidR="00E05F71" w:rsidRDefault="00E05F71" w:rsidP="00E05F71">
      <w:r>
        <w:t>The affected employees must have a consultation with representatives and given the information that a transfer will take place, the reason and expected time of the transfer, any implications for the employees and any measures that both the employer and transferee expect from the employees. Where there is no consultation provided, can result in 13 weeks’ pay per affected employee (CIPD, 2018c).</w:t>
      </w:r>
    </w:p>
    <w:p w:rsidR="00E05F71" w:rsidRDefault="00E05F71" w:rsidP="00E05F71">
      <w:r>
        <w:t>The employers are legally required to provide the transferee with information about the transferring employees. Information would include, names and ages of the employees, any disciplinary action or grievances or legal action undertaken in the previous 2 years and details of any collective agreements (Daniels, 2019d).  Any contractual changes will be made to state the new place of work and the work the complete and are void unless there is an Economical, Technical or Organisational reason stating changes in the workforce.</w:t>
      </w:r>
    </w:p>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Pr="00A61FEE" w:rsidRDefault="00E05F71" w:rsidP="00E05F71">
      <w:pPr>
        <w:rPr>
          <w:b/>
        </w:rPr>
      </w:pPr>
      <w:r w:rsidRPr="00A61FEE">
        <w:rPr>
          <w:b/>
        </w:rPr>
        <w:lastRenderedPageBreak/>
        <w:t>Task 4</w:t>
      </w:r>
    </w:p>
    <w:p w:rsidR="00E05F71" w:rsidRDefault="00E05F71" w:rsidP="00E05F71">
      <w:r>
        <w:t xml:space="preserve">The basis of the Working Time Regulations 1998 is health and safety; it’s believed that there’s likely to be less accidents and healthier employee if there’s a minimum number of holidays, rest periods and reasonable working hours (Daniels, 2019). This regulation covers anyone who works under a contract of employment or anyone with any other/personal contract. </w:t>
      </w:r>
    </w:p>
    <w:p w:rsidR="00E05F71" w:rsidRDefault="00E05F71" w:rsidP="00E05F71">
      <w:r w:rsidRPr="00DE0EAB">
        <w:rPr>
          <w:noProof/>
          <w:lang w:eastAsia="en-GB"/>
        </w:rPr>
        <w:drawing>
          <wp:anchor distT="0" distB="0" distL="114300" distR="114300" simplePos="0" relativeHeight="251659264" behindDoc="0" locked="0" layoutInCell="1" allowOverlap="1" wp14:anchorId="3DDAA9BB" wp14:editId="08AE4E11">
            <wp:simplePos x="0" y="0"/>
            <wp:positionH relativeFrom="margin">
              <wp:posOffset>-47625</wp:posOffset>
            </wp:positionH>
            <wp:positionV relativeFrom="page">
              <wp:posOffset>2971165</wp:posOffset>
            </wp:positionV>
            <wp:extent cx="5730240" cy="7381875"/>
            <wp:effectExtent l="0" t="0" r="381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3086"/>
                    <a:stretch/>
                  </pic:blipFill>
                  <pic:spPr bwMode="auto">
                    <a:xfrm>
                      <a:off x="0" y="0"/>
                      <a:ext cx="5730240" cy="73818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t>The Regulation defines ‘work’ as time when workers are working at the allocation of the employer and completing duties according to usual practice; a time when the worker is being provided appropriate training; and any other duration where the regulations is treating it as working time (</w:t>
      </w:r>
      <w:proofErr w:type="spellStart"/>
      <w:r>
        <w:t>Honeyball</w:t>
      </w:r>
      <w:proofErr w:type="spellEnd"/>
      <w:r>
        <w:t>, 2014).</w:t>
      </w:r>
    </w:p>
    <w:p w:rsidR="00E05F71" w:rsidRDefault="00E05F71" w:rsidP="00E05F71">
      <w:r>
        <w:lastRenderedPageBreak/>
        <w:t xml:space="preserve">Employers are obligated to pay wages. In agreement with the Employment Rights Act (ERA) 1996 Section 8, all employees are entitled to a written pay slip before or on the day of payment of wages/salary; showing gross and net payments, any deductions and their purpose and, from April 2019 the number of hours worked. The term ‘Wages’ has been defined as a sum payable to a worker by their employer in relation to their employment; following the </w:t>
      </w:r>
      <w:r w:rsidRPr="009952E0">
        <w:rPr>
          <w:i/>
        </w:rPr>
        <w:t>Delaney V Staples</w:t>
      </w:r>
      <w:r>
        <w:t xml:space="preserve"> (1992) case (</w:t>
      </w:r>
      <w:proofErr w:type="spellStart"/>
      <w:r>
        <w:t>Honeyball</w:t>
      </w:r>
      <w:proofErr w:type="spellEnd"/>
      <w:r>
        <w:t>, 2014).</w:t>
      </w:r>
    </w:p>
    <w:p w:rsidR="00E05F71" w:rsidRDefault="00E05F71" w:rsidP="00E05F71">
      <w:r>
        <w:t>Lawful deductions from wages could be, where legislation or contract of employment authorises it or where an agreement has been made in writing. The ERA 1996 Sections 28 -35 state that an employee with 1 month’s continuous employment has the right to guarantee payments if they are not provided work on days when they usually would. A reason for guarantee payment could be, less demand for the business or type of work that the individual does and any other occurrence that affect’s normal business e.g. power cut (Daniels, 2019d).</w:t>
      </w:r>
    </w:p>
    <w:p w:rsidR="00E05F71" w:rsidRDefault="00E05F71" w:rsidP="00E05F71">
      <w:r>
        <w:t xml:space="preserve">The National Minimum Wage (NMW) Act 1998 sets a minimum hourly rate of pay for workers under 25 to receive by law (ACAS, </w:t>
      </w:r>
      <w:proofErr w:type="spellStart"/>
      <w:r>
        <w:t>NDa</w:t>
      </w:r>
      <w:proofErr w:type="spellEnd"/>
      <w:r>
        <w:t>).</w:t>
      </w:r>
    </w:p>
    <w:p w:rsidR="00E05F71" w:rsidRDefault="00E05F71" w:rsidP="00E05F71">
      <w:r>
        <w:t>Employers aren’t legally obligated to have a sick-pay scheme, although all employers are required to pay Statutory Sick Pay (SSP). From the fourth consecutive calendar sick day, individuals are entitled to SSP, if the average earnings are at least equal to the lower earning limits. SSP can only be claimed on the day which the employee would usually work and is paid no more than 28 weeks in any 12-month period. From the 1</w:t>
      </w:r>
      <w:r w:rsidRPr="00041D4D">
        <w:rPr>
          <w:vertAlign w:val="superscript"/>
        </w:rPr>
        <w:t>st</w:t>
      </w:r>
      <w:r>
        <w:t xml:space="preserve"> April 2019, SSP will be £94.25. (Daniels, 2019d).</w:t>
      </w:r>
    </w:p>
    <w:p w:rsidR="00E05F71" w:rsidRDefault="00E05F71" w:rsidP="00E05F71">
      <w:r>
        <w:t>If an employee is suspended on medical grounds, e.g. if health and safety requirements are preventing the employer from providing work, the employee has the right to be paid the normal rate of pay for up to 26 weeks whilst suspended (</w:t>
      </w:r>
      <w:proofErr w:type="spellStart"/>
      <w:r>
        <w:t>Honeyball</w:t>
      </w:r>
      <w:proofErr w:type="spellEnd"/>
      <w:r>
        <w:t>, 2014).</w:t>
      </w:r>
    </w:p>
    <w:p w:rsidR="00E05F71" w:rsidRDefault="00E05F71" w:rsidP="00E05F71">
      <w:r>
        <w:t>Daniels (2019d) suggest employers must follow a guideline when staff are pregnant or due maternity/paternity leave, see below.</w:t>
      </w:r>
    </w:p>
    <w:p w:rsidR="00E05F71" w:rsidRDefault="00E05F71" w:rsidP="00E05F71">
      <w:r w:rsidRPr="00F25893">
        <w:rPr>
          <w:noProof/>
          <w:lang w:eastAsia="en-GB"/>
        </w:rPr>
        <w:drawing>
          <wp:inline distT="0" distB="0" distL="0" distR="0" wp14:anchorId="21F5A191" wp14:editId="674404C6">
            <wp:extent cx="5702300" cy="34766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5978" cy="3491061"/>
                    </a:xfrm>
                    <a:prstGeom prst="rect">
                      <a:avLst/>
                    </a:prstGeom>
                    <a:noFill/>
                    <a:ln>
                      <a:noFill/>
                    </a:ln>
                  </pic:spPr>
                </pic:pic>
              </a:graphicData>
            </a:graphic>
          </wp:inline>
        </w:drawing>
      </w:r>
    </w:p>
    <w:p w:rsidR="00E05F71" w:rsidRDefault="00E05F71" w:rsidP="00E05F71"/>
    <w:p w:rsidR="00E05F71" w:rsidRDefault="00E05F71" w:rsidP="00E05F71"/>
    <w:p w:rsidR="00E05F71" w:rsidRDefault="00E05F71" w:rsidP="00E05F71">
      <w:r w:rsidRPr="00810115">
        <w:rPr>
          <w:noProof/>
          <w:lang w:eastAsia="en-GB"/>
        </w:rPr>
        <w:drawing>
          <wp:inline distT="0" distB="0" distL="0" distR="0" wp14:anchorId="37781C9C" wp14:editId="15EE701B">
            <wp:extent cx="5731467" cy="40576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48110" cy="4069432"/>
                    </a:xfrm>
                    <a:prstGeom prst="rect">
                      <a:avLst/>
                    </a:prstGeom>
                    <a:noFill/>
                    <a:ln>
                      <a:noFill/>
                    </a:ln>
                  </pic:spPr>
                </pic:pic>
              </a:graphicData>
            </a:graphic>
          </wp:inline>
        </w:drawing>
      </w:r>
    </w:p>
    <w:p w:rsidR="00E05F71" w:rsidRDefault="00E05F71" w:rsidP="00E05F71">
      <w:r>
        <w:t>Fathers who have been employed for 26 weeks from the start of the 14</w:t>
      </w:r>
      <w:r w:rsidRPr="00D01CEB">
        <w:rPr>
          <w:vertAlign w:val="superscript"/>
        </w:rPr>
        <w:t>th</w:t>
      </w:r>
      <w:r>
        <w:t xml:space="preserve"> week before EWC, have a statutory right to take ordinary parental leave (OPL) from the day of birth. OPL is a time of 2 weeks and can only be taken within 56 days of birth (Taylor and Wilkinson, 2016).</w:t>
      </w:r>
    </w:p>
    <w:p w:rsidR="00E05F71" w:rsidRDefault="00E05F71" w:rsidP="00E05F71">
      <w:r>
        <w:t>Shared parental leave was introduced in 2014 where once a mother’s compulsory maternity leave has ended, both parents have a right to share the remainder of her paid leave between them. Adoptive parents are entitled to 52 weeks’ adoption leave, and the usual parental and shared leave as with a birth of a child. The leave begins when the child is matched with the parents. Statutory Adoption Pay (SAP) is paid for 39 weeks at the same rate as SMP (CIPD, 2018a).</w:t>
      </w:r>
    </w:p>
    <w:p w:rsidR="00E05F71" w:rsidRDefault="00E05F71" w:rsidP="00E05F71">
      <w:r>
        <w:t>There’s other statutory rights that employees are entitled to, such as the right to take unpaid leave for family emergencies; the right to take 4-months unpaid parental leave; and the right to request flexible working. Flexible working can only be requested once a year and the employer has a right to turn down requests if they believe that there is a good business reason to do so.</w:t>
      </w:r>
    </w:p>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Pr="00973629" w:rsidRDefault="00E05F71" w:rsidP="00E05F71">
      <w:pPr>
        <w:rPr>
          <w:b/>
        </w:rPr>
      </w:pPr>
      <w:r w:rsidRPr="00973629">
        <w:rPr>
          <w:b/>
        </w:rPr>
        <w:lastRenderedPageBreak/>
        <w:t>Task 5</w:t>
      </w:r>
    </w:p>
    <w:p w:rsidR="00E05F71" w:rsidRDefault="00E05F71" w:rsidP="00E05F71">
      <w:r>
        <w:t xml:space="preserve">There’re numerous legislations relating to </w:t>
      </w:r>
      <w:r w:rsidRPr="009450CE">
        <w:rPr>
          <w:b/>
          <w:i/>
        </w:rPr>
        <w:t>health and safety</w:t>
      </w:r>
      <w:r>
        <w:t xml:space="preserve">, the main being the Health and Safety at Work Act (HASAWA) 1974 (Daniels, 2019e). This statue details the main duties of the employer and employee. Alongside this legislation there are: </w:t>
      </w:r>
    </w:p>
    <w:p w:rsidR="00E05F71" w:rsidRDefault="00E05F71" w:rsidP="00E05F71">
      <w:r w:rsidRPr="001D65FC">
        <w:rPr>
          <w:noProof/>
          <w:lang w:eastAsia="en-GB"/>
        </w:rPr>
        <w:drawing>
          <wp:inline distT="0" distB="0" distL="0" distR="0" wp14:anchorId="6624F1E7" wp14:editId="32611744">
            <wp:extent cx="5730240" cy="18383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0240" cy="1838325"/>
                    </a:xfrm>
                    <a:prstGeom prst="rect">
                      <a:avLst/>
                    </a:prstGeom>
                    <a:noFill/>
                    <a:ln>
                      <a:noFill/>
                    </a:ln>
                  </pic:spPr>
                </pic:pic>
              </a:graphicData>
            </a:graphic>
          </wp:inline>
        </w:drawing>
      </w:r>
      <w:r>
        <w:t>Section 2(1) of the HASAWA defines, employers must guarantee the safety and welfare of the workforce. Such obligations include; the safe and adequate plant and equipment, ensuring that equipment is tested and replaced regularly; providing a safe premise of work; competent and safe fellow employees, e.g. providing employees with relevant training; and a safe system of work, e.g. not working perfunctory (CIPD, 2018d).</w:t>
      </w:r>
    </w:p>
    <w:p w:rsidR="00E05F71" w:rsidRDefault="00E05F71" w:rsidP="00E05F71">
      <w:r>
        <w:t>Employees have duties in accordance to Section 7 of the HASAWA. Employees must take care of themselves and others, cooperating with their employer, ensuring health and safety obligations are met, Personal Protective Equipment (PPE) must be worn if provided (Personal Protective Equipment at Work Regulations 1992). Employees must understand systems provided by the employer; and informing their employer of any serious forthcoming dangers to health and safety (Daniels, 2019e).</w:t>
      </w:r>
    </w:p>
    <w:p w:rsidR="00E05F71" w:rsidRDefault="00E05F71" w:rsidP="00E05F71">
      <w:r>
        <w:t xml:space="preserve">Many stresses at work claims stem from the negligence of the employer’s duty to take care. The Health and Safety Executive (HSE) define work-related stress as the reaction that employees have because of disproportionate pressures and demand at work; due to a lack of required resources (CIPD, 2018d). Stress affects individuals mentally and physically (ACAS, </w:t>
      </w:r>
      <w:proofErr w:type="spellStart"/>
      <w:r>
        <w:t>NDd</w:t>
      </w:r>
      <w:proofErr w:type="spellEnd"/>
      <w:r>
        <w:t xml:space="preserve">). </w:t>
      </w:r>
    </w:p>
    <w:p w:rsidR="00E05F71" w:rsidRDefault="00E05F71" w:rsidP="00E05F71">
      <w:r>
        <w:t>The penalties for breaching health and safety are, the tort of negligence, contractual claims such as constructive dismissal, criminal actions and personal injury claims (CIPD, 2018d).</w:t>
      </w:r>
    </w:p>
    <w:p w:rsidR="00E05F71" w:rsidRDefault="00E05F71" w:rsidP="00E05F71">
      <w:r>
        <w:t xml:space="preserve">To enforce good standards of health and safety, the CIPD (2018d) state that under the HSWA, any employers with 5 or more employees should have a written health and safety policy. For a policy to be effective, there’s various statements that it should include, such as displaying a guarantee to managing health and safety, include a general declaration on providing a healthy and safe working environment for all employees, clarify systems and procedures for training, accidents, first aid and emergencies and addressing any stress, alcohol and drug misuse. </w:t>
      </w:r>
    </w:p>
    <w:p w:rsidR="00E05F71" w:rsidRDefault="00E05F71" w:rsidP="00E05F71">
      <w:r>
        <w:t>Employers must complete regular risk assessments. Risk assessments should include, any rules that must be abided by with the health and safety fire precautions, assessments of risks to any pregnant workers and to young people. Failure to complete risk assessments on pregnant worker may lead to sex discrimination (CIPD, 2018d).</w:t>
      </w:r>
    </w:p>
    <w:p w:rsidR="00E05F71" w:rsidRDefault="00E05F71" w:rsidP="00E05F71">
      <w:r>
        <w:t xml:space="preserve">In October 2010 the </w:t>
      </w:r>
      <w:r w:rsidRPr="009450CE">
        <w:rPr>
          <w:b/>
          <w:i/>
        </w:rPr>
        <w:t>Equality Act (</w:t>
      </w:r>
      <w:proofErr w:type="spellStart"/>
      <w:r w:rsidRPr="009450CE">
        <w:rPr>
          <w:b/>
          <w:i/>
        </w:rPr>
        <w:t>EqA</w:t>
      </w:r>
      <w:proofErr w:type="spellEnd"/>
      <w:r w:rsidRPr="009450CE">
        <w:rPr>
          <w:b/>
          <w:i/>
        </w:rPr>
        <w:t>) 2010</w:t>
      </w:r>
      <w:r>
        <w:t xml:space="preserve"> was introduced, replacing the 9 discrimination legislations and 100 smaller legislations that were originally in place. This act includes 9 protected </w:t>
      </w:r>
      <w:r>
        <w:lastRenderedPageBreak/>
        <w:t>characteristics where discrimination can occur. Employees, workers, job applicants and ex-employees are all covered by this legislation (Daniels, 2019e).</w:t>
      </w:r>
    </w:p>
    <w:p w:rsidR="00E05F71" w:rsidRDefault="00E05F71" w:rsidP="00E05F71">
      <w:r>
        <w:t>The 9 protected characteristics are:</w:t>
      </w:r>
    </w:p>
    <w:p w:rsidR="00E05F71" w:rsidRDefault="00E05F71" w:rsidP="00E05F71">
      <w:r w:rsidRPr="00E42010">
        <w:rPr>
          <w:noProof/>
          <w:lang w:eastAsia="en-GB"/>
        </w:rPr>
        <w:drawing>
          <wp:inline distT="0" distB="0" distL="0" distR="0" wp14:anchorId="51C65834" wp14:editId="4132AE30">
            <wp:extent cx="5730240" cy="7315200"/>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0240" cy="7315200"/>
                    </a:xfrm>
                    <a:prstGeom prst="rect">
                      <a:avLst/>
                    </a:prstGeom>
                    <a:noFill/>
                    <a:ln>
                      <a:noFill/>
                    </a:ln>
                  </pic:spPr>
                </pic:pic>
              </a:graphicData>
            </a:graphic>
          </wp:inline>
        </w:drawing>
      </w:r>
    </w:p>
    <w:p w:rsidR="00E05F71" w:rsidRDefault="00E05F71" w:rsidP="00E05F71">
      <w:r>
        <w:t xml:space="preserve">There are 6 types of discriminations; direct, indirect, associative, perception, harassment and victimisation. Direct discrimination is when an individual is discriminated against “because of” a protected characteristic (Section 13 </w:t>
      </w:r>
      <w:proofErr w:type="spellStart"/>
      <w:r>
        <w:t>EqA</w:t>
      </w:r>
      <w:proofErr w:type="spellEnd"/>
      <w:r>
        <w:t xml:space="preserve"> 2010). Associative discrimination is when someone is </w:t>
      </w:r>
      <w:r>
        <w:lastRenderedPageBreak/>
        <w:t xml:space="preserve">treated unfairly because they’re associated with someone who has a protected characteristic. Perceptive discrimination is a form of direct discrimination as it occurs when someone is treated unfavourably because they’re perceived to have a protected characteristic. Both associative and perceptive protect all characteristics apart from marriage and civil partnership, and pregnancy and maternity (Daniels, 2019e). Indirect discrimination exists because of a practice enforced by the employer; where the employer sets employees a provision, criterion or practice that sets individuals with a protected characteristic at a disadvantage, it isn’t a balanced way of gaining a legitimate aim and is a disadvantage to an individual that they can’t comply (Section 19 </w:t>
      </w:r>
      <w:proofErr w:type="spellStart"/>
      <w:r>
        <w:t>EqA</w:t>
      </w:r>
      <w:proofErr w:type="spellEnd"/>
      <w:r>
        <w:t xml:space="preserve"> 2010). </w:t>
      </w:r>
    </w:p>
    <w:p w:rsidR="00E05F71" w:rsidRDefault="00E05F71" w:rsidP="00E05F71">
      <w:r>
        <w:t xml:space="preserve">Section 26 </w:t>
      </w:r>
      <w:proofErr w:type="spellStart"/>
      <w:r>
        <w:t>EqA</w:t>
      </w:r>
      <w:proofErr w:type="spellEnd"/>
      <w:r>
        <w:t xml:space="preserve"> 2010 defines harassment as un unwanted behaviour correlating to a protected characteristic; with the purpose of “violating an individual’s dignity and/or creating an intimidating, degrading, humiliating, hostile or offensive environment”. The Protection from Harassment Act 1997 makes harassment of any kind a criminal offence (Daniels, 2019e).</w:t>
      </w:r>
    </w:p>
    <w:p w:rsidR="00E05F71" w:rsidRDefault="00E05F71" w:rsidP="00E05F71">
      <w:r>
        <w:t xml:space="preserve">Victimisation occurs when employees are penalised for applying their rights under the </w:t>
      </w:r>
      <w:proofErr w:type="spellStart"/>
      <w:r>
        <w:t>EqA</w:t>
      </w:r>
      <w:proofErr w:type="spellEnd"/>
      <w:r>
        <w:t xml:space="preserve"> 2010. Victimisation is unlawful if an employer thinks the individual being victimised contemplates bringing proceedings under the </w:t>
      </w:r>
      <w:proofErr w:type="spellStart"/>
      <w:r>
        <w:t>EqA</w:t>
      </w:r>
      <w:proofErr w:type="spellEnd"/>
      <w:r>
        <w:t xml:space="preserve"> 2010; giving evidence connected to the proceedings; doing anything connecting to the </w:t>
      </w:r>
      <w:proofErr w:type="spellStart"/>
      <w:r>
        <w:t>EqA</w:t>
      </w:r>
      <w:proofErr w:type="spellEnd"/>
      <w:r>
        <w:t xml:space="preserve"> 2010; alleging that an individual has contravened or treating an individual unfairly as a result (Section 7 </w:t>
      </w:r>
      <w:proofErr w:type="spellStart"/>
      <w:r>
        <w:t>EqA</w:t>
      </w:r>
      <w:proofErr w:type="spellEnd"/>
      <w:r>
        <w:t xml:space="preserve"> 2010).</w:t>
      </w:r>
    </w:p>
    <w:p w:rsidR="00E05F71" w:rsidRDefault="00E05F71" w:rsidP="00E05F71">
      <w:r>
        <w:t xml:space="preserve">There are </w:t>
      </w:r>
      <w:r w:rsidRPr="009450CE">
        <w:rPr>
          <w:b/>
          <w:i/>
        </w:rPr>
        <w:t>implied terms</w:t>
      </w:r>
      <w:r>
        <w:t xml:space="preserve"> in the contract of employment as well as requirements of the employer and employee.</w:t>
      </w:r>
    </w:p>
    <w:p w:rsidR="00E05F71" w:rsidRDefault="00E05F71" w:rsidP="00E05F71"/>
    <w:p w:rsidR="00E05F71" w:rsidRDefault="00E05F71" w:rsidP="00E05F71"/>
    <w:p w:rsidR="00E05F71" w:rsidRDefault="00E05F71" w:rsidP="00E05F71">
      <w:r w:rsidRPr="001D65FC">
        <w:rPr>
          <w:noProof/>
          <w:lang w:eastAsia="en-GB"/>
        </w:rPr>
        <w:lastRenderedPageBreak/>
        <w:drawing>
          <wp:anchor distT="0" distB="0" distL="114300" distR="114300" simplePos="0" relativeHeight="251661312" behindDoc="1" locked="0" layoutInCell="1" allowOverlap="1" wp14:anchorId="50514579" wp14:editId="58E30B39">
            <wp:simplePos x="0" y="0"/>
            <wp:positionH relativeFrom="column">
              <wp:posOffset>38100</wp:posOffset>
            </wp:positionH>
            <wp:positionV relativeFrom="paragraph">
              <wp:posOffset>0</wp:posOffset>
            </wp:positionV>
            <wp:extent cx="5730240" cy="5905500"/>
            <wp:effectExtent l="0" t="0" r="3810" b="0"/>
            <wp:wrapTight wrapText="bothSides">
              <wp:wrapPolygon edited="0">
                <wp:start x="144" y="70"/>
                <wp:lineTo x="0" y="697"/>
                <wp:lineTo x="0" y="1254"/>
                <wp:lineTo x="10771" y="1324"/>
                <wp:lineTo x="10915" y="2439"/>
                <wp:lineTo x="215" y="2926"/>
                <wp:lineTo x="215" y="3345"/>
                <wp:lineTo x="10771" y="3554"/>
                <wp:lineTo x="10915" y="4459"/>
                <wp:lineTo x="11059" y="4668"/>
                <wp:lineTo x="11633" y="4668"/>
                <wp:lineTo x="215" y="5017"/>
                <wp:lineTo x="215" y="5435"/>
                <wp:lineTo x="10843" y="5783"/>
                <wp:lineTo x="0" y="6828"/>
                <wp:lineTo x="0" y="7455"/>
                <wp:lineTo x="10915" y="8013"/>
                <wp:lineTo x="0" y="8222"/>
                <wp:lineTo x="0" y="8919"/>
                <wp:lineTo x="10987" y="9197"/>
                <wp:lineTo x="10987" y="10243"/>
                <wp:lineTo x="12638" y="10243"/>
                <wp:lineTo x="10987" y="10521"/>
                <wp:lineTo x="10915" y="11079"/>
                <wp:lineTo x="11059" y="11357"/>
                <wp:lineTo x="0" y="12333"/>
                <wp:lineTo x="0" y="12472"/>
                <wp:lineTo x="215" y="12960"/>
                <wp:lineTo x="10915" y="13587"/>
                <wp:lineTo x="215" y="13935"/>
                <wp:lineTo x="215" y="14423"/>
                <wp:lineTo x="11705" y="14702"/>
                <wp:lineTo x="10987" y="14702"/>
                <wp:lineTo x="10843" y="14911"/>
                <wp:lineTo x="10771" y="15817"/>
                <wp:lineTo x="144" y="16723"/>
                <wp:lineTo x="144" y="17141"/>
                <wp:lineTo x="9766" y="18046"/>
                <wp:lineTo x="11561" y="18046"/>
                <wp:lineTo x="0" y="18534"/>
                <wp:lineTo x="0" y="19161"/>
                <wp:lineTo x="2513" y="19231"/>
                <wp:lineTo x="10915" y="20276"/>
                <wp:lineTo x="10915" y="20973"/>
                <wp:lineTo x="11059" y="21252"/>
                <wp:lineTo x="11418" y="21391"/>
                <wp:lineTo x="20322" y="21391"/>
                <wp:lineTo x="20537" y="21252"/>
                <wp:lineTo x="20322" y="20276"/>
                <wp:lineTo x="20896" y="19719"/>
                <wp:lineTo x="20609" y="19510"/>
                <wp:lineTo x="18670" y="19161"/>
                <wp:lineTo x="21543" y="19092"/>
                <wp:lineTo x="21543" y="18534"/>
                <wp:lineTo x="11920" y="18046"/>
                <wp:lineTo x="18742" y="18046"/>
                <wp:lineTo x="21255" y="17768"/>
                <wp:lineTo x="21255" y="16514"/>
                <wp:lineTo x="15870" y="15956"/>
                <wp:lineTo x="21040" y="15817"/>
                <wp:lineTo x="21255" y="15538"/>
                <wp:lineTo x="19604" y="14702"/>
                <wp:lineTo x="19747" y="14354"/>
                <wp:lineTo x="19460" y="14005"/>
                <wp:lineTo x="18598" y="13587"/>
                <wp:lineTo x="20824" y="12890"/>
                <wp:lineTo x="20465" y="12542"/>
                <wp:lineTo x="21543" y="12472"/>
                <wp:lineTo x="21255" y="11357"/>
                <wp:lineTo x="21399" y="10661"/>
                <wp:lineTo x="20753" y="10243"/>
                <wp:lineTo x="20537" y="9128"/>
                <wp:lineTo x="12423" y="9128"/>
                <wp:lineTo x="21543" y="8849"/>
                <wp:lineTo x="21543" y="8222"/>
                <wp:lineTo x="17593" y="8013"/>
                <wp:lineTo x="21543" y="7386"/>
                <wp:lineTo x="21543" y="6898"/>
                <wp:lineTo x="21255" y="5783"/>
                <wp:lineTo x="21327" y="5365"/>
                <wp:lineTo x="19460" y="5017"/>
                <wp:lineTo x="14505" y="4668"/>
                <wp:lineTo x="21327" y="4668"/>
                <wp:lineTo x="21255" y="3623"/>
                <wp:lineTo x="17378" y="3484"/>
                <wp:lineTo x="20035" y="3205"/>
                <wp:lineTo x="19963" y="1603"/>
                <wp:lineTo x="21471" y="1324"/>
                <wp:lineTo x="21543" y="279"/>
                <wp:lineTo x="16229" y="70"/>
                <wp:lineTo x="144" y="7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4667"/>
                    <a:stretch/>
                  </pic:blipFill>
                  <pic:spPr bwMode="auto">
                    <a:xfrm>
                      <a:off x="0" y="0"/>
                      <a:ext cx="5730240" cy="59055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E05F71" w:rsidRDefault="00E05F71" w:rsidP="00E05F71"/>
    <w:p w:rsidR="00E05F71" w:rsidRPr="008747FD" w:rsidRDefault="00E05F71" w:rsidP="00E05F71"/>
    <w:p w:rsidR="00E05F71" w:rsidRPr="008747FD"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Pr="008747FD" w:rsidRDefault="00E05F71" w:rsidP="00E05F71"/>
    <w:p w:rsidR="00E05F71" w:rsidRPr="008747FD" w:rsidRDefault="00E05F71" w:rsidP="00E05F71"/>
    <w:p w:rsidR="00E05F71" w:rsidRPr="008747FD" w:rsidRDefault="00E05F71" w:rsidP="00E05F71">
      <w:r>
        <w:t>The duties on employees are to follow all instructions, cooperating, fidelity and taking reasonable care whilst working (Daniels, 2019e).</w:t>
      </w:r>
    </w:p>
    <w:p w:rsidR="00E05F71" w:rsidRPr="008747FD" w:rsidRDefault="00E05F71" w:rsidP="00E05F71"/>
    <w:p w:rsidR="00E05F71" w:rsidRPr="008747FD" w:rsidRDefault="00E05F71" w:rsidP="00E05F71"/>
    <w:p w:rsidR="00E05F71" w:rsidRPr="008747FD" w:rsidRDefault="00E05F71" w:rsidP="00E05F71"/>
    <w:p w:rsidR="00E05F71" w:rsidRPr="008747FD"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Pr="00F02F84" w:rsidRDefault="00E05F71" w:rsidP="00E05F71">
      <w:pPr>
        <w:rPr>
          <w:b/>
        </w:rPr>
      </w:pPr>
      <w:r w:rsidRPr="00F02F84">
        <w:rPr>
          <w:b/>
        </w:rPr>
        <w:lastRenderedPageBreak/>
        <w:t>Task 6</w:t>
      </w:r>
    </w:p>
    <w:p w:rsidR="00E05F71" w:rsidRDefault="00E05F71" w:rsidP="00E05F71">
      <w:r>
        <w:t xml:space="preserve">CIPD (2018e) states dismissals occur when “a contract is terminated with or without notice”. Occasionally dismissals can be automatically unfair, without 2-years continuous employment, this could be if an employee was dismissed on pregnancy/maternity related issues or asserting statutory rights or with 2-years continuous employment automatic unfair dismissal could be because of a spent conviction. </w:t>
      </w:r>
    </w:p>
    <w:p w:rsidR="00E05F71" w:rsidRDefault="00E05F71" w:rsidP="00E05F71">
      <w:r>
        <w:t>Employees have the right to be treated fairly which is the foundation of unfair dismissal. During an unfair dismissal claim, the claimant must show that they were dismissed; whereas the respondent must demonstrate why the dismissal was fair (CIPD, 2018e).</w:t>
      </w:r>
    </w:p>
    <w:p w:rsidR="00E05F71" w:rsidRDefault="00E05F71" w:rsidP="00E05F71">
      <w:r>
        <w:t xml:space="preserve">Daniels (2019f) claims that there are 5 reasons for dismissal (Appendix 6.1). The employer must ensure that the dismissal was dealt with fairly and reasonable. To guarantee this, employers must follow a suitable procedure. </w:t>
      </w:r>
    </w:p>
    <w:p w:rsidR="00E05F71" w:rsidRDefault="00E05F71" w:rsidP="00E05F71">
      <w:r>
        <w:t xml:space="preserve">The Employment Rights Act (ERA 1996) define </w:t>
      </w:r>
      <w:r w:rsidRPr="00667ED0">
        <w:rPr>
          <w:b/>
          <w:i/>
        </w:rPr>
        <w:t>capability</w:t>
      </w:r>
      <w:r>
        <w:t xml:space="preserve"> as “skill, aptitude, health or any other physical/mental quality” (Daniels, 2019f). Employees should be aware of what is expected of them by their employer. </w:t>
      </w:r>
    </w:p>
    <w:p w:rsidR="00E05F71" w:rsidRDefault="00E05F71" w:rsidP="00E05F71">
      <w:r w:rsidRPr="00ED61F5">
        <w:rPr>
          <w:noProof/>
          <w:lang w:eastAsia="en-GB"/>
        </w:rPr>
        <w:drawing>
          <wp:inline distT="0" distB="0" distL="0" distR="0" wp14:anchorId="386B719B" wp14:editId="0CF21F94">
            <wp:extent cx="5731510" cy="5284033"/>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5284033"/>
                    </a:xfrm>
                    <a:prstGeom prst="rect">
                      <a:avLst/>
                    </a:prstGeom>
                    <a:noFill/>
                    <a:ln>
                      <a:noFill/>
                    </a:ln>
                  </pic:spPr>
                </pic:pic>
              </a:graphicData>
            </a:graphic>
          </wp:inline>
        </w:drawing>
      </w:r>
    </w:p>
    <w:p w:rsidR="00E05F71" w:rsidRDefault="00E05F71" w:rsidP="00E05F71">
      <w:r>
        <w:lastRenderedPageBreak/>
        <w:t xml:space="preserve">Evidence will need to be shown to support the employer’s decision to dismiss. Dismissal for capability will be because of either lack of ability or skill; lack of capability due to ill health or loss/failure to achieve qualification(s). </w:t>
      </w:r>
    </w:p>
    <w:p w:rsidR="00E05F71" w:rsidRDefault="00E05F71" w:rsidP="00E05F71">
      <w:r>
        <w:t>Lack of skill or ability is rarely major and is usually dealt with through the disciplinary process. However, when dismissing due to ill health, the employer must acknowledge the type of illness, possible length of illness and how it will affect the organisation. Elements to consider could be:</w:t>
      </w:r>
    </w:p>
    <w:p w:rsidR="00E05F71" w:rsidRPr="001B6C48" w:rsidRDefault="00E05F71" w:rsidP="00E05F71">
      <w:pPr>
        <w:pStyle w:val="ListParagraph"/>
        <w:numPr>
          <w:ilvl w:val="0"/>
          <w:numId w:val="1"/>
        </w:numPr>
        <w:rPr>
          <w:rFonts w:asciiTheme="minorHAnsi" w:hAnsiTheme="minorHAnsi" w:cstheme="minorHAnsi"/>
        </w:rPr>
      </w:pPr>
      <w:r w:rsidRPr="001B6C48">
        <w:rPr>
          <w:rFonts w:asciiTheme="minorHAnsi" w:hAnsiTheme="minorHAnsi" w:cstheme="minorHAnsi"/>
        </w:rPr>
        <w:t>Would it have been reasonable for the employer to wait longer?</w:t>
      </w:r>
    </w:p>
    <w:p w:rsidR="00E05F71" w:rsidRPr="001B6C48" w:rsidRDefault="00E05F71" w:rsidP="00E05F71">
      <w:pPr>
        <w:pStyle w:val="ListParagraph"/>
        <w:numPr>
          <w:ilvl w:val="0"/>
          <w:numId w:val="1"/>
        </w:numPr>
        <w:rPr>
          <w:rFonts w:asciiTheme="minorHAnsi" w:hAnsiTheme="minorHAnsi" w:cstheme="minorHAnsi"/>
        </w:rPr>
      </w:pPr>
      <w:r w:rsidRPr="001B6C48">
        <w:rPr>
          <w:rFonts w:asciiTheme="minorHAnsi" w:hAnsiTheme="minorHAnsi" w:cstheme="minorHAnsi"/>
        </w:rPr>
        <w:t>Is the employer able to and is it reasonable enough to wait longer?</w:t>
      </w:r>
    </w:p>
    <w:p w:rsidR="00E05F71" w:rsidRPr="001B6C48" w:rsidRDefault="00E05F71" w:rsidP="00E05F71">
      <w:pPr>
        <w:pStyle w:val="ListParagraph"/>
        <w:numPr>
          <w:ilvl w:val="0"/>
          <w:numId w:val="1"/>
        </w:numPr>
        <w:rPr>
          <w:rFonts w:asciiTheme="minorHAnsi" w:hAnsiTheme="minorHAnsi" w:cstheme="minorHAnsi"/>
        </w:rPr>
      </w:pPr>
      <w:r w:rsidRPr="001B6C48">
        <w:rPr>
          <w:rFonts w:asciiTheme="minorHAnsi" w:hAnsiTheme="minorHAnsi" w:cstheme="minorHAnsi"/>
        </w:rPr>
        <w:t>Has the employee considered?</w:t>
      </w:r>
    </w:p>
    <w:p w:rsidR="00E05F71" w:rsidRDefault="00E05F71" w:rsidP="00E05F71">
      <w:pPr>
        <w:pStyle w:val="ListParagraph"/>
        <w:numPr>
          <w:ilvl w:val="0"/>
          <w:numId w:val="1"/>
        </w:numPr>
        <w:rPr>
          <w:rFonts w:asciiTheme="minorHAnsi" w:hAnsiTheme="minorHAnsi" w:cstheme="minorHAnsi"/>
        </w:rPr>
      </w:pPr>
      <w:r w:rsidRPr="001B6C48">
        <w:rPr>
          <w:rFonts w:asciiTheme="minorHAnsi" w:hAnsiTheme="minorHAnsi" w:cstheme="minorHAnsi"/>
        </w:rPr>
        <w:t>Have the beliefs outweighed the beliefs of a medical professional?</w:t>
      </w:r>
    </w:p>
    <w:p w:rsidR="00E05F71" w:rsidRDefault="00E05F71" w:rsidP="00E05F71">
      <w:pPr>
        <w:rPr>
          <w:rFonts w:cstheme="minorHAnsi"/>
        </w:rPr>
      </w:pPr>
      <w:r>
        <w:rPr>
          <w:rFonts w:cstheme="minorHAnsi"/>
        </w:rPr>
        <w:t>A qualification is defined by Daniels (2019f) as “any degree, diploma or other academic, technical or professional qualification relevant to the position which the employee holds”. It is a fair dismissal if the employer has helped the employee a great deal, but the qualification has not been gained.</w:t>
      </w:r>
    </w:p>
    <w:p w:rsidR="00E05F71" w:rsidRDefault="00E05F71" w:rsidP="00E05F71">
      <w:pPr>
        <w:rPr>
          <w:rFonts w:cstheme="minorHAnsi"/>
        </w:rPr>
      </w:pPr>
      <w:r>
        <w:rPr>
          <w:rFonts w:cstheme="minorHAnsi"/>
        </w:rPr>
        <w:t>There are 2 categories for conduct (</w:t>
      </w:r>
      <w:r w:rsidRPr="00667ED0">
        <w:rPr>
          <w:rFonts w:cstheme="minorHAnsi"/>
          <w:b/>
          <w:i/>
        </w:rPr>
        <w:t>misconduct</w:t>
      </w:r>
      <w:r>
        <w:rPr>
          <w:rFonts w:cstheme="minorHAnsi"/>
        </w:rPr>
        <w:t xml:space="preserve">); Gross misconduct and misconduct. The outcome of gross misconduct can be dismissal without notice, such as assault and theft. Misconduct are less severe offences, such as poor time-keeping. Misconduct is usually dealt with through disciplinary, but if there’s no improvement after that, the employee could be dismissed (Daniels, 2019f).  </w:t>
      </w:r>
    </w:p>
    <w:p w:rsidR="00E05F71" w:rsidRDefault="00E05F71" w:rsidP="00E05F71">
      <w:pPr>
        <w:rPr>
          <w:rFonts w:cstheme="minorHAnsi"/>
        </w:rPr>
      </w:pPr>
      <w:r>
        <w:rPr>
          <w:rFonts w:cstheme="minorHAnsi"/>
        </w:rPr>
        <w:t xml:space="preserve">Dismissing employees for misconduct is usually fair, as long as the employer can reasonably justify their action. Employment Tribunals (ET) conclude whether the employee did carry out an act of misconduct and whether the employer investigated the circumstance exhaustively. A test of reasonableness originated following the </w:t>
      </w:r>
      <w:r w:rsidRPr="00017A5A">
        <w:rPr>
          <w:rFonts w:cstheme="minorHAnsi"/>
          <w:i/>
        </w:rPr>
        <w:t xml:space="preserve">British Home Stores V </w:t>
      </w:r>
      <w:proofErr w:type="spellStart"/>
      <w:r w:rsidRPr="00017A5A">
        <w:rPr>
          <w:rFonts w:cstheme="minorHAnsi"/>
          <w:i/>
        </w:rPr>
        <w:t>Burchell</w:t>
      </w:r>
      <w:proofErr w:type="spellEnd"/>
      <w:r w:rsidRPr="00017A5A">
        <w:rPr>
          <w:rFonts w:cstheme="minorHAnsi"/>
          <w:i/>
        </w:rPr>
        <w:t xml:space="preserve"> (1980) IRLR 379</w:t>
      </w:r>
      <w:r>
        <w:rPr>
          <w:rFonts w:cstheme="minorHAnsi"/>
        </w:rPr>
        <w:t xml:space="preserve"> case. (Appendix 6.2) This case determined whether the employer had “reasonable belief in the guilt of the employee” having completed a thorough investigation. Organisations must adhere to the ACAS Code of Practice to prevent loosing cases and paying fines in ET’s (ACAS, 2015). </w:t>
      </w:r>
    </w:p>
    <w:p w:rsidR="00E05F71" w:rsidRDefault="00E05F71" w:rsidP="00E05F71">
      <w:pPr>
        <w:rPr>
          <w:rFonts w:cstheme="minorHAnsi"/>
        </w:rPr>
      </w:pPr>
      <w:r>
        <w:rPr>
          <w:rFonts w:cstheme="minorHAnsi"/>
        </w:rPr>
        <w:t xml:space="preserve">The ACAS Code of Practice (2015) defines </w:t>
      </w:r>
      <w:r w:rsidRPr="00667ED0">
        <w:rPr>
          <w:rFonts w:cstheme="minorHAnsi"/>
          <w:b/>
          <w:i/>
        </w:rPr>
        <w:t>grievance</w:t>
      </w:r>
      <w:r>
        <w:rPr>
          <w:rFonts w:cstheme="minorHAnsi"/>
        </w:rPr>
        <w:t xml:space="preserve"> as a ‘concern, problem or complain that employee’s bring to their employers’ attention’. </w:t>
      </w:r>
    </w:p>
    <w:p w:rsidR="00E05F71" w:rsidRDefault="00E05F71" w:rsidP="00E05F71">
      <w:pPr>
        <w:rPr>
          <w:rFonts w:cstheme="minorHAnsi"/>
        </w:rPr>
      </w:pPr>
      <w:r>
        <w:rPr>
          <w:rFonts w:cstheme="minorHAnsi"/>
        </w:rPr>
        <w:t>An employee can terminate the contract of employment and claim constructive dismissal if their employer breaches the contract of employment. To demonstrate that there’s been a constructive dismissal, the employee must show that there was a breach of contract from the employer, there wasn’t a delay in resigning and the breach of the contract was the reason for the resignation (Daniels, 2019f). If the ET consider that there has been an unfair dismissal, a remedy must be decided. The possible remedies would include; re-engagement, reinstatement or compensation.</w:t>
      </w:r>
    </w:p>
    <w:p w:rsidR="00E05F71" w:rsidRPr="000010A1" w:rsidRDefault="00E05F71" w:rsidP="00E05F71">
      <w:pPr>
        <w:rPr>
          <w:rFonts w:cstheme="minorHAnsi"/>
        </w:rPr>
      </w:pPr>
      <w:r>
        <w:rPr>
          <w:rFonts w:cstheme="minorHAnsi"/>
        </w:rPr>
        <w:t>Employee’s must have 2 years’ service to bring a claim forward for unfair dismissal.</w:t>
      </w:r>
    </w:p>
    <w:p w:rsidR="00E05F71" w:rsidRDefault="00E05F71" w:rsidP="00E05F71">
      <w:r w:rsidRPr="00E05F71">
        <w:lastRenderedPageBreak/>
        <w:drawing>
          <wp:inline distT="0" distB="0" distL="0" distR="0">
            <wp:extent cx="5731510" cy="2351633"/>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351633"/>
                    </a:xfrm>
                    <a:prstGeom prst="rect">
                      <a:avLst/>
                    </a:prstGeom>
                    <a:noFill/>
                    <a:ln>
                      <a:noFill/>
                    </a:ln>
                  </pic:spPr>
                </pic:pic>
              </a:graphicData>
            </a:graphic>
          </wp:inline>
        </w:drawing>
      </w:r>
    </w:p>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E05F71" w:rsidRPr="00E05F71" w:rsidRDefault="00E05F71" w:rsidP="00E05F71">
      <w:pPr>
        <w:rPr>
          <w:b/>
        </w:rPr>
      </w:pPr>
      <w:r w:rsidRPr="00E05F71">
        <w:rPr>
          <w:b/>
        </w:rPr>
        <w:lastRenderedPageBreak/>
        <w:t>Appendices</w:t>
      </w:r>
    </w:p>
    <w:p w:rsidR="00E05F71" w:rsidRDefault="00E05F71" w:rsidP="00E05F71"/>
    <w:p w:rsidR="00E05F71" w:rsidRDefault="00E05F71" w:rsidP="00E05F71"/>
    <w:p w:rsidR="00E05F71" w:rsidRDefault="00E05F71" w:rsidP="00E05F71">
      <w:r>
        <w:t>Appendix 1.1</w:t>
      </w:r>
    </w:p>
    <w:p w:rsidR="00E05F71" w:rsidRDefault="00E05F71" w:rsidP="00E05F71">
      <w:r>
        <w:rPr>
          <w:noProof/>
          <w:lang w:eastAsia="en-GB"/>
        </w:rPr>
        <w:drawing>
          <wp:inline distT="0" distB="0" distL="0" distR="0" wp14:anchorId="7F6DEE9F" wp14:editId="37684F49">
            <wp:extent cx="5486400" cy="3505200"/>
            <wp:effectExtent l="19050" t="19050" r="38100" b="19050"/>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E05F71" w:rsidRDefault="00E05F71" w:rsidP="00E05F71"/>
    <w:p w:rsidR="00E05F71" w:rsidRDefault="00E05F71" w:rsidP="00E05F71">
      <w:r>
        <w:t>Appendix 1.2</w:t>
      </w:r>
    </w:p>
    <w:p w:rsidR="00E05F71" w:rsidRDefault="00E05F71" w:rsidP="00E05F71">
      <w:r>
        <w:rPr>
          <w:noProof/>
          <w:lang w:eastAsia="en-GB"/>
        </w:rPr>
        <mc:AlternateContent>
          <mc:Choice Requires="wps">
            <w:drawing>
              <wp:anchor distT="0" distB="0" distL="114300" distR="114300" simplePos="0" relativeHeight="251669504" behindDoc="0" locked="0" layoutInCell="1" allowOverlap="1" wp14:anchorId="37B6715F" wp14:editId="6D2818C9">
                <wp:simplePos x="0" y="0"/>
                <wp:positionH relativeFrom="column">
                  <wp:posOffset>3705225</wp:posOffset>
                </wp:positionH>
                <wp:positionV relativeFrom="paragraph">
                  <wp:posOffset>1847214</wp:posOffset>
                </wp:positionV>
                <wp:extent cx="1066800" cy="561975"/>
                <wp:effectExtent l="38100" t="38100" r="19050" b="28575"/>
                <wp:wrapNone/>
                <wp:docPr id="12" name="Straight Arrow Connector 12"/>
                <wp:cNvGraphicFramePr/>
                <a:graphic xmlns:a="http://schemas.openxmlformats.org/drawingml/2006/main">
                  <a:graphicData uri="http://schemas.microsoft.com/office/word/2010/wordprocessingShape">
                    <wps:wsp>
                      <wps:cNvCnPr/>
                      <wps:spPr>
                        <a:xfrm flipH="1" flipV="1">
                          <a:off x="0" y="0"/>
                          <a:ext cx="1066800" cy="5619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966F68D" id="_x0000_t32" coordsize="21600,21600" o:spt="32" o:oned="t" path="m,l21600,21600e" filled="f">
                <v:path arrowok="t" fillok="f" o:connecttype="none"/>
                <o:lock v:ext="edit" shapetype="t"/>
              </v:shapetype>
              <v:shape id="Straight Arrow Connector 12" o:spid="_x0000_s1026" type="#_x0000_t32" style="position:absolute;margin-left:291.75pt;margin-top:145.45pt;width:84pt;height:44.25pt;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" strokecolor="black [3213]" strokeweight=".5pt">
                <v:stroke endarrow="block" joinstyle="miter"/>
              </v:shape>
            </w:pict>
          </mc:Fallback>
        </mc:AlternateContent>
      </w:r>
      <w:r>
        <w:rPr>
          <w:noProof/>
          <w:lang w:eastAsia="en-GB"/>
        </w:rPr>
        <mc:AlternateContent>
          <mc:Choice Requires="wps">
            <w:drawing>
              <wp:anchor distT="0" distB="0" distL="114300" distR="114300" simplePos="0" relativeHeight="251668480" behindDoc="0" locked="0" layoutInCell="1" allowOverlap="1" wp14:anchorId="364BB79A" wp14:editId="11CF6E08">
                <wp:simplePos x="0" y="0"/>
                <wp:positionH relativeFrom="column">
                  <wp:posOffset>771525</wp:posOffset>
                </wp:positionH>
                <wp:positionV relativeFrom="paragraph">
                  <wp:posOffset>1828165</wp:posOffset>
                </wp:positionV>
                <wp:extent cx="1047750" cy="638175"/>
                <wp:effectExtent l="0" t="38100" r="57150" b="28575"/>
                <wp:wrapNone/>
                <wp:docPr id="13" name="Straight Arrow Connector 13"/>
                <wp:cNvGraphicFramePr/>
                <a:graphic xmlns:a="http://schemas.openxmlformats.org/drawingml/2006/main">
                  <a:graphicData uri="http://schemas.microsoft.com/office/word/2010/wordprocessingShape">
                    <wps:wsp>
                      <wps:cNvCnPr/>
                      <wps:spPr>
                        <a:xfrm flipV="1">
                          <a:off x="0" y="0"/>
                          <a:ext cx="1047750" cy="6381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53AD0F" id="Straight Arrow Connector 13" o:spid="_x0000_s1026" type="#_x0000_t32" style="position:absolute;margin-left:60.75pt;margin-top:143.95pt;width:82.5pt;height:50.2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" strokecolor="black [3213]" strokeweight=".5pt">
                <v:stroke endarrow="block" joinstyle="miter"/>
              </v:shape>
            </w:pict>
          </mc:Fallback>
        </mc:AlternateContent>
      </w:r>
      <w:r>
        <w:rPr>
          <w:noProof/>
          <w:lang w:eastAsia="en-GB"/>
        </w:rPr>
        <mc:AlternateContent>
          <mc:Choice Requires="wps">
            <w:drawing>
              <wp:anchor distT="0" distB="0" distL="114300" distR="114300" simplePos="0" relativeHeight="251670528" behindDoc="0" locked="0" layoutInCell="1" allowOverlap="1" wp14:anchorId="5DBCEFA3" wp14:editId="34422C0A">
                <wp:simplePos x="0" y="0"/>
                <wp:positionH relativeFrom="column">
                  <wp:posOffset>2705100</wp:posOffset>
                </wp:positionH>
                <wp:positionV relativeFrom="paragraph">
                  <wp:posOffset>885190</wp:posOffset>
                </wp:positionV>
                <wp:extent cx="0" cy="428625"/>
                <wp:effectExtent l="76200" t="38100" r="57150" b="9525"/>
                <wp:wrapNone/>
                <wp:docPr id="14" name="Straight Arrow Connector 14"/>
                <wp:cNvGraphicFramePr/>
                <a:graphic xmlns:a="http://schemas.openxmlformats.org/drawingml/2006/main">
                  <a:graphicData uri="http://schemas.microsoft.com/office/word/2010/wordprocessingShape">
                    <wps:wsp>
                      <wps:cNvCnPr/>
                      <wps:spPr>
                        <a:xfrm flipV="1">
                          <a:off x="0" y="0"/>
                          <a:ext cx="0" cy="4286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214CCF9" id="Straight Arrow Connector 14" o:spid="_x0000_s1026" type="#_x0000_t32" style="position:absolute;margin-left:213pt;margin-top:69.7pt;width:0;height:33.75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" strokecolor="black [3213]" strokeweight=".5pt">
                <v:stroke endarrow="block" joinstyle="miter"/>
              </v:shape>
            </w:pict>
          </mc:Fallback>
        </mc:AlternateContent>
      </w:r>
      <w:r>
        <w:rPr>
          <w:noProof/>
          <w:lang w:eastAsia="en-GB"/>
        </w:rPr>
        <mc:AlternateContent>
          <mc:Choice Requires="wps">
            <w:drawing>
              <wp:anchor distT="0" distB="0" distL="114300" distR="114300" simplePos="0" relativeHeight="251666432" behindDoc="0" locked="0" layoutInCell="1" allowOverlap="1" wp14:anchorId="69A03DB8" wp14:editId="436C9DA0">
                <wp:simplePos x="0" y="0"/>
                <wp:positionH relativeFrom="column">
                  <wp:posOffset>1933575</wp:posOffset>
                </wp:positionH>
                <wp:positionV relativeFrom="paragraph">
                  <wp:posOffset>1409065</wp:posOffset>
                </wp:positionV>
                <wp:extent cx="1638300" cy="752475"/>
                <wp:effectExtent l="0" t="0" r="19050" b="28575"/>
                <wp:wrapNone/>
                <wp:docPr id="15" name="Text Box 15"/>
                <wp:cNvGraphicFramePr/>
                <a:graphic xmlns:a="http://schemas.openxmlformats.org/drawingml/2006/main">
                  <a:graphicData uri="http://schemas.microsoft.com/office/word/2010/wordprocessingShape">
                    <wps:wsp>
                      <wps:cNvSpPr txBox="1"/>
                      <wps:spPr>
                        <a:xfrm>
                          <a:off x="0" y="0"/>
                          <a:ext cx="1638300" cy="752475"/>
                        </a:xfrm>
                        <a:prstGeom prst="rect">
                          <a:avLst/>
                        </a:prstGeom>
                        <a:solidFill>
                          <a:sysClr val="window" lastClr="FFFFFF"/>
                        </a:solidFill>
                        <a:ln w="6350">
                          <a:solidFill>
                            <a:prstClr val="black"/>
                          </a:solidFill>
                        </a:ln>
                      </wps:spPr>
                      <wps:txbx>
                        <w:txbxContent>
                          <w:p w:rsidR="00E05F71" w:rsidRPr="009E4DC4" w:rsidRDefault="00E05F71" w:rsidP="00E05F71">
                            <w:pPr>
                              <w:jc w:val="center"/>
                              <w:rPr>
                                <w:sz w:val="40"/>
                              </w:rPr>
                            </w:pPr>
                            <w:r>
                              <w:rPr>
                                <w:sz w:val="40"/>
                              </w:rPr>
                              <w:t>Court of Appeal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9A03DB8" id="_x0000_t202" coordsize="21600,21600" o:spt="202" path="m,l,21600r21600,l21600,xe">
                <v:stroke joinstyle="miter"/>
                <v:path gradientshapeok="t" o:connecttype="rect"/>
              </v:shapetype>
              <v:shape id="Text Box 15" o:spid="_x0000_s1026" type="#_x0000_t202" style="position:absolute;margin-left:152.25pt;margin-top:110.95pt;width:129pt;height:59.2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" fillcolor="window" strokeweight=".5pt">
                <v:textbox>
                  <w:txbxContent>
                    <w:p w:rsidR="00E05F71" w:rsidRPr="009E4DC4" w:rsidRDefault="00E05F71" w:rsidP="00E05F71">
                      <w:pPr>
                        <w:jc w:val="center"/>
                        <w:rPr>
                          <w:sz w:val="40"/>
                        </w:rPr>
                      </w:pPr>
                      <w:r>
                        <w:rPr>
                          <w:sz w:val="40"/>
                        </w:rPr>
                        <w:t>Court of Appeal</w:t>
                      </w:r>
                    </w:p>
                  </w:txbxContent>
                </v:textbox>
              </v:shape>
            </w:pict>
          </mc:Fallback>
        </mc:AlternateContent>
      </w:r>
      <w:r>
        <w:rPr>
          <w:noProof/>
          <w:lang w:eastAsia="en-GB"/>
        </w:rPr>
        <mc:AlternateContent>
          <mc:Choice Requires="wps">
            <w:drawing>
              <wp:anchor distT="0" distB="0" distL="114300" distR="114300" simplePos="0" relativeHeight="251667456" behindDoc="0" locked="0" layoutInCell="1" allowOverlap="1" wp14:anchorId="38E7DE8A" wp14:editId="32511EB0">
                <wp:simplePos x="0" y="0"/>
                <wp:positionH relativeFrom="margin">
                  <wp:posOffset>1713230</wp:posOffset>
                </wp:positionH>
                <wp:positionV relativeFrom="paragraph">
                  <wp:posOffset>361315</wp:posOffset>
                </wp:positionV>
                <wp:extent cx="2143125" cy="466725"/>
                <wp:effectExtent l="0" t="0" r="28575" b="28575"/>
                <wp:wrapNone/>
                <wp:docPr id="16" name="Text Box 16"/>
                <wp:cNvGraphicFramePr/>
                <a:graphic xmlns:a="http://schemas.openxmlformats.org/drawingml/2006/main">
                  <a:graphicData uri="http://schemas.microsoft.com/office/word/2010/wordprocessingShape">
                    <wps:wsp>
                      <wps:cNvSpPr txBox="1"/>
                      <wps:spPr>
                        <a:xfrm>
                          <a:off x="0" y="0"/>
                          <a:ext cx="2143125" cy="466725"/>
                        </a:xfrm>
                        <a:prstGeom prst="rect">
                          <a:avLst/>
                        </a:prstGeom>
                        <a:solidFill>
                          <a:sysClr val="window" lastClr="FFFFFF"/>
                        </a:solidFill>
                        <a:ln w="6350">
                          <a:solidFill>
                            <a:prstClr val="black"/>
                          </a:solidFill>
                        </a:ln>
                      </wps:spPr>
                      <wps:txbx>
                        <w:txbxContent>
                          <w:p w:rsidR="00E05F71" w:rsidRPr="009E4DC4" w:rsidRDefault="00E05F71" w:rsidP="00E05F71">
                            <w:pPr>
                              <w:jc w:val="center"/>
                              <w:rPr>
                                <w:sz w:val="40"/>
                              </w:rPr>
                            </w:pPr>
                            <w:r>
                              <w:rPr>
                                <w:sz w:val="40"/>
                              </w:rPr>
                              <w:t>Supreme Court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8E7DE8A" id="Text Box 16" o:spid="_x0000_s1027" type="#_x0000_t202" style="position:absolute;margin-left:134.9pt;margin-top:28.45pt;width:168.75pt;height:36.7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" fillcolor="window" strokeweight=".5pt">
                <v:textbox>
                  <w:txbxContent>
                    <w:p w:rsidR="00E05F71" w:rsidRPr="009E4DC4" w:rsidRDefault="00E05F71" w:rsidP="00E05F71">
                      <w:pPr>
                        <w:jc w:val="center"/>
                        <w:rPr>
                          <w:sz w:val="40"/>
                        </w:rPr>
                      </w:pPr>
                      <w:r>
                        <w:rPr>
                          <w:sz w:val="40"/>
                        </w:rPr>
                        <w:t>Supreme Court</w:t>
                      </w:r>
                    </w:p>
                  </w:txbxContent>
                </v:textbox>
                <w10:wrap anchorx="margin"/>
              </v:shape>
            </w:pict>
          </mc:Fallback>
        </mc:AlternateContent>
      </w:r>
      <w:r>
        <w:rPr>
          <w:noProof/>
          <w:lang w:eastAsia="en-GB"/>
        </w:rPr>
        <mc:AlternateContent>
          <mc:Choice Requires="wps">
            <w:drawing>
              <wp:anchor distT="0" distB="0" distL="114300" distR="114300" simplePos="0" relativeHeight="251665408" behindDoc="0" locked="0" layoutInCell="1" allowOverlap="1" wp14:anchorId="6D131582" wp14:editId="102D18B0">
                <wp:simplePos x="0" y="0"/>
                <wp:positionH relativeFrom="column">
                  <wp:posOffset>3467100</wp:posOffset>
                </wp:positionH>
                <wp:positionV relativeFrom="paragraph">
                  <wp:posOffset>2542540</wp:posOffset>
                </wp:positionV>
                <wp:extent cx="1638300" cy="466725"/>
                <wp:effectExtent l="0" t="0" r="19050" b="28575"/>
                <wp:wrapNone/>
                <wp:docPr id="17" name="Text Box 17"/>
                <wp:cNvGraphicFramePr/>
                <a:graphic xmlns:a="http://schemas.openxmlformats.org/drawingml/2006/main">
                  <a:graphicData uri="http://schemas.microsoft.com/office/word/2010/wordprocessingShape">
                    <wps:wsp>
                      <wps:cNvSpPr txBox="1"/>
                      <wps:spPr>
                        <a:xfrm>
                          <a:off x="0" y="0"/>
                          <a:ext cx="1638300" cy="466725"/>
                        </a:xfrm>
                        <a:prstGeom prst="rect">
                          <a:avLst/>
                        </a:prstGeom>
                        <a:solidFill>
                          <a:sysClr val="window" lastClr="FFFFFF"/>
                        </a:solidFill>
                        <a:ln w="6350">
                          <a:solidFill>
                            <a:prstClr val="black"/>
                          </a:solidFill>
                        </a:ln>
                      </wps:spPr>
                      <wps:txbx>
                        <w:txbxContent>
                          <w:p w:rsidR="00E05F71" w:rsidRPr="009E4DC4" w:rsidRDefault="00E05F71" w:rsidP="00E05F71">
                            <w:pPr>
                              <w:jc w:val="center"/>
                              <w:rPr>
                                <w:sz w:val="40"/>
                              </w:rPr>
                            </w:pPr>
                            <w:r>
                              <w:rPr>
                                <w:sz w:val="40"/>
                              </w:rPr>
                              <w:t>High Court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131582" id="Text Box 17" o:spid="_x0000_s1028" type="#_x0000_t202" style="position:absolute;margin-left:273pt;margin-top:200.2pt;width:129pt;height:36.7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" fillcolor="window" strokeweight=".5pt">
                <v:textbox>
                  <w:txbxContent>
                    <w:p w:rsidR="00E05F71" w:rsidRPr="009E4DC4" w:rsidRDefault="00E05F71" w:rsidP="00E05F71">
                      <w:pPr>
                        <w:jc w:val="center"/>
                        <w:rPr>
                          <w:sz w:val="40"/>
                        </w:rPr>
                      </w:pPr>
                      <w:r>
                        <w:rPr>
                          <w:sz w:val="40"/>
                        </w:rPr>
                        <w:t>High Court</w:t>
                      </w:r>
                    </w:p>
                  </w:txbxContent>
                </v:textbox>
              </v:shape>
            </w:pict>
          </mc:Fallback>
        </mc:AlternateContent>
      </w:r>
      <w:r>
        <w:rPr>
          <w:noProof/>
          <w:lang w:eastAsia="en-GB"/>
        </w:rPr>
        <mc:AlternateContent>
          <mc:Choice Requires="wps">
            <w:drawing>
              <wp:anchor distT="0" distB="0" distL="114300" distR="114300" simplePos="0" relativeHeight="251664384" behindDoc="0" locked="0" layoutInCell="1" allowOverlap="1" wp14:anchorId="2D18C02D" wp14:editId="29914695">
                <wp:simplePos x="0" y="0"/>
                <wp:positionH relativeFrom="column">
                  <wp:posOffset>390525</wp:posOffset>
                </wp:positionH>
                <wp:positionV relativeFrom="paragraph">
                  <wp:posOffset>2561590</wp:posOffset>
                </wp:positionV>
                <wp:extent cx="1638300" cy="466725"/>
                <wp:effectExtent l="0" t="0" r="19050" b="28575"/>
                <wp:wrapNone/>
                <wp:docPr id="18" name="Text Box 18"/>
                <wp:cNvGraphicFramePr/>
                <a:graphic xmlns:a="http://schemas.openxmlformats.org/drawingml/2006/main">
                  <a:graphicData uri="http://schemas.microsoft.com/office/word/2010/wordprocessingShape">
                    <wps:wsp>
                      <wps:cNvSpPr txBox="1"/>
                      <wps:spPr>
                        <a:xfrm>
                          <a:off x="0" y="0"/>
                          <a:ext cx="1638300" cy="466725"/>
                        </a:xfrm>
                        <a:prstGeom prst="rect">
                          <a:avLst/>
                        </a:prstGeom>
                        <a:solidFill>
                          <a:schemeClr val="lt1"/>
                        </a:solidFill>
                        <a:ln w="6350">
                          <a:solidFill>
                            <a:prstClr val="black"/>
                          </a:solidFill>
                        </a:ln>
                      </wps:spPr>
                      <wps:txbx>
                        <w:txbxContent>
                          <w:p w:rsidR="00E05F71" w:rsidRPr="009E4DC4" w:rsidRDefault="00E05F71" w:rsidP="00E05F71">
                            <w:pPr>
                              <w:jc w:val="center"/>
                              <w:rPr>
                                <w:sz w:val="40"/>
                              </w:rPr>
                            </w:pPr>
                            <w:r w:rsidRPr="009E4DC4">
                              <w:rPr>
                                <w:sz w:val="40"/>
                              </w:rPr>
                              <w:t>County Court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D18C02D" id="Text Box 18" o:spid="_x0000_s1029" type="#_x0000_t202" style="position:absolute;margin-left:30.75pt;margin-top:201.7pt;width:129pt;height:36.7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" fillcolor="white [3201]" strokeweight=".5pt">
                <v:textbox>
                  <w:txbxContent>
                    <w:p w:rsidR="00E05F71" w:rsidRPr="009E4DC4" w:rsidRDefault="00E05F71" w:rsidP="00E05F71">
                      <w:pPr>
                        <w:jc w:val="center"/>
                        <w:rPr>
                          <w:sz w:val="40"/>
                        </w:rPr>
                      </w:pPr>
                      <w:r w:rsidRPr="009E4DC4">
                        <w:rPr>
                          <w:sz w:val="40"/>
                        </w:rPr>
                        <w:t>County Court</w:t>
                      </w: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454D7980" wp14:editId="483B0641">
                <wp:simplePos x="0" y="0"/>
                <wp:positionH relativeFrom="column">
                  <wp:posOffset>38100</wp:posOffset>
                </wp:positionH>
                <wp:positionV relativeFrom="paragraph">
                  <wp:posOffset>123190</wp:posOffset>
                </wp:positionV>
                <wp:extent cx="5486400" cy="3028950"/>
                <wp:effectExtent l="0" t="0" r="19050" b="19050"/>
                <wp:wrapNone/>
                <wp:docPr id="19" name="Rectangle 19"/>
                <wp:cNvGraphicFramePr/>
                <a:graphic xmlns:a="http://schemas.openxmlformats.org/drawingml/2006/main">
                  <a:graphicData uri="http://schemas.microsoft.com/office/word/2010/wordprocessingShape">
                    <wps:wsp>
                      <wps:cNvSpPr/>
                      <wps:spPr>
                        <a:xfrm>
                          <a:off x="0" y="0"/>
                          <a:ext cx="5486400" cy="3028950"/>
                        </a:xfrm>
                        <a:prstGeom prst="rect">
                          <a:avLst/>
                        </a:prstGeom>
                        <a:noFill/>
                        <a:ln>
                          <a:solidFill>
                            <a:srgbClr val="FF313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17AC0C" id="Rectangle 19" o:spid="_x0000_s1026" style="position:absolute;margin-left:3pt;margin-top:9.7pt;width:6in;height:238.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" filled="f" strokecolor="#ff3131" strokeweight="1pt"/>
            </w:pict>
          </mc:Fallback>
        </mc:AlternateContent>
      </w:r>
    </w:p>
    <w:p w:rsidR="00E05F71" w:rsidRDefault="00E05F71" w:rsidP="00E05F71"/>
    <w:p w:rsidR="00E05F71" w:rsidRDefault="00E05F71" w:rsidP="00E05F71"/>
    <w:p w:rsidR="00E05F71" w:rsidRDefault="00E05F71" w:rsidP="00E05F71"/>
    <w:p w:rsidR="00E05F71" w:rsidRDefault="00E05F71" w:rsidP="00E05F71"/>
    <w:p w:rsidR="00E05F71" w:rsidRDefault="00E05F71" w:rsidP="00E05F71"/>
    <w:p w:rsidR="00C82B22" w:rsidRDefault="00C82B22"/>
    <w:p w:rsidR="00E05F71" w:rsidRDefault="00E05F71"/>
    <w:p w:rsidR="00E05F71" w:rsidRDefault="00E05F71"/>
    <w:p w:rsidR="00E05F71" w:rsidRDefault="00E05F71"/>
    <w:p w:rsidR="00E05F71" w:rsidRDefault="00E05F71"/>
    <w:p w:rsidR="00E05F71" w:rsidRDefault="00E05F71"/>
    <w:p w:rsidR="00E05F71" w:rsidRDefault="00E05F71" w:rsidP="00E05F71">
      <w:r>
        <w:lastRenderedPageBreak/>
        <w:t>Appendix 6.1</w:t>
      </w:r>
    </w:p>
    <w:p w:rsidR="00E05F71" w:rsidRDefault="00E05F71" w:rsidP="00E05F71">
      <w:r>
        <w:rPr>
          <w:noProof/>
          <w:lang w:eastAsia="en-GB"/>
        </w:rPr>
        <w:drawing>
          <wp:inline distT="0" distB="0" distL="0" distR="0" wp14:anchorId="35A9AB0F" wp14:editId="49143B23">
            <wp:extent cx="5486400" cy="3200400"/>
            <wp:effectExtent l="0" t="0" r="0" b="19050"/>
            <wp:docPr id="21" name="Diagram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rsidR="00E05F71" w:rsidRDefault="00E05F71" w:rsidP="00E05F71"/>
    <w:p w:rsidR="00E05F71" w:rsidRDefault="00E05F71" w:rsidP="00E05F71">
      <w:r>
        <w:t>Appendix 6.2</w:t>
      </w:r>
    </w:p>
    <w:p w:rsidR="00E05F71" w:rsidRDefault="00E05F71" w:rsidP="00E05F71"/>
    <w:p w:rsidR="00E05F71" w:rsidRDefault="00E05F71" w:rsidP="00E05F71">
      <w:r>
        <w:rPr>
          <w:noProof/>
          <w:lang w:eastAsia="en-GB"/>
        </w:rPr>
        <w:drawing>
          <wp:inline distT="0" distB="0" distL="0" distR="0" wp14:anchorId="282D7BA4" wp14:editId="73ED18D1">
            <wp:extent cx="5486400" cy="3200400"/>
            <wp:effectExtent l="0" t="0" r="0" b="19050"/>
            <wp:docPr id="22" name="Diagram 2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rsidR="00E05F71" w:rsidRDefault="00E05F71"/>
    <w:p w:rsidR="00E05F71" w:rsidRDefault="00E05F71"/>
    <w:p w:rsidR="00E05F71" w:rsidRDefault="00E05F71"/>
    <w:p w:rsidR="00E05F71" w:rsidRDefault="00E05F71"/>
    <w:p w:rsidR="00E05F71" w:rsidRPr="00E05F71" w:rsidRDefault="00E05F71" w:rsidP="00E05F71">
      <w:pPr>
        <w:rPr>
          <w:b/>
        </w:rPr>
      </w:pPr>
      <w:r w:rsidRPr="00E05F71">
        <w:rPr>
          <w:b/>
        </w:rPr>
        <w:lastRenderedPageBreak/>
        <w:t>Bibliography</w:t>
      </w:r>
    </w:p>
    <w:p w:rsidR="00E05F71" w:rsidRDefault="00E05F71" w:rsidP="00E05F71">
      <w:r>
        <w:t xml:space="preserve">ACAS (2015) </w:t>
      </w:r>
      <w:r w:rsidRPr="00B80D15">
        <w:rPr>
          <w:i/>
        </w:rPr>
        <w:t>Discipline and Grievance – ACAS Code of Practice</w:t>
      </w:r>
      <w:r>
        <w:t xml:space="preserve">. Available at: </w:t>
      </w:r>
      <w:hyperlink r:id="rId32" w:history="1">
        <w:r w:rsidRPr="00E40DBD">
          <w:rPr>
            <w:rStyle w:val="Hyperlink"/>
          </w:rPr>
          <w:t>http://www.acas.org.uk/index.aspx?articleid=2174</w:t>
        </w:r>
      </w:hyperlink>
      <w:r>
        <w:t xml:space="preserve"> [Accessed: 4</w:t>
      </w:r>
      <w:r w:rsidRPr="00EB12C3">
        <w:rPr>
          <w:vertAlign w:val="superscript"/>
        </w:rPr>
        <w:t>th</w:t>
      </w:r>
      <w:r>
        <w:t xml:space="preserve"> March 2019]</w:t>
      </w:r>
    </w:p>
    <w:p w:rsidR="00E05F71" w:rsidRDefault="00E05F71" w:rsidP="00E05F71">
      <w:r>
        <w:t xml:space="preserve">ACAS (2019a) </w:t>
      </w:r>
      <w:r w:rsidRPr="00BA50C9">
        <w:rPr>
          <w:i/>
        </w:rPr>
        <w:t>Employment Tribunals</w:t>
      </w:r>
      <w:r>
        <w:rPr>
          <w:i/>
        </w:rPr>
        <w:t xml:space="preserve">. </w:t>
      </w:r>
      <w:r w:rsidRPr="00BA50C9">
        <w:t>Available at</w:t>
      </w:r>
      <w:r>
        <w:rPr>
          <w:i/>
        </w:rPr>
        <w:t>:</w:t>
      </w:r>
      <w:r>
        <w:t xml:space="preserve"> </w:t>
      </w:r>
      <w:hyperlink r:id="rId33" w:history="1">
        <w:r w:rsidRPr="000C3DD3">
          <w:rPr>
            <w:rStyle w:val="Hyperlink"/>
          </w:rPr>
          <w:t>http://www.acas.org.uk/index.aspx?articleid=1889</w:t>
        </w:r>
      </w:hyperlink>
      <w:r>
        <w:t xml:space="preserve"> [Accessed: 1</w:t>
      </w:r>
      <w:r w:rsidRPr="00EB12C3">
        <w:rPr>
          <w:vertAlign w:val="superscript"/>
        </w:rPr>
        <w:t>st</w:t>
      </w:r>
      <w:r>
        <w:t xml:space="preserve"> March 2019]</w:t>
      </w:r>
    </w:p>
    <w:p w:rsidR="00E05F71" w:rsidRDefault="00E05F71" w:rsidP="00E05F71">
      <w:r>
        <w:t xml:space="preserve">ACAS (2019b) </w:t>
      </w:r>
      <w:r w:rsidRPr="005C5EB4">
        <w:rPr>
          <w:i/>
        </w:rPr>
        <w:t>Contracts of Employment</w:t>
      </w:r>
      <w:r>
        <w:t xml:space="preserve">. Available at: </w:t>
      </w:r>
      <w:hyperlink r:id="rId34" w:history="1">
        <w:r w:rsidRPr="000C3DD3">
          <w:rPr>
            <w:rStyle w:val="Hyperlink"/>
          </w:rPr>
          <w:t>http://www.acas.org.uk/index.aspx?articleid=1577</w:t>
        </w:r>
      </w:hyperlink>
      <w:r>
        <w:t xml:space="preserve"> [Accessed on: 28</w:t>
      </w:r>
      <w:r w:rsidRPr="00EB12C3">
        <w:rPr>
          <w:vertAlign w:val="superscript"/>
        </w:rPr>
        <w:t>th</w:t>
      </w:r>
      <w:r>
        <w:t xml:space="preserve"> February 2019]</w:t>
      </w:r>
    </w:p>
    <w:p w:rsidR="00E05F71" w:rsidRDefault="00E05F71" w:rsidP="00E05F71">
      <w:r>
        <w:t>ACAS (</w:t>
      </w:r>
      <w:proofErr w:type="spellStart"/>
      <w:r>
        <w:t>NDa</w:t>
      </w:r>
      <w:proofErr w:type="spellEnd"/>
      <w:r>
        <w:t xml:space="preserve">) </w:t>
      </w:r>
      <w:r w:rsidRPr="00B07D5D">
        <w:rPr>
          <w:i/>
        </w:rPr>
        <w:t>National Minimum Wage and National Living Wage</w:t>
      </w:r>
      <w:r>
        <w:t xml:space="preserve">. Available at: </w:t>
      </w:r>
      <w:hyperlink r:id="rId35" w:history="1">
        <w:r w:rsidRPr="007A3805">
          <w:rPr>
            <w:rStyle w:val="Hyperlink"/>
          </w:rPr>
          <w:t>http://www.acas.org.uk/index.aspx?articleid=1902</w:t>
        </w:r>
      </w:hyperlink>
      <w:r>
        <w:t xml:space="preserve"> [Accessed: 8</w:t>
      </w:r>
      <w:r w:rsidRPr="00EB12C3">
        <w:rPr>
          <w:vertAlign w:val="superscript"/>
        </w:rPr>
        <w:t>th</w:t>
      </w:r>
      <w:r>
        <w:t xml:space="preserve"> March 2019]</w:t>
      </w:r>
    </w:p>
    <w:p w:rsidR="00E05F71" w:rsidRDefault="00E05F71" w:rsidP="00E05F71">
      <w:r>
        <w:t>ACAS (</w:t>
      </w:r>
      <w:proofErr w:type="spellStart"/>
      <w:r>
        <w:t>NDb</w:t>
      </w:r>
      <w:proofErr w:type="spellEnd"/>
      <w:r>
        <w:t xml:space="preserve">) Maternity Rights. Available at: </w:t>
      </w:r>
      <w:hyperlink r:id="rId36" w:history="1">
        <w:r w:rsidRPr="007A3805">
          <w:rPr>
            <w:rStyle w:val="Hyperlink"/>
          </w:rPr>
          <w:t>http://www.legislation.gov.uk/uksi/1999/3312/contents/made</w:t>
        </w:r>
      </w:hyperlink>
      <w:r>
        <w:t xml:space="preserve">. </w:t>
      </w:r>
    </w:p>
    <w:p w:rsidR="00E05F71" w:rsidRDefault="00E05F71" w:rsidP="00E05F71">
      <w:r>
        <w:t>ACAS (</w:t>
      </w:r>
      <w:proofErr w:type="spellStart"/>
      <w:r>
        <w:t>NDc</w:t>
      </w:r>
      <w:proofErr w:type="spellEnd"/>
      <w:r>
        <w:t>)</w:t>
      </w:r>
      <w:r w:rsidRPr="00AB3660">
        <w:rPr>
          <w:i/>
        </w:rPr>
        <w:t xml:space="preserve"> Manage staff redundancies</w:t>
      </w:r>
      <w:r>
        <w:t xml:space="preserve">. Available at: </w:t>
      </w:r>
      <w:hyperlink r:id="rId37" w:history="1">
        <w:r w:rsidRPr="004A5A9C">
          <w:rPr>
            <w:rStyle w:val="Hyperlink"/>
          </w:rPr>
          <w:t>https://beta.acas.org.uk/manage-staff-redundancies</w:t>
        </w:r>
      </w:hyperlink>
      <w:r>
        <w:t xml:space="preserve"> [Accessed: 10</w:t>
      </w:r>
      <w:r w:rsidRPr="00EB12C3">
        <w:rPr>
          <w:vertAlign w:val="superscript"/>
        </w:rPr>
        <w:t>th</w:t>
      </w:r>
      <w:r>
        <w:t xml:space="preserve"> March 2019 ] </w:t>
      </w:r>
    </w:p>
    <w:p w:rsidR="00E05F71" w:rsidRDefault="00E05F71" w:rsidP="00E05F71">
      <w:r>
        <w:t>ACAS (</w:t>
      </w:r>
      <w:proofErr w:type="spellStart"/>
      <w:r>
        <w:t>NDd</w:t>
      </w:r>
      <w:proofErr w:type="spellEnd"/>
      <w:r>
        <w:t xml:space="preserve">) Stress at work. Available at: </w:t>
      </w:r>
      <w:hyperlink r:id="rId38" w:history="1">
        <w:r w:rsidRPr="00E40DBD">
          <w:rPr>
            <w:rStyle w:val="Hyperlink"/>
          </w:rPr>
          <w:t>http://www.acas.org.uk/media/pdf/q/c/Stress-at-work-advisory-booklet.pdf</w:t>
        </w:r>
      </w:hyperlink>
      <w:r>
        <w:t xml:space="preserve"> [Accessed: 4</w:t>
      </w:r>
      <w:r w:rsidRPr="00EB12C3">
        <w:rPr>
          <w:vertAlign w:val="superscript"/>
        </w:rPr>
        <w:t>th</w:t>
      </w:r>
      <w:r>
        <w:t xml:space="preserve"> March 2019 ]</w:t>
      </w:r>
    </w:p>
    <w:p w:rsidR="00E05F71" w:rsidRPr="00816563" w:rsidRDefault="00E05F71" w:rsidP="00E05F71">
      <w:r w:rsidRPr="00816563">
        <w:rPr>
          <w:rFonts w:cstheme="minorHAnsi"/>
        </w:rPr>
        <w:t xml:space="preserve">British Home Stores V </w:t>
      </w:r>
      <w:proofErr w:type="spellStart"/>
      <w:r w:rsidRPr="00816563">
        <w:rPr>
          <w:rFonts w:cstheme="minorHAnsi"/>
        </w:rPr>
        <w:t>Burchell</w:t>
      </w:r>
      <w:proofErr w:type="spellEnd"/>
      <w:r w:rsidRPr="00816563">
        <w:rPr>
          <w:rFonts w:cstheme="minorHAnsi"/>
        </w:rPr>
        <w:t xml:space="preserve"> (1980) IRLR 379</w:t>
      </w:r>
    </w:p>
    <w:p w:rsidR="00E05F71" w:rsidRDefault="00E05F71" w:rsidP="00E05F71">
      <w:proofErr w:type="spellStart"/>
      <w:r>
        <w:t>Cheary</w:t>
      </w:r>
      <w:proofErr w:type="spellEnd"/>
      <w:r>
        <w:t xml:space="preserve">, M. (2019) </w:t>
      </w:r>
      <w:r w:rsidRPr="00C505D4">
        <w:rPr>
          <w:i/>
        </w:rPr>
        <w:t>Why does Employment Law exist</w:t>
      </w:r>
      <w:r>
        <w:t xml:space="preserve">. Available at: </w:t>
      </w:r>
      <w:hyperlink r:id="rId39" w:history="1">
        <w:r w:rsidRPr="000C3DD3">
          <w:rPr>
            <w:rStyle w:val="Hyperlink"/>
          </w:rPr>
          <w:t>https://www.reed.co.uk/career-advice/why-does-employment-law-exist/</w:t>
        </w:r>
      </w:hyperlink>
      <w:r>
        <w:t>. [Accessed: 28</w:t>
      </w:r>
      <w:r w:rsidRPr="00653BC1">
        <w:rPr>
          <w:vertAlign w:val="superscript"/>
        </w:rPr>
        <w:t>th</w:t>
      </w:r>
      <w:r>
        <w:t xml:space="preserve"> February 2019]</w:t>
      </w:r>
    </w:p>
    <w:p w:rsidR="00E05F71" w:rsidRDefault="00E05F71" w:rsidP="00E05F71">
      <w:r>
        <w:t xml:space="preserve">CIPD (2016) </w:t>
      </w:r>
      <w:r w:rsidRPr="001A5F04">
        <w:rPr>
          <w:i/>
        </w:rPr>
        <w:t>How UK employment law is made</w:t>
      </w:r>
      <w:r>
        <w:t xml:space="preserve">. Available at: </w:t>
      </w:r>
      <w:hyperlink r:id="rId40" w:history="1">
        <w:r w:rsidRPr="00E40DBD">
          <w:rPr>
            <w:rStyle w:val="Hyperlink"/>
          </w:rPr>
          <w:t>https://www.cipd.co.uk/knowledge/fundamentals/emp-law/about/uk-emp-law-made</w:t>
        </w:r>
      </w:hyperlink>
      <w:r>
        <w:t xml:space="preserve"> [Accessed: 3</w:t>
      </w:r>
      <w:r w:rsidRPr="00EB12C3">
        <w:rPr>
          <w:vertAlign w:val="superscript"/>
        </w:rPr>
        <w:t>rd</w:t>
      </w:r>
      <w:r>
        <w:t xml:space="preserve"> March]</w:t>
      </w:r>
    </w:p>
    <w:p w:rsidR="00E05F71" w:rsidRDefault="00E05F71" w:rsidP="00E05F71">
      <w:r>
        <w:t xml:space="preserve">CIPD (2017) Recruitment and Selection Q&amp;A’s. Available at: </w:t>
      </w:r>
      <w:hyperlink r:id="rId41" w:history="1">
        <w:r w:rsidRPr="007A3805">
          <w:rPr>
            <w:rStyle w:val="Hyperlink"/>
          </w:rPr>
          <w:t>https://www.cipd.co.uk/knowledge/fundamentals/emp-law/recruitment/questions</w:t>
        </w:r>
      </w:hyperlink>
      <w:r>
        <w:t xml:space="preserve"> [Accessed: 4</w:t>
      </w:r>
      <w:r w:rsidRPr="006A614A">
        <w:rPr>
          <w:vertAlign w:val="superscript"/>
        </w:rPr>
        <w:t>th</w:t>
      </w:r>
      <w:r>
        <w:t xml:space="preserve"> March 2019]</w:t>
      </w:r>
    </w:p>
    <w:p w:rsidR="00E05F71" w:rsidRDefault="00E05F71" w:rsidP="00E05F71">
      <w:r>
        <w:t xml:space="preserve">CIPD (2017b) What does compensation of unfair dismissal consist of? Available at: </w:t>
      </w:r>
      <w:hyperlink r:id="rId42" w:history="1">
        <w:r w:rsidRPr="00F11261">
          <w:rPr>
            <w:rStyle w:val="Hyperlink"/>
          </w:rPr>
          <w:t>https://www.cipd.co.uk/knowledge/fundamentals/emp-law/dismissal/unfair-dismissal-questions</w:t>
        </w:r>
      </w:hyperlink>
      <w:r>
        <w:t xml:space="preserve"> [Accessed 4th March 2019]</w:t>
      </w:r>
    </w:p>
    <w:p w:rsidR="00E05F71" w:rsidRDefault="00E05F71" w:rsidP="00E05F71">
      <w:r>
        <w:t>CIPD (2018a) Maternity, paternity and adoption rights. Available at: [Accessed 8</w:t>
      </w:r>
      <w:r w:rsidRPr="00EB12C3">
        <w:rPr>
          <w:vertAlign w:val="superscript"/>
        </w:rPr>
        <w:t>th</w:t>
      </w:r>
      <w:r>
        <w:t xml:space="preserve"> March 2019]</w:t>
      </w:r>
    </w:p>
    <w:p w:rsidR="00E05F71" w:rsidRDefault="00E05F71" w:rsidP="00E05F71">
      <w:r>
        <w:t xml:space="preserve">CIPD (2018b) Redundancy: an introduction. Available at: </w:t>
      </w:r>
      <w:hyperlink r:id="rId43" w:history="1">
        <w:r w:rsidRPr="004A5A9C">
          <w:rPr>
            <w:rStyle w:val="Hyperlink"/>
          </w:rPr>
          <w:t>https://www.cipd.co.uk/knowledge/fundamentals/emp-law/redundancy/factsheet</w:t>
        </w:r>
      </w:hyperlink>
      <w:r>
        <w:t xml:space="preserve"> [Accessed: 10th March 2019]</w:t>
      </w:r>
    </w:p>
    <w:p w:rsidR="00E05F71" w:rsidRDefault="00E05F71" w:rsidP="00E05F71">
      <w:r>
        <w:t xml:space="preserve">CIPD (2018c) Transfer of Undertakings (TUPE): and introduction. Available at: </w:t>
      </w:r>
      <w:hyperlink r:id="rId44" w:anchor="7085" w:history="1">
        <w:r w:rsidRPr="004A5A9C">
          <w:rPr>
            <w:rStyle w:val="Hyperlink"/>
          </w:rPr>
          <w:t>https://www.cipd.co.uk/knowledge/fundamentals/emp-law/tupe/factsheet#7085</w:t>
        </w:r>
      </w:hyperlink>
      <w:r>
        <w:t xml:space="preserve"> [Accessed: 10</w:t>
      </w:r>
      <w:r w:rsidRPr="00EB12C3">
        <w:rPr>
          <w:vertAlign w:val="superscript"/>
        </w:rPr>
        <w:t>th</w:t>
      </w:r>
      <w:r>
        <w:t xml:space="preserve"> March 2019]</w:t>
      </w:r>
    </w:p>
    <w:p w:rsidR="00E05F71" w:rsidRDefault="00E05F71" w:rsidP="00E05F71">
      <w:r>
        <w:t xml:space="preserve">CIPD (2018d) </w:t>
      </w:r>
      <w:r w:rsidRPr="00411120">
        <w:rPr>
          <w:i/>
        </w:rPr>
        <w:t>Health and Safety at Work</w:t>
      </w:r>
      <w:r>
        <w:t xml:space="preserve">. </w:t>
      </w:r>
      <w:hyperlink r:id="rId45" w:history="1">
        <w:r w:rsidRPr="00E40DBD">
          <w:rPr>
            <w:rStyle w:val="Hyperlink"/>
          </w:rPr>
          <w:t>https://www.cipd.co.uk/knowledge/fundamentals/emp-law/health-safety/factsheet</w:t>
        </w:r>
      </w:hyperlink>
      <w:r>
        <w:t xml:space="preserve"> [Accessed: 4</w:t>
      </w:r>
      <w:r w:rsidRPr="00EB12C3">
        <w:rPr>
          <w:vertAlign w:val="superscript"/>
        </w:rPr>
        <w:t>th</w:t>
      </w:r>
      <w:r>
        <w:t xml:space="preserve"> March 2019 ]</w:t>
      </w:r>
    </w:p>
    <w:p w:rsidR="00E05F71" w:rsidRDefault="00E05F71" w:rsidP="00E05F71">
      <w:r>
        <w:lastRenderedPageBreak/>
        <w:t xml:space="preserve">CIPD (2018e) Dismissal procedure. Available at: </w:t>
      </w:r>
      <w:hyperlink r:id="rId46" w:anchor="7013" w:history="1">
        <w:r w:rsidRPr="00E40DBD">
          <w:rPr>
            <w:rStyle w:val="Hyperlink"/>
          </w:rPr>
          <w:t>https://www.cipd.co.uk/knowledge/fundamentals/emp-law/dismissal/factsheet#7013</w:t>
        </w:r>
      </w:hyperlink>
      <w:r>
        <w:t xml:space="preserve"> [Accessed: 4</w:t>
      </w:r>
      <w:r w:rsidRPr="00EB12C3">
        <w:rPr>
          <w:vertAlign w:val="superscript"/>
        </w:rPr>
        <w:t>th</w:t>
      </w:r>
      <w:r>
        <w:t xml:space="preserve"> March 2019]</w:t>
      </w:r>
    </w:p>
    <w:p w:rsidR="00E05F71" w:rsidRDefault="00E05F71" w:rsidP="00E05F71">
      <w:r>
        <w:t xml:space="preserve">CIPD (2018) How is discrimination compensation calculated? Available at: </w:t>
      </w:r>
      <w:hyperlink r:id="rId47" w:history="1">
        <w:r w:rsidRPr="00F11261">
          <w:rPr>
            <w:rStyle w:val="Hyperlink"/>
          </w:rPr>
          <w:t>https://www.cipd.co.uk/knowledge/fundamentals/emp-law/tribunals/questions</w:t>
        </w:r>
      </w:hyperlink>
      <w:r>
        <w:t xml:space="preserve"> [Accessed: 4</w:t>
      </w:r>
      <w:r w:rsidRPr="00DA7389">
        <w:rPr>
          <w:vertAlign w:val="superscript"/>
        </w:rPr>
        <w:t>th</w:t>
      </w:r>
      <w:r>
        <w:t xml:space="preserve"> March 2019]</w:t>
      </w:r>
    </w:p>
    <w:p w:rsidR="00E05F71" w:rsidRDefault="00E05F71" w:rsidP="00E05F71">
      <w:r>
        <w:t>Collins V Hertfordshire County Council (1947) KB 598</w:t>
      </w:r>
    </w:p>
    <w:p w:rsidR="00E05F71" w:rsidRDefault="00E05F71" w:rsidP="00E05F71">
      <w:pPr>
        <w:rPr>
          <w:rStyle w:val="Hyperlink"/>
        </w:rPr>
      </w:pPr>
      <w:r>
        <w:t xml:space="preserve">Control of Substance Hazardous to Health (COSHH) Regulations (amended 2002). Available at: </w:t>
      </w:r>
      <w:hyperlink r:id="rId48" w:history="1">
        <w:r w:rsidRPr="00E40DBD">
          <w:rPr>
            <w:rStyle w:val="Hyperlink"/>
          </w:rPr>
          <w:t>http://www.legislation.gov.uk/uksi/2002/2677/regulation/7/made</w:t>
        </w:r>
      </w:hyperlink>
    </w:p>
    <w:p w:rsidR="00E05F71" w:rsidRDefault="00E05F71" w:rsidP="00E05F71">
      <w:r>
        <w:t xml:space="preserve">Daniel, K. (2019c) </w:t>
      </w:r>
      <w:r w:rsidRPr="003760C3">
        <w:rPr>
          <w:i/>
        </w:rPr>
        <w:t>Atypical Contracts and the Variation of Contracts</w:t>
      </w:r>
      <w:r>
        <w:t xml:space="preserve"> in Introduction to Employment Law. (5</w:t>
      </w:r>
      <w:r w:rsidRPr="003760C3">
        <w:rPr>
          <w:vertAlign w:val="superscript"/>
        </w:rPr>
        <w:t>th</w:t>
      </w:r>
      <w:r>
        <w:t xml:space="preserve"> </w:t>
      </w:r>
      <w:proofErr w:type="spellStart"/>
      <w:r>
        <w:t>ed</w:t>
      </w:r>
      <w:proofErr w:type="spellEnd"/>
      <w:r>
        <w:t xml:space="preserve">) London; New York: </w:t>
      </w:r>
      <w:proofErr w:type="spellStart"/>
      <w:r>
        <w:t>Kogan</w:t>
      </w:r>
      <w:proofErr w:type="spellEnd"/>
      <w:r>
        <w:t xml:space="preserve"> Page Limited</w:t>
      </w:r>
    </w:p>
    <w:p w:rsidR="00E05F71" w:rsidRDefault="00E05F71" w:rsidP="00E05F71">
      <w:r>
        <w:t xml:space="preserve">Daniels, K (2019b) </w:t>
      </w:r>
      <w:r w:rsidRPr="00E87794">
        <w:rPr>
          <w:i/>
        </w:rPr>
        <w:t>Contract of Employment</w:t>
      </w:r>
      <w:r>
        <w:t xml:space="preserve">. In: </w:t>
      </w:r>
      <w:r w:rsidRPr="00E87794">
        <w:t>Introduction to Employment</w:t>
      </w:r>
      <w:r w:rsidRPr="00696A15">
        <w:rPr>
          <w:i/>
        </w:rPr>
        <w:t xml:space="preserve"> Law</w:t>
      </w:r>
      <w:r>
        <w:t xml:space="preserve">. (5thed) London; New York: </w:t>
      </w:r>
      <w:proofErr w:type="spellStart"/>
      <w:r>
        <w:t>Kogan</w:t>
      </w:r>
      <w:proofErr w:type="spellEnd"/>
      <w:r>
        <w:t xml:space="preserve"> Page Limited. </w:t>
      </w:r>
    </w:p>
    <w:p w:rsidR="00E05F71" w:rsidRDefault="00E05F71" w:rsidP="00E05F71">
      <w:r>
        <w:t xml:space="preserve">Daniels, K. (2019a) </w:t>
      </w:r>
      <w:r w:rsidRPr="00E87794">
        <w:rPr>
          <w:i/>
        </w:rPr>
        <w:t>The formation of employment law</w:t>
      </w:r>
      <w:r>
        <w:t xml:space="preserve"> in </w:t>
      </w:r>
      <w:r w:rsidRPr="00E87794">
        <w:t>Introduction to Employment Law</w:t>
      </w:r>
      <w:r>
        <w:t>. (5</w:t>
      </w:r>
      <w:r w:rsidRPr="001A7DEC">
        <w:rPr>
          <w:vertAlign w:val="superscript"/>
        </w:rPr>
        <w:t>th</w:t>
      </w:r>
      <w:r>
        <w:t xml:space="preserve"> </w:t>
      </w:r>
      <w:proofErr w:type="spellStart"/>
      <w:r>
        <w:t>ed</w:t>
      </w:r>
      <w:proofErr w:type="spellEnd"/>
      <w:r>
        <w:t xml:space="preserve">) London; New York: </w:t>
      </w:r>
      <w:proofErr w:type="spellStart"/>
      <w:r>
        <w:t>Kogan</w:t>
      </w:r>
      <w:proofErr w:type="spellEnd"/>
      <w:r>
        <w:t xml:space="preserve"> Page Limited</w:t>
      </w:r>
    </w:p>
    <w:p w:rsidR="00E05F71" w:rsidRDefault="00E05F71" w:rsidP="00E05F71">
      <w:r>
        <w:t xml:space="preserve">Daniels, K. (2019d) </w:t>
      </w:r>
      <w:r w:rsidRPr="00596F05">
        <w:rPr>
          <w:i/>
        </w:rPr>
        <w:t>Individual Protection Rights</w:t>
      </w:r>
      <w:r>
        <w:t xml:space="preserve"> in Introduction to Employment Law. (5</w:t>
      </w:r>
      <w:r w:rsidRPr="00596F05">
        <w:rPr>
          <w:vertAlign w:val="superscript"/>
        </w:rPr>
        <w:t>th</w:t>
      </w:r>
      <w:r>
        <w:t xml:space="preserve"> </w:t>
      </w:r>
      <w:proofErr w:type="spellStart"/>
      <w:r>
        <w:t>ed</w:t>
      </w:r>
      <w:proofErr w:type="spellEnd"/>
      <w:r>
        <w:t xml:space="preserve">) London; New York: </w:t>
      </w:r>
      <w:proofErr w:type="spellStart"/>
      <w:r>
        <w:t>Kogan</w:t>
      </w:r>
      <w:proofErr w:type="spellEnd"/>
      <w:r>
        <w:t xml:space="preserve"> Page Limited</w:t>
      </w:r>
    </w:p>
    <w:p w:rsidR="00E05F71" w:rsidRDefault="00E05F71" w:rsidP="00E05F71">
      <w:r>
        <w:t xml:space="preserve">Daniels, K. (2019d) </w:t>
      </w:r>
      <w:r w:rsidRPr="003F7920">
        <w:rPr>
          <w:i/>
        </w:rPr>
        <w:t>Redundancy and Transfers of Undertaking</w:t>
      </w:r>
      <w:r>
        <w:t xml:space="preserve"> in Introduction to Employment Law. (5</w:t>
      </w:r>
      <w:r w:rsidRPr="003760C3">
        <w:rPr>
          <w:vertAlign w:val="superscript"/>
        </w:rPr>
        <w:t>th</w:t>
      </w:r>
      <w:r>
        <w:t xml:space="preserve"> </w:t>
      </w:r>
      <w:proofErr w:type="spellStart"/>
      <w:r>
        <w:t>ed</w:t>
      </w:r>
      <w:proofErr w:type="spellEnd"/>
      <w:r>
        <w:t xml:space="preserve">) London; New York: </w:t>
      </w:r>
      <w:proofErr w:type="spellStart"/>
      <w:r>
        <w:t>Kogan</w:t>
      </w:r>
      <w:proofErr w:type="spellEnd"/>
      <w:r>
        <w:t xml:space="preserve"> Page Limited </w:t>
      </w:r>
    </w:p>
    <w:p w:rsidR="00E05F71" w:rsidRDefault="00E05F71" w:rsidP="00E05F71">
      <w:r>
        <w:t xml:space="preserve">Daniels, K. (2019e) </w:t>
      </w:r>
      <w:r w:rsidRPr="00212969">
        <w:rPr>
          <w:i/>
        </w:rPr>
        <w:t>Health and Safety</w:t>
      </w:r>
      <w:r>
        <w:t xml:space="preserve"> in Introduction to Employment Law. (5</w:t>
      </w:r>
      <w:r w:rsidRPr="003760C3">
        <w:rPr>
          <w:vertAlign w:val="superscript"/>
        </w:rPr>
        <w:t>th</w:t>
      </w:r>
      <w:r>
        <w:t xml:space="preserve"> </w:t>
      </w:r>
      <w:proofErr w:type="spellStart"/>
      <w:r>
        <w:t>ed</w:t>
      </w:r>
      <w:proofErr w:type="spellEnd"/>
      <w:r>
        <w:t xml:space="preserve">) London; New York: </w:t>
      </w:r>
      <w:proofErr w:type="spellStart"/>
      <w:r>
        <w:t>Kogan</w:t>
      </w:r>
      <w:proofErr w:type="spellEnd"/>
      <w:r>
        <w:t xml:space="preserve"> Page Limited.</w:t>
      </w:r>
    </w:p>
    <w:p w:rsidR="00E05F71" w:rsidRDefault="00E05F71" w:rsidP="00E05F71">
      <w:r>
        <w:t xml:space="preserve">Daniels, K. (2019f) </w:t>
      </w:r>
      <w:r w:rsidRPr="000D038E">
        <w:rPr>
          <w:i/>
        </w:rPr>
        <w:t>Termination of Employment</w:t>
      </w:r>
      <w:r>
        <w:t xml:space="preserve"> in Introduction to Employment Law. (5</w:t>
      </w:r>
      <w:r w:rsidRPr="000D038E">
        <w:rPr>
          <w:vertAlign w:val="superscript"/>
        </w:rPr>
        <w:t>th</w:t>
      </w:r>
      <w:r>
        <w:t xml:space="preserve"> </w:t>
      </w:r>
      <w:proofErr w:type="spellStart"/>
      <w:r>
        <w:t>ed</w:t>
      </w:r>
      <w:proofErr w:type="spellEnd"/>
      <w:r>
        <w:t xml:space="preserve">) London; New York: </w:t>
      </w:r>
      <w:proofErr w:type="spellStart"/>
      <w:r>
        <w:t>Kogan</w:t>
      </w:r>
      <w:proofErr w:type="spellEnd"/>
      <w:r>
        <w:t xml:space="preserve"> Page Limited.</w:t>
      </w:r>
    </w:p>
    <w:p w:rsidR="00E05F71" w:rsidRDefault="00E05F71" w:rsidP="00E05F71">
      <w:r>
        <w:t xml:space="preserve">Data Protection Act 1998. Available at: </w:t>
      </w:r>
      <w:hyperlink r:id="rId49" w:history="1">
        <w:r w:rsidRPr="004A5A9C">
          <w:rPr>
            <w:rStyle w:val="Hyperlink"/>
          </w:rPr>
          <w:t>http://www.legislation.gov.uk/ukpga/1998/29/contents</w:t>
        </w:r>
      </w:hyperlink>
      <w:r>
        <w:t xml:space="preserve"> </w:t>
      </w:r>
    </w:p>
    <w:p w:rsidR="00E05F71" w:rsidRDefault="00E05F71" w:rsidP="00E05F71">
      <w:r>
        <w:t>Delaney V Staples (1992) 1 AC 687</w:t>
      </w:r>
    </w:p>
    <w:p w:rsidR="00E05F71" w:rsidRDefault="00E05F71" w:rsidP="00E05F71">
      <w:r>
        <w:t xml:space="preserve">Disability Discrimination Act 1995. Available at: </w:t>
      </w:r>
      <w:hyperlink r:id="rId50" w:history="1">
        <w:r w:rsidRPr="007A3805">
          <w:rPr>
            <w:rStyle w:val="Hyperlink"/>
          </w:rPr>
          <w:t>http://www.legislation.gov.uk/ukpga/1995/50/contents</w:t>
        </w:r>
      </w:hyperlink>
      <w:r>
        <w:t xml:space="preserve"> </w:t>
      </w:r>
    </w:p>
    <w:p w:rsidR="00E05F71" w:rsidRDefault="00E05F71" w:rsidP="00E05F71">
      <w:r>
        <w:t xml:space="preserve">Employment Equality (Age) Regulations 2006. Available at: </w:t>
      </w:r>
      <w:hyperlink r:id="rId51" w:history="1">
        <w:r w:rsidRPr="007A3805">
          <w:rPr>
            <w:rStyle w:val="Hyperlink"/>
          </w:rPr>
          <w:t>http://www.legislation.gov.uk/uksi/2006/1031/contents/made</w:t>
        </w:r>
      </w:hyperlink>
      <w:r>
        <w:t xml:space="preserve"> </w:t>
      </w:r>
    </w:p>
    <w:p w:rsidR="00E05F71" w:rsidRDefault="00E05F71" w:rsidP="00E05F71">
      <w:r>
        <w:t xml:space="preserve">Employment Equality (Religion and Belief) Regulations 2003. Available at: </w:t>
      </w:r>
      <w:hyperlink r:id="rId52" w:history="1">
        <w:r w:rsidRPr="007A3805">
          <w:rPr>
            <w:rStyle w:val="Hyperlink"/>
          </w:rPr>
          <w:t>http://www.legislation.gov.uk/uksi/2003/1660/contents/made</w:t>
        </w:r>
      </w:hyperlink>
      <w:r>
        <w:t xml:space="preserve"> </w:t>
      </w:r>
    </w:p>
    <w:p w:rsidR="00E05F71" w:rsidRDefault="00E05F71" w:rsidP="00E05F71">
      <w:r>
        <w:t xml:space="preserve">Employment Equality (Sexual Orientation) Regulations 2003. Available at: </w:t>
      </w:r>
      <w:hyperlink r:id="rId53" w:history="1">
        <w:r w:rsidRPr="007A3805">
          <w:rPr>
            <w:rStyle w:val="Hyperlink"/>
          </w:rPr>
          <w:t>http://www.legislation.gov.uk/uksi/2003/1661/contents/made</w:t>
        </w:r>
      </w:hyperlink>
      <w:r>
        <w:t xml:space="preserve"> </w:t>
      </w:r>
    </w:p>
    <w:p w:rsidR="00E05F71" w:rsidRDefault="00E05F71" w:rsidP="00E05F71">
      <w:r>
        <w:t xml:space="preserve">Employment Rights Act 1996 Section 139 (1) </w:t>
      </w:r>
      <w:r w:rsidRPr="00B069A0">
        <w:rPr>
          <w:i/>
        </w:rPr>
        <w:t>Redundancy</w:t>
      </w:r>
      <w:r>
        <w:t xml:space="preserve"> Available at: </w:t>
      </w:r>
      <w:hyperlink r:id="rId54" w:history="1">
        <w:r w:rsidRPr="004A5A9C">
          <w:rPr>
            <w:rStyle w:val="Hyperlink"/>
          </w:rPr>
          <w:t>http://www.legislation.gov.uk/ukpga/1996/18/section/139</w:t>
        </w:r>
      </w:hyperlink>
      <w:r>
        <w:t xml:space="preserve"> </w:t>
      </w:r>
    </w:p>
    <w:p w:rsidR="00E05F71" w:rsidRDefault="00E05F71" w:rsidP="00E05F71">
      <w:r>
        <w:t xml:space="preserve">Employment Rights Act 1996 Section 6. Available at: </w:t>
      </w:r>
      <w:hyperlink r:id="rId55" w:history="1">
        <w:r w:rsidRPr="000F054D">
          <w:rPr>
            <w:rStyle w:val="Hyperlink"/>
          </w:rPr>
          <w:t>https://www.legislation.gov.uk/ukpga/1996/18/part/V</w:t>
        </w:r>
      </w:hyperlink>
      <w:r>
        <w:t xml:space="preserve"> </w:t>
      </w:r>
    </w:p>
    <w:p w:rsidR="00E05F71" w:rsidRDefault="00E05F71" w:rsidP="00E05F71">
      <w:r>
        <w:lastRenderedPageBreak/>
        <w:t xml:space="preserve">Employment Rights Act 1996 Section 98. </w:t>
      </w:r>
      <w:r w:rsidRPr="000D038E">
        <w:rPr>
          <w:i/>
        </w:rPr>
        <w:t>General</w:t>
      </w:r>
      <w:r>
        <w:t xml:space="preserve">. Available at: </w:t>
      </w:r>
      <w:hyperlink r:id="rId56" w:history="1">
        <w:r w:rsidRPr="00E40DBD">
          <w:rPr>
            <w:rStyle w:val="Hyperlink"/>
          </w:rPr>
          <w:t>http://www.legislation.gov.uk/ukpga/1996/18/section/98</w:t>
        </w:r>
      </w:hyperlink>
      <w:r>
        <w:t xml:space="preserve"> </w:t>
      </w:r>
    </w:p>
    <w:p w:rsidR="00E05F71" w:rsidRDefault="00E05F71" w:rsidP="00E05F71">
      <w:r>
        <w:t xml:space="preserve">Employment Rights Act 1996, Section 230 (1) </w:t>
      </w:r>
      <w:r w:rsidRPr="00CA18C1">
        <w:rPr>
          <w:i/>
        </w:rPr>
        <w:t>Employees, Workers etc</w:t>
      </w:r>
      <w:r>
        <w:t xml:space="preserve">. Available at: </w:t>
      </w:r>
      <w:hyperlink r:id="rId57" w:history="1">
        <w:r w:rsidRPr="007A3805">
          <w:rPr>
            <w:rStyle w:val="Hyperlink"/>
          </w:rPr>
          <w:t>https://www.legislation.gov.uk/ukpga/1996/18/section/230</w:t>
        </w:r>
      </w:hyperlink>
      <w:r>
        <w:t xml:space="preserve"> </w:t>
      </w:r>
    </w:p>
    <w:p w:rsidR="00E05F71" w:rsidRDefault="00E05F71" w:rsidP="00E05F71">
      <w:r>
        <w:t xml:space="preserve">Employment Rights Act 1996, Section 230 (3) </w:t>
      </w:r>
      <w:r w:rsidRPr="00CA18C1">
        <w:rPr>
          <w:i/>
        </w:rPr>
        <w:t>Employees, Workers etc</w:t>
      </w:r>
      <w:r>
        <w:t xml:space="preserve">. Available at: </w:t>
      </w:r>
      <w:hyperlink r:id="rId58" w:history="1">
        <w:r w:rsidRPr="007A3805">
          <w:rPr>
            <w:rStyle w:val="Hyperlink"/>
          </w:rPr>
          <w:t>https://www.legislation.gov.uk/ukpga/1996/18/section/230</w:t>
        </w:r>
      </w:hyperlink>
      <w:r>
        <w:t xml:space="preserve"> </w:t>
      </w:r>
    </w:p>
    <w:p w:rsidR="00E05F71" w:rsidRDefault="00E05F71" w:rsidP="00E05F71">
      <w:r>
        <w:t xml:space="preserve">Employment Rights Act 1996. Available at: </w:t>
      </w:r>
      <w:hyperlink r:id="rId59" w:history="1">
        <w:r w:rsidRPr="007A3805">
          <w:rPr>
            <w:rStyle w:val="Hyperlink"/>
          </w:rPr>
          <w:t>https://www.legislation.gov.uk/ukpga/1996/18/contents</w:t>
        </w:r>
      </w:hyperlink>
      <w:r>
        <w:t xml:space="preserve"> [Accessed: 5</w:t>
      </w:r>
      <w:r w:rsidRPr="00696A15">
        <w:rPr>
          <w:vertAlign w:val="superscript"/>
        </w:rPr>
        <w:t>th</w:t>
      </w:r>
      <w:r>
        <w:t xml:space="preserve"> March 2019]</w:t>
      </w:r>
    </w:p>
    <w:p w:rsidR="00E05F71" w:rsidRDefault="00E05F71" w:rsidP="00E05F71">
      <w:r>
        <w:t xml:space="preserve">Employment Rights Act 1996. </w:t>
      </w:r>
      <w:r w:rsidRPr="007F39E3">
        <w:rPr>
          <w:i/>
        </w:rPr>
        <w:t>Right to guarantee payment</w:t>
      </w:r>
      <w:r>
        <w:t xml:space="preserve">. Available at: </w:t>
      </w:r>
      <w:hyperlink r:id="rId60" w:history="1">
        <w:r w:rsidRPr="00E40DBD">
          <w:rPr>
            <w:rStyle w:val="Hyperlink"/>
          </w:rPr>
          <w:t>https://www.legislation.gov.uk/ukpga/1996/18/section/28</w:t>
        </w:r>
      </w:hyperlink>
      <w:r>
        <w:t xml:space="preserve"> </w:t>
      </w:r>
    </w:p>
    <w:p w:rsidR="00E05F71" w:rsidRDefault="00E05F71" w:rsidP="00E05F71">
      <w:r>
        <w:t xml:space="preserve">Equal Pay Act 1970. Available at: </w:t>
      </w:r>
      <w:hyperlink r:id="rId61" w:history="1">
        <w:r w:rsidRPr="007A3805">
          <w:rPr>
            <w:rStyle w:val="Hyperlink"/>
          </w:rPr>
          <w:t>http://www.legislation.gov.uk/ukpga/1970/41/pdfs/ukpga_19700041_en.pdf</w:t>
        </w:r>
      </w:hyperlink>
      <w:r>
        <w:t xml:space="preserve"> </w:t>
      </w:r>
    </w:p>
    <w:p w:rsidR="00E05F71" w:rsidRDefault="00E05F71" w:rsidP="00E05F71">
      <w:r>
        <w:t xml:space="preserve">Equality Act 2010 Section 10. </w:t>
      </w:r>
      <w:r w:rsidRPr="002D59A9">
        <w:rPr>
          <w:i/>
        </w:rPr>
        <w:t>Religion, Religious or Philosophical Belief</w:t>
      </w:r>
      <w:r>
        <w:t xml:space="preserve">. Available at: </w:t>
      </w:r>
      <w:hyperlink r:id="rId62" w:history="1">
        <w:r w:rsidRPr="00E40DBD">
          <w:rPr>
            <w:rStyle w:val="Hyperlink"/>
          </w:rPr>
          <w:t>http://www.legislation.gov.uk/ukpga/2010/15/section/10</w:t>
        </w:r>
      </w:hyperlink>
      <w:r>
        <w:t xml:space="preserve"> </w:t>
      </w:r>
    </w:p>
    <w:p w:rsidR="00E05F71" w:rsidRDefault="00E05F71" w:rsidP="00E05F71">
      <w:r>
        <w:t xml:space="preserve">Equality Act 2010 Section 11. </w:t>
      </w:r>
      <w:r w:rsidRPr="002D59A9">
        <w:rPr>
          <w:i/>
        </w:rPr>
        <w:t>Sex</w:t>
      </w:r>
      <w:r>
        <w:rPr>
          <w:i/>
        </w:rPr>
        <w:t xml:space="preserve">. </w:t>
      </w:r>
      <w:r>
        <w:t xml:space="preserve">Available at: </w:t>
      </w:r>
      <w:hyperlink r:id="rId63" w:history="1">
        <w:r w:rsidRPr="00E40DBD">
          <w:rPr>
            <w:rStyle w:val="Hyperlink"/>
          </w:rPr>
          <w:t>http://www.legislation.gov.uk/ukpga/2010/15/section/11</w:t>
        </w:r>
      </w:hyperlink>
      <w:r>
        <w:t xml:space="preserve"> </w:t>
      </w:r>
    </w:p>
    <w:p w:rsidR="00E05F71" w:rsidRDefault="00E05F71" w:rsidP="00E05F71">
      <w:r>
        <w:t xml:space="preserve">Equality Act 2010 Section 12. </w:t>
      </w:r>
      <w:r w:rsidRPr="002D59A9">
        <w:rPr>
          <w:i/>
        </w:rPr>
        <w:t>Sexual Orientation</w:t>
      </w:r>
      <w:r>
        <w:t xml:space="preserve">. Available at: </w:t>
      </w:r>
      <w:hyperlink r:id="rId64" w:history="1">
        <w:r w:rsidRPr="00E40DBD">
          <w:rPr>
            <w:rStyle w:val="Hyperlink"/>
          </w:rPr>
          <w:t>http://www.legislation.gov.uk/ukpga/2010/15/section/12</w:t>
        </w:r>
      </w:hyperlink>
      <w:r>
        <w:t xml:space="preserve"> </w:t>
      </w:r>
    </w:p>
    <w:p w:rsidR="00E05F71" w:rsidRDefault="00E05F71" w:rsidP="00E05F71">
      <w:r>
        <w:t xml:space="preserve">Equality Act 2010 Section 13. </w:t>
      </w:r>
      <w:r w:rsidRPr="001256F5">
        <w:rPr>
          <w:i/>
        </w:rPr>
        <w:t>Direct discrimination</w:t>
      </w:r>
      <w:r>
        <w:t xml:space="preserve">. Available at: </w:t>
      </w:r>
      <w:hyperlink r:id="rId65" w:history="1">
        <w:r w:rsidRPr="00E40DBD">
          <w:rPr>
            <w:rStyle w:val="Hyperlink"/>
          </w:rPr>
          <w:t>https://www.legislation.gov.uk/ukpga/2010/15/section/13</w:t>
        </w:r>
      </w:hyperlink>
      <w:r>
        <w:t xml:space="preserve"> </w:t>
      </w:r>
    </w:p>
    <w:p w:rsidR="00E05F71" w:rsidRDefault="00E05F71" w:rsidP="00E05F71">
      <w:r>
        <w:t xml:space="preserve">Equality Act 2010 Section 18. </w:t>
      </w:r>
      <w:r w:rsidRPr="002D59A9">
        <w:rPr>
          <w:i/>
        </w:rPr>
        <w:t>Pregnancy and Maternity</w:t>
      </w:r>
      <w:r>
        <w:t xml:space="preserve">. Available at: </w:t>
      </w:r>
      <w:hyperlink r:id="rId66" w:history="1">
        <w:r w:rsidRPr="00E40DBD">
          <w:rPr>
            <w:rStyle w:val="Hyperlink"/>
          </w:rPr>
          <w:t>http://www.legislation.gov.uk/ukpga/2010/15/section/18</w:t>
        </w:r>
      </w:hyperlink>
      <w:r>
        <w:t xml:space="preserve"> </w:t>
      </w:r>
    </w:p>
    <w:p w:rsidR="00E05F71" w:rsidRDefault="00E05F71" w:rsidP="00E05F71">
      <w:r>
        <w:t xml:space="preserve">Equality Act 2010 Section 19. </w:t>
      </w:r>
      <w:r w:rsidRPr="001256F5">
        <w:rPr>
          <w:i/>
        </w:rPr>
        <w:t>Indirect discrimination</w:t>
      </w:r>
      <w:r>
        <w:t xml:space="preserve">. Available at: </w:t>
      </w:r>
      <w:hyperlink r:id="rId67" w:history="1">
        <w:r w:rsidRPr="00E40DBD">
          <w:rPr>
            <w:rStyle w:val="Hyperlink"/>
          </w:rPr>
          <w:t>https://www.legislation.gov.uk/ukpga/2010/15/section/19</w:t>
        </w:r>
      </w:hyperlink>
      <w:r>
        <w:t xml:space="preserve"> </w:t>
      </w:r>
    </w:p>
    <w:p w:rsidR="00E05F71" w:rsidRDefault="00E05F71" w:rsidP="00E05F71">
      <w:r>
        <w:t xml:space="preserve">Equality Act 2010 Section 26. </w:t>
      </w:r>
      <w:r w:rsidRPr="0081406F">
        <w:rPr>
          <w:i/>
        </w:rPr>
        <w:t>Harassment</w:t>
      </w:r>
      <w:r>
        <w:t xml:space="preserve">. Available at: </w:t>
      </w:r>
      <w:hyperlink r:id="rId68" w:history="1">
        <w:r w:rsidRPr="00E40DBD">
          <w:rPr>
            <w:rStyle w:val="Hyperlink"/>
          </w:rPr>
          <w:t>https://www.legislation.gov.uk/ukpga/2010/15/section/26</w:t>
        </w:r>
      </w:hyperlink>
      <w:r>
        <w:t xml:space="preserve"> </w:t>
      </w:r>
    </w:p>
    <w:p w:rsidR="00E05F71" w:rsidRDefault="00E05F71" w:rsidP="00E05F71">
      <w:r>
        <w:t xml:space="preserve">Equality Act 2010 Section 27. Victimisation. Available at: </w:t>
      </w:r>
      <w:hyperlink r:id="rId69" w:history="1">
        <w:r w:rsidRPr="00E40DBD">
          <w:rPr>
            <w:rStyle w:val="Hyperlink"/>
          </w:rPr>
          <w:t>http://www.legislation.gov.uk/ukpga/2010/15/section/27</w:t>
        </w:r>
      </w:hyperlink>
      <w:r>
        <w:t xml:space="preserve"> </w:t>
      </w:r>
    </w:p>
    <w:p w:rsidR="00E05F71" w:rsidRDefault="00E05F71" w:rsidP="00E05F71">
      <w:r>
        <w:t xml:space="preserve">Equality Act 2010 Section 5. </w:t>
      </w:r>
      <w:r w:rsidRPr="002D59A9">
        <w:rPr>
          <w:i/>
        </w:rPr>
        <w:t>Age</w:t>
      </w:r>
      <w:r>
        <w:t xml:space="preserve">. Available at: </w:t>
      </w:r>
      <w:hyperlink r:id="rId70" w:history="1">
        <w:r w:rsidRPr="00E40DBD">
          <w:rPr>
            <w:rStyle w:val="Hyperlink"/>
          </w:rPr>
          <w:t>http://www.legislation.gov.uk/ukpga/2010/15/section/5</w:t>
        </w:r>
      </w:hyperlink>
      <w:r>
        <w:t xml:space="preserve"> </w:t>
      </w:r>
    </w:p>
    <w:p w:rsidR="00E05F71" w:rsidRDefault="00E05F71" w:rsidP="00E05F71">
      <w:r>
        <w:t xml:space="preserve">Equality Act 2010 Section 6. </w:t>
      </w:r>
      <w:r w:rsidRPr="002D59A9">
        <w:rPr>
          <w:i/>
        </w:rPr>
        <w:t>Disability</w:t>
      </w:r>
      <w:r>
        <w:t xml:space="preserve">. Available at: </w:t>
      </w:r>
      <w:hyperlink r:id="rId71" w:history="1">
        <w:r w:rsidRPr="00E40DBD">
          <w:rPr>
            <w:rStyle w:val="Hyperlink"/>
          </w:rPr>
          <w:t>http://www.legislation.gov.uk/ukpga/2010/15/section/6</w:t>
        </w:r>
      </w:hyperlink>
      <w:r>
        <w:t xml:space="preserve"> </w:t>
      </w:r>
    </w:p>
    <w:p w:rsidR="00E05F71" w:rsidRDefault="00E05F71" w:rsidP="00E05F71">
      <w:r>
        <w:t xml:space="preserve">Equality Act 2010 Section 7. </w:t>
      </w:r>
      <w:r w:rsidRPr="002D59A9">
        <w:rPr>
          <w:i/>
        </w:rPr>
        <w:t>Gender Reassignment</w:t>
      </w:r>
      <w:r>
        <w:t xml:space="preserve">. Available at: </w:t>
      </w:r>
      <w:hyperlink r:id="rId72" w:history="1">
        <w:r w:rsidRPr="00E40DBD">
          <w:rPr>
            <w:rStyle w:val="Hyperlink"/>
          </w:rPr>
          <w:t>http://www.legislation.gov.uk/ukpga/2010/15/section/7</w:t>
        </w:r>
      </w:hyperlink>
      <w:r>
        <w:t xml:space="preserve"> </w:t>
      </w:r>
    </w:p>
    <w:p w:rsidR="00E05F71" w:rsidRDefault="00E05F71" w:rsidP="00E05F71">
      <w:r>
        <w:t xml:space="preserve">Equality Act 2010 Section 8. </w:t>
      </w:r>
      <w:r w:rsidRPr="002D59A9">
        <w:rPr>
          <w:i/>
        </w:rPr>
        <w:t>Marriage and Civil Partnership</w:t>
      </w:r>
      <w:r>
        <w:t xml:space="preserve">. Available at: </w:t>
      </w:r>
      <w:hyperlink r:id="rId73" w:history="1">
        <w:r w:rsidRPr="00E40DBD">
          <w:rPr>
            <w:rStyle w:val="Hyperlink"/>
          </w:rPr>
          <w:t>http://www.legislation.gov.uk/ukpga/2010/15/section/8</w:t>
        </w:r>
      </w:hyperlink>
      <w:r>
        <w:t xml:space="preserve"> </w:t>
      </w:r>
    </w:p>
    <w:p w:rsidR="00E05F71" w:rsidRDefault="00E05F71" w:rsidP="00E05F71">
      <w:r>
        <w:t xml:space="preserve">Equality Act 2010 Section 9. </w:t>
      </w:r>
      <w:r w:rsidRPr="002D59A9">
        <w:rPr>
          <w:i/>
        </w:rPr>
        <w:t>Race</w:t>
      </w:r>
      <w:r>
        <w:t xml:space="preserve">. Available at: </w:t>
      </w:r>
      <w:hyperlink r:id="rId74" w:history="1">
        <w:r w:rsidRPr="00E40DBD">
          <w:rPr>
            <w:rStyle w:val="Hyperlink"/>
          </w:rPr>
          <w:t>http://www.legislation.gov.uk/ukpga/2010/15/section/9</w:t>
        </w:r>
      </w:hyperlink>
      <w:r>
        <w:t xml:space="preserve"> </w:t>
      </w:r>
    </w:p>
    <w:p w:rsidR="00E05F71" w:rsidRPr="00495EF1" w:rsidRDefault="00E05F71" w:rsidP="00E05F71">
      <w:r>
        <w:rPr>
          <w:rStyle w:val="Hyperlink"/>
        </w:rPr>
        <w:lastRenderedPageBreak/>
        <w:t xml:space="preserve">Equality Act 2010. Available at: </w:t>
      </w:r>
      <w:hyperlink r:id="rId75" w:history="1">
        <w:r w:rsidRPr="000F054D">
          <w:rPr>
            <w:rStyle w:val="Hyperlink"/>
          </w:rPr>
          <w:t>https://www.legislation.gov.uk/ukpga/2010/15/contents</w:t>
        </w:r>
      </w:hyperlink>
      <w:r>
        <w:rPr>
          <w:rStyle w:val="Hyperlink"/>
        </w:rPr>
        <w:t xml:space="preserve"> </w:t>
      </w:r>
    </w:p>
    <w:p w:rsidR="00E05F71" w:rsidRDefault="00E05F71" w:rsidP="00E05F71">
      <w:r>
        <w:t xml:space="preserve">GEO (2011) </w:t>
      </w:r>
      <w:r w:rsidRPr="00995300">
        <w:rPr>
          <w:i/>
        </w:rPr>
        <w:t>Employers quick start guide to positive action in recruitment and promotion</w:t>
      </w:r>
      <w:r>
        <w:t xml:space="preserve">. Available at: </w:t>
      </w:r>
      <w:hyperlink r:id="rId76" w:history="1">
        <w:r w:rsidRPr="000C41E3">
          <w:rPr>
            <w:rStyle w:val="Hyperlink"/>
          </w:rPr>
          <w:t>https://assets.publishing.service.gov.uk/government/uploads/system/uploads/attachment_data/file/85046/positive-action-recruitment.pdf</w:t>
        </w:r>
      </w:hyperlink>
      <w:r>
        <w:t xml:space="preserve"> [Accessed on: 3</w:t>
      </w:r>
      <w:r w:rsidRPr="00EB12C3">
        <w:rPr>
          <w:vertAlign w:val="superscript"/>
        </w:rPr>
        <w:t>rd</w:t>
      </w:r>
      <w:r>
        <w:t xml:space="preserve"> March 2019 ]</w:t>
      </w:r>
    </w:p>
    <w:p w:rsidR="00E05F71" w:rsidRDefault="00E05F71" w:rsidP="00E05F71">
      <w:r>
        <w:t xml:space="preserve">Government Website (2019) </w:t>
      </w:r>
      <w:r w:rsidRPr="00C505D4">
        <w:rPr>
          <w:i/>
        </w:rPr>
        <w:t>Make a claim to an employment tribunal</w:t>
      </w:r>
      <w:r>
        <w:t xml:space="preserve">. Available at: </w:t>
      </w:r>
      <w:hyperlink r:id="rId77" w:history="1">
        <w:r w:rsidRPr="000C3DD3">
          <w:rPr>
            <w:rStyle w:val="Hyperlink"/>
          </w:rPr>
          <w:t>https://www.gov.uk/employment-tribunals</w:t>
        </w:r>
      </w:hyperlink>
      <w:r>
        <w:t>. [Accessed: 1</w:t>
      </w:r>
      <w:r w:rsidRPr="00C505D4">
        <w:rPr>
          <w:vertAlign w:val="superscript"/>
        </w:rPr>
        <w:t>st</w:t>
      </w:r>
      <w:r>
        <w:t xml:space="preserve"> March </w:t>
      </w:r>
      <w:proofErr w:type="gramStart"/>
      <w:r>
        <w:t>2019 ]</w:t>
      </w:r>
      <w:proofErr w:type="gramEnd"/>
    </w:p>
    <w:p w:rsidR="00E05F71" w:rsidRDefault="00E05F71" w:rsidP="00E05F71">
      <w:r>
        <w:t xml:space="preserve">Health and Safety (Display Screen Equipment) Regulations 1992. Available at: </w:t>
      </w:r>
      <w:hyperlink r:id="rId78" w:history="1">
        <w:r w:rsidRPr="00E40DBD">
          <w:rPr>
            <w:rStyle w:val="Hyperlink"/>
          </w:rPr>
          <w:t>http://www.legislation.gov.uk/uksi/1992/2792/contents/made</w:t>
        </w:r>
      </w:hyperlink>
    </w:p>
    <w:p w:rsidR="00E05F71" w:rsidRDefault="00E05F71" w:rsidP="00E05F71">
      <w:r>
        <w:t xml:space="preserve">Health and Safety at Work Act (HASAWA) 1974. Available at: </w:t>
      </w:r>
      <w:hyperlink r:id="rId79" w:history="1">
        <w:r w:rsidRPr="00E40DBD">
          <w:rPr>
            <w:rStyle w:val="Hyperlink"/>
          </w:rPr>
          <w:t>https://www.legislation.gov.uk/ukpga/1974/37</w:t>
        </w:r>
      </w:hyperlink>
    </w:p>
    <w:p w:rsidR="00E05F71" w:rsidRDefault="00E05F71" w:rsidP="00E05F71">
      <w:proofErr w:type="spellStart"/>
      <w:r>
        <w:t>Honeyball</w:t>
      </w:r>
      <w:proofErr w:type="spellEnd"/>
      <w:r>
        <w:t xml:space="preserve">, S. (2014) </w:t>
      </w:r>
      <w:r w:rsidRPr="00410855">
        <w:rPr>
          <w:i/>
        </w:rPr>
        <w:t>Employment Law</w:t>
      </w:r>
      <w:r>
        <w:t xml:space="preserve"> (13</w:t>
      </w:r>
      <w:r w:rsidRPr="00410855">
        <w:rPr>
          <w:vertAlign w:val="superscript"/>
        </w:rPr>
        <w:t>th</w:t>
      </w:r>
      <w:r>
        <w:t xml:space="preserve"> </w:t>
      </w:r>
      <w:proofErr w:type="spellStart"/>
      <w:r>
        <w:t>ed</w:t>
      </w:r>
      <w:proofErr w:type="spellEnd"/>
      <w:r>
        <w:t>) Oxford: Oxford University Press.</w:t>
      </w:r>
    </w:p>
    <w:p w:rsidR="00E05F71" w:rsidRDefault="00E05F71" w:rsidP="00E05F71">
      <w:proofErr w:type="spellStart"/>
      <w:r>
        <w:t>Honeyball</w:t>
      </w:r>
      <w:proofErr w:type="spellEnd"/>
      <w:r>
        <w:t xml:space="preserve">, S. (2014) </w:t>
      </w:r>
      <w:r w:rsidRPr="007D5715">
        <w:rPr>
          <w:i/>
        </w:rPr>
        <w:t>Statutory rights regulating the employment relationship</w:t>
      </w:r>
      <w:r>
        <w:t xml:space="preserve"> in Employment Law. (13</w:t>
      </w:r>
      <w:r w:rsidRPr="007D5715">
        <w:rPr>
          <w:vertAlign w:val="superscript"/>
        </w:rPr>
        <w:t>th</w:t>
      </w:r>
      <w:r>
        <w:t xml:space="preserve"> </w:t>
      </w:r>
      <w:proofErr w:type="spellStart"/>
      <w:r>
        <w:t>ed</w:t>
      </w:r>
      <w:proofErr w:type="spellEnd"/>
      <w:r>
        <w:t>) Oxford: Oxford University Press.</w:t>
      </w:r>
    </w:p>
    <w:p w:rsidR="00E05F71" w:rsidRDefault="00E05F71" w:rsidP="00E05F71">
      <w:r>
        <w:t xml:space="preserve">Human Rights Act 1998. Available at: </w:t>
      </w:r>
      <w:hyperlink r:id="rId80" w:history="1">
        <w:r w:rsidRPr="00E40DBD">
          <w:rPr>
            <w:rStyle w:val="Hyperlink"/>
          </w:rPr>
          <w:t>http://www.legislation.gov.uk/ukpga/1998/42/contents</w:t>
        </w:r>
      </w:hyperlink>
      <w:r>
        <w:t xml:space="preserve"> </w:t>
      </w:r>
    </w:p>
    <w:p w:rsidR="00E05F71" w:rsidRDefault="00E05F71" w:rsidP="00E05F71">
      <w:r>
        <w:t xml:space="preserve">Management of Health and Safety at Work Regulations 1999. Available at: </w:t>
      </w:r>
      <w:hyperlink r:id="rId81" w:history="1">
        <w:r w:rsidRPr="00E40DBD">
          <w:rPr>
            <w:rStyle w:val="Hyperlink"/>
          </w:rPr>
          <w:t>http://www.legislation.gov.uk/uksi/1999/3242/contents/made</w:t>
        </w:r>
      </w:hyperlink>
    </w:p>
    <w:p w:rsidR="00E05F71" w:rsidRDefault="00E05F71" w:rsidP="00E05F71">
      <w:r>
        <w:t xml:space="preserve">Manual Handling Operations Regulations 1998. Available at: </w:t>
      </w:r>
      <w:hyperlink r:id="rId82" w:history="1">
        <w:r w:rsidRPr="00E40DBD">
          <w:rPr>
            <w:rStyle w:val="Hyperlink"/>
          </w:rPr>
          <w:t>http://www.legislation.gov.uk/uksi/1998/2857/contents/made</w:t>
        </w:r>
      </w:hyperlink>
    </w:p>
    <w:p w:rsidR="00E05F71" w:rsidRDefault="00E05F71" w:rsidP="00E05F71">
      <w:r>
        <w:t xml:space="preserve">National Minimum Wage Act 1996. Available at: </w:t>
      </w:r>
      <w:hyperlink r:id="rId83" w:history="1">
        <w:r w:rsidRPr="000F054D">
          <w:rPr>
            <w:rStyle w:val="Hyperlink"/>
          </w:rPr>
          <w:t>http://www.legislation.gov.uk/ukpga/1998/39/contents</w:t>
        </w:r>
      </w:hyperlink>
      <w:r>
        <w:t xml:space="preserve"> </w:t>
      </w:r>
    </w:p>
    <w:p w:rsidR="00E05F71" w:rsidRDefault="00E05F71" w:rsidP="00E05F71">
      <w:r>
        <w:t xml:space="preserve">Personal Protective Equipment at Work Regulations 1992. Available at: </w:t>
      </w:r>
      <w:hyperlink r:id="rId84" w:history="1">
        <w:r w:rsidRPr="00E40DBD">
          <w:rPr>
            <w:rStyle w:val="Hyperlink"/>
          </w:rPr>
          <w:t>http://www.legislation.gov.uk/uksi/1992/2966/contents/made</w:t>
        </w:r>
      </w:hyperlink>
    </w:p>
    <w:p w:rsidR="00E05F71" w:rsidRDefault="00E05F71" w:rsidP="00E05F71">
      <w:r>
        <w:t xml:space="preserve">Personal Protective Equipment Regulations 1992. Available at: </w:t>
      </w:r>
      <w:hyperlink r:id="rId85" w:history="1">
        <w:r w:rsidRPr="00E40DBD">
          <w:rPr>
            <w:rStyle w:val="Hyperlink"/>
          </w:rPr>
          <w:t>http://www.legislation.gov.uk/uksi/1992/2966/contents/made</w:t>
        </w:r>
      </w:hyperlink>
    </w:p>
    <w:p w:rsidR="00E05F71" w:rsidRDefault="00E05F71" w:rsidP="00E05F71">
      <w:r>
        <w:t xml:space="preserve">Protection from Harassment Act 1997. Available at:  </w:t>
      </w:r>
      <w:hyperlink r:id="rId86" w:history="1">
        <w:r w:rsidRPr="00E40DBD">
          <w:rPr>
            <w:rStyle w:val="Hyperlink"/>
          </w:rPr>
          <w:t>http://www.legislation.gov.uk/ukpga/1997/40/contents</w:t>
        </w:r>
      </w:hyperlink>
      <w:r>
        <w:t xml:space="preserve"> </w:t>
      </w:r>
    </w:p>
    <w:p w:rsidR="00E05F71" w:rsidRDefault="00E05F71" w:rsidP="00E05F71">
      <w:r>
        <w:t xml:space="preserve">Provision and Use of Work Equipment Regulations 1998. Available at: </w:t>
      </w:r>
      <w:hyperlink r:id="rId87" w:history="1">
        <w:r w:rsidRPr="00E40DBD">
          <w:rPr>
            <w:rStyle w:val="Hyperlink"/>
          </w:rPr>
          <w:t>http://www.legislation.gov.uk/uksi/1998/2306/contents/made</w:t>
        </w:r>
      </w:hyperlink>
    </w:p>
    <w:p w:rsidR="00E05F71" w:rsidRDefault="00E05F71" w:rsidP="00E05F71">
      <w:r>
        <w:t xml:space="preserve">Race Relations Act 1976. Available at: </w:t>
      </w:r>
      <w:hyperlink r:id="rId88" w:history="1">
        <w:r w:rsidRPr="007A3805">
          <w:rPr>
            <w:rStyle w:val="Hyperlink"/>
          </w:rPr>
          <w:t>http://www.legislation.gov.uk/ukpga/1976/74/enacted</w:t>
        </w:r>
      </w:hyperlink>
      <w:r>
        <w:t xml:space="preserve"> </w:t>
      </w:r>
    </w:p>
    <w:p w:rsidR="00E05F71" w:rsidRDefault="00E05F71" w:rsidP="00E05F71">
      <w:r>
        <w:t>Ready-Mixed Concrete V Minister of Pensions (1968) ER 433</w:t>
      </w:r>
    </w:p>
    <w:p w:rsidR="00E05F71" w:rsidRDefault="00E05F71" w:rsidP="00E05F71">
      <w:r>
        <w:t xml:space="preserve">Reporting of Injuries, Diseases and Dangerous Occurrences Regulations (RIDDOR) 1995. Available at: </w:t>
      </w:r>
      <w:hyperlink r:id="rId89" w:history="1">
        <w:r w:rsidRPr="00E40DBD">
          <w:rPr>
            <w:rStyle w:val="Hyperlink"/>
          </w:rPr>
          <w:t>http://www.legislation.gov.uk/uksi/1995/3163/contents/made</w:t>
        </w:r>
      </w:hyperlink>
    </w:p>
    <w:p w:rsidR="00E05F71" w:rsidRDefault="00E05F71" w:rsidP="00E05F71">
      <w:r>
        <w:t xml:space="preserve">Sex Discrimination (Gender Reassignment) Regulations 1999. Available at: </w:t>
      </w:r>
      <w:hyperlink r:id="rId90" w:history="1">
        <w:r w:rsidRPr="007A3805">
          <w:rPr>
            <w:rStyle w:val="Hyperlink"/>
          </w:rPr>
          <w:t>http://www.legislation.gov.uk/uksi/1999/1102/contents/made</w:t>
        </w:r>
      </w:hyperlink>
      <w:r>
        <w:t xml:space="preserve"> </w:t>
      </w:r>
    </w:p>
    <w:p w:rsidR="00E05F71" w:rsidRDefault="00E05F71" w:rsidP="00E05F71">
      <w:r>
        <w:t xml:space="preserve">Sex Discrimination Act 1975. Available at: </w:t>
      </w:r>
      <w:hyperlink r:id="rId91" w:history="1">
        <w:r w:rsidRPr="007A3805">
          <w:rPr>
            <w:rStyle w:val="Hyperlink"/>
          </w:rPr>
          <w:t>https://www.legislation.gov.uk/ukpga/1975/65</w:t>
        </w:r>
      </w:hyperlink>
      <w:r>
        <w:t xml:space="preserve"> </w:t>
      </w:r>
    </w:p>
    <w:p w:rsidR="00E05F71" w:rsidRDefault="00E05F71" w:rsidP="00E05F71">
      <w:r>
        <w:t>Stevenson V MacDonald (1952) 1TLR 101</w:t>
      </w:r>
    </w:p>
    <w:p w:rsidR="00E05F71" w:rsidRDefault="00E05F71" w:rsidP="00E05F71">
      <w:r>
        <w:lastRenderedPageBreak/>
        <w:t xml:space="preserve">Taylor, S. and Wilkinson, K. (2016) </w:t>
      </w:r>
      <w:r w:rsidRPr="003D16A6">
        <w:rPr>
          <w:i/>
        </w:rPr>
        <w:t>Employment Law</w:t>
      </w:r>
      <w:r>
        <w:t xml:space="preserve"> in Taylor, S. and </w:t>
      </w:r>
      <w:proofErr w:type="spellStart"/>
      <w:r>
        <w:t>Woodhams</w:t>
      </w:r>
      <w:proofErr w:type="spellEnd"/>
      <w:r>
        <w:t>, C. Human Resource Management: People and Organisation. (2</w:t>
      </w:r>
      <w:r w:rsidRPr="003D16A6">
        <w:rPr>
          <w:vertAlign w:val="superscript"/>
        </w:rPr>
        <w:t>nd</w:t>
      </w:r>
      <w:r>
        <w:t xml:space="preserve"> </w:t>
      </w:r>
      <w:proofErr w:type="spellStart"/>
      <w:r>
        <w:t>ed</w:t>
      </w:r>
      <w:proofErr w:type="spellEnd"/>
      <w:r>
        <w:t>) The Chartered Institute of Personnel and Development: London.</w:t>
      </w:r>
    </w:p>
    <w:p w:rsidR="00E05F71" w:rsidRDefault="00E05F71" w:rsidP="00E05F71">
      <w:r>
        <w:t xml:space="preserve">The CIPD (2019a) </w:t>
      </w:r>
      <w:r w:rsidRPr="00410855">
        <w:rPr>
          <w:i/>
        </w:rPr>
        <w:t>The role of employment tribunals</w:t>
      </w:r>
      <w:r>
        <w:t xml:space="preserve">. Available at: </w:t>
      </w:r>
      <w:hyperlink r:id="rId92" w:anchor="7053" w:history="1">
        <w:r w:rsidRPr="000C41E3">
          <w:rPr>
            <w:rStyle w:val="Hyperlink"/>
          </w:rPr>
          <w:t>https://www.cipd.co.uk/knowledge/fundamentals/emp-law/tribunals/factsheet#7053</w:t>
        </w:r>
      </w:hyperlink>
      <w:r>
        <w:t xml:space="preserve"> [Accessed on: 28</w:t>
      </w:r>
      <w:r w:rsidRPr="00EB12C3">
        <w:rPr>
          <w:vertAlign w:val="superscript"/>
        </w:rPr>
        <w:t>th</w:t>
      </w:r>
      <w:r>
        <w:t xml:space="preserve"> February 2019]</w:t>
      </w:r>
    </w:p>
    <w:p w:rsidR="00E05F71" w:rsidRDefault="00E05F71" w:rsidP="00E05F71">
      <w:r>
        <w:t xml:space="preserve">The Employment Rights Act 1996 Section 141 </w:t>
      </w:r>
      <w:r w:rsidRPr="003F7920">
        <w:rPr>
          <w:i/>
        </w:rPr>
        <w:t>Renewal of contract or re-engagement</w:t>
      </w:r>
      <w:r>
        <w:t xml:space="preserve">. Available at: </w:t>
      </w:r>
      <w:hyperlink r:id="rId93" w:history="1">
        <w:r w:rsidRPr="004A5A9C">
          <w:rPr>
            <w:rStyle w:val="Hyperlink"/>
          </w:rPr>
          <w:t>http://www.legislation.gov.uk/ukpga/1996/18/section/141</w:t>
        </w:r>
      </w:hyperlink>
    </w:p>
    <w:p w:rsidR="00E05F71" w:rsidRDefault="00E05F71" w:rsidP="00E05F71">
      <w:r>
        <w:t xml:space="preserve">The Maternity and Parental Leave Regulations 1999. Available at: </w:t>
      </w:r>
      <w:hyperlink r:id="rId94" w:history="1">
        <w:r w:rsidRPr="007A3805">
          <w:rPr>
            <w:rStyle w:val="Hyperlink"/>
          </w:rPr>
          <w:t>http://www.legislation.gov.uk/uksi/1999/3312/contents/made</w:t>
        </w:r>
      </w:hyperlink>
      <w:r>
        <w:t xml:space="preserve"> </w:t>
      </w:r>
    </w:p>
    <w:p w:rsidR="00E05F71" w:rsidRDefault="00E05F71" w:rsidP="00E05F71">
      <w:r>
        <w:t xml:space="preserve">The Work and Families Act 2006. Available at: </w:t>
      </w:r>
      <w:hyperlink r:id="rId95" w:history="1">
        <w:r w:rsidRPr="001A7DC6">
          <w:rPr>
            <w:rStyle w:val="Hyperlink"/>
          </w:rPr>
          <w:t>https://www.legislation.gov.uk/ukpga/2006/18/contents</w:t>
        </w:r>
      </w:hyperlink>
      <w:r>
        <w:t xml:space="preserve"> </w:t>
      </w:r>
    </w:p>
    <w:p w:rsidR="00E05F71" w:rsidRDefault="00E05F71" w:rsidP="00E05F71">
      <w:r>
        <w:t xml:space="preserve">The Working Time Regulations 1998. Available at: </w:t>
      </w:r>
      <w:hyperlink r:id="rId96" w:history="1">
        <w:r w:rsidRPr="007A3805">
          <w:rPr>
            <w:rStyle w:val="Hyperlink"/>
          </w:rPr>
          <w:t>http://www.legislation.gov.uk/uksi/1998/1833/contents/made</w:t>
        </w:r>
      </w:hyperlink>
      <w:r>
        <w:t xml:space="preserve"> </w:t>
      </w:r>
    </w:p>
    <w:p w:rsidR="00E05F71" w:rsidRDefault="00E05F71" w:rsidP="00E05F71">
      <w:r>
        <w:t xml:space="preserve">Trade Union and Labour Relations (Consolidation) Act 1992. Available at: </w:t>
      </w:r>
      <w:hyperlink r:id="rId97" w:history="1">
        <w:r w:rsidRPr="004A5A9C">
          <w:rPr>
            <w:rStyle w:val="Hyperlink"/>
          </w:rPr>
          <w:t>http://www.legislation.gov.uk/ukpga/1992/52/section/188</w:t>
        </w:r>
      </w:hyperlink>
      <w:r>
        <w:t xml:space="preserve"> </w:t>
      </w:r>
    </w:p>
    <w:p w:rsidR="00E05F71" w:rsidRDefault="00E05F71" w:rsidP="00E05F71">
      <w:r>
        <w:t xml:space="preserve">Unison (2016) Model Capability Procedure. Available at: </w:t>
      </w:r>
      <w:hyperlink r:id="rId98" w:history="1">
        <w:r w:rsidRPr="00E40DBD">
          <w:rPr>
            <w:rStyle w:val="Hyperlink"/>
          </w:rPr>
          <w:t>https://www.unison.org.uk/model-capability-procedure/</w:t>
        </w:r>
      </w:hyperlink>
      <w:r>
        <w:t xml:space="preserve"> [Accessed: 10</w:t>
      </w:r>
      <w:r w:rsidRPr="00EB12C3">
        <w:rPr>
          <w:vertAlign w:val="superscript"/>
        </w:rPr>
        <w:t>th</w:t>
      </w:r>
      <w:r>
        <w:t xml:space="preserve"> March 2019]</w:t>
      </w:r>
    </w:p>
    <w:p w:rsidR="00E05F71" w:rsidRDefault="00E05F71" w:rsidP="00E05F71">
      <w:r>
        <w:t xml:space="preserve">Workplace (Health, Safety and Welfare) Regulations 1992. Available at: </w:t>
      </w:r>
      <w:hyperlink r:id="rId99" w:history="1">
        <w:r w:rsidRPr="00E40DBD">
          <w:rPr>
            <w:rStyle w:val="Hyperlink"/>
          </w:rPr>
          <w:t>http://www.legislation.gov.uk/uksi/1992/3004/contents/made</w:t>
        </w:r>
      </w:hyperlink>
    </w:p>
    <w:p w:rsidR="00E05F71" w:rsidRDefault="00E05F71" w:rsidP="00E05F71">
      <w:proofErr w:type="spellStart"/>
      <w:r>
        <w:t>Yemens</w:t>
      </w:r>
      <w:proofErr w:type="spellEnd"/>
      <w:r>
        <w:t xml:space="preserve"> V </w:t>
      </w:r>
      <w:proofErr w:type="spellStart"/>
      <w:r>
        <w:t>Noakes</w:t>
      </w:r>
      <w:proofErr w:type="spellEnd"/>
      <w:r>
        <w:t xml:space="preserve"> (1881) 6 QBD 530. </w:t>
      </w:r>
      <w:r w:rsidRPr="005C7145">
        <w:rPr>
          <w:i/>
        </w:rPr>
        <w:t>The definition of an employee</w:t>
      </w:r>
      <w:r>
        <w:rPr>
          <w:i/>
        </w:rPr>
        <w:t>.</w:t>
      </w:r>
    </w:p>
    <w:p w:rsidR="00E05F71" w:rsidRPr="002D59A9" w:rsidRDefault="00E05F71" w:rsidP="00E05F71"/>
    <w:p w:rsidR="00E05F71" w:rsidRDefault="00E05F71"/>
    <w:sectPr w:rsidR="00E05F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FD4F30"/>
    <w:multiLevelType w:val="hybridMultilevel"/>
    <w:tmpl w:val="B7C82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F71"/>
    <w:rsid w:val="000124E7"/>
    <w:rsid w:val="0003292D"/>
    <w:rsid w:val="000415A8"/>
    <w:rsid w:val="00086C4F"/>
    <w:rsid w:val="00087663"/>
    <w:rsid w:val="00095092"/>
    <w:rsid w:val="00096882"/>
    <w:rsid w:val="000A3940"/>
    <w:rsid w:val="000A7571"/>
    <w:rsid w:val="000B00BB"/>
    <w:rsid w:val="000B0A94"/>
    <w:rsid w:val="000C1987"/>
    <w:rsid w:val="000E29FF"/>
    <w:rsid w:val="000E4C30"/>
    <w:rsid w:val="000E7EA5"/>
    <w:rsid w:val="00150AA2"/>
    <w:rsid w:val="00157A94"/>
    <w:rsid w:val="00160E44"/>
    <w:rsid w:val="00163570"/>
    <w:rsid w:val="00176C67"/>
    <w:rsid w:val="0018271F"/>
    <w:rsid w:val="00190A85"/>
    <w:rsid w:val="00190F76"/>
    <w:rsid w:val="001967A2"/>
    <w:rsid w:val="00233D63"/>
    <w:rsid w:val="002C1F42"/>
    <w:rsid w:val="002F281E"/>
    <w:rsid w:val="002F5B8B"/>
    <w:rsid w:val="002F7C1E"/>
    <w:rsid w:val="00331D4E"/>
    <w:rsid w:val="00387DB1"/>
    <w:rsid w:val="003C7843"/>
    <w:rsid w:val="0044330C"/>
    <w:rsid w:val="004705D8"/>
    <w:rsid w:val="00475217"/>
    <w:rsid w:val="004918D0"/>
    <w:rsid w:val="004A2CAE"/>
    <w:rsid w:val="004C1BED"/>
    <w:rsid w:val="004C47F2"/>
    <w:rsid w:val="004C58B0"/>
    <w:rsid w:val="0053686C"/>
    <w:rsid w:val="005668D2"/>
    <w:rsid w:val="00571C55"/>
    <w:rsid w:val="005872D1"/>
    <w:rsid w:val="005B6862"/>
    <w:rsid w:val="005C04DE"/>
    <w:rsid w:val="005F1B7D"/>
    <w:rsid w:val="0065716A"/>
    <w:rsid w:val="00670B08"/>
    <w:rsid w:val="00676C3A"/>
    <w:rsid w:val="006778F7"/>
    <w:rsid w:val="0068352A"/>
    <w:rsid w:val="006A54B7"/>
    <w:rsid w:val="006B48B6"/>
    <w:rsid w:val="006C7805"/>
    <w:rsid w:val="006E08B9"/>
    <w:rsid w:val="006E0F4E"/>
    <w:rsid w:val="007117BB"/>
    <w:rsid w:val="00727F34"/>
    <w:rsid w:val="007606A1"/>
    <w:rsid w:val="0076400A"/>
    <w:rsid w:val="00777A93"/>
    <w:rsid w:val="007A5D71"/>
    <w:rsid w:val="007D78BD"/>
    <w:rsid w:val="007E4B0E"/>
    <w:rsid w:val="0080432F"/>
    <w:rsid w:val="00815625"/>
    <w:rsid w:val="00820BAE"/>
    <w:rsid w:val="00820FCB"/>
    <w:rsid w:val="00843BBA"/>
    <w:rsid w:val="00850353"/>
    <w:rsid w:val="00877282"/>
    <w:rsid w:val="00882E3F"/>
    <w:rsid w:val="008A73A1"/>
    <w:rsid w:val="008B087D"/>
    <w:rsid w:val="008B209E"/>
    <w:rsid w:val="008B51C7"/>
    <w:rsid w:val="008F3717"/>
    <w:rsid w:val="008F6345"/>
    <w:rsid w:val="008F72B0"/>
    <w:rsid w:val="009069A1"/>
    <w:rsid w:val="009172EC"/>
    <w:rsid w:val="00927EB0"/>
    <w:rsid w:val="009A47F7"/>
    <w:rsid w:val="009D1E25"/>
    <w:rsid w:val="00A03AB4"/>
    <w:rsid w:val="00A13FD2"/>
    <w:rsid w:val="00A15217"/>
    <w:rsid w:val="00A2358E"/>
    <w:rsid w:val="00A460F9"/>
    <w:rsid w:val="00A67D08"/>
    <w:rsid w:val="00A94747"/>
    <w:rsid w:val="00AF3003"/>
    <w:rsid w:val="00AF6B35"/>
    <w:rsid w:val="00AF6C0C"/>
    <w:rsid w:val="00B40463"/>
    <w:rsid w:val="00B4436C"/>
    <w:rsid w:val="00B4691E"/>
    <w:rsid w:val="00B51AEB"/>
    <w:rsid w:val="00B65952"/>
    <w:rsid w:val="00B65C3B"/>
    <w:rsid w:val="00B749E9"/>
    <w:rsid w:val="00B8253B"/>
    <w:rsid w:val="00B95B7C"/>
    <w:rsid w:val="00BB35E6"/>
    <w:rsid w:val="00BB484E"/>
    <w:rsid w:val="00BD2471"/>
    <w:rsid w:val="00BD4D37"/>
    <w:rsid w:val="00BF697E"/>
    <w:rsid w:val="00C00EF5"/>
    <w:rsid w:val="00C0289A"/>
    <w:rsid w:val="00C17222"/>
    <w:rsid w:val="00C40FAF"/>
    <w:rsid w:val="00C73C22"/>
    <w:rsid w:val="00C82B22"/>
    <w:rsid w:val="00CC3054"/>
    <w:rsid w:val="00D10927"/>
    <w:rsid w:val="00D230DE"/>
    <w:rsid w:val="00D3644B"/>
    <w:rsid w:val="00D45D37"/>
    <w:rsid w:val="00DA460A"/>
    <w:rsid w:val="00E05F71"/>
    <w:rsid w:val="00E25E0D"/>
    <w:rsid w:val="00E41E8E"/>
    <w:rsid w:val="00E60F79"/>
    <w:rsid w:val="00E754C7"/>
    <w:rsid w:val="00E91425"/>
    <w:rsid w:val="00EC33AD"/>
    <w:rsid w:val="00ED238B"/>
    <w:rsid w:val="00EE212E"/>
    <w:rsid w:val="00EF3DE7"/>
    <w:rsid w:val="00F05581"/>
    <w:rsid w:val="00F10C0F"/>
    <w:rsid w:val="00F25CE1"/>
    <w:rsid w:val="00F423B4"/>
    <w:rsid w:val="00F46B12"/>
    <w:rsid w:val="00F54FE5"/>
    <w:rsid w:val="00F85529"/>
    <w:rsid w:val="00F91F82"/>
    <w:rsid w:val="00FB213B"/>
    <w:rsid w:val="00FC302E"/>
    <w:rsid w:val="00FD47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65EB6"/>
  <w15:chartTrackingRefBased/>
  <w15:docId w15:val="{D0222E7B-0922-4F2D-8E76-0F08B57CE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5F7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05F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5F71"/>
    <w:pPr>
      <w:spacing w:after="200" w:line="276" w:lineRule="auto"/>
      <w:ind w:left="720"/>
      <w:contextualSpacing/>
    </w:pPr>
    <w:rPr>
      <w:rFonts w:ascii="Arial" w:hAnsi="Arial" w:cs="Arial"/>
    </w:rPr>
  </w:style>
  <w:style w:type="character" w:styleId="Hyperlink">
    <w:name w:val="Hyperlink"/>
    <w:basedOn w:val="DefaultParagraphFont"/>
    <w:uiPriority w:val="99"/>
    <w:unhideWhenUsed/>
    <w:rsid w:val="00E05F7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microsoft.com/office/2007/relationships/diagramDrawing" Target="diagrams/drawing2.xml"/><Relationship Id="rId21" Type="http://schemas.microsoft.com/office/2007/relationships/diagramDrawing" Target="diagrams/drawing1.xml"/><Relationship Id="rId34" Type="http://schemas.openxmlformats.org/officeDocument/2006/relationships/hyperlink" Target="http://www.acas.org.uk/index.aspx?articleid=1577" TargetMode="External"/><Relationship Id="rId42" Type="http://schemas.openxmlformats.org/officeDocument/2006/relationships/hyperlink" Target="https://www.cipd.co.uk/knowledge/fundamentals/emp-law/dismissal/unfair-dismissal-questions" TargetMode="External"/><Relationship Id="rId47" Type="http://schemas.openxmlformats.org/officeDocument/2006/relationships/hyperlink" Target="https://www.cipd.co.uk/knowledge/fundamentals/emp-law/tribunals/questions" TargetMode="External"/><Relationship Id="rId50" Type="http://schemas.openxmlformats.org/officeDocument/2006/relationships/hyperlink" Target="http://www.legislation.gov.uk/ukpga/1995/50/contents" TargetMode="External"/><Relationship Id="rId55" Type="http://schemas.openxmlformats.org/officeDocument/2006/relationships/hyperlink" Target="https://www.legislation.gov.uk/ukpga/1996/18/part/V" TargetMode="External"/><Relationship Id="rId63" Type="http://schemas.openxmlformats.org/officeDocument/2006/relationships/hyperlink" Target="http://www.legislation.gov.uk/ukpga/2010/15/section/11" TargetMode="External"/><Relationship Id="rId68" Type="http://schemas.openxmlformats.org/officeDocument/2006/relationships/hyperlink" Target="https://www.legislation.gov.uk/ukpga/2010/15/section/26" TargetMode="External"/><Relationship Id="rId76" Type="http://schemas.openxmlformats.org/officeDocument/2006/relationships/hyperlink" Target="https://assets.publishing.service.gov.uk/government/uploads/system/uploads/attachment_data/file/85046/positive-action-recruitment.pdf" TargetMode="External"/><Relationship Id="rId84" Type="http://schemas.openxmlformats.org/officeDocument/2006/relationships/hyperlink" Target="http://www.legislation.gov.uk/uksi/1992/2966/contents/made" TargetMode="External"/><Relationship Id="rId89" Type="http://schemas.openxmlformats.org/officeDocument/2006/relationships/hyperlink" Target="http://www.legislation.gov.uk/uksi/1995/3163/contents/made" TargetMode="External"/><Relationship Id="rId97" Type="http://schemas.openxmlformats.org/officeDocument/2006/relationships/hyperlink" Target="http://www.legislation.gov.uk/ukpga/1992/52/section/188" TargetMode="External"/><Relationship Id="rId7" Type="http://schemas.openxmlformats.org/officeDocument/2006/relationships/image" Target="media/image3.emf"/><Relationship Id="rId71" Type="http://schemas.openxmlformats.org/officeDocument/2006/relationships/hyperlink" Target="http://www.legislation.gov.uk/ukpga/2010/15/section/6" TargetMode="External"/><Relationship Id="rId92" Type="http://schemas.openxmlformats.org/officeDocument/2006/relationships/hyperlink" Target="https://www.cipd.co.uk/knowledge/fundamentals/emp-law/tribunals/factsheet" TargetMode="External"/><Relationship Id="rId2" Type="http://schemas.openxmlformats.org/officeDocument/2006/relationships/styles" Target="styles.xml"/><Relationship Id="rId16" Type="http://schemas.openxmlformats.org/officeDocument/2006/relationships/image" Target="media/image12.emf"/><Relationship Id="rId29" Type="http://schemas.openxmlformats.org/officeDocument/2006/relationships/diagramQuickStyle" Target="diagrams/quickStyle3.xml"/><Relationship Id="rId11" Type="http://schemas.openxmlformats.org/officeDocument/2006/relationships/image" Target="media/image7.emf"/><Relationship Id="rId24" Type="http://schemas.openxmlformats.org/officeDocument/2006/relationships/diagramQuickStyle" Target="diagrams/quickStyle2.xml"/><Relationship Id="rId32" Type="http://schemas.openxmlformats.org/officeDocument/2006/relationships/hyperlink" Target="http://www.acas.org.uk/index.aspx?articleid=2174" TargetMode="External"/><Relationship Id="rId37" Type="http://schemas.openxmlformats.org/officeDocument/2006/relationships/hyperlink" Target="https://beta.acas.org.uk/manage-staff-redundancies" TargetMode="External"/><Relationship Id="rId40" Type="http://schemas.openxmlformats.org/officeDocument/2006/relationships/hyperlink" Target="https://www.cipd.co.uk/knowledge/fundamentals/emp-law/about/uk-emp-law-made" TargetMode="External"/><Relationship Id="rId45" Type="http://schemas.openxmlformats.org/officeDocument/2006/relationships/hyperlink" Target="https://www.cipd.co.uk/knowledge/fundamentals/emp-law/health-safety/factsheet" TargetMode="External"/><Relationship Id="rId53" Type="http://schemas.openxmlformats.org/officeDocument/2006/relationships/hyperlink" Target="http://www.legislation.gov.uk/uksi/2003/1661/contents/made" TargetMode="External"/><Relationship Id="rId58" Type="http://schemas.openxmlformats.org/officeDocument/2006/relationships/hyperlink" Target="https://www.legislation.gov.uk/ukpga/1996/18/section/230" TargetMode="External"/><Relationship Id="rId66" Type="http://schemas.openxmlformats.org/officeDocument/2006/relationships/hyperlink" Target="http://www.legislation.gov.uk/ukpga/2010/15/section/18" TargetMode="External"/><Relationship Id="rId74" Type="http://schemas.openxmlformats.org/officeDocument/2006/relationships/hyperlink" Target="http://www.legislation.gov.uk/ukpga/2010/15/section/9" TargetMode="External"/><Relationship Id="rId79" Type="http://schemas.openxmlformats.org/officeDocument/2006/relationships/hyperlink" Target="https://www.legislation.gov.uk/ukpga/1974/37" TargetMode="External"/><Relationship Id="rId87" Type="http://schemas.openxmlformats.org/officeDocument/2006/relationships/hyperlink" Target="http://www.legislation.gov.uk/uksi/1998/2306/contents/made" TargetMode="External"/><Relationship Id="rId5" Type="http://schemas.openxmlformats.org/officeDocument/2006/relationships/image" Target="media/image1.emf"/><Relationship Id="rId61" Type="http://schemas.openxmlformats.org/officeDocument/2006/relationships/hyperlink" Target="http://www.legislation.gov.uk/ukpga/1970/41/pdfs/ukpga_19700041_en.pdf" TargetMode="External"/><Relationship Id="rId82" Type="http://schemas.openxmlformats.org/officeDocument/2006/relationships/hyperlink" Target="http://www.legislation.gov.uk/uksi/1998/2857/contents/made" TargetMode="External"/><Relationship Id="rId90" Type="http://schemas.openxmlformats.org/officeDocument/2006/relationships/hyperlink" Target="http://www.legislation.gov.uk/uksi/1999/1102/contents/made" TargetMode="External"/><Relationship Id="rId95" Type="http://schemas.openxmlformats.org/officeDocument/2006/relationships/hyperlink" Target="https://www.legislation.gov.uk/ukpga/2006/18/contents" TargetMode="External"/><Relationship Id="rId19" Type="http://schemas.openxmlformats.org/officeDocument/2006/relationships/diagramQuickStyle" Target="diagrams/quickStyle1.xml"/><Relationship Id="rId14" Type="http://schemas.openxmlformats.org/officeDocument/2006/relationships/image" Target="media/image10.emf"/><Relationship Id="rId22" Type="http://schemas.openxmlformats.org/officeDocument/2006/relationships/diagramData" Target="diagrams/data2.xml"/><Relationship Id="rId27" Type="http://schemas.openxmlformats.org/officeDocument/2006/relationships/diagramData" Target="diagrams/data3.xml"/><Relationship Id="rId30" Type="http://schemas.openxmlformats.org/officeDocument/2006/relationships/diagramColors" Target="diagrams/colors3.xml"/><Relationship Id="rId35" Type="http://schemas.openxmlformats.org/officeDocument/2006/relationships/hyperlink" Target="http://www.acas.org.uk/index.aspx?articleid=1902" TargetMode="External"/><Relationship Id="rId43" Type="http://schemas.openxmlformats.org/officeDocument/2006/relationships/hyperlink" Target="https://www.cipd.co.uk/knowledge/fundamentals/emp-law/redundancy/factsheet" TargetMode="External"/><Relationship Id="rId48" Type="http://schemas.openxmlformats.org/officeDocument/2006/relationships/hyperlink" Target="http://www.legislation.gov.uk/uksi/2002/2677/regulation/7/made" TargetMode="External"/><Relationship Id="rId56" Type="http://schemas.openxmlformats.org/officeDocument/2006/relationships/hyperlink" Target="http://www.legislation.gov.uk/ukpga/1996/18/section/98" TargetMode="External"/><Relationship Id="rId64" Type="http://schemas.openxmlformats.org/officeDocument/2006/relationships/hyperlink" Target="http://www.legislation.gov.uk/ukpga/2010/15/section/12" TargetMode="External"/><Relationship Id="rId69" Type="http://schemas.openxmlformats.org/officeDocument/2006/relationships/hyperlink" Target="http://www.legislation.gov.uk/ukpga/2010/15/section/27" TargetMode="External"/><Relationship Id="rId77" Type="http://schemas.openxmlformats.org/officeDocument/2006/relationships/hyperlink" Target="https://www.gov.uk/employment-tribunals" TargetMode="External"/><Relationship Id="rId100" Type="http://schemas.openxmlformats.org/officeDocument/2006/relationships/fontTable" Target="fontTable.xml"/><Relationship Id="rId8" Type="http://schemas.openxmlformats.org/officeDocument/2006/relationships/image" Target="media/image4.emf"/><Relationship Id="rId51" Type="http://schemas.openxmlformats.org/officeDocument/2006/relationships/hyperlink" Target="http://www.legislation.gov.uk/uksi/2006/1031/contents/made" TargetMode="External"/><Relationship Id="rId72" Type="http://schemas.openxmlformats.org/officeDocument/2006/relationships/hyperlink" Target="http://www.legislation.gov.uk/ukpga/2010/15/section/7" TargetMode="External"/><Relationship Id="rId80" Type="http://schemas.openxmlformats.org/officeDocument/2006/relationships/hyperlink" Target="http://www.legislation.gov.uk/ukpga/1998/42/contents" TargetMode="External"/><Relationship Id="rId85" Type="http://schemas.openxmlformats.org/officeDocument/2006/relationships/hyperlink" Target="http://www.legislation.gov.uk/uksi/1992/2966/contents/made" TargetMode="External"/><Relationship Id="rId93" Type="http://schemas.openxmlformats.org/officeDocument/2006/relationships/hyperlink" Target="http://www.legislation.gov.uk/ukpga/1996/18/section/141" TargetMode="External"/><Relationship Id="rId98" Type="http://schemas.openxmlformats.org/officeDocument/2006/relationships/hyperlink" Target="https://www.unison.org.uk/model-capability-procedure/" TargetMode="External"/><Relationship Id="rId3" Type="http://schemas.openxmlformats.org/officeDocument/2006/relationships/settings" Target="settings.xml"/><Relationship Id="rId12" Type="http://schemas.openxmlformats.org/officeDocument/2006/relationships/image" Target="media/image8.emf"/><Relationship Id="rId17" Type="http://schemas.openxmlformats.org/officeDocument/2006/relationships/diagramData" Target="diagrams/data1.xml"/><Relationship Id="rId25" Type="http://schemas.openxmlformats.org/officeDocument/2006/relationships/diagramColors" Target="diagrams/colors2.xml"/><Relationship Id="rId33" Type="http://schemas.openxmlformats.org/officeDocument/2006/relationships/hyperlink" Target="http://www.acas.org.uk/index.aspx?articleid=1889" TargetMode="External"/><Relationship Id="rId38" Type="http://schemas.openxmlformats.org/officeDocument/2006/relationships/hyperlink" Target="http://www.acas.org.uk/media/pdf/q/c/Stress-at-work-advisory-booklet.pdf" TargetMode="External"/><Relationship Id="rId46" Type="http://schemas.openxmlformats.org/officeDocument/2006/relationships/hyperlink" Target="https://www.cipd.co.uk/knowledge/fundamentals/emp-law/dismissal/factsheet" TargetMode="External"/><Relationship Id="rId59" Type="http://schemas.openxmlformats.org/officeDocument/2006/relationships/hyperlink" Target="https://www.legislation.gov.uk/ukpga/1996/18/contents" TargetMode="External"/><Relationship Id="rId67" Type="http://schemas.openxmlformats.org/officeDocument/2006/relationships/hyperlink" Target="https://www.legislation.gov.uk/ukpga/2010/15/section/19" TargetMode="External"/><Relationship Id="rId20" Type="http://schemas.openxmlformats.org/officeDocument/2006/relationships/diagramColors" Target="diagrams/colors1.xml"/><Relationship Id="rId41" Type="http://schemas.openxmlformats.org/officeDocument/2006/relationships/hyperlink" Target="https://www.cipd.co.uk/knowledge/fundamentals/emp-law/recruitment/questions" TargetMode="External"/><Relationship Id="rId54" Type="http://schemas.openxmlformats.org/officeDocument/2006/relationships/hyperlink" Target="http://www.legislation.gov.uk/ukpga/1996/18/section/139" TargetMode="External"/><Relationship Id="rId62" Type="http://schemas.openxmlformats.org/officeDocument/2006/relationships/hyperlink" Target="http://www.legislation.gov.uk/ukpga/2010/15/section/10" TargetMode="External"/><Relationship Id="rId70" Type="http://schemas.openxmlformats.org/officeDocument/2006/relationships/hyperlink" Target="http://www.legislation.gov.uk/ukpga/2010/15/section/5" TargetMode="External"/><Relationship Id="rId75" Type="http://schemas.openxmlformats.org/officeDocument/2006/relationships/hyperlink" Target="https://www.legislation.gov.uk/ukpga/2010/15/contents" TargetMode="External"/><Relationship Id="rId83" Type="http://schemas.openxmlformats.org/officeDocument/2006/relationships/hyperlink" Target="http://www.legislation.gov.uk/ukpga/1998/39/contents" TargetMode="External"/><Relationship Id="rId88" Type="http://schemas.openxmlformats.org/officeDocument/2006/relationships/hyperlink" Target="http://www.legislation.gov.uk/ukpga/1976/74/enacted" TargetMode="External"/><Relationship Id="rId91" Type="http://schemas.openxmlformats.org/officeDocument/2006/relationships/hyperlink" Target="https://www.legislation.gov.uk/ukpga/1975/65" TargetMode="External"/><Relationship Id="rId96" Type="http://schemas.openxmlformats.org/officeDocument/2006/relationships/hyperlink" Target="http://www.legislation.gov.uk/uksi/1998/1833/contents/made" TargetMode="External"/><Relationship Id="rId1" Type="http://schemas.openxmlformats.org/officeDocument/2006/relationships/numbering" Target="numbering.xml"/><Relationship Id="rId6" Type="http://schemas.openxmlformats.org/officeDocument/2006/relationships/image" Target="media/image2.emf"/><Relationship Id="rId15" Type="http://schemas.openxmlformats.org/officeDocument/2006/relationships/image" Target="media/image11.emf"/><Relationship Id="rId23" Type="http://schemas.openxmlformats.org/officeDocument/2006/relationships/diagramLayout" Target="diagrams/layout2.xml"/><Relationship Id="rId28" Type="http://schemas.openxmlformats.org/officeDocument/2006/relationships/diagramLayout" Target="diagrams/layout3.xml"/><Relationship Id="rId36" Type="http://schemas.openxmlformats.org/officeDocument/2006/relationships/hyperlink" Target="http://www.legislation.gov.uk/uksi/1999/3312/contents/made" TargetMode="External"/><Relationship Id="rId49" Type="http://schemas.openxmlformats.org/officeDocument/2006/relationships/hyperlink" Target="http://www.legislation.gov.uk/ukpga/1998/29/contents" TargetMode="External"/><Relationship Id="rId57" Type="http://schemas.openxmlformats.org/officeDocument/2006/relationships/hyperlink" Target="https://www.legislation.gov.uk/ukpga/1996/18/section/230" TargetMode="External"/><Relationship Id="rId10" Type="http://schemas.openxmlformats.org/officeDocument/2006/relationships/image" Target="media/image6.emf"/><Relationship Id="rId31" Type="http://schemas.microsoft.com/office/2007/relationships/diagramDrawing" Target="diagrams/drawing3.xml"/><Relationship Id="rId44" Type="http://schemas.openxmlformats.org/officeDocument/2006/relationships/hyperlink" Target="https://www.cipd.co.uk/knowledge/fundamentals/emp-law/tupe/factsheet" TargetMode="External"/><Relationship Id="rId52" Type="http://schemas.openxmlformats.org/officeDocument/2006/relationships/hyperlink" Target="http://www.legislation.gov.uk/uksi/2003/1660/contents/made" TargetMode="External"/><Relationship Id="rId60" Type="http://schemas.openxmlformats.org/officeDocument/2006/relationships/hyperlink" Target="https://www.legislation.gov.uk/ukpga/1996/18/section/28" TargetMode="External"/><Relationship Id="rId65" Type="http://schemas.openxmlformats.org/officeDocument/2006/relationships/hyperlink" Target="https://www.legislation.gov.uk/ukpga/2010/15/section/13" TargetMode="External"/><Relationship Id="rId73" Type="http://schemas.openxmlformats.org/officeDocument/2006/relationships/hyperlink" Target="http://www.legislation.gov.uk/ukpga/2010/15/section/8" TargetMode="External"/><Relationship Id="rId78" Type="http://schemas.openxmlformats.org/officeDocument/2006/relationships/hyperlink" Target="http://www.legislation.gov.uk/uksi/1992/2792/contents/made" TargetMode="External"/><Relationship Id="rId81" Type="http://schemas.openxmlformats.org/officeDocument/2006/relationships/hyperlink" Target="http://www.legislation.gov.uk/uksi/1999/3242/contents/made" TargetMode="External"/><Relationship Id="rId86" Type="http://schemas.openxmlformats.org/officeDocument/2006/relationships/hyperlink" Target="http://www.legislation.gov.uk/ukpga/1997/40/contents" TargetMode="External"/><Relationship Id="rId94" Type="http://schemas.openxmlformats.org/officeDocument/2006/relationships/hyperlink" Target="http://www.legislation.gov.uk/uksi/1999/3312/contents/made" TargetMode="External"/><Relationship Id="rId99" Type="http://schemas.openxmlformats.org/officeDocument/2006/relationships/hyperlink" Target="http://www.legislation.gov.uk/uksi/1992/3004/contents/made" TargetMode="External"/><Relationship Id="rId10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emf"/><Relationship Id="rId13" Type="http://schemas.openxmlformats.org/officeDocument/2006/relationships/image" Target="media/image9.emf"/><Relationship Id="rId18" Type="http://schemas.openxmlformats.org/officeDocument/2006/relationships/diagramLayout" Target="diagrams/layout1.xml"/><Relationship Id="rId39" Type="http://schemas.openxmlformats.org/officeDocument/2006/relationships/hyperlink" Target="https://www.reed.co.uk/career-advice/why-does-employment-law-exist/"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E2C5535-186F-4F52-8C8A-87AB6498410E}" type="doc">
      <dgm:prSet loTypeId="urn:microsoft.com/office/officeart/2005/8/layout/pyramid1" loCatId="pyramid" qsTypeId="urn:microsoft.com/office/officeart/2005/8/quickstyle/simple1" qsCatId="simple" csTypeId="urn:microsoft.com/office/officeart/2005/8/colors/accent1_2" csCatId="accent1" phldr="1"/>
      <dgm:spPr/>
    </dgm:pt>
    <dgm:pt modelId="{969B02D8-5567-4ED2-BEEA-00ADDC18FA47}">
      <dgm:prSet phldrT="[Text]" custT="1"/>
      <dgm:spPr>
        <a:solidFill>
          <a:srgbClr val="FF3131"/>
        </a:solidFill>
      </dgm:spPr>
      <dgm:t>
        <a:bodyPr/>
        <a:lstStyle/>
        <a:p>
          <a:pPr algn="ctr"/>
          <a:r>
            <a:rPr lang="en-US" sz="1800"/>
            <a:t>Supreme Court</a:t>
          </a:r>
        </a:p>
      </dgm:t>
    </dgm:pt>
    <dgm:pt modelId="{96E17A01-E4FC-4B42-952B-536B0616FE1E}" type="parTrans" cxnId="{B995B8C1-39FF-4D09-8C2C-6486FBDC5550}">
      <dgm:prSet/>
      <dgm:spPr/>
      <dgm:t>
        <a:bodyPr/>
        <a:lstStyle/>
        <a:p>
          <a:endParaRPr lang="en-US"/>
        </a:p>
      </dgm:t>
    </dgm:pt>
    <dgm:pt modelId="{DC1C235C-F3A4-4132-B24A-03C04A1FCE25}" type="sibTrans" cxnId="{B995B8C1-39FF-4D09-8C2C-6486FBDC5550}">
      <dgm:prSet/>
      <dgm:spPr/>
      <dgm:t>
        <a:bodyPr/>
        <a:lstStyle/>
        <a:p>
          <a:endParaRPr lang="en-US"/>
        </a:p>
      </dgm:t>
    </dgm:pt>
    <dgm:pt modelId="{BA74DDF2-DA0F-44EC-90EB-7D50D0B3AC92}">
      <dgm:prSet phldrT="[Text]" custT="1"/>
      <dgm:spPr>
        <a:solidFill>
          <a:srgbClr val="FF3131"/>
        </a:solidFill>
      </dgm:spPr>
      <dgm:t>
        <a:bodyPr/>
        <a:lstStyle/>
        <a:p>
          <a:r>
            <a:rPr lang="en-US" sz="1800"/>
            <a:t>Employment Appeal Tribunal</a:t>
          </a:r>
        </a:p>
      </dgm:t>
    </dgm:pt>
    <dgm:pt modelId="{6FDE4DD8-77BF-4287-81E0-1DC94D4C495E}" type="parTrans" cxnId="{B82FAF34-3C4D-44FA-9C28-22D79180A3EC}">
      <dgm:prSet/>
      <dgm:spPr/>
      <dgm:t>
        <a:bodyPr/>
        <a:lstStyle/>
        <a:p>
          <a:endParaRPr lang="en-US"/>
        </a:p>
      </dgm:t>
    </dgm:pt>
    <dgm:pt modelId="{02D6DCBF-A921-4E45-B513-8AF43E2CD84C}" type="sibTrans" cxnId="{B82FAF34-3C4D-44FA-9C28-22D79180A3EC}">
      <dgm:prSet/>
      <dgm:spPr/>
      <dgm:t>
        <a:bodyPr/>
        <a:lstStyle/>
        <a:p>
          <a:endParaRPr lang="en-US"/>
        </a:p>
      </dgm:t>
    </dgm:pt>
    <dgm:pt modelId="{F90AF8D5-E1BD-4238-B75C-276BB2A565D1}">
      <dgm:prSet phldrT="[Text]" custT="1"/>
      <dgm:spPr>
        <a:solidFill>
          <a:srgbClr val="FF3131"/>
        </a:solidFill>
      </dgm:spPr>
      <dgm:t>
        <a:bodyPr/>
        <a:lstStyle/>
        <a:p>
          <a:r>
            <a:rPr lang="en-US" sz="1800"/>
            <a:t>Employment Tribunal</a:t>
          </a:r>
        </a:p>
      </dgm:t>
    </dgm:pt>
    <dgm:pt modelId="{E5CEF8C8-51E6-4EB1-83E7-3ACF2845CDD0}" type="parTrans" cxnId="{C4285821-79C9-453D-8994-A93B5ABD20E2}">
      <dgm:prSet/>
      <dgm:spPr/>
      <dgm:t>
        <a:bodyPr/>
        <a:lstStyle/>
        <a:p>
          <a:endParaRPr lang="en-US"/>
        </a:p>
      </dgm:t>
    </dgm:pt>
    <dgm:pt modelId="{B2A4AC4F-1456-4547-873E-04A34389F75E}" type="sibTrans" cxnId="{C4285821-79C9-453D-8994-A93B5ABD20E2}">
      <dgm:prSet/>
      <dgm:spPr/>
      <dgm:t>
        <a:bodyPr/>
        <a:lstStyle/>
        <a:p>
          <a:endParaRPr lang="en-US"/>
        </a:p>
      </dgm:t>
    </dgm:pt>
    <dgm:pt modelId="{825EBACA-97FF-483E-928F-F738AC54C8E6}">
      <dgm:prSet phldrT="[Text]" custT="1"/>
      <dgm:spPr>
        <a:solidFill>
          <a:srgbClr val="FF3131"/>
        </a:solidFill>
      </dgm:spPr>
      <dgm:t>
        <a:bodyPr/>
        <a:lstStyle/>
        <a:p>
          <a:r>
            <a:rPr lang="en-US" sz="1800"/>
            <a:t>Court of Appeal</a:t>
          </a:r>
        </a:p>
      </dgm:t>
    </dgm:pt>
    <dgm:pt modelId="{8EBF4223-51EB-415C-9195-6483048A6181}" type="parTrans" cxnId="{64552D90-960D-472D-97B5-B7BAB4190643}">
      <dgm:prSet/>
      <dgm:spPr/>
      <dgm:t>
        <a:bodyPr/>
        <a:lstStyle/>
        <a:p>
          <a:endParaRPr lang="en-US"/>
        </a:p>
      </dgm:t>
    </dgm:pt>
    <dgm:pt modelId="{2E2EF307-5899-4908-A603-91B3B7BBD585}" type="sibTrans" cxnId="{64552D90-960D-472D-97B5-B7BAB4190643}">
      <dgm:prSet/>
      <dgm:spPr/>
      <dgm:t>
        <a:bodyPr/>
        <a:lstStyle/>
        <a:p>
          <a:endParaRPr lang="en-US"/>
        </a:p>
      </dgm:t>
    </dgm:pt>
    <dgm:pt modelId="{1049B83D-EE60-45D4-9E31-1B8B6897BCA3}" type="pres">
      <dgm:prSet presAssocID="{7E2C5535-186F-4F52-8C8A-87AB6498410E}" presName="Name0" presStyleCnt="0">
        <dgm:presLayoutVars>
          <dgm:dir/>
          <dgm:animLvl val="lvl"/>
          <dgm:resizeHandles val="exact"/>
        </dgm:presLayoutVars>
      </dgm:prSet>
      <dgm:spPr/>
    </dgm:pt>
    <dgm:pt modelId="{D4ED0E58-3E44-4501-821A-11E690CD9917}" type="pres">
      <dgm:prSet presAssocID="{969B02D8-5567-4ED2-BEEA-00ADDC18FA47}" presName="Name8" presStyleCnt="0"/>
      <dgm:spPr/>
    </dgm:pt>
    <dgm:pt modelId="{8A91FF81-EA74-4967-9958-0D588AE00711}" type="pres">
      <dgm:prSet presAssocID="{969B02D8-5567-4ED2-BEEA-00ADDC18FA47}" presName="level" presStyleLbl="node1" presStyleIdx="0" presStyleCnt="4">
        <dgm:presLayoutVars>
          <dgm:chMax val="1"/>
          <dgm:bulletEnabled val="1"/>
        </dgm:presLayoutVars>
      </dgm:prSet>
      <dgm:spPr/>
      <dgm:t>
        <a:bodyPr/>
        <a:lstStyle/>
        <a:p>
          <a:endParaRPr lang="en-US"/>
        </a:p>
      </dgm:t>
    </dgm:pt>
    <dgm:pt modelId="{CA002202-B63F-4D45-8A33-B5D11CD58602}" type="pres">
      <dgm:prSet presAssocID="{969B02D8-5567-4ED2-BEEA-00ADDC18FA47}" presName="levelTx" presStyleLbl="revTx" presStyleIdx="0" presStyleCnt="0">
        <dgm:presLayoutVars>
          <dgm:chMax val="1"/>
          <dgm:bulletEnabled val="1"/>
        </dgm:presLayoutVars>
      </dgm:prSet>
      <dgm:spPr/>
      <dgm:t>
        <a:bodyPr/>
        <a:lstStyle/>
        <a:p>
          <a:endParaRPr lang="en-US"/>
        </a:p>
      </dgm:t>
    </dgm:pt>
    <dgm:pt modelId="{01446C3A-F6E8-47C6-9007-40BBC28BE935}" type="pres">
      <dgm:prSet presAssocID="{825EBACA-97FF-483E-928F-F738AC54C8E6}" presName="Name8" presStyleCnt="0"/>
      <dgm:spPr/>
    </dgm:pt>
    <dgm:pt modelId="{F7F38D21-E4D5-44F1-96DD-83CD1DEEEB3A}" type="pres">
      <dgm:prSet presAssocID="{825EBACA-97FF-483E-928F-F738AC54C8E6}" presName="level" presStyleLbl="node1" presStyleIdx="1" presStyleCnt="4">
        <dgm:presLayoutVars>
          <dgm:chMax val="1"/>
          <dgm:bulletEnabled val="1"/>
        </dgm:presLayoutVars>
      </dgm:prSet>
      <dgm:spPr/>
      <dgm:t>
        <a:bodyPr/>
        <a:lstStyle/>
        <a:p>
          <a:endParaRPr lang="en-US"/>
        </a:p>
      </dgm:t>
    </dgm:pt>
    <dgm:pt modelId="{06A771DC-6371-486C-ADEA-90DCB3BF3CD1}" type="pres">
      <dgm:prSet presAssocID="{825EBACA-97FF-483E-928F-F738AC54C8E6}" presName="levelTx" presStyleLbl="revTx" presStyleIdx="0" presStyleCnt="0">
        <dgm:presLayoutVars>
          <dgm:chMax val="1"/>
          <dgm:bulletEnabled val="1"/>
        </dgm:presLayoutVars>
      </dgm:prSet>
      <dgm:spPr/>
      <dgm:t>
        <a:bodyPr/>
        <a:lstStyle/>
        <a:p>
          <a:endParaRPr lang="en-US"/>
        </a:p>
      </dgm:t>
    </dgm:pt>
    <dgm:pt modelId="{9D236CAE-6C0B-469A-9047-9B0C756D40FF}" type="pres">
      <dgm:prSet presAssocID="{BA74DDF2-DA0F-44EC-90EB-7D50D0B3AC92}" presName="Name8" presStyleCnt="0"/>
      <dgm:spPr/>
    </dgm:pt>
    <dgm:pt modelId="{751A4AA4-37D2-48C8-9FB3-393F9E10B6B9}" type="pres">
      <dgm:prSet presAssocID="{BA74DDF2-DA0F-44EC-90EB-7D50D0B3AC92}" presName="level" presStyleLbl="node1" presStyleIdx="2" presStyleCnt="4" custLinFactNeighborX="231" custLinFactNeighborY="-1087">
        <dgm:presLayoutVars>
          <dgm:chMax val="1"/>
          <dgm:bulletEnabled val="1"/>
        </dgm:presLayoutVars>
      </dgm:prSet>
      <dgm:spPr/>
      <dgm:t>
        <a:bodyPr/>
        <a:lstStyle/>
        <a:p>
          <a:endParaRPr lang="en-US"/>
        </a:p>
      </dgm:t>
    </dgm:pt>
    <dgm:pt modelId="{3F580B15-2D42-43B8-BB7B-06B4F2611365}" type="pres">
      <dgm:prSet presAssocID="{BA74DDF2-DA0F-44EC-90EB-7D50D0B3AC92}" presName="levelTx" presStyleLbl="revTx" presStyleIdx="0" presStyleCnt="0">
        <dgm:presLayoutVars>
          <dgm:chMax val="1"/>
          <dgm:bulletEnabled val="1"/>
        </dgm:presLayoutVars>
      </dgm:prSet>
      <dgm:spPr/>
      <dgm:t>
        <a:bodyPr/>
        <a:lstStyle/>
        <a:p>
          <a:endParaRPr lang="en-US"/>
        </a:p>
      </dgm:t>
    </dgm:pt>
    <dgm:pt modelId="{A8698DEA-E7C3-42D3-BFAB-B99977F4F2BF}" type="pres">
      <dgm:prSet presAssocID="{F90AF8D5-E1BD-4238-B75C-276BB2A565D1}" presName="Name8" presStyleCnt="0"/>
      <dgm:spPr/>
    </dgm:pt>
    <dgm:pt modelId="{3E41EECA-054F-4E9C-A2FB-60CAA2EFF6D5}" type="pres">
      <dgm:prSet presAssocID="{F90AF8D5-E1BD-4238-B75C-276BB2A565D1}" presName="level" presStyleLbl="node1" presStyleIdx="3" presStyleCnt="4">
        <dgm:presLayoutVars>
          <dgm:chMax val="1"/>
          <dgm:bulletEnabled val="1"/>
        </dgm:presLayoutVars>
      </dgm:prSet>
      <dgm:spPr/>
      <dgm:t>
        <a:bodyPr/>
        <a:lstStyle/>
        <a:p>
          <a:endParaRPr lang="en-US"/>
        </a:p>
      </dgm:t>
    </dgm:pt>
    <dgm:pt modelId="{B0296331-4874-412E-8F23-FCB547B42514}" type="pres">
      <dgm:prSet presAssocID="{F90AF8D5-E1BD-4238-B75C-276BB2A565D1}" presName="levelTx" presStyleLbl="revTx" presStyleIdx="0" presStyleCnt="0">
        <dgm:presLayoutVars>
          <dgm:chMax val="1"/>
          <dgm:bulletEnabled val="1"/>
        </dgm:presLayoutVars>
      </dgm:prSet>
      <dgm:spPr/>
      <dgm:t>
        <a:bodyPr/>
        <a:lstStyle/>
        <a:p>
          <a:endParaRPr lang="en-US"/>
        </a:p>
      </dgm:t>
    </dgm:pt>
  </dgm:ptLst>
  <dgm:cxnLst>
    <dgm:cxn modelId="{465513D7-05AE-45D1-8397-EE98D9064E15}" type="presOf" srcId="{825EBACA-97FF-483E-928F-F738AC54C8E6}" destId="{06A771DC-6371-486C-ADEA-90DCB3BF3CD1}" srcOrd="1" destOrd="0" presId="urn:microsoft.com/office/officeart/2005/8/layout/pyramid1"/>
    <dgm:cxn modelId="{D3C19FF9-7C7B-48FC-94FE-96DAC57DB051}" type="presOf" srcId="{F90AF8D5-E1BD-4238-B75C-276BB2A565D1}" destId="{3E41EECA-054F-4E9C-A2FB-60CAA2EFF6D5}" srcOrd="0" destOrd="0" presId="urn:microsoft.com/office/officeart/2005/8/layout/pyramid1"/>
    <dgm:cxn modelId="{25F0D5C4-28E0-4C2E-A8C1-44AC76AA80BB}" type="presOf" srcId="{F90AF8D5-E1BD-4238-B75C-276BB2A565D1}" destId="{B0296331-4874-412E-8F23-FCB547B42514}" srcOrd="1" destOrd="0" presId="urn:microsoft.com/office/officeart/2005/8/layout/pyramid1"/>
    <dgm:cxn modelId="{63056249-D295-4021-AA6C-6169D49EE649}" type="presOf" srcId="{7E2C5535-186F-4F52-8C8A-87AB6498410E}" destId="{1049B83D-EE60-45D4-9E31-1B8B6897BCA3}" srcOrd="0" destOrd="0" presId="urn:microsoft.com/office/officeart/2005/8/layout/pyramid1"/>
    <dgm:cxn modelId="{56AD0E4C-E68E-44AC-ADAA-87981724C05A}" type="presOf" srcId="{BA74DDF2-DA0F-44EC-90EB-7D50D0B3AC92}" destId="{3F580B15-2D42-43B8-BB7B-06B4F2611365}" srcOrd="1" destOrd="0" presId="urn:microsoft.com/office/officeart/2005/8/layout/pyramid1"/>
    <dgm:cxn modelId="{B82FAF34-3C4D-44FA-9C28-22D79180A3EC}" srcId="{7E2C5535-186F-4F52-8C8A-87AB6498410E}" destId="{BA74DDF2-DA0F-44EC-90EB-7D50D0B3AC92}" srcOrd="2" destOrd="0" parTransId="{6FDE4DD8-77BF-4287-81E0-1DC94D4C495E}" sibTransId="{02D6DCBF-A921-4E45-B513-8AF43E2CD84C}"/>
    <dgm:cxn modelId="{B995B8C1-39FF-4D09-8C2C-6486FBDC5550}" srcId="{7E2C5535-186F-4F52-8C8A-87AB6498410E}" destId="{969B02D8-5567-4ED2-BEEA-00ADDC18FA47}" srcOrd="0" destOrd="0" parTransId="{96E17A01-E4FC-4B42-952B-536B0616FE1E}" sibTransId="{DC1C235C-F3A4-4132-B24A-03C04A1FCE25}"/>
    <dgm:cxn modelId="{A70D18E9-0FB8-4B49-BDC7-8796F91A306A}" type="presOf" srcId="{825EBACA-97FF-483E-928F-F738AC54C8E6}" destId="{F7F38D21-E4D5-44F1-96DD-83CD1DEEEB3A}" srcOrd="0" destOrd="0" presId="urn:microsoft.com/office/officeart/2005/8/layout/pyramid1"/>
    <dgm:cxn modelId="{49D68F22-84ED-460F-A6A5-83FA36D2BEAD}" type="presOf" srcId="{969B02D8-5567-4ED2-BEEA-00ADDC18FA47}" destId="{CA002202-B63F-4D45-8A33-B5D11CD58602}" srcOrd="1" destOrd="0" presId="urn:microsoft.com/office/officeart/2005/8/layout/pyramid1"/>
    <dgm:cxn modelId="{64552D90-960D-472D-97B5-B7BAB4190643}" srcId="{7E2C5535-186F-4F52-8C8A-87AB6498410E}" destId="{825EBACA-97FF-483E-928F-F738AC54C8E6}" srcOrd="1" destOrd="0" parTransId="{8EBF4223-51EB-415C-9195-6483048A6181}" sibTransId="{2E2EF307-5899-4908-A603-91B3B7BBD585}"/>
    <dgm:cxn modelId="{E099AAA9-2C6A-49B2-9D23-DB342C974731}" type="presOf" srcId="{BA74DDF2-DA0F-44EC-90EB-7D50D0B3AC92}" destId="{751A4AA4-37D2-48C8-9FB3-393F9E10B6B9}" srcOrd="0" destOrd="0" presId="urn:microsoft.com/office/officeart/2005/8/layout/pyramid1"/>
    <dgm:cxn modelId="{2ECEDEE4-3C1D-4166-A8BB-BC5A90953CAA}" type="presOf" srcId="{969B02D8-5567-4ED2-BEEA-00ADDC18FA47}" destId="{8A91FF81-EA74-4967-9958-0D588AE00711}" srcOrd="0" destOrd="0" presId="urn:microsoft.com/office/officeart/2005/8/layout/pyramid1"/>
    <dgm:cxn modelId="{C4285821-79C9-453D-8994-A93B5ABD20E2}" srcId="{7E2C5535-186F-4F52-8C8A-87AB6498410E}" destId="{F90AF8D5-E1BD-4238-B75C-276BB2A565D1}" srcOrd="3" destOrd="0" parTransId="{E5CEF8C8-51E6-4EB1-83E7-3ACF2845CDD0}" sibTransId="{B2A4AC4F-1456-4547-873E-04A34389F75E}"/>
    <dgm:cxn modelId="{D9E363A9-3E5F-4807-92EF-59FA1A3D3751}" type="presParOf" srcId="{1049B83D-EE60-45D4-9E31-1B8B6897BCA3}" destId="{D4ED0E58-3E44-4501-821A-11E690CD9917}" srcOrd="0" destOrd="0" presId="urn:microsoft.com/office/officeart/2005/8/layout/pyramid1"/>
    <dgm:cxn modelId="{47FB5C0F-B0E1-4FB1-9A26-8674B50B1BB6}" type="presParOf" srcId="{D4ED0E58-3E44-4501-821A-11E690CD9917}" destId="{8A91FF81-EA74-4967-9958-0D588AE00711}" srcOrd="0" destOrd="0" presId="urn:microsoft.com/office/officeart/2005/8/layout/pyramid1"/>
    <dgm:cxn modelId="{CB67B333-7B32-43EB-B997-92F15499B542}" type="presParOf" srcId="{D4ED0E58-3E44-4501-821A-11E690CD9917}" destId="{CA002202-B63F-4D45-8A33-B5D11CD58602}" srcOrd="1" destOrd="0" presId="urn:microsoft.com/office/officeart/2005/8/layout/pyramid1"/>
    <dgm:cxn modelId="{7B4922EC-8AFE-4A4E-A7E1-3A60FB3F59DB}" type="presParOf" srcId="{1049B83D-EE60-45D4-9E31-1B8B6897BCA3}" destId="{01446C3A-F6E8-47C6-9007-40BBC28BE935}" srcOrd="1" destOrd="0" presId="urn:microsoft.com/office/officeart/2005/8/layout/pyramid1"/>
    <dgm:cxn modelId="{231E2759-9172-4F9F-82EC-4E0BB5516A43}" type="presParOf" srcId="{01446C3A-F6E8-47C6-9007-40BBC28BE935}" destId="{F7F38D21-E4D5-44F1-96DD-83CD1DEEEB3A}" srcOrd="0" destOrd="0" presId="urn:microsoft.com/office/officeart/2005/8/layout/pyramid1"/>
    <dgm:cxn modelId="{25B395A8-3614-41A0-BA23-55A9256C8BD6}" type="presParOf" srcId="{01446C3A-F6E8-47C6-9007-40BBC28BE935}" destId="{06A771DC-6371-486C-ADEA-90DCB3BF3CD1}" srcOrd="1" destOrd="0" presId="urn:microsoft.com/office/officeart/2005/8/layout/pyramid1"/>
    <dgm:cxn modelId="{3C5793C2-3017-474F-8816-44DD285D73B9}" type="presParOf" srcId="{1049B83D-EE60-45D4-9E31-1B8B6897BCA3}" destId="{9D236CAE-6C0B-469A-9047-9B0C756D40FF}" srcOrd="2" destOrd="0" presId="urn:microsoft.com/office/officeart/2005/8/layout/pyramid1"/>
    <dgm:cxn modelId="{4280C868-A699-4BC9-A073-EBA757C72F8E}" type="presParOf" srcId="{9D236CAE-6C0B-469A-9047-9B0C756D40FF}" destId="{751A4AA4-37D2-48C8-9FB3-393F9E10B6B9}" srcOrd="0" destOrd="0" presId="urn:microsoft.com/office/officeart/2005/8/layout/pyramid1"/>
    <dgm:cxn modelId="{4DCCEB59-A54D-4FE9-AFE3-C0DC817B07A7}" type="presParOf" srcId="{9D236CAE-6C0B-469A-9047-9B0C756D40FF}" destId="{3F580B15-2D42-43B8-BB7B-06B4F2611365}" srcOrd="1" destOrd="0" presId="urn:microsoft.com/office/officeart/2005/8/layout/pyramid1"/>
    <dgm:cxn modelId="{939A458F-F393-45ED-940D-A1255831E0CA}" type="presParOf" srcId="{1049B83D-EE60-45D4-9E31-1B8B6897BCA3}" destId="{A8698DEA-E7C3-42D3-BFAB-B99977F4F2BF}" srcOrd="3" destOrd="0" presId="urn:microsoft.com/office/officeart/2005/8/layout/pyramid1"/>
    <dgm:cxn modelId="{0E319A01-06C4-4F12-BD94-560295748A90}" type="presParOf" srcId="{A8698DEA-E7C3-42D3-BFAB-B99977F4F2BF}" destId="{3E41EECA-054F-4E9C-A2FB-60CAA2EFF6D5}" srcOrd="0" destOrd="0" presId="urn:microsoft.com/office/officeart/2005/8/layout/pyramid1"/>
    <dgm:cxn modelId="{6E19074D-BC6D-43CF-8B96-145E6B3FA50A}" type="presParOf" srcId="{A8698DEA-E7C3-42D3-BFAB-B99977F4F2BF}" destId="{B0296331-4874-412E-8F23-FCB547B42514}" srcOrd="1" destOrd="0" presId="urn:microsoft.com/office/officeart/2005/8/layout/pyramid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972DAAD-A5A1-4610-B7BB-BC9E3578C7F1}" type="doc">
      <dgm:prSet loTypeId="urn:microsoft.com/office/officeart/2005/8/layout/radial5" loCatId="cycle" qsTypeId="urn:microsoft.com/office/officeart/2005/8/quickstyle/simple1" qsCatId="simple" csTypeId="urn:microsoft.com/office/officeart/2005/8/colors/accent1_2" csCatId="accent1" phldr="1"/>
      <dgm:spPr/>
      <dgm:t>
        <a:bodyPr/>
        <a:lstStyle/>
        <a:p>
          <a:endParaRPr lang="en-GB"/>
        </a:p>
      </dgm:t>
    </dgm:pt>
    <dgm:pt modelId="{CA16D4E9-E0E9-4A68-8E45-82606D9D391B}">
      <dgm:prSet phldrT="[Text]"/>
      <dgm:spPr/>
      <dgm:t>
        <a:bodyPr/>
        <a:lstStyle/>
        <a:p>
          <a:r>
            <a:rPr lang="en-GB"/>
            <a:t>Fair dismissal S98 ERA 1996</a:t>
          </a:r>
        </a:p>
      </dgm:t>
    </dgm:pt>
    <dgm:pt modelId="{D505E86F-1650-4E8F-B27C-A5FF913E9C2C}" type="parTrans" cxnId="{5A650C7B-3A8F-4208-8FF0-2F98E61077FD}">
      <dgm:prSet/>
      <dgm:spPr/>
      <dgm:t>
        <a:bodyPr/>
        <a:lstStyle/>
        <a:p>
          <a:endParaRPr lang="en-GB"/>
        </a:p>
      </dgm:t>
    </dgm:pt>
    <dgm:pt modelId="{B1A4CAEF-06FA-4D7A-8205-33C8C19CAEFD}" type="sibTrans" cxnId="{5A650C7B-3A8F-4208-8FF0-2F98E61077FD}">
      <dgm:prSet/>
      <dgm:spPr/>
      <dgm:t>
        <a:bodyPr/>
        <a:lstStyle/>
        <a:p>
          <a:endParaRPr lang="en-GB"/>
        </a:p>
      </dgm:t>
    </dgm:pt>
    <dgm:pt modelId="{7997D923-3B94-48BC-A381-CA481372F224}">
      <dgm:prSet phldrT="[Text]"/>
      <dgm:spPr/>
      <dgm:t>
        <a:bodyPr/>
        <a:lstStyle/>
        <a:p>
          <a:r>
            <a:rPr lang="en-GB"/>
            <a:t>Conduct</a:t>
          </a:r>
        </a:p>
      </dgm:t>
    </dgm:pt>
    <dgm:pt modelId="{15F330EB-19BE-48F9-A045-AF99E70B3BB6}" type="parTrans" cxnId="{A8707E51-7A86-4C63-AD4E-DCCFE8495A81}">
      <dgm:prSet/>
      <dgm:spPr/>
      <dgm:t>
        <a:bodyPr/>
        <a:lstStyle/>
        <a:p>
          <a:endParaRPr lang="en-GB"/>
        </a:p>
      </dgm:t>
    </dgm:pt>
    <dgm:pt modelId="{6930F934-8685-4105-89FA-536A949E1AB4}" type="sibTrans" cxnId="{A8707E51-7A86-4C63-AD4E-DCCFE8495A81}">
      <dgm:prSet/>
      <dgm:spPr/>
      <dgm:t>
        <a:bodyPr/>
        <a:lstStyle/>
        <a:p>
          <a:endParaRPr lang="en-GB"/>
        </a:p>
      </dgm:t>
    </dgm:pt>
    <dgm:pt modelId="{99EEAEB0-28E7-46C7-AC48-D3E14629C873}">
      <dgm:prSet phldrT="[Text]"/>
      <dgm:spPr/>
      <dgm:t>
        <a:bodyPr/>
        <a:lstStyle/>
        <a:p>
          <a:r>
            <a:rPr lang="en-GB"/>
            <a:t>Redundancy </a:t>
          </a:r>
        </a:p>
      </dgm:t>
    </dgm:pt>
    <dgm:pt modelId="{DEA2A161-4AB1-4A57-ADA2-B313D25B1467}" type="parTrans" cxnId="{0FFF89E7-8298-440D-AFAA-02A8F322F499}">
      <dgm:prSet/>
      <dgm:spPr/>
      <dgm:t>
        <a:bodyPr/>
        <a:lstStyle/>
        <a:p>
          <a:endParaRPr lang="en-GB"/>
        </a:p>
      </dgm:t>
    </dgm:pt>
    <dgm:pt modelId="{10002C9F-075F-44C7-A719-36A5DA534677}" type="sibTrans" cxnId="{0FFF89E7-8298-440D-AFAA-02A8F322F499}">
      <dgm:prSet/>
      <dgm:spPr/>
      <dgm:t>
        <a:bodyPr/>
        <a:lstStyle/>
        <a:p>
          <a:endParaRPr lang="en-GB"/>
        </a:p>
      </dgm:t>
    </dgm:pt>
    <dgm:pt modelId="{6AEA1C30-B69A-4137-A43B-48B75839AEC9}">
      <dgm:prSet phldrT="[Text]"/>
      <dgm:spPr/>
      <dgm:t>
        <a:bodyPr/>
        <a:lstStyle/>
        <a:p>
          <a:r>
            <a:rPr lang="en-GB"/>
            <a:t>Statutory Ban</a:t>
          </a:r>
        </a:p>
      </dgm:t>
    </dgm:pt>
    <dgm:pt modelId="{A5DDECC8-A4EB-498A-8552-3750D4C87315}" type="parTrans" cxnId="{498BACBA-1AA1-4776-B869-E9FDBBB2E625}">
      <dgm:prSet/>
      <dgm:spPr/>
      <dgm:t>
        <a:bodyPr/>
        <a:lstStyle/>
        <a:p>
          <a:endParaRPr lang="en-GB"/>
        </a:p>
      </dgm:t>
    </dgm:pt>
    <dgm:pt modelId="{0A49BBD8-026C-4DBC-9C14-E2C34C149EB8}" type="sibTrans" cxnId="{498BACBA-1AA1-4776-B869-E9FDBBB2E625}">
      <dgm:prSet/>
      <dgm:spPr/>
      <dgm:t>
        <a:bodyPr/>
        <a:lstStyle/>
        <a:p>
          <a:endParaRPr lang="en-GB"/>
        </a:p>
      </dgm:t>
    </dgm:pt>
    <dgm:pt modelId="{17E2F433-A50E-4C85-9C99-D57308AA9CA2}">
      <dgm:prSet phldrT="[Text]"/>
      <dgm:spPr/>
      <dgm:t>
        <a:bodyPr/>
        <a:lstStyle/>
        <a:p>
          <a:r>
            <a:rPr lang="en-GB"/>
            <a:t>Some other substantial reason (SOSR)</a:t>
          </a:r>
        </a:p>
      </dgm:t>
    </dgm:pt>
    <dgm:pt modelId="{DC0E4966-E0E4-43DF-8C13-C796375F2E2E}" type="parTrans" cxnId="{76479DCC-C447-42D4-8E88-A7BAB2722204}">
      <dgm:prSet/>
      <dgm:spPr/>
      <dgm:t>
        <a:bodyPr/>
        <a:lstStyle/>
        <a:p>
          <a:endParaRPr lang="en-GB"/>
        </a:p>
      </dgm:t>
    </dgm:pt>
    <dgm:pt modelId="{36A26EC3-D4C5-477B-8C69-6A9B4761F5A1}" type="sibTrans" cxnId="{76479DCC-C447-42D4-8E88-A7BAB2722204}">
      <dgm:prSet/>
      <dgm:spPr/>
      <dgm:t>
        <a:bodyPr/>
        <a:lstStyle/>
        <a:p>
          <a:endParaRPr lang="en-GB"/>
        </a:p>
      </dgm:t>
    </dgm:pt>
    <dgm:pt modelId="{449E0954-C205-4862-8684-107EA10DCE40}">
      <dgm:prSet phldrT="[Text]"/>
      <dgm:spPr/>
      <dgm:t>
        <a:bodyPr/>
        <a:lstStyle/>
        <a:p>
          <a:r>
            <a:rPr lang="en-GB"/>
            <a:t>Capability or qualifications</a:t>
          </a:r>
        </a:p>
      </dgm:t>
    </dgm:pt>
    <dgm:pt modelId="{6EA9B8B2-AACE-44B6-9FA2-1B03919CED94}" type="parTrans" cxnId="{30E2354D-56AE-426A-A53B-CAD10148099D}">
      <dgm:prSet/>
      <dgm:spPr/>
      <dgm:t>
        <a:bodyPr/>
        <a:lstStyle/>
        <a:p>
          <a:endParaRPr lang="en-GB"/>
        </a:p>
      </dgm:t>
    </dgm:pt>
    <dgm:pt modelId="{6D5E9772-2F87-4436-9C3C-0CB4EAA251C0}" type="sibTrans" cxnId="{30E2354D-56AE-426A-A53B-CAD10148099D}">
      <dgm:prSet/>
      <dgm:spPr/>
      <dgm:t>
        <a:bodyPr/>
        <a:lstStyle/>
        <a:p>
          <a:endParaRPr lang="en-GB"/>
        </a:p>
      </dgm:t>
    </dgm:pt>
    <dgm:pt modelId="{0C229E25-5F13-44A0-8692-065B317D87CF}" type="pres">
      <dgm:prSet presAssocID="{C972DAAD-A5A1-4610-B7BB-BC9E3578C7F1}" presName="Name0" presStyleCnt="0">
        <dgm:presLayoutVars>
          <dgm:chMax val="1"/>
          <dgm:dir/>
          <dgm:animLvl val="ctr"/>
          <dgm:resizeHandles val="exact"/>
        </dgm:presLayoutVars>
      </dgm:prSet>
      <dgm:spPr/>
      <dgm:t>
        <a:bodyPr/>
        <a:lstStyle/>
        <a:p>
          <a:endParaRPr lang="en-US"/>
        </a:p>
      </dgm:t>
    </dgm:pt>
    <dgm:pt modelId="{228C1FCE-30D3-4644-8625-F8CD5FE58513}" type="pres">
      <dgm:prSet presAssocID="{CA16D4E9-E0E9-4A68-8E45-82606D9D391B}" presName="centerShape" presStyleLbl="node0" presStyleIdx="0" presStyleCnt="1"/>
      <dgm:spPr/>
      <dgm:t>
        <a:bodyPr/>
        <a:lstStyle/>
        <a:p>
          <a:endParaRPr lang="en-US"/>
        </a:p>
      </dgm:t>
    </dgm:pt>
    <dgm:pt modelId="{8136CD05-CC0A-4611-9CCB-B46F319AE22D}" type="pres">
      <dgm:prSet presAssocID="{15F330EB-19BE-48F9-A045-AF99E70B3BB6}" presName="parTrans" presStyleLbl="sibTrans2D1" presStyleIdx="0" presStyleCnt="5"/>
      <dgm:spPr/>
      <dgm:t>
        <a:bodyPr/>
        <a:lstStyle/>
        <a:p>
          <a:endParaRPr lang="en-US"/>
        </a:p>
      </dgm:t>
    </dgm:pt>
    <dgm:pt modelId="{653155CC-0FD5-4152-892D-9E7B8AF66DEA}" type="pres">
      <dgm:prSet presAssocID="{15F330EB-19BE-48F9-A045-AF99E70B3BB6}" presName="connectorText" presStyleLbl="sibTrans2D1" presStyleIdx="0" presStyleCnt="5"/>
      <dgm:spPr/>
      <dgm:t>
        <a:bodyPr/>
        <a:lstStyle/>
        <a:p>
          <a:endParaRPr lang="en-US"/>
        </a:p>
      </dgm:t>
    </dgm:pt>
    <dgm:pt modelId="{A9C0D716-2F03-4D41-BE81-D445AC1E9689}" type="pres">
      <dgm:prSet presAssocID="{7997D923-3B94-48BC-A381-CA481372F224}" presName="node" presStyleLbl="node1" presStyleIdx="0" presStyleCnt="5">
        <dgm:presLayoutVars>
          <dgm:bulletEnabled val="1"/>
        </dgm:presLayoutVars>
      </dgm:prSet>
      <dgm:spPr/>
      <dgm:t>
        <a:bodyPr/>
        <a:lstStyle/>
        <a:p>
          <a:endParaRPr lang="en-US"/>
        </a:p>
      </dgm:t>
    </dgm:pt>
    <dgm:pt modelId="{4EA72358-E50A-4637-9AB1-DBCC3853A289}" type="pres">
      <dgm:prSet presAssocID="{DEA2A161-4AB1-4A57-ADA2-B313D25B1467}" presName="parTrans" presStyleLbl="sibTrans2D1" presStyleIdx="1" presStyleCnt="5"/>
      <dgm:spPr/>
      <dgm:t>
        <a:bodyPr/>
        <a:lstStyle/>
        <a:p>
          <a:endParaRPr lang="en-US"/>
        </a:p>
      </dgm:t>
    </dgm:pt>
    <dgm:pt modelId="{0A1511AC-45CC-4425-BDAA-A77412B094CA}" type="pres">
      <dgm:prSet presAssocID="{DEA2A161-4AB1-4A57-ADA2-B313D25B1467}" presName="connectorText" presStyleLbl="sibTrans2D1" presStyleIdx="1" presStyleCnt="5"/>
      <dgm:spPr/>
      <dgm:t>
        <a:bodyPr/>
        <a:lstStyle/>
        <a:p>
          <a:endParaRPr lang="en-US"/>
        </a:p>
      </dgm:t>
    </dgm:pt>
    <dgm:pt modelId="{0F74C779-D58C-4AA2-97F9-BE132B149795}" type="pres">
      <dgm:prSet presAssocID="{99EEAEB0-28E7-46C7-AC48-D3E14629C873}" presName="node" presStyleLbl="node1" presStyleIdx="1" presStyleCnt="5">
        <dgm:presLayoutVars>
          <dgm:bulletEnabled val="1"/>
        </dgm:presLayoutVars>
      </dgm:prSet>
      <dgm:spPr/>
      <dgm:t>
        <a:bodyPr/>
        <a:lstStyle/>
        <a:p>
          <a:endParaRPr lang="en-US"/>
        </a:p>
      </dgm:t>
    </dgm:pt>
    <dgm:pt modelId="{3D600667-06E5-45A7-A05E-AB45EC80BCB6}" type="pres">
      <dgm:prSet presAssocID="{A5DDECC8-A4EB-498A-8552-3750D4C87315}" presName="parTrans" presStyleLbl="sibTrans2D1" presStyleIdx="2" presStyleCnt="5"/>
      <dgm:spPr/>
      <dgm:t>
        <a:bodyPr/>
        <a:lstStyle/>
        <a:p>
          <a:endParaRPr lang="en-US"/>
        </a:p>
      </dgm:t>
    </dgm:pt>
    <dgm:pt modelId="{9C4ABBD2-BFD6-45BA-B5B5-3A83330B2412}" type="pres">
      <dgm:prSet presAssocID="{A5DDECC8-A4EB-498A-8552-3750D4C87315}" presName="connectorText" presStyleLbl="sibTrans2D1" presStyleIdx="2" presStyleCnt="5"/>
      <dgm:spPr/>
      <dgm:t>
        <a:bodyPr/>
        <a:lstStyle/>
        <a:p>
          <a:endParaRPr lang="en-US"/>
        </a:p>
      </dgm:t>
    </dgm:pt>
    <dgm:pt modelId="{5A6EC4D5-3F82-498A-AE70-08371EB6DBC0}" type="pres">
      <dgm:prSet presAssocID="{6AEA1C30-B69A-4137-A43B-48B75839AEC9}" presName="node" presStyleLbl="node1" presStyleIdx="2" presStyleCnt="5">
        <dgm:presLayoutVars>
          <dgm:bulletEnabled val="1"/>
        </dgm:presLayoutVars>
      </dgm:prSet>
      <dgm:spPr/>
      <dgm:t>
        <a:bodyPr/>
        <a:lstStyle/>
        <a:p>
          <a:endParaRPr lang="en-US"/>
        </a:p>
      </dgm:t>
    </dgm:pt>
    <dgm:pt modelId="{80BD40DB-48B4-4C0B-8BD1-CE8F6D6F22AD}" type="pres">
      <dgm:prSet presAssocID="{DC0E4966-E0E4-43DF-8C13-C796375F2E2E}" presName="parTrans" presStyleLbl="sibTrans2D1" presStyleIdx="3" presStyleCnt="5"/>
      <dgm:spPr/>
      <dgm:t>
        <a:bodyPr/>
        <a:lstStyle/>
        <a:p>
          <a:endParaRPr lang="en-US"/>
        </a:p>
      </dgm:t>
    </dgm:pt>
    <dgm:pt modelId="{C1952D1F-1AD0-483B-84AA-A53E923F057C}" type="pres">
      <dgm:prSet presAssocID="{DC0E4966-E0E4-43DF-8C13-C796375F2E2E}" presName="connectorText" presStyleLbl="sibTrans2D1" presStyleIdx="3" presStyleCnt="5"/>
      <dgm:spPr/>
      <dgm:t>
        <a:bodyPr/>
        <a:lstStyle/>
        <a:p>
          <a:endParaRPr lang="en-US"/>
        </a:p>
      </dgm:t>
    </dgm:pt>
    <dgm:pt modelId="{F18CAB5B-F840-491C-A14F-B20B91CBD097}" type="pres">
      <dgm:prSet presAssocID="{17E2F433-A50E-4C85-9C99-D57308AA9CA2}" presName="node" presStyleLbl="node1" presStyleIdx="3" presStyleCnt="5">
        <dgm:presLayoutVars>
          <dgm:bulletEnabled val="1"/>
        </dgm:presLayoutVars>
      </dgm:prSet>
      <dgm:spPr/>
      <dgm:t>
        <a:bodyPr/>
        <a:lstStyle/>
        <a:p>
          <a:endParaRPr lang="en-US"/>
        </a:p>
      </dgm:t>
    </dgm:pt>
    <dgm:pt modelId="{B7AF229D-9B52-41A1-B8FF-C15475D4982F}" type="pres">
      <dgm:prSet presAssocID="{6EA9B8B2-AACE-44B6-9FA2-1B03919CED94}" presName="parTrans" presStyleLbl="sibTrans2D1" presStyleIdx="4" presStyleCnt="5"/>
      <dgm:spPr/>
      <dgm:t>
        <a:bodyPr/>
        <a:lstStyle/>
        <a:p>
          <a:endParaRPr lang="en-US"/>
        </a:p>
      </dgm:t>
    </dgm:pt>
    <dgm:pt modelId="{59BFC3CB-D329-4BEC-A04A-EB4079FC7922}" type="pres">
      <dgm:prSet presAssocID="{6EA9B8B2-AACE-44B6-9FA2-1B03919CED94}" presName="connectorText" presStyleLbl="sibTrans2D1" presStyleIdx="4" presStyleCnt="5"/>
      <dgm:spPr/>
      <dgm:t>
        <a:bodyPr/>
        <a:lstStyle/>
        <a:p>
          <a:endParaRPr lang="en-US"/>
        </a:p>
      </dgm:t>
    </dgm:pt>
    <dgm:pt modelId="{9DA5487E-E9E8-4AF8-99A6-6694C06CCA82}" type="pres">
      <dgm:prSet presAssocID="{449E0954-C205-4862-8684-107EA10DCE40}" presName="node" presStyleLbl="node1" presStyleIdx="4" presStyleCnt="5">
        <dgm:presLayoutVars>
          <dgm:bulletEnabled val="1"/>
        </dgm:presLayoutVars>
      </dgm:prSet>
      <dgm:spPr/>
      <dgm:t>
        <a:bodyPr/>
        <a:lstStyle/>
        <a:p>
          <a:endParaRPr lang="en-US"/>
        </a:p>
      </dgm:t>
    </dgm:pt>
  </dgm:ptLst>
  <dgm:cxnLst>
    <dgm:cxn modelId="{9CA61A42-640D-4A15-8731-2D960846EB69}" type="presOf" srcId="{15F330EB-19BE-48F9-A045-AF99E70B3BB6}" destId="{653155CC-0FD5-4152-892D-9E7B8AF66DEA}" srcOrd="1" destOrd="0" presId="urn:microsoft.com/office/officeart/2005/8/layout/radial5"/>
    <dgm:cxn modelId="{BD7D3F5B-4B49-4EFA-AC87-7CEB595A730A}" type="presOf" srcId="{DC0E4966-E0E4-43DF-8C13-C796375F2E2E}" destId="{C1952D1F-1AD0-483B-84AA-A53E923F057C}" srcOrd="1" destOrd="0" presId="urn:microsoft.com/office/officeart/2005/8/layout/radial5"/>
    <dgm:cxn modelId="{5A650C7B-3A8F-4208-8FF0-2F98E61077FD}" srcId="{C972DAAD-A5A1-4610-B7BB-BC9E3578C7F1}" destId="{CA16D4E9-E0E9-4A68-8E45-82606D9D391B}" srcOrd="0" destOrd="0" parTransId="{D505E86F-1650-4E8F-B27C-A5FF913E9C2C}" sibTransId="{B1A4CAEF-06FA-4D7A-8205-33C8C19CAEFD}"/>
    <dgm:cxn modelId="{96E95975-714E-460C-B790-32E891666ECC}" type="presOf" srcId="{A5DDECC8-A4EB-498A-8552-3750D4C87315}" destId="{9C4ABBD2-BFD6-45BA-B5B5-3A83330B2412}" srcOrd="1" destOrd="0" presId="urn:microsoft.com/office/officeart/2005/8/layout/radial5"/>
    <dgm:cxn modelId="{09786289-51C3-4977-A9B5-7CA0478047CC}" type="presOf" srcId="{7997D923-3B94-48BC-A381-CA481372F224}" destId="{A9C0D716-2F03-4D41-BE81-D445AC1E9689}" srcOrd="0" destOrd="0" presId="urn:microsoft.com/office/officeart/2005/8/layout/radial5"/>
    <dgm:cxn modelId="{624210A4-C307-4645-BE70-1B61EBD4423B}" type="presOf" srcId="{15F330EB-19BE-48F9-A045-AF99E70B3BB6}" destId="{8136CD05-CC0A-4611-9CCB-B46F319AE22D}" srcOrd="0" destOrd="0" presId="urn:microsoft.com/office/officeart/2005/8/layout/radial5"/>
    <dgm:cxn modelId="{FF428408-CD7F-4BCE-9578-C348DF337BC5}" type="presOf" srcId="{6EA9B8B2-AACE-44B6-9FA2-1B03919CED94}" destId="{B7AF229D-9B52-41A1-B8FF-C15475D4982F}" srcOrd="0" destOrd="0" presId="urn:microsoft.com/office/officeart/2005/8/layout/radial5"/>
    <dgm:cxn modelId="{6BB5AEB7-2E8D-4ED7-8517-6BED412FEB85}" type="presOf" srcId="{449E0954-C205-4862-8684-107EA10DCE40}" destId="{9DA5487E-E9E8-4AF8-99A6-6694C06CCA82}" srcOrd="0" destOrd="0" presId="urn:microsoft.com/office/officeart/2005/8/layout/radial5"/>
    <dgm:cxn modelId="{9D71F192-642B-46C0-A2DE-5A55DFA2C660}" type="presOf" srcId="{99EEAEB0-28E7-46C7-AC48-D3E14629C873}" destId="{0F74C779-D58C-4AA2-97F9-BE132B149795}" srcOrd="0" destOrd="0" presId="urn:microsoft.com/office/officeart/2005/8/layout/radial5"/>
    <dgm:cxn modelId="{A8707E51-7A86-4C63-AD4E-DCCFE8495A81}" srcId="{CA16D4E9-E0E9-4A68-8E45-82606D9D391B}" destId="{7997D923-3B94-48BC-A381-CA481372F224}" srcOrd="0" destOrd="0" parTransId="{15F330EB-19BE-48F9-A045-AF99E70B3BB6}" sibTransId="{6930F934-8685-4105-89FA-536A949E1AB4}"/>
    <dgm:cxn modelId="{3B53EA66-60F6-41FA-BB8C-9ABD548FD223}" type="presOf" srcId="{CA16D4E9-E0E9-4A68-8E45-82606D9D391B}" destId="{228C1FCE-30D3-4644-8625-F8CD5FE58513}" srcOrd="0" destOrd="0" presId="urn:microsoft.com/office/officeart/2005/8/layout/radial5"/>
    <dgm:cxn modelId="{17D1796D-EDCD-4BFD-BFB3-0987FFD7BDD8}" type="presOf" srcId="{A5DDECC8-A4EB-498A-8552-3750D4C87315}" destId="{3D600667-06E5-45A7-A05E-AB45EC80BCB6}" srcOrd="0" destOrd="0" presId="urn:microsoft.com/office/officeart/2005/8/layout/radial5"/>
    <dgm:cxn modelId="{0FFF89E7-8298-440D-AFAA-02A8F322F499}" srcId="{CA16D4E9-E0E9-4A68-8E45-82606D9D391B}" destId="{99EEAEB0-28E7-46C7-AC48-D3E14629C873}" srcOrd="1" destOrd="0" parTransId="{DEA2A161-4AB1-4A57-ADA2-B313D25B1467}" sibTransId="{10002C9F-075F-44C7-A719-36A5DA534677}"/>
    <dgm:cxn modelId="{4FA453BB-A05D-4A6E-8E8F-73656720EA05}" type="presOf" srcId="{C972DAAD-A5A1-4610-B7BB-BC9E3578C7F1}" destId="{0C229E25-5F13-44A0-8692-065B317D87CF}" srcOrd="0" destOrd="0" presId="urn:microsoft.com/office/officeart/2005/8/layout/radial5"/>
    <dgm:cxn modelId="{B3B4C2B5-B709-4073-86F4-7D3A7E59FDEB}" type="presOf" srcId="{17E2F433-A50E-4C85-9C99-D57308AA9CA2}" destId="{F18CAB5B-F840-491C-A14F-B20B91CBD097}" srcOrd="0" destOrd="0" presId="urn:microsoft.com/office/officeart/2005/8/layout/radial5"/>
    <dgm:cxn modelId="{BF83BDCA-805C-444B-8D57-4A20B586409B}" type="presOf" srcId="{DC0E4966-E0E4-43DF-8C13-C796375F2E2E}" destId="{80BD40DB-48B4-4C0B-8BD1-CE8F6D6F22AD}" srcOrd="0" destOrd="0" presId="urn:microsoft.com/office/officeart/2005/8/layout/radial5"/>
    <dgm:cxn modelId="{1BDB2ADA-3533-4C61-83DF-8AE1EC05F982}" type="presOf" srcId="{6AEA1C30-B69A-4137-A43B-48B75839AEC9}" destId="{5A6EC4D5-3F82-498A-AE70-08371EB6DBC0}" srcOrd="0" destOrd="0" presId="urn:microsoft.com/office/officeart/2005/8/layout/radial5"/>
    <dgm:cxn modelId="{1A6EC3E6-8E2B-4E7E-A3C4-0FC2158ACD48}" type="presOf" srcId="{DEA2A161-4AB1-4A57-ADA2-B313D25B1467}" destId="{0A1511AC-45CC-4425-BDAA-A77412B094CA}" srcOrd="1" destOrd="0" presId="urn:microsoft.com/office/officeart/2005/8/layout/radial5"/>
    <dgm:cxn modelId="{76479DCC-C447-42D4-8E88-A7BAB2722204}" srcId="{CA16D4E9-E0E9-4A68-8E45-82606D9D391B}" destId="{17E2F433-A50E-4C85-9C99-D57308AA9CA2}" srcOrd="3" destOrd="0" parTransId="{DC0E4966-E0E4-43DF-8C13-C796375F2E2E}" sibTransId="{36A26EC3-D4C5-477B-8C69-6A9B4761F5A1}"/>
    <dgm:cxn modelId="{BCB11834-B0ED-4FDA-9481-35A1A8D8EF85}" type="presOf" srcId="{DEA2A161-4AB1-4A57-ADA2-B313D25B1467}" destId="{4EA72358-E50A-4637-9AB1-DBCC3853A289}" srcOrd="0" destOrd="0" presId="urn:microsoft.com/office/officeart/2005/8/layout/radial5"/>
    <dgm:cxn modelId="{30E2354D-56AE-426A-A53B-CAD10148099D}" srcId="{CA16D4E9-E0E9-4A68-8E45-82606D9D391B}" destId="{449E0954-C205-4862-8684-107EA10DCE40}" srcOrd="4" destOrd="0" parTransId="{6EA9B8B2-AACE-44B6-9FA2-1B03919CED94}" sibTransId="{6D5E9772-2F87-4436-9C3C-0CB4EAA251C0}"/>
    <dgm:cxn modelId="{498BACBA-1AA1-4776-B869-E9FDBBB2E625}" srcId="{CA16D4E9-E0E9-4A68-8E45-82606D9D391B}" destId="{6AEA1C30-B69A-4137-A43B-48B75839AEC9}" srcOrd="2" destOrd="0" parTransId="{A5DDECC8-A4EB-498A-8552-3750D4C87315}" sibTransId="{0A49BBD8-026C-4DBC-9C14-E2C34C149EB8}"/>
    <dgm:cxn modelId="{8880D599-6126-4428-8F92-66CCECA44B81}" type="presOf" srcId="{6EA9B8B2-AACE-44B6-9FA2-1B03919CED94}" destId="{59BFC3CB-D329-4BEC-A04A-EB4079FC7922}" srcOrd="1" destOrd="0" presId="urn:microsoft.com/office/officeart/2005/8/layout/radial5"/>
    <dgm:cxn modelId="{79A73DEE-7CBA-4398-9949-31177F0B3943}" type="presParOf" srcId="{0C229E25-5F13-44A0-8692-065B317D87CF}" destId="{228C1FCE-30D3-4644-8625-F8CD5FE58513}" srcOrd="0" destOrd="0" presId="urn:microsoft.com/office/officeart/2005/8/layout/radial5"/>
    <dgm:cxn modelId="{8B6957B8-BBAE-4697-B346-0EDB57A3512F}" type="presParOf" srcId="{0C229E25-5F13-44A0-8692-065B317D87CF}" destId="{8136CD05-CC0A-4611-9CCB-B46F319AE22D}" srcOrd="1" destOrd="0" presId="urn:microsoft.com/office/officeart/2005/8/layout/radial5"/>
    <dgm:cxn modelId="{F7BB7FB3-51A2-45DA-952A-46B29174C238}" type="presParOf" srcId="{8136CD05-CC0A-4611-9CCB-B46F319AE22D}" destId="{653155CC-0FD5-4152-892D-9E7B8AF66DEA}" srcOrd="0" destOrd="0" presId="urn:microsoft.com/office/officeart/2005/8/layout/radial5"/>
    <dgm:cxn modelId="{A2B9EDC7-597D-439A-9029-B6824CC1C550}" type="presParOf" srcId="{0C229E25-5F13-44A0-8692-065B317D87CF}" destId="{A9C0D716-2F03-4D41-BE81-D445AC1E9689}" srcOrd="2" destOrd="0" presId="urn:microsoft.com/office/officeart/2005/8/layout/radial5"/>
    <dgm:cxn modelId="{4A4AC4EC-D999-4C6E-B0B7-DEA7E80F5A83}" type="presParOf" srcId="{0C229E25-5F13-44A0-8692-065B317D87CF}" destId="{4EA72358-E50A-4637-9AB1-DBCC3853A289}" srcOrd="3" destOrd="0" presId="urn:microsoft.com/office/officeart/2005/8/layout/radial5"/>
    <dgm:cxn modelId="{A336412D-8160-4697-A798-ABF4B4BB0919}" type="presParOf" srcId="{4EA72358-E50A-4637-9AB1-DBCC3853A289}" destId="{0A1511AC-45CC-4425-BDAA-A77412B094CA}" srcOrd="0" destOrd="0" presId="urn:microsoft.com/office/officeart/2005/8/layout/radial5"/>
    <dgm:cxn modelId="{706F8DE5-9AA8-4300-8253-56AF22C44952}" type="presParOf" srcId="{0C229E25-5F13-44A0-8692-065B317D87CF}" destId="{0F74C779-D58C-4AA2-97F9-BE132B149795}" srcOrd="4" destOrd="0" presId="urn:microsoft.com/office/officeart/2005/8/layout/radial5"/>
    <dgm:cxn modelId="{09E2FE11-394E-4704-92A6-94400109155F}" type="presParOf" srcId="{0C229E25-5F13-44A0-8692-065B317D87CF}" destId="{3D600667-06E5-45A7-A05E-AB45EC80BCB6}" srcOrd="5" destOrd="0" presId="urn:microsoft.com/office/officeart/2005/8/layout/radial5"/>
    <dgm:cxn modelId="{734FAF67-C05D-45C4-B4EE-2FC35C7F1442}" type="presParOf" srcId="{3D600667-06E5-45A7-A05E-AB45EC80BCB6}" destId="{9C4ABBD2-BFD6-45BA-B5B5-3A83330B2412}" srcOrd="0" destOrd="0" presId="urn:microsoft.com/office/officeart/2005/8/layout/radial5"/>
    <dgm:cxn modelId="{89E720A1-014D-444A-9EEC-781EE2C98D0B}" type="presParOf" srcId="{0C229E25-5F13-44A0-8692-065B317D87CF}" destId="{5A6EC4D5-3F82-498A-AE70-08371EB6DBC0}" srcOrd="6" destOrd="0" presId="urn:microsoft.com/office/officeart/2005/8/layout/radial5"/>
    <dgm:cxn modelId="{534877CD-D6F6-481E-8F79-FB65FA51BC16}" type="presParOf" srcId="{0C229E25-5F13-44A0-8692-065B317D87CF}" destId="{80BD40DB-48B4-4C0B-8BD1-CE8F6D6F22AD}" srcOrd="7" destOrd="0" presId="urn:microsoft.com/office/officeart/2005/8/layout/radial5"/>
    <dgm:cxn modelId="{1D85E731-F8D9-4E4B-8AC2-5264E6569A22}" type="presParOf" srcId="{80BD40DB-48B4-4C0B-8BD1-CE8F6D6F22AD}" destId="{C1952D1F-1AD0-483B-84AA-A53E923F057C}" srcOrd="0" destOrd="0" presId="urn:microsoft.com/office/officeart/2005/8/layout/radial5"/>
    <dgm:cxn modelId="{D6484168-B140-414B-9346-301CBEC0C1E1}" type="presParOf" srcId="{0C229E25-5F13-44A0-8692-065B317D87CF}" destId="{F18CAB5B-F840-491C-A14F-B20B91CBD097}" srcOrd="8" destOrd="0" presId="urn:microsoft.com/office/officeart/2005/8/layout/radial5"/>
    <dgm:cxn modelId="{AD218373-7546-4423-A389-EFCA8EEFD8E1}" type="presParOf" srcId="{0C229E25-5F13-44A0-8692-065B317D87CF}" destId="{B7AF229D-9B52-41A1-B8FF-C15475D4982F}" srcOrd="9" destOrd="0" presId="urn:microsoft.com/office/officeart/2005/8/layout/radial5"/>
    <dgm:cxn modelId="{7F48855B-E2DC-42C0-A8E1-763DD80763A9}" type="presParOf" srcId="{B7AF229D-9B52-41A1-B8FF-C15475D4982F}" destId="{59BFC3CB-D329-4BEC-A04A-EB4079FC7922}" srcOrd="0" destOrd="0" presId="urn:microsoft.com/office/officeart/2005/8/layout/radial5"/>
    <dgm:cxn modelId="{FA5F0EAD-01F4-48E1-B44E-82ADB3043523}" type="presParOf" srcId="{0C229E25-5F13-44A0-8692-065B317D87CF}" destId="{9DA5487E-E9E8-4AF8-99A6-6694C06CCA82}" srcOrd="10" destOrd="0" presId="urn:microsoft.com/office/officeart/2005/8/layout/radial5"/>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7F815A6-EB91-4BBE-A3DD-6EA858A06B48}" type="doc">
      <dgm:prSet loTypeId="urn:microsoft.com/office/officeart/2005/8/layout/radial6" loCatId="cycle" qsTypeId="urn:microsoft.com/office/officeart/2005/8/quickstyle/simple1" qsCatId="simple" csTypeId="urn:microsoft.com/office/officeart/2005/8/colors/accent1_2" csCatId="accent1" phldr="1"/>
      <dgm:spPr/>
      <dgm:t>
        <a:bodyPr/>
        <a:lstStyle/>
        <a:p>
          <a:endParaRPr lang="en-US"/>
        </a:p>
      </dgm:t>
    </dgm:pt>
    <dgm:pt modelId="{4C171FCC-1563-498E-9F60-85B808B2BB14}">
      <dgm:prSet phldrT="[Text]"/>
      <dgm:spPr>
        <a:solidFill>
          <a:schemeClr val="accent2"/>
        </a:solidFill>
      </dgm:spPr>
      <dgm:t>
        <a:bodyPr/>
        <a:lstStyle/>
        <a:p>
          <a:r>
            <a:rPr lang="en-US"/>
            <a:t>Fair Dismissal</a:t>
          </a:r>
        </a:p>
      </dgm:t>
    </dgm:pt>
    <dgm:pt modelId="{508E1AD8-D58C-4F60-896D-1DBB1EDCA653}" type="parTrans" cxnId="{5AC53151-721C-4DF1-A7BF-6A67C5EF9A5B}">
      <dgm:prSet/>
      <dgm:spPr/>
      <dgm:t>
        <a:bodyPr/>
        <a:lstStyle/>
        <a:p>
          <a:endParaRPr lang="en-US"/>
        </a:p>
      </dgm:t>
    </dgm:pt>
    <dgm:pt modelId="{E0BC71B6-A776-492E-BC93-C519A152816A}" type="sibTrans" cxnId="{5AC53151-721C-4DF1-A7BF-6A67C5EF9A5B}">
      <dgm:prSet/>
      <dgm:spPr/>
      <dgm:t>
        <a:bodyPr/>
        <a:lstStyle/>
        <a:p>
          <a:endParaRPr lang="en-US"/>
        </a:p>
      </dgm:t>
    </dgm:pt>
    <dgm:pt modelId="{8CDF8861-5AE2-4DD5-A120-71F8D572B0D4}">
      <dgm:prSet phldrT="[Text]"/>
      <dgm:spPr>
        <a:solidFill>
          <a:schemeClr val="accent2">
            <a:lumMod val="50000"/>
          </a:schemeClr>
        </a:solidFill>
      </dgm:spPr>
      <dgm:t>
        <a:bodyPr/>
        <a:lstStyle/>
        <a:p>
          <a:r>
            <a:rPr lang="en-US"/>
            <a:t>4. Genuine Belief</a:t>
          </a:r>
        </a:p>
      </dgm:t>
    </dgm:pt>
    <dgm:pt modelId="{B2A1005A-3591-459E-ACE0-F85FCEA769FE}" type="parTrans" cxnId="{8D439309-350C-41A5-B549-48522196A2C1}">
      <dgm:prSet/>
      <dgm:spPr/>
      <dgm:t>
        <a:bodyPr/>
        <a:lstStyle/>
        <a:p>
          <a:endParaRPr lang="en-US"/>
        </a:p>
      </dgm:t>
    </dgm:pt>
    <dgm:pt modelId="{B86165CE-1A1B-43D9-8403-F210EB3C452A}" type="sibTrans" cxnId="{8D439309-350C-41A5-B549-48522196A2C1}">
      <dgm:prSet/>
      <dgm:spPr>
        <a:solidFill>
          <a:schemeClr val="accent2">
            <a:lumMod val="40000"/>
            <a:lumOff val="60000"/>
          </a:schemeClr>
        </a:solidFill>
      </dgm:spPr>
      <dgm:t>
        <a:bodyPr/>
        <a:lstStyle/>
        <a:p>
          <a:endParaRPr lang="en-US"/>
        </a:p>
      </dgm:t>
    </dgm:pt>
    <dgm:pt modelId="{08DC5CBF-F04E-48C5-AB58-C207CF452689}">
      <dgm:prSet phldrT="[Text]"/>
      <dgm:spPr>
        <a:solidFill>
          <a:schemeClr val="accent2">
            <a:lumMod val="40000"/>
            <a:lumOff val="60000"/>
          </a:schemeClr>
        </a:solidFill>
      </dgm:spPr>
      <dgm:t>
        <a:bodyPr/>
        <a:lstStyle/>
        <a:p>
          <a:r>
            <a:rPr lang="en-US"/>
            <a:t>1. Reasonable Grounds</a:t>
          </a:r>
        </a:p>
      </dgm:t>
    </dgm:pt>
    <dgm:pt modelId="{B070EDB6-BF37-4C0A-B5AD-9103013C8BAE}" type="parTrans" cxnId="{6427410C-BC02-49BD-9651-86AABA95244B}">
      <dgm:prSet/>
      <dgm:spPr/>
      <dgm:t>
        <a:bodyPr/>
        <a:lstStyle/>
        <a:p>
          <a:endParaRPr lang="en-US"/>
        </a:p>
      </dgm:t>
    </dgm:pt>
    <dgm:pt modelId="{B6977586-7186-4A1C-B840-F5A6B73D0149}" type="sibTrans" cxnId="{6427410C-BC02-49BD-9651-86AABA95244B}">
      <dgm:prSet/>
      <dgm:spPr>
        <a:solidFill>
          <a:schemeClr val="accent2">
            <a:lumMod val="60000"/>
            <a:lumOff val="40000"/>
          </a:schemeClr>
        </a:solidFill>
      </dgm:spPr>
      <dgm:t>
        <a:bodyPr/>
        <a:lstStyle/>
        <a:p>
          <a:endParaRPr lang="en-US"/>
        </a:p>
      </dgm:t>
    </dgm:pt>
    <dgm:pt modelId="{E01EBEF7-9DAE-4088-9100-197628157D67}">
      <dgm:prSet phldrT="[Text]"/>
      <dgm:spPr>
        <a:solidFill>
          <a:schemeClr val="accent2">
            <a:lumMod val="60000"/>
            <a:lumOff val="40000"/>
          </a:schemeClr>
        </a:solidFill>
      </dgm:spPr>
      <dgm:t>
        <a:bodyPr/>
        <a:lstStyle/>
        <a:p>
          <a:r>
            <a:rPr lang="en-US"/>
            <a:t>2. Reasonable Investigation</a:t>
          </a:r>
        </a:p>
      </dgm:t>
    </dgm:pt>
    <dgm:pt modelId="{7B93346F-208C-471A-91C1-2EFC31A8BE79}" type="parTrans" cxnId="{A51120BD-A4EB-438F-84DA-35D8EA93ACAF}">
      <dgm:prSet/>
      <dgm:spPr/>
      <dgm:t>
        <a:bodyPr/>
        <a:lstStyle/>
        <a:p>
          <a:endParaRPr lang="en-US"/>
        </a:p>
      </dgm:t>
    </dgm:pt>
    <dgm:pt modelId="{CCA67936-AA8E-4F55-85EF-923290F27E1A}" type="sibTrans" cxnId="{A51120BD-A4EB-438F-84DA-35D8EA93ACAF}">
      <dgm:prSet/>
      <dgm:spPr>
        <a:solidFill>
          <a:schemeClr val="accent2">
            <a:lumMod val="75000"/>
          </a:schemeClr>
        </a:solidFill>
      </dgm:spPr>
      <dgm:t>
        <a:bodyPr/>
        <a:lstStyle/>
        <a:p>
          <a:endParaRPr lang="en-US"/>
        </a:p>
      </dgm:t>
    </dgm:pt>
    <dgm:pt modelId="{595A9BB5-CCFE-4085-8D00-C2C857CBE57E}">
      <dgm:prSet phldrT="[Text]"/>
      <dgm:spPr>
        <a:solidFill>
          <a:schemeClr val="accent2">
            <a:lumMod val="75000"/>
          </a:schemeClr>
        </a:solidFill>
      </dgm:spPr>
      <dgm:t>
        <a:bodyPr/>
        <a:lstStyle/>
        <a:p>
          <a:r>
            <a:rPr lang="en-US"/>
            <a:t>3. Employee guilty of misconduct</a:t>
          </a:r>
        </a:p>
      </dgm:t>
    </dgm:pt>
    <dgm:pt modelId="{9F74E555-F333-41BE-9487-8F8E926D2E28}" type="parTrans" cxnId="{099B0451-EA01-40D3-ACEA-CCD193EABAF6}">
      <dgm:prSet/>
      <dgm:spPr/>
      <dgm:t>
        <a:bodyPr/>
        <a:lstStyle/>
        <a:p>
          <a:endParaRPr lang="en-US"/>
        </a:p>
      </dgm:t>
    </dgm:pt>
    <dgm:pt modelId="{750693F7-E6D7-490A-A372-8AA483AC5E6A}" type="sibTrans" cxnId="{099B0451-EA01-40D3-ACEA-CCD193EABAF6}">
      <dgm:prSet/>
      <dgm:spPr>
        <a:solidFill>
          <a:schemeClr val="accent2">
            <a:lumMod val="50000"/>
          </a:schemeClr>
        </a:solidFill>
      </dgm:spPr>
      <dgm:t>
        <a:bodyPr/>
        <a:lstStyle/>
        <a:p>
          <a:endParaRPr lang="en-US"/>
        </a:p>
      </dgm:t>
    </dgm:pt>
    <dgm:pt modelId="{41322A8D-348A-4A54-9C14-2FED60B18E37}" type="pres">
      <dgm:prSet presAssocID="{67F815A6-EB91-4BBE-A3DD-6EA858A06B48}" presName="Name0" presStyleCnt="0">
        <dgm:presLayoutVars>
          <dgm:chMax val="1"/>
          <dgm:dir/>
          <dgm:animLvl val="ctr"/>
          <dgm:resizeHandles val="exact"/>
        </dgm:presLayoutVars>
      </dgm:prSet>
      <dgm:spPr/>
      <dgm:t>
        <a:bodyPr/>
        <a:lstStyle/>
        <a:p>
          <a:endParaRPr lang="en-US"/>
        </a:p>
      </dgm:t>
    </dgm:pt>
    <dgm:pt modelId="{E89DB916-A588-441A-8D46-599C94F3B378}" type="pres">
      <dgm:prSet presAssocID="{4C171FCC-1563-498E-9F60-85B808B2BB14}" presName="centerShape" presStyleLbl="node0" presStyleIdx="0" presStyleCnt="1"/>
      <dgm:spPr/>
      <dgm:t>
        <a:bodyPr/>
        <a:lstStyle/>
        <a:p>
          <a:endParaRPr lang="en-US"/>
        </a:p>
      </dgm:t>
    </dgm:pt>
    <dgm:pt modelId="{B14C2726-B46C-474E-8E52-0FCB81FB0107}" type="pres">
      <dgm:prSet presAssocID="{8CDF8861-5AE2-4DD5-A120-71F8D572B0D4}" presName="node" presStyleLbl="node1" presStyleIdx="0" presStyleCnt="4">
        <dgm:presLayoutVars>
          <dgm:bulletEnabled val="1"/>
        </dgm:presLayoutVars>
      </dgm:prSet>
      <dgm:spPr/>
      <dgm:t>
        <a:bodyPr/>
        <a:lstStyle/>
        <a:p>
          <a:endParaRPr lang="en-US"/>
        </a:p>
      </dgm:t>
    </dgm:pt>
    <dgm:pt modelId="{A9A1F2D7-1847-40E0-B2F7-28621A88B533}" type="pres">
      <dgm:prSet presAssocID="{8CDF8861-5AE2-4DD5-A120-71F8D572B0D4}" presName="dummy" presStyleCnt="0"/>
      <dgm:spPr/>
    </dgm:pt>
    <dgm:pt modelId="{91B07530-3E9C-4FDC-BBDA-51913AA73912}" type="pres">
      <dgm:prSet presAssocID="{B86165CE-1A1B-43D9-8403-F210EB3C452A}" presName="sibTrans" presStyleLbl="sibTrans2D1" presStyleIdx="0" presStyleCnt="4"/>
      <dgm:spPr/>
      <dgm:t>
        <a:bodyPr/>
        <a:lstStyle/>
        <a:p>
          <a:endParaRPr lang="en-US"/>
        </a:p>
      </dgm:t>
    </dgm:pt>
    <dgm:pt modelId="{4275AE2E-88B9-47A7-9696-88092AE4A3B0}" type="pres">
      <dgm:prSet presAssocID="{08DC5CBF-F04E-48C5-AB58-C207CF452689}" presName="node" presStyleLbl="node1" presStyleIdx="1" presStyleCnt="4">
        <dgm:presLayoutVars>
          <dgm:bulletEnabled val="1"/>
        </dgm:presLayoutVars>
      </dgm:prSet>
      <dgm:spPr/>
      <dgm:t>
        <a:bodyPr/>
        <a:lstStyle/>
        <a:p>
          <a:endParaRPr lang="en-US"/>
        </a:p>
      </dgm:t>
    </dgm:pt>
    <dgm:pt modelId="{66D2434E-7A71-45DD-94DE-F9D542A2A828}" type="pres">
      <dgm:prSet presAssocID="{08DC5CBF-F04E-48C5-AB58-C207CF452689}" presName="dummy" presStyleCnt="0"/>
      <dgm:spPr/>
    </dgm:pt>
    <dgm:pt modelId="{4A2A6C01-B6CB-4CEE-AACB-1CD8C003E5C8}" type="pres">
      <dgm:prSet presAssocID="{B6977586-7186-4A1C-B840-F5A6B73D0149}" presName="sibTrans" presStyleLbl="sibTrans2D1" presStyleIdx="1" presStyleCnt="4"/>
      <dgm:spPr/>
      <dgm:t>
        <a:bodyPr/>
        <a:lstStyle/>
        <a:p>
          <a:endParaRPr lang="en-US"/>
        </a:p>
      </dgm:t>
    </dgm:pt>
    <dgm:pt modelId="{6EFDE9E7-403D-487D-976F-242B29778CC6}" type="pres">
      <dgm:prSet presAssocID="{E01EBEF7-9DAE-4088-9100-197628157D67}" presName="node" presStyleLbl="node1" presStyleIdx="2" presStyleCnt="4">
        <dgm:presLayoutVars>
          <dgm:bulletEnabled val="1"/>
        </dgm:presLayoutVars>
      </dgm:prSet>
      <dgm:spPr/>
      <dgm:t>
        <a:bodyPr/>
        <a:lstStyle/>
        <a:p>
          <a:endParaRPr lang="en-US"/>
        </a:p>
      </dgm:t>
    </dgm:pt>
    <dgm:pt modelId="{9DF56C56-050B-484E-ADD0-78846318A638}" type="pres">
      <dgm:prSet presAssocID="{E01EBEF7-9DAE-4088-9100-197628157D67}" presName="dummy" presStyleCnt="0"/>
      <dgm:spPr/>
    </dgm:pt>
    <dgm:pt modelId="{3FD479E3-BB1E-4C04-9FA1-5EE37E41C0B0}" type="pres">
      <dgm:prSet presAssocID="{CCA67936-AA8E-4F55-85EF-923290F27E1A}" presName="sibTrans" presStyleLbl="sibTrans2D1" presStyleIdx="2" presStyleCnt="4"/>
      <dgm:spPr/>
      <dgm:t>
        <a:bodyPr/>
        <a:lstStyle/>
        <a:p>
          <a:endParaRPr lang="en-US"/>
        </a:p>
      </dgm:t>
    </dgm:pt>
    <dgm:pt modelId="{6C7CFA14-1DF0-43E9-9EC7-E9667A3DB3AB}" type="pres">
      <dgm:prSet presAssocID="{595A9BB5-CCFE-4085-8D00-C2C857CBE57E}" presName="node" presStyleLbl="node1" presStyleIdx="3" presStyleCnt="4">
        <dgm:presLayoutVars>
          <dgm:bulletEnabled val="1"/>
        </dgm:presLayoutVars>
      </dgm:prSet>
      <dgm:spPr/>
      <dgm:t>
        <a:bodyPr/>
        <a:lstStyle/>
        <a:p>
          <a:endParaRPr lang="en-US"/>
        </a:p>
      </dgm:t>
    </dgm:pt>
    <dgm:pt modelId="{DE68875B-977C-4CA9-96E7-6BF586FD3C47}" type="pres">
      <dgm:prSet presAssocID="{595A9BB5-CCFE-4085-8D00-C2C857CBE57E}" presName="dummy" presStyleCnt="0"/>
      <dgm:spPr/>
    </dgm:pt>
    <dgm:pt modelId="{939BCAE2-42AF-4869-8C28-A98A54484E8E}" type="pres">
      <dgm:prSet presAssocID="{750693F7-E6D7-490A-A372-8AA483AC5E6A}" presName="sibTrans" presStyleLbl="sibTrans2D1" presStyleIdx="3" presStyleCnt="4"/>
      <dgm:spPr/>
      <dgm:t>
        <a:bodyPr/>
        <a:lstStyle/>
        <a:p>
          <a:endParaRPr lang="en-US"/>
        </a:p>
      </dgm:t>
    </dgm:pt>
  </dgm:ptLst>
  <dgm:cxnLst>
    <dgm:cxn modelId="{BE58CD49-F8ED-4CD3-BDEA-C462E2AFD91B}" type="presOf" srcId="{B86165CE-1A1B-43D9-8403-F210EB3C452A}" destId="{91B07530-3E9C-4FDC-BBDA-51913AA73912}" srcOrd="0" destOrd="0" presId="urn:microsoft.com/office/officeart/2005/8/layout/radial6"/>
    <dgm:cxn modelId="{E9208D53-8DE3-41DF-92F7-93DDD166B369}" type="presOf" srcId="{08DC5CBF-F04E-48C5-AB58-C207CF452689}" destId="{4275AE2E-88B9-47A7-9696-88092AE4A3B0}" srcOrd="0" destOrd="0" presId="urn:microsoft.com/office/officeart/2005/8/layout/radial6"/>
    <dgm:cxn modelId="{6E0FA2C8-E0B6-4066-80E5-0539929857F1}" type="presOf" srcId="{8CDF8861-5AE2-4DD5-A120-71F8D572B0D4}" destId="{B14C2726-B46C-474E-8E52-0FCB81FB0107}" srcOrd="0" destOrd="0" presId="urn:microsoft.com/office/officeart/2005/8/layout/radial6"/>
    <dgm:cxn modelId="{6BF82A7D-4DF0-40B6-B508-810AB148AEF8}" type="presOf" srcId="{750693F7-E6D7-490A-A372-8AA483AC5E6A}" destId="{939BCAE2-42AF-4869-8C28-A98A54484E8E}" srcOrd="0" destOrd="0" presId="urn:microsoft.com/office/officeart/2005/8/layout/radial6"/>
    <dgm:cxn modelId="{5AC53151-721C-4DF1-A7BF-6A67C5EF9A5B}" srcId="{67F815A6-EB91-4BBE-A3DD-6EA858A06B48}" destId="{4C171FCC-1563-498E-9F60-85B808B2BB14}" srcOrd="0" destOrd="0" parTransId="{508E1AD8-D58C-4F60-896D-1DBB1EDCA653}" sibTransId="{E0BC71B6-A776-492E-BC93-C519A152816A}"/>
    <dgm:cxn modelId="{6427410C-BC02-49BD-9651-86AABA95244B}" srcId="{4C171FCC-1563-498E-9F60-85B808B2BB14}" destId="{08DC5CBF-F04E-48C5-AB58-C207CF452689}" srcOrd="1" destOrd="0" parTransId="{B070EDB6-BF37-4C0A-B5AD-9103013C8BAE}" sibTransId="{B6977586-7186-4A1C-B840-F5A6B73D0149}"/>
    <dgm:cxn modelId="{8D439309-350C-41A5-B549-48522196A2C1}" srcId="{4C171FCC-1563-498E-9F60-85B808B2BB14}" destId="{8CDF8861-5AE2-4DD5-A120-71F8D572B0D4}" srcOrd="0" destOrd="0" parTransId="{B2A1005A-3591-459E-ACE0-F85FCEA769FE}" sibTransId="{B86165CE-1A1B-43D9-8403-F210EB3C452A}"/>
    <dgm:cxn modelId="{2BE62EB2-371B-45BF-AEE7-3F285125A151}" type="presOf" srcId="{E01EBEF7-9DAE-4088-9100-197628157D67}" destId="{6EFDE9E7-403D-487D-976F-242B29778CC6}" srcOrd="0" destOrd="0" presId="urn:microsoft.com/office/officeart/2005/8/layout/radial6"/>
    <dgm:cxn modelId="{1B1210C2-D52B-4781-B72E-F8A31B466B4E}" type="presOf" srcId="{595A9BB5-CCFE-4085-8D00-C2C857CBE57E}" destId="{6C7CFA14-1DF0-43E9-9EC7-E9667A3DB3AB}" srcOrd="0" destOrd="0" presId="urn:microsoft.com/office/officeart/2005/8/layout/radial6"/>
    <dgm:cxn modelId="{D284F59B-FD4B-4E78-B416-33AA2F0368DA}" type="presOf" srcId="{67F815A6-EB91-4BBE-A3DD-6EA858A06B48}" destId="{41322A8D-348A-4A54-9C14-2FED60B18E37}" srcOrd="0" destOrd="0" presId="urn:microsoft.com/office/officeart/2005/8/layout/radial6"/>
    <dgm:cxn modelId="{099B0451-EA01-40D3-ACEA-CCD193EABAF6}" srcId="{4C171FCC-1563-498E-9F60-85B808B2BB14}" destId="{595A9BB5-CCFE-4085-8D00-C2C857CBE57E}" srcOrd="3" destOrd="0" parTransId="{9F74E555-F333-41BE-9487-8F8E926D2E28}" sibTransId="{750693F7-E6D7-490A-A372-8AA483AC5E6A}"/>
    <dgm:cxn modelId="{30286D78-D605-4076-8FFB-DEDBA61E4EC4}" type="presOf" srcId="{B6977586-7186-4A1C-B840-F5A6B73D0149}" destId="{4A2A6C01-B6CB-4CEE-AACB-1CD8C003E5C8}" srcOrd="0" destOrd="0" presId="urn:microsoft.com/office/officeart/2005/8/layout/radial6"/>
    <dgm:cxn modelId="{1B304844-3140-4887-9890-E4B8B568E895}" type="presOf" srcId="{CCA67936-AA8E-4F55-85EF-923290F27E1A}" destId="{3FD479E3-BB1E-4C04-9FA1-5EE37E41C0B0}" srcOrd="0" destOrd="0" presId="urn:microsoft.com/office/officeart/2005/8/layout/radial6"/>
    <dgm:cxn modelId="{A51120BD-A4EB-438F-84DA-35D8EA93ACAF}" srcId="{4C171FCC-1563-498E-9F60-85B808B2BB14}" destId="{E01EBEF7-9DAE-4088-9100-197628157D67}" srcOrd="2" destOrd="0" parTransId="{7B93346F-208C-471A-91C1-2EFC31A8BE79}" sibTransId="{CCA67936-AA8E-4F55-85EF-923290F27E1A}"/>
    <dgm:cxn modelId="{68A22375-C272-4838-B293-DE33AAE738DA}" type="presOf" srcId="{4C171FCC-1563-498E-9F60-85B808B2BB14}" destId="{E89DB916-A588-441A-8D46-599C94F3B378}" srcOrd="0" destOrd="0" presId="urn:microsoft.com/office/officeart/2005/8/layout/radial6"/>
    <dgm:cxn modelId="{0F4D7ACA-7EE4-411F-8E66-A09654E49974}" type="presParOf" srcId="{41322A8D-348A-4A54-9C14-2FED60B18E37}" destId="{E89DB916-A588-441A-8D46-599C94F3B378}" srcOrd="0" destOrd="0" presId="urn:microsoft.com/office/officeart/2005/8/layout/radial6"/>
    <dgm:cxn modelId="{2F74ECB1-0F02-464D-92C1-1565EA2AAAAB}" type="presParOf" srcId="{41322A8D-348A-4A54-9C14-2FED60B18E37}" destId="{B14C2726-B46C-474E-8E52-0FCB81FB0107}" srcOrd="1" destOrd="0" presId="urn:microsoft.com/office/officeart/2005/8/layout/radial6"/>
    <dgm:cxn modelId="{56FDB68A-4AB6-4EF4-9F27-CF7C5F4A0706}" type="presParOf" srcId="{41322A8D-348A-4A54-9C14-2FED60B18E37}" destId="{A9A1F2D7-1847-40E0-B2F7-28621A88B533}" srcOrd="2" destOrd="0" presId="urn:microsoft.com/office/officeart/2005/8/layout/radial6"/>
    <dgm:cxn modelId="{409C1810-535B-419F-B575-133787FDB93C}" type="presParOf" srcId="{41322A8D-348A-4A54-9C14-2FED60B18E37}" destId="{91B07530-3E9C-4FDC-BBDA-51913AA73912}" srcOrd="3" destOrd="0" presId="urn:microsoft.com/office/officeart/2005/8/layout/radial6"/>
    <dgm:cxn modelId="{D86E6B11-5965-4ABF-B25E-EED94A41FF28}" type="presParOf" srcId="{41322A8D-348A-4A54-9C14-2FED60B18E37}" destId="{4275AE2E-88B9-47A7-9696-88092AE4A3B0}" srcOrd="4" destOrd="0" presId="urn:microsoft.com/office/officeart/2005/8/layout/radial6"/>
    <dgm:cxn modelId="{9E22EE97-8B67-4E78-B53C-B1AC6C057AE3}" type="presParOf" srcId="{41322A8D-348A-4A54-9C14-2FED60B18E37}" destId="{66D2434E-7A71-45DD-94DE-F9D542A2A828}" srcOrd="5" destOrd="0" presId="urn:microsoft.com/office/officeart/2005/8/layout/radial6"/>
    <dgm:cxn modelId="{2699886D-B859-429E-A789-E1DAB6A49D01}" type="presParOf" srcId="{41322A8D-348A-4A54-9C14-2FED60B18E37}" destId="{4A2A6C01-B6CB-4CEE-AACB-1CD8C003E5C8}" srcOrd="6" destOrd="0" presId="urn:microsoft.com/office/officeart/2005/8/layout/radial6"/>
    <dgm:cxn modelId="{411E776D-3D0A-481D-9C54-8279A86C038D}" type="presParOf" srcId="{41322A8D-348A-4A54-9C14-2FED60B18E37}" destId="{6EFDE9E7-403D-487D-976F-242B29778CC6}" srcOrd="7" destOrd="0" presId="urn:microsoft.com/office/officeart/2005/8/layout/radial6"/>
    <dgm:cxn modelId="{7D86C803-69E2-4718-9530-EE905D5EF05B}" type="presParOf" srcId="{41322A8D-348A-4A54-9C14-2FED60B18E37}" destId="{9DF56C56-050B-484E-ADD0-78846318A638}" srcOrd="8" destOrd="0" presId="urn:microsoft.com/office/officeart/2005/8/layout/radial6"/>
    <dgm:cxn modelId="{AE3907F1-21FA-48EF-8538-79651AB3DA98}" type="presParOf" srcId="{41322A8D-348A-4A54-9C14-2FED60B18E37}" destId="{3FD479E3-BB1E-4C04-9FA1-5EE37E41C0B0}" srcOrd="9" destOrd="0" presId="urn:microsoft.com/office/officeart/2005/8/layout/radial6"/>
    <dgm:cxn modelId="{7B85DA1E-F416-4118-8958-3F405FDBB713}" type="presParOf" srcId="{41322A8D-348A-4A54-9C14-2FED60B18E37}" destId="{6C7CFA14-1DF0-43E9-9EC7-E9667A3DB3AB}" srcOrd="10" destOrd="0" presId="urn:microsoft.com/office/officeart/2005/8/layout/radial6"/>
    <dgm:cxn modelId="{44974F88-12BC-487C-AFBF-3A9B1333F8D6}" type="presParOf" srcId="{41322A8D-348A-4A54-9C14-2FED60B18E37}" destId="{DE68875B-977C-4CA9-96E7-6BF586FD3C47}" srcOrd="11" destOrd="0" presId="urn:microsoft.com/office/officeart/2005/8/layout/radial6"/>
    <dgm:cxn modelId="{D0AA8AFA-D245-4952-8E3C-CDE61BDD002C}" type="presParOf" srcId="{41322A8D-348A-4A54-9C14-2FED60B18E37}" destId="{939BCAE2-42AF-4869-8C28-A98A54484E8E}" srcOrd="12" destOrd="0" presId="urn:microsoft.com/office/officeart/2005/8/layout/radial6"/>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A91FF81-EA74-4967-9958-0D588AE00711}">
      <dsp:nvSpPr>
        <dsp:cNvPr id="0" name=""/>
        <dsp:cNvSpPr/>
      </dsp:nvSpPr>
      <dsp:spPr>
        <a:xfrm>
          <a:off x="2057400" y="0"/>
          <a:ext cx="1371600" cy="876300"/>
        </a:xfrm>
        <a:prstGeom prst="trapezoid">
          <a:avLst>
            <a:gd name="adj" fmla="val 78261"/>
          </a:avLst>
        </a:prstGeom>
        <a:solidFill>
          <a:srgbClr val="FF313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r>
            <a:rPr lang="en-US" sz="1800" kern="1200"/>
            <a:t>Supreme Court</a:t>
          </a:r>
        </a:p>
      </dsp:txBody>
      <dsp:txXfrm>
        <a:off x="2057400" y="0"/>
        <a:ext cx="1371600" cy="876300"/>
      </dsp:txXfrm>
    </dsp:sp>
    <dsp:sp modelId="{F7F38D21-E4D5-44F1-96DD-83CD1DEEEB3A}">
      <dsp:nvSpPr>
        <dsp:cNvPr id="0" name=""/>
        <dsp:cNvSpPr/>
      </dsp:nvSpPr>
      <dsp:spPr>
        <a:xfrm>
          <a:off x="1371600" y="876299"/>
          <a:ext cx="2743200" cy="876300"/>
        </a:xfrm>
        <a:prstGeom prst="trapezoid">
          <a:avLst>
            <a:gd name="adj" fmla="val 78261"/>
          </a:avLst>
        </a:prstGeom>
        <a:solidFill>
          <a:srgbClr val="FF313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r>
            <a:rPr lang="en-US" sz="1800" kern="1200"/>
            <a:t>Court of Appeal</a:t>
          </a:r>
        </a:p>
      </dsp:txBody>
      <dsp:txXfrm>
        <a:off x="1851660" y="876299"/>
        <a:ext cx="1783080" cy="876300"/>
      </dsp:txXfrm>
    </dsp:sp>
    <dsp:sp modelId="{751A4AA4-37D2-48C8-9FB3-393F9E10B6B9}">
      <dsp:nvSpPr>
        <dsp:cNvPr id="0" name=""/>
        <dsp:cNvSpPr/>
      </dsp:nvSpPr>
      <dsp:spPr>
        <a:xfrm>
          <a:off x="695305" y="1743074"/>
          <a:ext cx="4114800" cy="876300"/>
        </a:xfrm>
        <a:prstGeom prst="trapezoid">
          <a:avLst>
            <a:gd name="adj" fmla="val 78261"/>
          </a:avLst>
        </a:prstGeom>
        <a:solidFill>
          <a:srgbClr val="FF313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r>
            <a:rPr lang="en-US" sz="1800" kern="1200"/>
            <a:t>Employment Appeal Tribunal</a:t>
          </a:r>
        </a:p>
      </dsp:txBody>
      <dsp:txXfrm>
        <a:off x="1415395" y="1743074"/>
        <a:ext cx="2674620" cy="876300"/>
      </dsp:txXfrm>
    </dsp:sp>
    <dsp:sp modelId="{3E41EECA-054F-4E9C-A2FB-60CAA2EFF6D5}">
      <dsp:nvSpPr>
        <dsp:cNvPr id="0" name=""/>
        <dsp:cNvSpPr/>
      </dsp:nvSpPr>
      <dsp:spPr>
        <a:xfrm>
          <a:off x="0" y="2628899"/>
          <a:ext cx="5486400" cy="876300"/>
        </a:xfrm>
        <a:prstGeom prst="trapezoid">
          <a:avLst>
            <a:gd name="adj" fmla="val 78261"/>
          </a:avLst>
        </a:prstGeom>
        <a:solidFill>
          <a:srgbClr val="FF313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r>
            <a:rPr lang="en-US" sz="1800" kern="1200"/>
            <a:t>Employment Tribunal</a:t>
          </a:r>
        </a:p>
      </dsp:txBody>
      <dsp:txXfrm>
        <a:off x="960119" y="2628899"/>
        <a:ext cx="3566160" cy="8763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28C1FCE-30D3-4644-8625-F8CD5FE58513}">
      <dsp:nvSpPr>
        <dsp:cNvPr id="0" name=""/>
        <dsp:cNvSpPr/>
      </dsp:nvSpPr>
      <dsp:spPr>
        <a:xfrm>
          <a:off x="2344855" y="1318029"/>
          <a:ext cx="796689" cy="79668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t>Fair dismissal S98 ERA 1996</a:t>
          </a:r>
        </a:p>
      </dsp:txBody>
      <dsp:txXfrm>
        <a:off x="2461527" y="1434701"/>
        <a:ext cx="563345" cy="563345"/>
      </dsp:txXfrm>
    </dsp:sp>
    <dsp:sp modelId="{8136CD05-CC0A-4611-9CCB-B46F319AE22D}">
      <dsp:nvSpPr>
        <dsp:cNvPr id="0" name=""/>
        <dsp:cNvSpPr/>
      </dsp:nvSpPr>
      <dsp:spPr>
        <a:xfrm rot="16200000">
          <a:off x="2658314" y="1027236"/>
          <a:ext cx="169770" cy="27087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GB" sz="700" kern="1200"/>
        </a:p>
      </dsp:txBody>
      <dsp:txXfrm>
        <a:off x="2683780" y="1106877"/>
        <a:ext cx="118839" cy="162524"/>
      </dsp:txXfrm>
    </dsp:sp>
    <dsp:sp modelId="{A9C0D716-2F03-4D41-BE81-D445AC1E9689}">
      <dsp:nvSpPr>
        <dsp:cNvPr id="0" name=""/>
        <dsp:cNvSpPr/>
      </dsp:nvSpPr>
      <dsp:spPr>
        <a:xfrm>
          <a:off x="2245268" y="1846"/>
          <a:ext cx="995862" cy="99586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t>Conduct</a:t>
          </a:r>
        </a:p>
      </dsp:txBody>
      <dsp:txXfrm>
        <a:off x="2391109" y="147687"/>
        <a:ext cx="704180" cy="704180"/>
      </dsp:txXfrm>
    </dsp:sp>
    <dsp:sp modelId="{4EA72358-E50A-4637-9AB1-DBCC3853A289}">
      <dsp:nvSpPr>
        <dsp:cNvPr id="0" name=""/>
        <dsp:cNvSpPr/>
      </dsp:nvSpPr>
      <dsp:spPr>
        <a:xfrm rot="20520000">
          <a:off x="3184915" y="1409834"/>
          <a:ext cx="169770" cy="27087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GB" sz="700" kern="1200"/>
        </a:p>
      </dsp:txBody>
      <dsp:txXfrm>
        <a:off x="3186161" y="1471878"/>
        <a:ext cx="118839" cy="162524"/>
      </dsp:txXfrm>
    </dsp:sp>
    <dsp:sp modelId="{0F74C779-D58C-4AA2-97F9-BE132B149795}">
      <dsp:nvSpPr>
        <dsp:cNvPr id="0" name=""/>
        <dsp:cNvSpPr/>
      </dsp:nvSpPr>
      <dsp:spPr>
        <a:xfrm>
          <a:off x="3402321" y="842494"/>
          <a:ext cx="995862" cy="99586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t>Redundancy </a:t>
          </a:r>
        </a:p>
      </dsp:txBody>
      <dsp:txXfrm>
        <a:off x="3548162" y="988335"/>
        <a:ext cx="704180" cy="704180"/>
      </dsp:txXfrm>
    </dsp:sp>
    <dsp:sp modelId="{3D600667-06E5-45A7-A05E-AB45EC80BCB6}">
      <dsp:nvSpPr>
        <dsp:cNvPr id="0" name=""/>
        <dsp:cNvSpPr/>
      </dsp:nvSpPr>
      <dsp:spPr>
        <a:xfrm rot="3240000">
          <a:off x="2983772" y="2028890"/>
          <a:ext cx="169770" cy="27087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GB" sz="700" kern="1200"/>
        </a:p>
      </dsp:txBody>
      <dsp:txXfrm>
        <a:off x="2994269" y="2062463"/>
        <a:ext cx="118839" cy="162524"/>
      </dsp:txXfrm>
    </dsp:sp>
    <dsp:sp modelId="{5A6EC4D5-3F82-498A-AE70-08371EB6DBC0}">
      <dsp:nvSpPr>
        <dsp:cNvPr id="0" name=""/>
        <dsp:cNvSpPr/>
      </dsp:nvSpPr>
      <dsp:spPr>
        <a:xfrm>
          <a:off x="2960366" y="2202691"/>
          <a:ext cx="995862" cy="99586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t>Statutory Ban</a:t>
          </a:r>
        </a:p>
      </dsp:txBody>
      <dsp:txXfrm>
        <a:off x="3106207" y="2348532"/>
        <a:ext cx="704180" cy="704180"/>
      </dsp:txXfrm>
    </dsp:sp>
    <dsp:sp modelId="{80BD40DB-48B4-4C0B-8BD1-CE8F6D6F22AD}">
      <dsp:nvSpPr>
        <dsp:cNvPr id="0" name=""/>
        <dsp:cNvSpPr/>
      </dsp:nvSpPr>
      <dsp:spPr>
        <a:xfrm rot="7560000">
          <a:off x="2332857" y="2028890"/>
          <a:ext cx="169770" cy="27087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GB" sz="700" kern="1200"/>
        </a:p>
      </dsp:txBody>
      <dsp:txXfrm rot="10800000">
        <a:off x="2373291" y="2062463"/>
        <a:ext cx="118839" cy="162524"/>
      </dsp:txXfrm>
    </dsp:sp>
    <dsp:sp modelId="{F18CAB5B-F840-491C-A14F-B20B91CBD097}">
      <dsp:nvSpPr>
        <dsp:cNvPr id="0" name=""/>
        <dsp:cNvSpPr/>
      </dsp:nvSpPr>
      <dsp:spPr>
        <a:xfrm>
          <a:off x="1530170" y="2202691"/>
          <a:ext cx="995862" cy="99586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t>Some other substantial reason (SOSR)</a:t>
          </a:r>
        </a:p>
      </dsp:txBody>
      <dsp:txXfrm>
        <a:off x="1676011" y="2348532"/>
        <a:ext cx="704180" cy="704180"/>
      </dsp:txXfrm>
    </dsp:sp>
    <dsp:sp modelId="{B7AF229D-9B52-41A1-B8FF-C15475D4982F}">
      <dsp:nvSpPr>
        <dsp:cNvPr id="0" name=""/>
        <dsp:cNvSpPr/>
      </dsp:nvSpPr>
      <dsp:spPr>
        <a:xfrm rot="11880000">
          <a:off x="2131714" y="1409834"/>
          <a:ext cx="169770" cy="27087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GB" sz="700" kern="1200"/>
        </a:p>
      </dsp:txBody>
      <dsp:txXfrm rot="10800000">
        <a:off x="2181399" y="1471878"/>
        <a:ext cx="118839" cy="162524"/>
      </dsp:txXfrm>
    </dsp:sp>
    <dsp:sp modelId="{9DA5487E-E9E8-4AF8-99A6-6694C06CCA82}">
      <dsp:nvSpPr>
        <dsp:cNvPr id="0" name=""/>
        <dsp:cNvSpPr/>
      </dsp:nvSpPr>
      <dsp:spPr>
        <a:xfrm>
          <a:off x="1088215" y="842494"/>
          <a:ext cx="995862" cy="99586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t>Capability or qualifications</a:t>
          </a:r>
        </a:p>
      </dsp:txBody>
      <dsp:txXfrm>
        <a:off x="1234056" y="988335"/>
        <a:ext cx="704180" cy="70418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39BCAE2-42AF-4869-8C28-A98A54484E8E}">
      <dsp:nvSpPr>
        <dsp:cNvPr id="0" name=""/>
        <dsp:cNvSpPr/>
      </dsp:nvSpPr>
      <dsp:spPr>
        <a:xfrm>
          <a:off x="1511940" y="368940"/>
          <a:ext cx="2462518" cy="2462518"/>
        </a:xfrm>
        <a:prstGeom prst="blockArc">
          <a:avLst>
            <a:gd name="adj1" fmla="val 10800000"/>
            <a:gd name="adj2" fmla="val 16200000"/>
            <a:gd name="adj3" fmla="val 4639"/>
          </a:avLst>
        </a:prstGeom>
        <a:solidFill>
          <a:schemeClr val="accent2">
            <a:lumMod val="50000"/>
          </a:schemeClr>
        </a:solidFill>
        <a:ln>
          <a:noFill/>
        </a:ln>
        <a:effectLst/>
      </dsp:spPr>
      <dsp:style>
        <a:lnRef idx="0">
          <a:scrgbClr r="0" g="0" b="0"/>
        </a:lnRef>
        <a:fillRef idx="1">
          <a:scrgbClr r="0" g="0" b="0"/>
        </a:fillRef>
        <a:effectRef idx="0">
          <a:scrgbClr r="0" g="0" b="0"/>
        </a:effectRef>
        <a:fontRef idx="minor">
          <a:schemeClr val="lt1"/>
        </a:fontRef>
      </dsp:style>
    </dsp:sp>
    <dsp:sp modelId="{3FD479E3-BB1E-4C04-9FA1-5EE37E41C0B0}">
      <dsp:nvSpPr>
        <dsp:cNvPr id="0" name=""/>
        <dsp:cNvSpPr/>
      </dsp:nvSpPr>
      <dsp:spPr>
        <a:xfrm>
          <a:off x="1511940" y="368940"/>
          <a:ext cx="2462518" cy="2462518"/>
        </a:xfrm>
        <a:prstGeom prst="blockArc">
          <a:avLst>
            <a:gd name="adj1" fmla="val 5400000"/>
            <a:gd name="adj2" fmla="val 10800000"/>
            <a:gd name="adj3" fmla="val 4639"/>
          </a:avLst>
        </a:prstGeom>
        <a:solidFill>
          <a:schemeClr val="accent2">
            <a:lumMod val="75000"/>
          </a:schemeClr>
        </a:solidFill>
        <a:ln>
          <a:noFill/>
        </a:ln>
        <a:effectLst/>
      </dsp:spPr>
      <dsp:style>
        <a:lnRef idx="0">
          <a:scrgbClr r="0" g="0" b="0"/>
        </a:lnRef>
        <a:fillRef idx="1">
          <a:scrgbClr r="0" g="0" b="0"/>
        </a:fillRef>
        <a:effectRef idx="0">
          <a:scrgbClr r="0" g="0" b="0"/>
        </a:effectRef>
        <a:fontRef idx="minor">
          <a:schemeClr val="lt1"/>
        </a:fontRef>
      </dsp:style>
    </dsp:sp>
    <dsp:sp modelId="{4A2A6C01-B6CB-4CEE-AACB-1CD8C003E5C8}">
      <dsp:nvSpPr>
        <dsp:cNvPr id="0" name=""/>
        <dsp:cNvSpPr/>
      </dsp:nvSpPr>
      <dsp:spPr>
        <a:xfrm>
          <a:off x="1511940" y="368940"/>
          <a:ext cx="2462518" cy="2462518"/>
        </a:xfrm>
        <a:prstGeom prst="blockArc">
          <a:avLst>
            <a:gd name="adj1" fmla="val 0"/>
            <a:gd name="adj2" fmla="val 5400000"/>
            <a:gd name="adj3" fmla="val 4639"/>
          </a:avLst>
        </a:prstGeom>
        <a:solidFill>
          <a:schemeClr val="accent2">
            <a:lumMod val="60000"/>
            <a:lumOff val="40000"/>
          </a:schemeClr>
        </a:solidFill>
        <a:ln>
          <a:noFill/>
        </a:ln>
        <a:effectLst/>
      </dsp:spPr>
      <dsp:style>
        <a:lnRef idx="0">
          <a:scrgbClr r="0" g="0" b="0"/>
        </a:lnRef>
        <a:fillRef idx="1">
          <a:scrgbClr r="0" g="0" b="0"/>
        </a:fillRef>
        <a:effectRef idx="0">
          <a:scrgbClr r="0" g="0" b="0"/>
        </a:effectRef>
        <a:fontRef idx="minor">
          <a:schemeClr val="lt1"/>
        </a:fontRef>
      </dsp:style>
    </dsp:sp>
    <dsp:sp modelId="{91B07530-3E9C-4FDC-BBDA-51913AA73912}">
      <dsp:nvSpPr>
        <dsp:cNvPr id="0" name=""/>
        <dsp:cNvSpPr/>
      </dsp:nvSpPr>
      <dsp:spPr>
        <a:xfrm>
          <a:off x="1511940" y="368940"/>
          <a:ext cx="2462518" cy="2462518"/>
        </a:xfrm>
        <a:prstGeom prst="blockArc">
          <a:avLst>
            <a:gd name="adj1" fmla="val 16200000"/>
            <a:gd name="adj2" fmla="val 0"/>
            <a:gd name="adj3" fmla="val 4639"/>
          </a:avLst>
        </a:prstGeom>
        <a:solidFill>
          <a:schemeClr val="accent2">
            <a:lumMod val="40000"/>
            <a:lumOff val="60000"/>
          </a:schemeClr>
        </a:solidFill>
        <a:ln>
          <a:noFill/>
        </a:ln>
        <a:effectLst/>
      </dsp:spPr>
      <dsp:style>
        <a:lnRef idx="0">
          <a:scrgbClr r="0" g="0" b="0"/>
        </a:lnRef>
        <a:fillRef idx="1">
          <a:scrgbClr r="0" g="0" b="0"/>
        </a:fillRef>
        <a:effectRef idx="0">
          <a:scrgbClr r="0" g="0" b="0"/>
        </a:effectRef>
        <a:fontRef idx="minor">
          <a:schemeClr val="lt1"/>
        </a:fontRef>
      </dsp:style>
    </dsp:sp>
    <dsp:sp modelId="{E89DB916-A588-441A-8D46-599C94F3B378}">
      <dsp:nvSpPr>
        <dsp:cNvPr id="0" name=""/>
        <dsp:cNvSpPr/>
      </dsp:nvSpPr>
      <dsp:spPr>
        <a:xfrm>
          <a:off x="2176611" y="1033611"/>
          <a:ext cx="1133177" cy="1133177"/>
        </a:xfrm>
        <a:prstGeom prst="ellipse">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lvl="0" algn="ctr" defTabSz="666750">
            <a:lnSpc>
              <a:spcPct val="90000"/>
            </a:lnSpc>
            <a:spcBef>
              <a:spcPct val="0"/>
            </a:spcBef>
            <a:spcAft>
              <a:spcPct val="35000"/>
            </a:spcAft>
          </a:pPr>
          <a:r>
            <a:rPr lang="en-US" sz="1500" kern="1200"/>
            <a:t>Fair Dismissal</a:t>
          </a:r>
        </a:p>
      </dsp:txBody>
      <dsp:txXfrm>
        <a:off x="2342561" y="1199561"/>
        <a:ext cx="801277" cy="801277"/>
      </dsp:txXfrm>
    </dsp:sp>
    <dsp:sp modelId="{B14C2726-B46C-474E-8E52-0FCB81FB0107}">
      <dsp:nvSpPr>
        <dsp:cNvPr id="0" name=""/>
        <dsp:cNvSpPr/>
      </dsp:nvSpPr>
      <dsp:spPr>
        <a:xfrm>
          <a:off x="2346587" y="884"/>
          <a:ext cx="793224" cy="793224"/>
        </a:xfrm>
        <a:prstGeom prst="ellipse">
          <a:avLst/>
        </a:prstGeom>
        <a:solidFill>
          <a:schemeClr val="accent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4. Genuine Belief</a:t>
          </a:r>
        </a:p>
      </dsp:txBody>
      <dsp:txXfrm>
        <a:off x="2462752" y="117049"/>
        <a:ext cx="560894" cy="560894"/>
      </dsp:txXfrm>
    </dsp:sp>
    <dsp:sp modelId="{4275AE2E-88B9-47A7-9696-88092AE4A3B0}">
      <dsp:nvSpPr>
        <dsp:cNvPr id="0" name=""/>
        <dsp:cNvSpPr/>
      </dsp:nvSpPr>
      <dsp:spPr>
        <a:xfrm>
          <a:off x="3549290" y="1203587"/>
          <a:ext cx="793224" cy="793224"/>
        </a:xfrm>
        <a:prstGeom prst="ellipse">
          <a:avLst/>
        </a:prstGeom>
        <a:solidFill>
          <a:schemeClr val="accent2">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1. Reasonable Grounds</a:t>
          </a:r>
        </a:p>
      </dsp:txBody>
      <dsp:txXfrm>
        <a:off x="3665455" y="1319752"/>
        <a:ext cx="560894" cy="560894"/>
      </dsp:txXfrm>
    </dsp:sp>
    <dsp:sp modelId="{6EFDE9E7-403D-487D-976F-242B29778CC6}">
      <dsp:nvSpPr>
        <dsp:cNvPr id="0" name=""/>
        <dsp:cNvSpPr/>
      </dsp:nvSpPr>
      <dsp:spPr>
        <a:xfrm>
          <a:off x="2346587" y="2406290"/>
          <a:ext cx="793224" cy="793224"/>
        </a:xfrm>
        <a:prstGeom prst="ellipse">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2. Reasonable Investigation</a:t>
          </a:r>
        </a:p>
      </dsp:txBody>
      <dsp:txXfrm>
        <a:off x="2462752" y="2522455"/>
        <a:ext cx="560894" cy="560894"/>
      </dsp:txXfrm>
    </dsp:sp>
    <dsp:sp modelId="{6C7CFA14-1DF0-43E9-9EC7-E9667A3DB3AB}">
      <dsp:nvSpPr>
        <dsp:cNvPr id="0" name=""/>
        <dsp:cNvSpPr/>
      </dsp:nvSpPr>
      <dsp:spPr>
        <a:xfrm>
          <a:off x="1143884" y="1203587"/>
          <a:ext cx="793224" cy="793224"/>
        </a:xfrm>
        <a:prstGeom prst="ellipse">
          <a:avLst/>
        </a:prstGeom>
        <a:solidFill>
          <a:schemeClr val="accent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3. Employee guilty of misconduct</a:t>
          </a:r>
        </a:p>
      </dsp:txBody>
      <dsp:txXfrm>
        <a:off x="1260049" y="1319752"/>
        <a:ext cx="560894" cy="560894"/>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26</Pages>
  <Words>6362</Words>
  <Characters>36268</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CSG &amp; CC</Company>
  <LinksUpToDate>false</LinksUpToDate>
  <CharactersWithSpaces>42545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KatyB</dc:creator>
  <cp:keywords/>
  <dc:description/>
  <cp:lastModifiedBy>KatyB</cp:lastModifiedBy>
  <cp:revision>2</cp:revision>
  <dcterms:created xsi:type="dcterms:W3CDTF">2019-03-11T16:39:00Z</dcterms:created>
  <dcterms:modified xsi:type="dcterms:W3CDTF">2019-03-11T16:47:00Z</dcterms:modified>
</cp:coreProperties>
</file>