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2.xml" ContentType="application/vnd.ms-office.chartex+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4D3250" w14:textId="77777777" w:rsidR="00C26FA1" w:rsidRPr="00A85BFE" w:rsidRDefault="00C26FA1" w:rsidP="00C26FA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9342227" wp14:editId="500EE9C4">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48FD812" w14:textId="77777777" w:rsidR="00C26FA1" w:rsidRPr="00A406E5" w:rsidRDefault="00C26FA1" w:rsidP="00C26FA1">
      <w:pPr>
        <w:rPr>
          <w:rFonts w:ascii="Arial" w:hAnsi="Arial" w:cs="Arial"/>
        </w:rPr>
      </w:pPr>
      <w:bookmarkStart w:id="0" w:name="_GoBack"/>
      <w:bookmarkEnd w:id="0"/>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26FA1" w:rsidRPr="00A406E5" w14:paraId="37015ED6" w14:textId="77777777" w:rsidTr="00161B42">
        <w:tc>
          <w:tcPr>
            <w:tcW w:w="9922" w:type="dxa"/>
            <w:shd w:val="clear" w:color="auto" w:fill="C0C0C0"/>
          </w:tcPr>
          <w:p w14:paraId="6D60D612" w14:textId="77777777" w:rsidR="00C26FA1" w:rsidRPr="00A406E5" w:rsidRDefault="00C26FA1" w:rsidP="00161B42">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4A9FF99B" w14:textId="77777777" w:rsidR="00C26FA1" w:rsidRPr="00A406E5" w:rsidRDefault="00C26FA1" w:rsidP="00C26FA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26FA1" w:rsidRPr="00A406E5" w14:paraId="372E6FC7" w14:textId="77777777" w:rsidTr="00161B42">
        <w:tc>
          <w:tcPr>
            <w:tcW w:w="2093" w:type="dxa"/>
            <w:shd w:val="pct15" w:color="auto" w:fill="auto"/>
          </w:tcPr>
          <w:p w14:paraId="76377C2F"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Student name:</w:t>
            </w:r>
          </w:p>
        </w:tc>
        <w:tc>
          <w:tcPr>
            <w:tcW w:w="3293" w:type="dxa"/>
          </w:tcPr>
          <w:p w14:paraId="49A3FEDA" w14:textId="77777777" w:rsidR="00C26FA1" w:rsidRPr="00A406E5" w:rsidRDefault="00C26FA1" w:rsidP="00161B42">
            <w:pPr>
              <w:spacing w:before="120" w:after="120"/>
              <w:rPr>
                <w:rFonts w:ascii="Arial" w:hAnsi="Arial" w:cs="Arial"/>
                <w:b/>
                <w:sz w:val="22"/>
              </w:rPr>
            </w:pPr>
            <w:r w:rsidRPr="00A406E5">
              <w:rPr>
                <w:rFonts w:ascii="Arial" w:hAnsi="Arial" w:cs="Arial"/>
                <w:b/>
                <w:sz w:val="22"/>
              </w:rPr>
              <w:fldChar w:fldCharType="begin">
                <w:ffData>
                  <w:name w:val="Text2"/>
                  <w:enabled/>
                  <w:calcOnExit w:val="0"/>
                  <w:textInput/>
                </w:ffData>
              </w:fldChar>
            </w:r>
            <w:r w:rsidRPr="00A406E5">
              <w:rPr>
                <w:rFonts w:ascii="Arial" w:hAnsi="Arial" w:cs="Arial"/>
                <w:b/>
                <w:sz w:val="22"/>
              </w:rPr>
              <w:instrText xml:space="preserve"> FORMTEXT </w:instrText>
            </w:r>
            <w:r w:rsidRPr="00A406E5">
              <w:rPr>
                <w:rFonts w:ascii="Arial" w:hAnsi="Arial" w:cs="Arial"/>
                <w:b/>
                <w:sz w:val="22"/>
              </w:rPr>
            </w:r>
            <w:r w:rsidRPr="00A406E5">
              <w:rPr>
                <w:rFonts w:ascii="Arial" w:hAnsi="Arial" w:cs="Arial"/>
                <w:b/>
                <w:sz w:val="22"/>
              </w:rPr>
              <w:fldChar w:fldCharType="separate"/>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sz w:val="22"/>
              </w:rPr>
              <w:fldChar w:fldCharType="end"/>
            </w:r>
            <w:r>
              <w:rPr>
                <w:rFonts w:ascii="Arial" w:hAnsi="Arial" w:cs="Arial"/>
                <w:b/>
                <w:sz w:val="22"/>
              </w:rPr>
              <w:t>Neil Gregory Howe</w:t>
            </w:r>
          </w:p>
        </w:tc>
        <w:tc>
          <w:tcPr>
            <w:tcW w:w="2268" w:type="dxa"/>
            <w:shd w:val="clear" w:color="auto" w:fill="D9D9D9"/>
          </w:tcPr>
          <w:p w14:paraId="3374BAB3"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Student ID number:</w:t>
            </w:r>
          </w:p>
        </w:tc>
        <w:tc>
          <w:tcPr>
            <w:tcW w:w="2268" w:type="dxa"/>
          </w:tcPr>
          <w:p w14:paraId="202B4623" w14:textId="77777777" w:rsidR="00C26FA1" w:rsidRPr="00A406E5" w:rsidRDefault="00C26FA1" w:rsidP="00161B42">
            <w:pPr>
              <w:spacing w:before="120" w:after="120"/>
              <w:rPr>
                <w:rFonts w:ascii="Arial" w:hAnsi="Arial" w:cs="Arial"/>
                <w:b/>
                <w:sz w:val="22"/>
              </w:rPr>
            </w:pPr>
            <w:r>
              <w:rPr>
                <w:rFonts w:ascii="Arial" w:hAnsi="Arial" w:cs="Arial"/>
                <w:b/>
                <w:sz w:val="22"/>
              </w:rPr>
              <w:t>1800194</w:t>
            </w:r>
          </w:p>
        </w:tc>
      </w:tr>
      <w:tr w:rsidR="00C26FA1" w:rsidRPr="00A406E5" w14:paraId="679F8EBB" w14:textId="77777777" w:rsidTr="00161B42">
        <w:tc>
          <w:tcPr>
            <w:tcW w:w="2093" w:type="dxa"/>
            <w:shd w:val="pct15" w:color="auto" w:fill="auto"/>
          </w:tcPr>
          <w:p w14:paraId="0B82EE94"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Programme:</w:t>
            </w:r>
          </w:p>
        </w:tc>
        <w:tc>
          <w:tcPr>
            <w:tcW w:w="7829" w:type="dxa"/>
            <w:gridSpan w:val="3"/>
          </w:tcPr>
          <w:p w14:paraId="3907499B" w14:textId="77777777" w:rsidR="00C26FA1" w:rsidRPr="00A406E5" w:rsidRDefault="00C26FA1" w:rsidP="00161B42">
            <w:pPr>
              <w:spacing w:before="120" w:after="120"/>
              <w:rPr>
                <w:rFonts w:ascii="Arial" w:hAnsi="Arial" w:cs="Arial"/>
                <w:b/>
                <w:sz w:val="22"/>
              </w:rPr>
            </w:pPr>
            <w:r>
              <w:rPr>
                <w:rFonts w:ascii="Arial" w:hAnsi="Arial" w:cs="Arial"/>
                <w:b/>
                <w:sz w:val="22"/>
              </w:rPr>
              <w:t>Secondary PGCE</w:t>
            </w:r>
          </w:p>
        </w:tc>
      </w:tr>
      <w:tr w:rsidR="00C26FA1" w:rsidRPr="00A406E5" w14:paraId="1EAF702D" w14:textId="77777777" w:rsidTr="00161B42">
        <w:tc>
          <w:tcPr>
            <w:tcW w:w="2093" w:type="dxa"/>
            <w:shd w:val="pct15" w:color="auto" w:fill="auto"/>
          </w:tcPr>
          <w:p w14:paraId="6F338A73"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Module:</w:t>
            </w:r>
          </w:p>
        </w:tc>
        <w:tc>
          <w:tcPr>
            <w:tcW w:w="7829" w:type="dxa"/>
            <w:gridSpan w:val="3"/>
            <w:shd w:val="clear" w:color="auto" w:fill="auto"/>
          </w:tcPr>
          <w:p w14:paraId="27535AE9" w14:textId="77777777" w:rsidR="00C26FA1" w:rsidRPr="00F63C8B" w:rsidRDefault="00C26FA1" w:rsidP="00161B42">
            <w:pPr>
              <w:pStyle w:val="NormalWeb"/>
              <w:rPr>
                <w:sz w:val="22"/>
                <w:szCs w:val="22"/>
              </w:rPr>
            </w:pPr>
            <w:r w:rsidRPr="00F63C8B">
              <w:rPr>
                <w:rFonts w:ascii="Arial" w:hAnsi="Arial" w:cs="Arial"/>
                <w:b/>
                <w:bCs/>
                <w:sz w:val="22"/>
                <w:szCs w:val="22"/>
              </w:rPr>
              <w:t xml:space="preserve">Curriculum Development and Enhancement </w:t>
            </w:r>
          </w:p>
          <w:p w14:paraId="43D35D4F" w14:textId="77777777" w:rsidR="00C26FA1" w:rsidRPr="00F63C8B" w:rsidRDefault="00C26FA1" w:rsidP="00161B42">
            <w:pPr>
              <w:spacing w:before="120" w:after="120"/>
              <w:rPr>
                <w:rFonts w:ascii="Arial" w:hAnsi="Arial" w:cs="Arial"/>
                <w:b/>
                <w:sz w:val="22"/>
              </w:rPr>
            </w:pPr>
          </w:p>
        </w:tc>
      </w:tr>
      <w:tr w:rsidR="00C26FA1" w:rsidRPr="00A406E5" w14:paraId="6EEE3D75" w14:textId="77777777" w:rsidTr="00161B42">
        <w:tc>
          <w:tcPr>
            <w:tcW w:w="2093" w:type="dxa"/>
            <w:shd w:val="pct15" w:color="auto" w:fill="auto"/>
          </w:tcPr>
          <w:p w14:paraId="4B6F24F8"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Module code:</w:t>
            </w:r>
          </w:p>
        </w:tc>
        <w:tc>
          <w:tcPr>
            <w:tcW w:w="3293" w:type="dxa"/>
          </w:tcPr>
          <w:p w14:paraId="01EA27E6" w14:textId="77777777" w:rsidR="00C26FA1" w:rsidRPr="00A406E5" w:rsidRDefault="00C26FA1" w:rsidP="00161B42">
            <w:pPr>
              <w:spacing w:before="120" w:after="120"/>
              <w:rPr>
                <w:rFonts w:ascii="Arial" w:hAnsi="Arial" w:cs="Arial"/>
                <w:b/>
                <w:sz w:val="22"/>
              </w:rPr>
            </w:pPr>
            <w:r>
              <w:rPr>
                <w:rFonts w:ascii="Arial" w:hAnsi="Arial" w:cs="Arial"/>
                <w:b/>
                <w:sz w:val="22"/>
              </w:rPr>
              <w:t>ECSP7002</w:t>
            </w:r>
          </w:p>
        </w:tc>
        <w:tc>
          <w:tcPr>
            <w:tcW w:w="2268" w:type="dxa"/>
            <w:shd w:val="clear" w:color="auto" w:fill="D9D9D9"/>
          </w:tcPr>
          <w:p w14:paraId="0F0941F4" w14:textId="77777777" w:rsidR="00C26FA1" w:rsidRPr="004D5E9B" w:rsidRDefault="00C26FA1" w:rsidP="00161B4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33E53D" w14:textId="77777777" w:rsidR="00C26FA1" w:rsidRPr="00A406E5" w:rsidRDefault="00C26FA1" w:rsidP="00161B42">
            <w:pPr>
              <w:spacing w:before="120" w:after="120"/>
              <w:rPr>
                <w:rFonts w:ascii="Arial" w:hAnsi="Arial" w:cs="Arial"/>
                <w:b/>
                <w:sz w:val="22"/>
              </w:rPr>
            </w:pPr>
            <w:r>
              <w:rPr>
                <w:rFonts w:ascii="Arial" w:hAnsi="Arial" w:cs="Arial"/>
                <w:b/>
                <w:sz w:val="22"/>
              </w:rPr>
              <w:t>100%</w:t>
            </w:r>
          </w:p>
        </w:tc>
      </w:tr>
      <w:tr w:rsidR="00C26FA1" w:rsidRPr="00A406E5" w14:paraId="04CBF8E5" w14:textId="77777777" w:rsidTr="00161B42">
        <w:tc>
          <w:tcPr>
            <w:tcW w:w="2093" w:type="dxa"/>
            <w:shd w:val="pct15" w:color="auto" w:fill="auto"/>
          </w:tcPr>
          <w:p w14:paraId="44B8ABB6"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Lecturer:</w:t>
            </w:r>
          </w:p>
        </w:tc>
        <w:tc>
          <w:tcPr>
            <w:tcW w:w="3293" w:type="dxa"/>
          </w:tcPr>
          <w:p w14:paraId="7BA048D8" w14:textId="77777777" w:rsidR="00C26FA1" w:rsidRPr="00A406E5" w:rsidRDefault="00C26FA1" w:rsidP="00161B42">
            <w:pPr>
              <w:spacing w:before="120" w:after="120"/>
              <w:rPr>
                <w:rFonts w:ascii="Arial" w:hAnsi="Arial" w:cs="Arial"/>
                <w:b/>
                <w:sz w:val="22"/>
              </w:rPr>
            </w:pPr>
            <w:r>
              <w:rPr>
                <w:rFonts w:ascii="Arial" w:hAnsi="Arial" w:cs="Arial"/>
                <w:b/>
                <w:sz w:val="22"/>
              </w:rPr>
              <w:t>Helen Denny</w:t>
            </w:r>
          </w:p>
        </w:tc>
        <w:tc>
          <w:tcPr>
            <w:tcW w:w="2268" w:type="dxa"/>
            <w:shd w:val="clear" w:color="auto" w:fill="D9D9D9"/>
          </w:tcPr>
          <w:p w14:paraId="4F177D9B"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Internal Verifier:</w:t>
            </w:r>
          </w:p>
        </w:tc>
        <w:tc>
          <w:tcPr>
            <w:tcW w:w="2268" w:type="dxa"/>
          </w:tcPr>
          <w:p w14:paraId="533A75F4" w14:textId="77777777" w:rsidR="00C26FA1" w:rsidRPr="00A406E5" w:rsidRDefault="00C26FA1" w:rsidP="00161B42">
            <w:pPr>
              <w:spacing w:before="120" w:after="120"/>
              <w:rPr>
                <w:rFonts w:ascii="Arial" w:hAnsi="Arial" w:cs="Arial"/>
                <w:b/>
                <w:sz w:val="22"/>
              </w:rPr>
            </w:pPr>
          </w:p>
        </w:tc>
      </w:tr>
      <w:tr w:rsidR="00C26FA1" w:rsidRPr="00A406E5" w14:paraId="18CE3CAE" w14:textId="77777777" w:rsidTr="00161B42">
        <w:tc>
          <w:tcPr>
            <w:tcW w:w="2093" w:type="dxa"/>
            <w:shd w:val="pct15" w:color="auto" w:fill="auto"/>
          </w:tcPr>
          <w:p w14:paraId="20182835"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Assignment Title:</w:t>
            </w:r>
          </w:p>
        </w:tc>
        <w:tc>
          <w:tcPr>
            <w:tcW w:w="3293" w:type="dxa"/>
          </w:tcPr>
          <w:p w14:paraId="59CB49E0" w14:textId="77777777" w:rsidR="00C26FA1" w:rsidRDefault="00C26FA1" w:rsidP="00161B42">
            <w:pPr>
              <w:pStyle w:val="NormalWeb"/>
            </w:pPr>
            <w:r>
              <w:rPr>
                <w:rFonts w:ascii="Arial" w:hAnsi="Arial" w:cs="Arial"/>
                <w:b/>
                <w:bCs/>
                <w:sz w:val="22"/>
                <w:szCs w:val="22"/>
              </w:rPr>
              <w:t xml:space="preserve">Research Study including Ethics Form </w:t>
            </w:r>
          </w:p>
          <w:p w14:paraId="66DE014C" w14:textId="77777777" w:rsidR="00C26FA1" w:rsidRPr="00A406E5" w:rsidRDefault="00C26FA1" w:rsidP="00161B42">
            <w:pPr>
              <w:spacing w:before="120" w:after="120"/>
              <w:rPr>
                <w:rFonts w:ascii="Arial" w:hAnsi="Arial" w:cs="Arial"/>
                <w:b/>
                <w:sz w:val="22"/>
              </w:rPr>
            </w:pPr>
          </w:p>
        </w:tc>
        <w:tc>
          <w:tcPr>
            <w:tcW w:w="2268" w:type="dxa"/>
            <w:shd w:val="pct15" w:color="auto" w:fill="auto"/>
          </w:tcPr>
          <w:p w14:paraId="6DE4A22A" w14:textId="77777777" w:rsidR="00C26FA1" w:rsidRPr="00A406E5" w:rsidRDefault="00C26FA1" w:rsidP="00161B42">
            <w:pPr>
              <w:spacing w:before="120" w:after="120"/>
              <w:rPr>
                <w:rFonts w:ascii="Arial" w:hAnsi="Arial" w:cs="Arial"/>
                <w:b/>
                <w:sz w:val="22"/>
              </w:rPr>
            </w:pPr>
            <w:r>
              <w:rPr>
                <w:rFonts w:ascii="Arial" w:hAnsi="Arial" w:cs="Arial"/>
                <w:b/>
                <w:sz w:val="22"/>
              </w:rPr>
              <w:t>Word count (or equivalent):</w:t>
            </w:r>
          </w:p>
        </w:tc>
        <w:tc>
          <w:tcPr>
            <w:tcW w:w="2268" w:type="dxa"/>
          </w:tcPr>
          <w:p w14:paraId="772E1220" w14:textId="77777777" w:rsidR="00C26FA1" w:rsidRDefault="00C26FA1" w:rsidP="00161B42">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3D7A52FB" w14:textId="77777777" w:rsidR="00C26FA1" w:rsidRPr="00A406E5" w:rsidRDefault="00C26FA1" w:rsidP="00161B42">
            <w:pPr>
              <w:spacing w:before="120" w:after="120"/>
              <w:rPr>
                <w:rFonts w:ascii="Arial" w:hAnsi="Arial" w:cs="Arial"/>
                <w:b/>
                <w:sz w:val="22"/>
              </w:rPr>
            </w:pPr>
          </w:p>
        </w:tc>
      </w:tr>
      <w:tr w:rsidR="00C26FA1" w:rsidRPr="00A406E5" w14:paraId="005F2F5D" w14:textId="77777777" w:rsidTr="00161B42">
        <w:tc>
          <w:tcPr>
            <w:tcW w:w="2093" w:type="dxa"/>
            <w:shd w:val="pct15" w:color="auto" w:fill="auto"/>
          </w:tcPr>
          <w:p w14:paraId="3AFA9C5A"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Submission deadline:</w:t>
            </w:r>
          </w:p>
        </w:tc>
        <w:tc>
          <w:tcPr>
            <w:tcW w:w="3293" w:type="dxa"/>
            <w:shd w:val="clear" w:color="auto" w:fill="auto"/>
          </w:tcPr>
          <w:p w14:paraId="3B4D0AED" w14:textId="77777777" w:rsidR="00C26FA1" w:rsidRDefault="00C26FA1" w:rsidP="00161B42">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15A904F6" w14:textId="77777777" w:rsidR="00C26FA1" w:rsidRPr="00A406E5" w:rsidRDefault="00C26FA1" w:rsidP="00161B42">
            <w:pPr>
              <w:spacing w:before="120" w:after="120"/>
              <w:rPr>
                <w:rFonts w:ascii="Arial" w:hAnsi="Arial" w:cs="Arial"/>
                <w:b/>
                <w:sz w:val="22"/>
              </w:rPr>
            </w:pPr>
          </w:p>
        </w:tc>
        <w:tc>
          <w:tcPr>
            <w:tcW w:w="2268" w:type="dxa"/>
            <w:shd w:val="pct15" w:color="auto" w:fill="auto"/>
          </w:tcPr>
          <w:p w14:paraId="10300333"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Return date of provisional marks &amp; written feedback:</w:t>
            </w:r>
          </w:p>
        </w:tc>
        <w:tc>
          <w:tcPr>
            <w:tcW w:w="2268" w:type="dxa"/>
          </w:tcPr>
          <w:p w14:paraId="1CF766FD" w14:textId="77777777" w:rsidR="00C26FA1" w:rsidRDefault="00C26FA1" w:rsidP="00161B42">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A36B8DF" w14:textId="77777777" w:rsidR="00C26FA1" w:rsidRPr="00A406E5" w:rsidRDefault="00C26FA1" w:rsidP="00161B42">
            <w:pPr>
              <w:spacing w:before="120" w:after="120"/>
              <w:rPr>
                <w:rFonts w:ascii="Arial" w:hAnsi="Arial" w:cs="Arial"/>
                <w:b/>
                <w:sz w:val="22"/>
              </w:rPr>
            </w:pPr>
          </w:p>
        </w:tc>
      </w:tr>
      <w:tr w:rsidR="00C26FA1" w:rsidRPr="00A406E5" w14:paraId="143FBBBA" w14:textId="77777777" w:rsidTr="00161B42">
        <w:tc>
          <w:tcPr>
            <w:tcW w:w="2093" w:type="dxa"/>
            <w:shd w:val="pct15" w:color="auto" w:fill="auto"/>
          </w:tcPr>
          <w:p w14:paraId="5EA8A8EC"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3"/>
            <w:shd w:val="clear" w:color="auto" w:fill="auto"/>
          </w:tcPr>
          <w:p w14:paraId="07655109" w14:textId="77777777" w:rsidR="00C26FA1" w:rsidRPr="00A406E5" w:rsidRDefault="00C26FA1" w:rsidP="00161B42">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E28C54"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 xml:space="preserve">Alternative submission method (if applicable): </w:t>
            </w:r>
          </w:p>
          <w:p w14:paraId="122E45FD" w14:textId="77777777" w:rsidR="00C26FA1" w:rsidRPr="00A406E5" w:rsidRDefault="00C26FA1" w:rsidP="00161B42">
            <w:pPr>
              <w:spacing w:before="120" w:after="120"/>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 xml:space="preserve">f 50%.  </w:t>
            </w:r>
            <w:r>
              <w:rPr>
                <w:rFonts w:ascii="Arial" w:hAnsi="Arial" w:cs="Arial"/>
                <w:sz w:val="22"/>
              </w:rPr>
              <w:lastRenderedPageBreak/>
              <w:t>Over one week late, 0%</w:t>
            </w:r>
            <w:r w:rsidRPr="00A406E5">
              <w:rPr>
                <w:rFonts w:ascii="Arial" w:hAnsi="Arial" w:cs="Arial"/>
                <w:sz w:val="22"/>
              </w:rPr>
              <w:t>.  Only the Extenuating Circumstances Panel may approve a change to submission dates.</w:t>
            </w:r>
          </w:p>
        </w:tc>
      </w:tr>
      <w:tr w:rsidR="00C26FA1" w:rsidRPr="00A406E5" w14:paraId="2651BFB4" w14:textId="77777777" w:rsidTr="00161B42">
        <w:tc>
          <w:tcPr>
            <w:tcW w:w="2093" w:type="dxa"/>
            <w:shd w:val="pct15" w:color="auto" w:fill="auto"/>
          </w:tcPr>
          <w:p w14:paraId="6C11869D" w14:textId="77777777" w:rsidR="00C26FA1" w:rsidRPr="00A406E5" w:rsidRDefault="00C26FA1" w:rsidP="00161B42">
            <w:pPr>
              <w:spacing w:before="120" w:after="120"/>
              <w:rPr>
                <w:rFonts w:ascii="Arial" w:hAnsi="Arial" w:cs="Arial"/>
                <w:b/>
                <w:sz w:val="22"/>
              </w:rPr>
            </w:pPr>
            <w:r w:rsidRPr="00A406E5">
              <w:rPr>
                <w:rFonts w:ascii="Arial" w:hAnsi="Arial" w:cs="Arial"/>
                <w:b/>
                <w:sz w:val="22"/>
              </w:rPr>
              <w:lastRenderedPageBreak/>
              <w:t>Academic honesty / referencing:</w:t>
            </w:r>
          </w:p>
        </w:tc>
        <w:tc>
          <w:tcPr>
            <w:tcW w:w="7829" w:type="dxa"/>
            <w:gridSpan w:val="3"/>
            <w:shd w:val="clear" w:color="auto" w:fill="auto"/>
          </w:tcPr>
          <w:p w14:paraId="77663024" w14:textId="77777777" w:rsidR="00C26FA1" w:rsidRPr="00A406E5" w:rsidRDefault="00C26FA1" w:rsidP="00161B42">
            <w:pPr>
              <w:spacing w:before="120" w:after="120"/>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p w14:paraId="0B9E0C06" w14:textId="77777777" w:rsidR="00C26FA1" w:rsidRDefault="00C26FA1" w:rsidP="006931E4">
      <w:pPr>
        <w:pStyle w:val="Title"/>
      </w:pPr>
    </w:p>
    <w:p w14:paraId="34DFC9CB" w14:textId="77777777" w:rsidR="00C26FA1" w:rsidRDefault="00C26FA1">
      <w:pPr>
        <w:spacing w:line="259" w:lineRule="auto"/>
        <w:jc w:val="left"/>
        <w:rPr>
          <w:rFonts w:asciiTheme="majorHAnsi" w:eastAsiaTheme="majorEastAsia" w:hAnsiTheme="majorHAnsi" w:cstheme="majorBidi"/>
          <w:spacing w:val="-10"/>
          <w:kern w:val="28"/>
          <w:sz w:val="56"/>
          <w:szCs w:val="56"/>
          <w:u w:val="single"/>
        </w:rPr>
      </w:pPr>
      <w:r>
        <w:br w:type="page"/>
      </w:r>
    </w:p>
    <w:p w14:paraId="1E82ADBB" w14:textId="493FEFD0" w:rsidR="005C370F" w:rsidRDefault="00306261" w:rsidP="006931E4">
      <w:pPr>
        <w:pStyle w:val="Title"/>
      </w:pPr>
      <w:r>
        <w:lastRenderedPageBreak/>
        <w:t>Action Research Project: Three, Two, One Exit Passes</w:t>
      </w:r>
    </w:p>
    <w:p w14:paraId="51DECF1A" w14:textId="6BBBF342" w:rsidR="006931E4" w:rsidRDefault="006931E4" w:rsidP="006931E4"/>
    <w:p w14:paraId="24700A83" w14:textId="2F1D24FC" w:rsidR="006931E4" w:rsidRDefault="006931E4" w:rsidP="006931E4">
      <w:pPr>
        <w:pStyle w:val="Heading1"/>
      </w:pPr>
      <w:r>
        <w:t>Introduction:</w:t>
      </w:r>
    </w:p>
    <w:p w14:paraId="0C20A181" w14:textId="77777777" w:rsidR="0036291B" w:rsidRPr="0036291B" w:rsidRDefault="0036291B" w:rsidP="0036291B"/>
    <w:p w14:paraId="65F85848" w14:textId="78C17432" w:rsidR="006931E4" w:rsidRDefault="00E5366C" w:rsidP="006931E4">
      <w:r>
        <w:t>Plenary’s are considered an essential part of a good lesson, however, it is debatable whether all plenary’s are as effective as each other in 1) aiding the recall of knowledge from one lesson to another</w:t>
      </w:r>
      <w:r w:rsidR="00BA58EA">
        <w:t xml:space="preserve"> and</w:t>
      </w:r>
      <w:r>
        <w:t xml:space="preserve"> 2)</w:t>
      </w:r>
      <w:r w:rsidR="00882327">
        <w:t xml:space="preserve"> provide a</w:t>
      </w:r>
      <w:r>
        <w:t xml:space="preserve"> formative assess</w:t>
      </w:r>
      <w:r w:rsidR="00882327">
        <w:t>ment</w:t>
      </w:r>
      <w:r>
        <w:t xml:space="preserve"> the class as to their understanding and/or progress over the course of the lesson. Owing to a variety of constraints (time, word count, ethical considerations, ETC.)</w:t>
      </w:r>
      <w:r w:rsidRPr="00E5366C">
        <w:t xml:space="preserve"> </w:t>
      </w:r>
      <w:r>
        <w:t xml:space="preserve">This research project will only </w:t>
      </w:r>
      <w:r w:rsidR="00CC2921">
        <w:t>consider t</w:t>
      </w:r>
      <w:r w:rsidR="00BA58EA">
        <w:t>wo</w:t>
      </w:r>
      <w:r w:rsidR="00CC2921">
        <w:t xml:space="preserve"> plenaries. </w:t>
      </w:r>
      <w:r>
        <w:t xml:space="preserve">The purpose of this research project is to investigate the impact of “three </w:t>
      </w:r>
      <w:r w:rsidR="00403942">
        <w:t xml:space="preserve">– </w:t>
      </w:r>
      <w:r>
        <w:t>two</w:t>
      </w:r>
      <w:r w:rsidR="00403942">
        <w:t xml:space="preserve"> -</w:t>
      </w:r>
      <w:r>
        <w:t xml:space="preserve"> one exit tickets” on the ability of students to recall knowledge from the previous lesson</w:t>
      </w:r>
      <w:r w:rsidR="00CC2921">
        <w:t>, comparing the results with those obtained following a plenary where a question was posed, and</w:t>
      </w:r>
      <w:r w:rsidR="00011EAC">
        <w:t xml:space="preserve"> where</w:t>
      </w:r>
      <w:r w:rsidR="00CC2921">
        <w:t xml:space="preserve"> students had to position themselves upon a continuum</w:t>
      </w:r>
      <w:r>
        <w:t xml:space="preserve">. </w:t>
      </w:r>
      <w:r w:rsidR="00CC2921">
        <w:t>Clearly, such an approach will undoubtedly have a number of limitations, which will be considered in later sections. Through selecting “three</w:t>
      </w:r>
      <w:r w:rsidR="00BE7557">
        <w:t xml:space="preserve"> –</w:t>
      </w:r>
      <w:r w:rsidR="00CC2921">
        <w:t xml:space="preserve"> two</w:t>
      </w:r>
      <w:r w:rsidR="00BE7557">
        <w:t xml:space="preserve"> -</w:t>
      </w:r>
      <w:r w:rsidR="00CC2921">
        <w:t xml:space="preserve"> one exit tickets” as the focus for this project the intention is to ground research within assessment for learning (AFL), and formative assessment. There is a considerable body of research on these two areas, which not only informed the design of the research project, but will be discussed below.</w:t>
      </w:r>
      <w:r w:rsidR="0036291B">
        <w:t xml:space="preserve"> </w:t>
      </w:r>
    </w:p>
    <w:p w14:paraId="3ACC9F8C" w14:textId="6CCEA5F1" w:rsidR="0036291B" w:rsidRDefault="0036291B" w:rsidP="006931E4">
      <w:r>
        <w:tab/>
        <w:t>This piece of action research was undertaken in a small</w:t>
      </w:r>
      <w:r w:rsidR="00147C25">
        <w:t xml:space="preserve"> (c. 500 pupils)</w:t>
      </w:r>
      <w:r>
        <w:t xml:space="preserve">, </w:t>
      </w:r>
      <w:r w:rsidR="00A52F69">
        <w:t xml:space="preserve">mixed, English medium </w:t>
      </w:r>
      <w:r>
        <w:t>comprehensive school in West Wales.</w:t>
      </w:r>
      <w:r w:rsidR="00A52F69">
        <w:t xml:space="preserve"> The school has 92% attendance and 25.9% EFSM pupils. </w:t>
      </w:r>
      <w:r>
        <w:t>A mixed ability year nine class was selected by convenience sampling</w:t>
      </w:r>
      <w:r w:rsidR="00A52F69">
        <w:t xml:space="preserve">, being a class who I would teach for the required number of lessons, who had lessons that were a similar number of days apart and was scheduled to be taught topics from the same unit of work in the lessons where the research was to be carried out. </w:t>
      </w:r>
    </w:p>
    <w:p w14:paraId="75A26D05" w14:textId="77777777" w:rsidR="00CD78BF" w:rsidRDefault="00CD78BF" w:rsidP="006931E4"/>
    <w:p w14:paraId="6BF2B43E" w14:textId="4A3BB3E6" w:rsidR="006931E4" w:rsidRDefault="006931E4" w:rsidP="006931E4">
      <w:pPr>
        <w:pStyle w:val="Heading1"/>
      </w:pPr>
      <w:r>
        <w:lastRenderedPageBreak/>
        <w:t>Literature Review:</w:t>
      </w:r>
    </w:p>
    <w:p w14:paraId="6F7166C7" w14:textId="074702EC" w:rsidR="006931E4" w:rsidRDefault="006931E4" w:rsidP="006931E4"/>
    <w:p w14:paraId="2C8A7C96" w14:textId="2BEDF4B5" w:rsidR="00256F12" w:rsidRDefault="00AB5A0C" w:rsidP="006931E4">
      <w:r>
        <w:t xml:space="preserve">Formative assessment is a key component of assessment for learning and, some would argue, </w:t>
      </w:r>
      <w:r w:rsidR="003D7EEF">
        <w:t>has a greater impact upon student</w:t>
      </w:r>
      <w:r>
        <w:t xml:space="preserve"> </w:t>
      </w:r>
      <w:r w:rsidR="00F20E2F">
        <w:t xml:space="preserve">learning </w:t>
      </w:r>
      <w:r>
        <w:t>a</w:t>
      </w:r>
      <w:r w:rsidR="00F20E2F">
        <w:t>nd</w:t>
      </w:r>
      <w:r>
        <w:t xml:space="preserve"> progression than </w:t>
      </w:r>
      <w:r w:rsidR="003D7EEF">
        <w:t xml:space="preserve">end of </w:t>
      </w:r>
      <w:r w:rsidR="004D4F76">
        <w:t>unit summative</w:t>
      </w:r>
      <w:r>
        <w:t xml:space="preserve"> assessment. For, whilst summative assessment assesses student’s knowledge and understanding, typically, at the end of a unit of work</w:t>
      </w:r>
      <w:r w:rsidR="00F66914">
        <w:t xml:space="preserve"> </w:t>
      </w:r>
      <w:sdt>
        <w:sdtPr>
          <w:id w:val="251852887"/>
          <w:citation/>
        </w:sdtPr>
        <w:sdtEndPr/>
        <w:sdtContent>
          <w:r w:rsidR="00F66914">
            <w:fldChar w:fldCharType="begin"/>
          </w:r>
          <w:r w:rsidR="00F66914">
            <w:instrText xml:space="preserve"> CITATION Chr18 \l 2057 </w:instrText>
          </w:r>
          <w:r w:rsidR="00F66914">
            <w:fldChar w:fldCharType="separate"/>
          </w:r>
          <w:r w:rsidR="00F66914" w:rsidRPr="00F66914">
            <w:rPr>
              <w:noProof/>
            </w:rPr>
            <w:t>(Atherton, 2018)</w:t>
          </w:r>
          <w:r w:rsidR="00F66914">
            <w:fldChar w:fldCharType="end"/>
          </w:r>
        </w:sdtContent>
      </w:sdt>
      <w:r>
        <w:t xml:space="preserve">, formative assessment is “a tool for learning during the learning process. Assessment is used to evaluate comprehension and learning, thereby facilitating better teaching” </w:t>
      </w:r>
      <w:sdt>
        <w:sdtPr>
          <w:id w:val="-592940144"/>
          <w:citation/>
        </w:sdtPr>
        <w:sdtEndPr/>
        <w:sdtContent>
          <w:r>
            <w:fldChar w:fldCharType="begin"/>
          </w:r>
          <w:r>
            <w:instrText xml:space="preserve">CITATION Chr18 \p 1 \l 2057 </w:instrText>
          </w:r>
          <w:r>
            <w:fldChar w:fldCharType="separate"/>
          </w:r>
          <w:r w:rsidRPr="00AB5A0C">
            <w:rPr>
              <w:noProof/>
            </w:rPr>
            <w:t>(Atherton, 2018, p. 1)</w:t>
          </w:r>
          <w:r>
            <w:fldChar w:fldCharType="end"/>
          </w:r>
        </w:sdtContent>
      </w:sdt>
      <w:r>
        <w:t xml:space="preserve">. Accordingly, it can be viewed as an essential part of the </w:t>
      </w:r>
      <w:r w:rsidR="00CB1A4B">
        <w:t>teacher’s</w:t>
      </w:r>
      <w:r>
        <w:t xml:space="preserve"> toolkit, enabling them, not only to assess</w:t>
      </w:r>
      <w:r w:rsidR="00F66914">
        <w:t xml:space="preserve"> their own practice, as a reflective practitioner, but also enabling them to make timely interventions to correct misconceptions and fill gaps in the knowledge and understanding of their students. In recent years, formative assessment has become a central plank of UK education reform, in part, owing to its reputation as a low-cost, highly effective and scalable intervention</w:t>
      </w:r>
      <w:sdt>
        <w:sdtPr>
          <w:id w:val="873044745"/>
          <w:citation/>
        </w:sdtPr>
        <w:sdtEndPr/>
        <w:sdtContent>
          <w:r w:rsidR="00F66914">
            <w:fldChar w:fldCharType="begin"/>
          </w:r>
          <w:r w:rsidR="00F66914">
            <w:instrText xml:space="preserve"> CITATION Chr18 \l 2057 </w:instrText>
          </w:r>
          <w:r w:rsidR="00F66914">
            <w:fldChar w:fldCharType="separate"/>
          </w:r>
          <w:r w:rsidR="00F66914">
            <w:rPr>
              <w:noProof/>
            </w:rPr>
            <w:t xml:space="preserve"> </w:t>
          </w:r>
          <w:r w:rsidR="00F66914" w:rsidRPr="00F66914">
            <w:rPr>
              <w:noProof/>
            </w:rPr>
            <w:t>(Atherton, 2018)</w:t>
          </w:r>
          <w:r w:rsidR="00F66914">
            <w:fldChar w:fldCharType="end"/>
          </w:r>
        </w:sdtContent>
      </w:sdt>
      <w:r w:rsidR="00F66914">
        <w:t>. Paul Black and Dylan Wiliam have, however, been at pains to warn against formative assessment being viewed as “yet another “magic bullet” for education”</w:t>
      </w:r>
      <w:sdt>
        <w:sdtPr>
          <w:id w:val="1175076109"/>
          <w:citation/>
        </w:sdtPr>
        <w:sdtEndPr/>
        <w:sdtContent>
          <w:r w:rsidR="00F66914">
            <w:fldChar w:fldCharType="begin"/>
          </w:r>
          <w:r w:rsidR="00F66914">
            <w:instrText xml:space="preserve">CITATION Bla10 \p 82 \l 2057 </w:instrText>
          </w:r>
          <w:r w:rsidR="00F66914">
            <w:fldChar w:fldCharType="separate"/>
          </w:r>
          <w:r w:rsidR="00F66914">
            <w:rPr>
              <w:noProof/>
            </w:rPr>
            <w:t xml:space="preserve"> </w:t>
          </w:r>
          <w:r w:rsidR="00F66914" w:rsidRPr="00F66914">
            <w:rPr>
              <w:noProof/>
            </w:rPr>
            <w:t>(Black &amp; Wiliam, 2010, p. 82)</w:t>
          </w:r>
          <w:r w:rsidR="00F66914">
            <w:fldChar w:fldCharType="end"/>
          </w:r>
        </w:sdtContent>
      </w:sdt>
      <w:r w:rsidR="00F66914">
        <w:t xml:space="preserve">. For them, it is essential that the results of formative assessments are used to inform and adjust teaching and learning, otherwise the impact of formative assessment is in danger of being lost </w:t>
      </w:r>
      <w:sdt>
        <w:sdtPr>
          <w:id w:val="265810340"/>
          <w:citation/>
        </w:sdtPr>
        <w:sdtEndPr/>
        <w:sdtContent>
          <w:r w:rsidR="00F66914">
            <w:fldChar w:fldCharType="begin"/>
          </w:r>
          <w:r w:rsidR="00F66914">
            <w:instrText xml:space="preserve"> CITATION Bla10 \l 2057 </w:instrText>
          </w:r>
          <w:r w:rsidR="00F66914">
            <w:fldChar w:fldCharType="separate"/>
          </w:r>
          <w:r w:rsidR="00F66914" w:rsidRPr="00F66914">
            <w:rPr>
              <w:noProof/>
            </w:rPr>
            <w:t>(Black &amp; Wiliam, 2010)</w:t>
          </w:r>
          <w:r w:rsidR="00F66914">
            <w:fldChar w:fldCharType="end"/>
          </w:r>
        </w:sdtContent>
      </w:sdt>
      <w:r w:rsidR="00F66914">
        <w:t>. Black and Wiliam contend that pupil-teacher dialogue</w:t>
      </w:r>
      <w:r w:rsidR="00592AD9">
        <w:t xml:space="preserve"> should be reflective, thoughtful and focused in order that understanding can be explored </w:t>
      </w:r>
      <w:sdt>
        <w:sdtPr>
          <w:id w:val="-104192698"/>
          <w:citation/>
        </w:sdtPr>
        <w:sdtEndPr/>
        <w:sdtContent>
          <w:r w:rsidR="00592AD9">
            <w:fldChar w:fldCharType="begin"/>
          </w:r>
          <w:r w:rsidR="00592AD9">
            <w:instrText xml:space="preserve"> CITATION Bla10 \l 2057 </w:instrText>
          </w:r>
          <w:r w:rsidR="00592AD9">
            <w:fldChar w:fldCharType="separate"/>
          </w:r>
          <w:r w:rsidR="00592AD9" w:rsidRPr="00592AD9">
            <w:rPr>
              <w:noProof/>
            </w:rPr>
            <w:t>(Black &amp; Wiliam, 2010)</w:t>
          </w:r>
          <w:r w:rsidR="00592AD9">
            <w:fldChar w:fldCharType="end"/>
          </w:r>
        </w:sdtContent>
      </w:sdt>
      <w:r w:rsidR="00592AD9">
        <w:t>. It can be argued that “three, two, one exit tickets”, fit this mould, as they encourage students to reflect upon the lesson and extract the three most important part of the lesson. Thought is also encouraged in the final box where students are encouraged to write a question around the topic which will enhance and deepen their understanding.</w:t>
      </w:r>
    </w:p>
    <w:p w14:paraId="404FD099" w14:textId="62D17F65" w:rsidR="00592AD9" w:rsidRDefault="00592AD9" w:rsidP="006931E4">
      <w:r>
        <w:tab/>
        <w:t>For Sonia Jones and Howard Tanner, an essential component of good teaching is the monitoring of student progress. They point out that whilst end of module and end of year tests provide data</w:t>
      </w:r>
      <w:r w:rsidR="008C2F20">
        <w:t xml:space="preserve"> about the success or failure of learning during that period of study, it is frequently too late for the students as misconceptions and gaps in understanding are only picked up when it counts. For them it is imperative that </w:t>
      </w:r>
      <w:r w:rsidR="008C2F20">
        <w:lastRenderedPageBreak/>
        <w:t>interim assessment</w:t>
      </w:r>
      <w:r w:rsidR="007D5B1F">
        <w:t>s</w:t>
      </w:r>
      <w:r w:rsidR="008C2F20">
        <w:t xml:space="preserve"> are made in order for teachers to more effectively support their students’ learning through appropriate interventions during the course of study, ahead of high-stakes summative assessments</w:t>
      </w:r>
      <w:sdt>
        <w:sdtPr>
          <w:id w:val="328717879"/>
          <w:citation/>
        </w:sdtPr>
        <w:sdtEndPr/>
        <w:sdtContent>
          <w:r w:rsidR="008C2F20">
            <w:fldChar w:fldCharType="begin"/>
          </w:r>
          <w:r w:rsidR="008C2F20">
            <w:instrText xml:space="preserve"> CITATION How03 \l 2057 </w:instrText>
          </w:r>
          <w:r w:rsidR="008C2F20">
            <w:fldChar w:fldCharType="separate"/>
          </w:r>
          <w:r w:rsidR="008C2F20">
            <w:rPr>
              <w:noProof/>
            </w:rPr>
            <w:t xml:space="preserve"> </w:t>
          </w:r>
          <w:r w:rsidR="008C2F20" w:rsidRPr="008C2F20">
            <w:rPr>
              <w:noProof/>
            </w:rPr>
            <w:t>(Jones &amp; Tanner, 2003)</w:t>
          </w:r>
          <w:r w:rsidR="008C2F20">
            <w:fldChar w:fldCharType="end"/>
          </w:r>
        </w:sdtContent>
      </w:sdt>
      <w:r w:rsidR="008C2F20">
        <w:t>. Clearly, learning is best supported when knowledge and understanding are periodically assessed during scheme of work</w:t>
      </w:r>
      <w:r w:rsidR="003C58A2">
        <w:t>, using either spaced practice, where topics are periodically re-visited or interleaving</w:t>
      </w:r>
      <w:r w:rsidR="009932C6">
        <w:t>, where topics are taught together, rather than separately</w:t>
      </w:r>
      <w:r w:rsidR="0097144B">
        <w:t xml:space="preserve"> in blocks</w:t>
      </w:r>
      <w:r w:rsidR="0026623A">
        <w:t>, which has been the traditional method of history teaching</w:t>
      </w:r>
      <w:r w:rsidR="008E0325">
        <w:t xml:space="preserve"> </w:t>
      </w:r>
      <w:sdt>
        <w:sdtPr>
          <w:id w:val="-450936297"/>
          <w:citation/>
        </w:sdtPr>
        <w:sdtEndPr/>
        <w:sdtContent>
          <w:r w:rsidR="008E0325">
            <w:fldChar w:fldCharType="begin"/>
          </w:r>
          <w:r w:rsidR="008E0325">
            <w:instrText xml:space="preserve"> CITATION For17 \l 2057 </w:instrText>
          </w:r>
          <w:r w:rsidR="008E0325">
            <w:fldChar w:fldCharType="separate"/>
          </w:r>
          <w:r w:rsidR="008E0325" w:rsidRPr="008E0325">
            <w:rPr>
              <w:noProof/>
            </w:rPr>
            <w:t>(Fordham, 2017)</w:t>
          </w:r>
          <w:r w:rsidR="008E0325">
            <w:fldChar w:fldCharType="end"/>
          </w:r>
        </w:sdtContent>
      </w:sdt>
      <w:r w:rsidR="005A520B">
        <w:t xml:space="preserve">; </w:t>
      </w:r>
      <w:sdt>
        <w:sdtPr>
          <w:id w:val="-1185202544"/>
          <w:citation/>
        </w:sdtPr>
        <w:sdtEndPr/>
        <w:sdtContent>
          <w:r w:rsidR="00F24FE5">
            <w:fldChar w:fldCharType="begin"/>
          </w:r>
          <w:r w:rsidR="00F24FE5">
            <w:instrText xml:space="preserve"> CITATION cla14 \l 2057 </w:instrText>
          </w:r>
          <w:r w:rsidR="00F24FE5">
            <w:fldChar w:fldCharType="separate"/>
          </w:r>
          <w:r w:rsidR="00F24FE5" w:rsidRPr="00F24FE5">
            <w:rPr>
              <w:noProof/>
            </w:rPr>
            <w:t>(Anon., 2014)</w:t>
          </w:r>
          <w:r w:rsidR="00F24FE5">
            <w:fldChar w:fldCharType="end"/>
          </w:r>
        </w:sdtContent>
      </w:sdt>
      <w:r w:rsidR="008C2F20">
        <w:t>. Formative assessment at the end of a lesson and/or topic can help inform the planning and teaching process through highlighting gaps in knowledge and understanding which need re-teaching and enable teachers to correct misconceptions before they become embedded. Indeed, there is evidence that good formative assessment can help develop “nonsense is integrated, deeply understood, personally meaningful and consequently memorable”</w:t>
      </w:r>
      <w:sdt>
        <w:sdtPr>
          <w:id w:val="-1321335934"/>
          <w:citation/>
        </w:sdtPr>
        <w:sdtEndPr/>
        <w:sdtContent>
          <w:r w:rsidR="008C2F20">
            <w:fldChar w:fldCharType="begin"/>
          </w:r>
          <w:r w:rsidR="008C2F20">
            <w:instrText xml:space="preserve">CITATION How03 \p 22 \l 2057 </w:instrText>
          </w:r>
          <w:r w:rsidR="008C2F20">
            <w:fldChar w:fldCharType="separate"/>
          </w:r>
          <w:r w:rsidR="008C2F20">
            <w:rPr>
              <w:noProof/>
            </w:rPr>
            <w:t xml:space="preserve"> </w:t>
          </w:r>
          <w:r w:rsidR="008C2F20" w:rsidRPr="008C2F20">
            <w:rPr>
              <w:noProof/>
            </w:rPr>
            <w:t>(Jones &amp; Tanner, 2003, p. 22)</w:t>
          </w:r>
          <w:r w:rsidR="008C2F20">
            <w:fldChar w:fldCharType="end"/>
          </w:r>
        </w:sdtContent>
      </w:sdt>
      <w:r w:rsidR="008C2F20">
        <w:t>.</w:t>
      </w:r>
    </w:p>
    <w:p w14:paraId="503895E1" w14:textId="2151CF48" w:rsidR="004A691E" w:rsidRDefault="00B9539D" w:rsidP="001F4472">
      <w:r>
        <w:tab/>
        <w:t xml:space="preserve">For </w:t>
      </w:r>
      <w:r w:rsidR="00A133A7">
        <w:t>Shirley Clarke, there is a clear link between formative assessment and teachers as action researchers. Clarke contests that formative assessment has always existed, and has been carried out instinctively and unknowingly by teachers</w:t>
      </w:r>
      <w:r w:rsidR="00011EAC">
        <w:t>,</w:t>
      </w:r>
      <w:r w:rsidR="00A133A7">
        <w:t xml:space="preserve"> for her it is not just another government initiative, but rather something that really works with teachers “taking a few research principles and experimenting with ways of putting them in to action”</w:t>
      </w:r>
      <w:sdt>
        <w:sdtPr>
          <w:id w:val="-1317955742"/>
          <w:citation/>
        </w:sdtPr>
        <w:sdtEndPr/>
        <w:sdtContent>
          <w:r w:rsidR="00A133A7">
            <w:fldChar w:fldCharType="begin"/>
          </w:r>
          <w:r w:rsidR="00A133A7">
            <w:instrText xml:space="preserve">CITATION Shi05 \p 1 \l 2057 </w:instrText>
          </w:r>
          <w:r w:rsidR="00A133A7">
            <w:fldChar w:fldCharType="separate"/>
          </w:r>
          <w:r w:rsidR="00A133A7">
            <w:rPr>
              <w:noProof/>
            </w:rPr>
            <w:t xml:space="preserve"> </w:t>
          </w:r>
          <w:r w:rsidR="00A133A7" w:rsidRPr="00A133A7">
            <w:rPr>
              <w:noProof/>
            </w:rPr>
            <w:t>(Clarke, 2005, p. 1)</w:t>
          </w:r>
          <w:r w:rsidR="00A133A7">
            <w:fldChar w:fldCharType="end"/>
          </w:r>
        </w:sdtContent>
      </w:sdt>
      <w:r w:rsidR="00A133A7">
        <w:t>.</w:t>
      </w:r>
      <w:r w:rsidR="009E4E52">
        <w:t xml:space="preserve"> </w:t>
      </w:r>
      <w:r w:rsidR="001F4472">
        <w:t xml:space="preserve">Jean McNiff argues that research isn’t a black and white thing, pointing to research from Reason and Bradbury, arguing that </w:t>
      </w:r>
      <w:r w:rsidR="004A691E">
        <w:t xml:space="preserve">action </w:t>
      </w:r>
      <w:r w:rsidR="001F4472">
        <w:t xml:space="preserve">research should be viewed as a “family of approaches” </w:t>
      </w:r>
      <w:sdt>
        <w:sdtPr>
          <w:id w:val="1957762574"/>
          <w:citation/>
        </w:sdtPr>
        <w:sdtEndPr/>
        <w:sdtContent>
          <w:r w:rsidR="001F4472">
            <w:fldChar w:fldCharType="begin"/>
          </w:r>
          <w:r w:rsidR="001F4472">
            <w:instrText xml:space="preserve">CITATION Jea13 \p 55 \l 2057 </w:instrText>
          </w:r>
          <w:r w:rsidR="001F4472">
            <w:fldChar w:fldCharType="separate"/>
          </w:r>
          <w:r w:rsidR="001F4472" w:rsidRPr="001F4472">
            <w:rPr>
              <w:noProof/>
            </w:rPr>
            <w:t>(McNiff, 2013, p. 55)</w:t>
          </w:r>
          <w:r w:rsidR="001F4472">
            <w:fldChar w:fldCharType="end"/>
          </w:r>
        </w:sdtContent>
      </w:sdt>
      <w:r w:rsidR="001F4472">
        <w:t>. McNiff goes on to link this to the idea that there are three distinct types of action research: “</w:t>
      </w:r>
    </w:p>
    <w:p w14:paraId="504CBD18" w14:textId="77777777" w:rsidR="004A691E" w:rsidRPr="004A691E" w:rsidRDefault="004A691E" w:rsidP="004A691E">
      <w:pPr>
        <w:spacing w:line="276" w:lineRule="auto"/>
        <w:rPr>
          <w:sz w:val="22"/>
        </w:rPr>
      </w:pPr>
    </w:p>
    <w:p w14:paraId="63EB63A0" w14:textId="6EACCC87" w:rsidR="001F4472" w:rsidRPr="004A691E" w:rsidRDefault="001F4472" w:rsidP="004A691E">
      <w:pPr>
        <w:spacing w:line="276" w:lineRule="auto"/>
        <w:ind w:left="720"/>
        <w:rPr>
          <w:sz w:val="22"/>
        </w:rPr>
      </w:pPr>
      <w:r w:rsidRPr="004A691E">
        <w:rPr>
          <w:rStyle w:val="normaltextrun"/>
          <w:rFonts w:cs="Calibri"/>
          <w:sz w:val="22"/>
        </w:rPr>
        <w:t>First person action research occurs when </w:t>
      </w:r>
      <w:r w:rsidR="004D4F76" w:rsidRPr="004A691E">
        <w:rPr>
          <w:rStyle w:val="contextualspellingandgrammarerror"/>
          <w:rFonts w:cs="Calibri"/>
          <w:sz w:val="22"/>
        </w:rPr>
        <w:t>an</w:t>
      </w:r>
      <w:r w:rsidRPr="004A691E">
        <w:rPr>
          <w:rStyle w:val="normaltextrun"/>
          <w:rFonts w:cs="Calibri"/>
          <w:sz w:val="22"/>
        </w:rPr>
        <w:t> individual practitioner reflects on their personal practice and offers an account of what they are doing and thinking</w:t>
      </w:r>
      <w:r w:rsidR="004A691E" w:rsidRPr="004A691E">
        <w:rPr>
          <w:rStyle w:val="normaltextrun"/>
          <w:rFonts w:cs="Calibri"/>
          <w:sz w:val="22"/>
        </w:rPr>
        <w:t>;</w:t>
      </w:r>
      <w:r w:rsidRPr="004A691E">
        <w:rPr>
          <w:rStyle w:val="normaltextrun"/>
          <w:rFonts w:cs="Calibri"/>
          <w:sz w:val="22"/>
        </w:rPr>
        <w:t> Second person action research is when people enquire with others about how they can address issues of mutual concern</w:t>
      </w:r>
      <w:r w:rsidR="004A691E" w:rsidRPr="004A691E">
        <w:rPr>
          <w:rStyle w:val="normaltextrun"/>
          <w:rFonts w:cs="Calibri"/>
          <w:sz w:val="22"/>
        </w:rPr>
        <w:t xml:space="preserve">; </w:t>
      </w:r>
      <w:r w:rsidRPr="004A691E">
        <w:rPr>
          <w:rStyle w:val="normaltextrun"/>
          <w:rFonts w:cs="Calibri"/>
          <w:sz w:val="22"/>
        </w:rPr>
        <w:t>Third person action research aims to connect individual researchers with wider communities, whether face-to-face or virtually at a distance</w:t>
      </w:r>
      <w:r w:rsidR="004A691E" w:rsidRPr="004A691E">
        <w:rPr>
          <w:rStyle w:val="normaltextrun"/>
          <w:rFonts w:cs="Calibri"/>
          <w:sz w:val="22"/>
        </w:rPr>
        <w:t xml:space="preserve"> </w:t>
      </w:r>
      <w:sdt>
        <w:sdtPr>
          <w:rPr>
            <w:rStyle w:val="normaltextrun"/>
            <w:rFonts w:cs="Calibri"/>
            <w:sz w:val="22"/>
          </w:rPr>
          <w:id w:val="-1118135520"/>
          <w:citation/>
        </w:sdtPr>
        <w:sdtEndPr>
          <w:rPr>
            <w:rStyle w:val="normaltextrun"/>
          </w:rPr>
        </w:sdtEndPr>
        <w:sdtContent>
          <w:r w:rsidR="004A691E" w:rsidRPr="004A691E">
            <w:rPr>
              <w:rStyle w:val="normaltextrun"/>
              <w:rFonts w:cs="Calibri"/>
              <w:sz w:val="22"/>
            </w:rPr>
            <w:fldChar w:fldCharType="begin"/>
          </w:r>
          <w:r w:rsidR="004A691E" w:rsidRPr="004A691E">
            <w:rPr>
              <w:rStyle w:val="normaltextrun"/>
              <w:rFonts w:cs="Calibri"/>
              <w:sz w:val="22"/>
            </w:rPr>
            <w:instrText xml:space="preserve">CITATION Jea13 \p 55 \l 2057 </w:instrText>
          </w:r>
          <w:r w:rsidR="004A691E" w:rsidRPr="004A691E">
            <w:rPr>
              <w:rStyle w:val="normaltextrun"/>
              <w:rFonts w:cs="Calibri"/>
              <w:sz w:val="22"/>
            </w:rPr>
            <w:fldChar w:fldCharType="separate"/>
          </w:r>
          <w:r w:rsidR="004A691E" w:rsidRPr="004A691E">
            <w:rPr>
              <w:rFonts w:cs="Calibri"/>
              <w:noProof/>
              <w:sz w:val="22"/>
            </w:rPr>
            <w:t>(McNiff, 2013, p. 55)</w:t>
          </w:r>
          <w:r w:rsidR="004A691E" w:rsidRPr="004A691E">
            <w:rPr>
              <w:rStyle w:val="normaltextrun"/>
              <w:rFonts w:cs="Calibri"/>
              <w:sz w:val="22"/>
            </w:rPr>
            <w:fldChar w:fldCharType="end"/>
          </w:r>
        </w:sdtContent>
      </w:sdt>
      <w:r w:rsidR="004A691E" w:rsidRPr="004A691E">
        <w:rPr>
          <w:rStyle w:val="normaltextrun"/>
          <w:rFonts w:cs="Calibri"/>
          <w:sz w:val="22"/>
        </w:rPr>
        <w:t>.</w:t>
      </w:r>
    </w:p>
    <w:p w14:paraId="12953BA1" w14:textId="77777777" w:rsidR="004A691E" w:rsidRDefault="004A691E" w:rsidP="006931E4">
      <w:pPr>
        <w:rPr>
          <w:rFonts w:ascii="Segoe UI" w:hAnsi="Segoe UI" w:cs="Segoe UI"/>
          <w:sz w:val="18"/>
          <w:szCs w:val="18"/>
        </w:rPr>
      </w:pPr>
    </w:p>
    <w:p w14:paraId="0D936C8B" w14:textId="77777777" w:rsidR="00AE48EA" w:rsidRDefault="004A691E" w:rsidP="006931E4">
      <w:r>
        <w:lastRenderedPageBreak/>
        <w:t xml:space="preserve">The idea that action research should be viewed as a “family” is interesting, particularly in light of these three distinct methods of undertaking this type of research. The one which is of most interest to this project is first person action research, as the researcher was also undertaking the teaching. Although links between </w:t>
      </w:r>
      <w:r w:rsidR="00306261">
        <w:t>formative assessment and action research</w:t>
      </w:r>
      <w:r>
        <w:t xml:space="preserve"> have been documented, action research itself is not without its controversies. The standard view, as McNiff points out, is that it centres around change and improvement </w:t>
      </w:r>
      <w:sdt>
        <w:sdtPr>
          <w:id w:val="-107968640"/>
          <w:citation/>
        </w:sdtPr>
        <w:sdtEndPr/>
        <w:sdtContent>
          <w:r>
            <w:fldChar w:fldCharType="begin"/>
          </w:r>
          <w:r>
            <w:instrText xml:space="preserve"> CITATION Jea13 \l 2057 </w:instrText>
          </w:r>
          <w:r>
            <w:fldChar w:fldCharType="separate"/>
          </w:r>
          <w:r w:rsidRPr="004A691E">
            <w:rPr>
              <w:noProof/>
            </w:rPr>
            <w:t>(McNiff, 2013)</w:t>
          </w:r>
          <w:r>
            <w:fldChar w:fldCharType="end"/>
          </w:r>
        </w:sdtContent>
      </w:sdt>
      <w:r>
        <w:t xml:space="preserve">, therefore, given that it’s locus is so subjective a clear methodology and success criteria are required in any write-up. </w:t>
      </w:r>
      <w:r w:rsidR="00AE48EA">
        <w:t xml:space="preserve">It is also apparent, that care is required when planning the research to ensure that the measure of improvement, as a result of the change, is quantifiable. Clearly, there will be a number of variables which the researcher is unable to control and these too need acknowledgement. </w:t>
      </w:r>
    </w:p>
    <w:p w14:paraId="0B9F8D96" w14:textId="057B276F" w:rsidR="00A133A7" w:rsidRDefault="00AE48EA" w:rsidP="00AE48EA">
      <w:pPr>
        <w:ind w:firstLine="720"/>
      </w:pPr>
      <w:r>
        <w:t>As in any research, care is required to ensure that unconscious bias does not creep in. This is particularly the case within the field of action research, as unlike more traditional methods of education research, which are undertaken by external researchers, much action research within a school setting is conducted by the class teacher</w:t>
      </w:r>
      <w:sdt>
        <w:sdtPr>
          <w:id w:val="-195242150"/>
          <w:citation/>
        </w:sdtPr>
        <w:sdtEndPr/>
        <w:sdtContent>
          <w:r>
            <w:fldChar w:fldCharType="begin"/>
          </w:r>
          <w:r>
            <w:instrText xml:space="preserve"> CITATION Mer09 \l 2057 </w:instrText>
          </w:r>
          <w:r>
            <w:fldChar w:fldCharType="separate"/>
          </w:r>
          <w:r>
            <w:rPr>
              <w:noProof/>
            </w:rPr>
            <w:t xml:space="preserve"> </w:t>
          </w:r>
          <w:r w:rsidRPr="00AE48EA">
            <w:rPr>
              <w:noProof/>
            </w:rPr>
            <w:t>(Mertler, 2009)</w:t>
          </w:r>
          <w:r>
            <w:fldChar w:fldCharType="end"/>
          </w:r>
        </w:sdtContent>
      </w:sdt>
      <w:r>
        <w:t xml:space="preserve">. This, however, is not in of itself enough to invalidate the research. Indeed, in many other fields of research the researcher has a vested interest, </w:t>
      </w:r>
      <w:r w:rsidR="00011EAC">
        <w:t>so</w:t>
      </w:r>
      <w:r>
        <w:t xml:space="preserve"> it is how this is managed that is important.</w:t>
      </w:r>
    </w:p>
    <w:p w14:paraId="2404AA01" w14:textId="60A46DEB" w:rsidR="00EE3D49" w:rsidRDefault="00AE48EA" w:rsidP="006931E4">
      <w:r>
        <w:tab/>
      </w:r>
      <w:r w:rsidR="00DA2745">
        <w:t>The research</w:t>
      </w:r>
      <w:r w:rsidR="0074054A">
        <w:t>er</w:t>
      </w:r>
      <w:r>
        <w:t xml:space="preserve"> first </w:t>
      </w:r>
      <w:r w:rsidR="0074054A">
        <w:t>encountered</w:t>
      </w:r>
      <w:r w:rsidR="0059367B">
        <w:t xml:space="preserve"> the idea of three – two – one exit passes in David Spendlove’s </w:t>
      </w:r>
      <w:r w:rsidR="0059367B">
        <w:rPr>
          <w:i/>
        </w:rPr>
        <w:t>100 Ideas for Secondary Teachers: Assessment for Learning</w:t>
      </w:r>
      <w:r w:rsidR="0059367B">
        <w:t xml:space="preserve">, and was particularly struck by the way that they were time efficient way to simply assess all students understanding of the lesson, whilst at the same time identifying areas that they wish to develop. Indeed, Spendlove argues that “plenaries are very much about evaluating the quality of the learning that has taken place, as well as informing planning for the next lesson. This can often descend into chaos, as pupils are busy packing away in preparation for their next lesson” </w:t>
      </w:r>
      <w:sdt>
        <w:sdtPr>
          <w:id w:val="1090118839"/>
          <w:citation/>
        </w:sdtPr>
        <w:sdtEndPr/>
        <w:sdtContent>
          <w:r w:rsidR="0059367B">
            <w:fldChar w:fldCharType="begin"/>
          </w:r>
          <w:r w:rsidR="0059367B">
            <w:instrText xml:space="preserve">CITATION Dav15 \p 42 \l 2057 </w:instrText>
          </w:r>
          <w:r w:rsidR="0059367B">
            <w:fldChar w:fldCharType="separate"/>
          </w:r>
          <w:r w:rsidR="0059367B" w:rsidRPr="0059367B">
            <w:rPr>
              <w:noProof/>
            </w:rPr>
            <w:t>(Spendlove, 2015, p. 42)</w:t>
          </w:r>
          <w:r w:rsidR="0059367B">
            <w:fldChar w:fldCharType="end"/>
          </w:r>
        </w:sdtContent>
      </w:sdt>
      <w:r w:rsidR="0059367B">
        <w:t xml:space="preserve">. This particularly resonated with </w:t>
      </w:r>
      <w:r w:rsidR="00CC741B">
        <w:t>the researcher’s</w:t>
      </w:r>
      <w:r w:rsidR="0059367B">
        <w:t xml:space="preserve"> experience of closing </w:t>
      </w:r>
      <w:r w:rsidR="00617597">
        <w:t>their</w:t>
      </w:r>
      <w:r w:rsidR="0059367B">
        <w:t xml:space="preserve"> lessons and so </w:t>
      </w:r>
      <w:r w:rsidR="00CC741B">
        <w:t>they</w:t>
      </w:r>
      <w:r w:rsidR="0059367B">
        <w:t xml:space="preserve"> w</w:t>
      </w:r>
      <w:r w:rsidR="00CC741B">
        <w:t>ere</w:t>
      </w:r>
      <w:r w:rsidR="0059367B">
        <w:t xml:space="preserve"> keen to give it a try, especially given the recent emphasis, by inspection bodies such as OFSTED, on progression and checking in with students understanding </w:t>
      </w:r>
      <w:r w:rsidR="0059367B">
        <w:lastRenderedPageBreak/>
        <w:t xml:space="preserve">during lessons </w:t>
      </w:r>
      <w:sdt>
        <w:sdtPr>
          <w:id w:val="325025071"/>
          <w:citation/>
        </w:sdtPr>
        <w:sdtEndPr/>
        <w:sdtContent>
          <w:r w:rsidR="0059367B">
            <w:fldChar w:fldCharType="begin"/>
          </w:r>
          <w:r w:rsidR="0059367B">
            <w:instrText xml:space="preserve"> CITATION Dav15 \l 2057 </w:instrText>
          </w:r>
          <w:r w:rsidR="0059367B">
            <w:fldChar w:fldCharType="separate"/>
          </w:r>
          <w:r w:rsidR="0059367B" w:rsidRPr="0059367B">
            <w:rPr>
              <w:noProof/>
            </w:rPr>
            <w:t>(Spendlove, 2015)</w:t>
          </w:r>
          <w:r w:rsidR="0059367B">
            <w:fldChar w:fldCharType="end"/>
          </w:r>
        </w:sdtContent>
      </w:sdt>
      <w:r w:rsidR="0059367B">
        <w:t xml:space="preserve">. Digging deeper, </w:t>
      </w:r>
      <w:r w:rsidR="00617597">
        <w:t>it was found that</w:t>
      </w:r>
      <w:r w:rsidR="0059367B">
        <w:t xml:space="preserve"> practitioners </w:t>
      </w:r>
      <w:r w:rsidR="00617597">
        <w:t xml:space="preserve">are </w:t>
      </w:r>
      <w:r w:rsidR="0059367B">
        <w:t xml:space="preserve">divided on how useful these exit tickets are. The </w:t>
      </w:r>
      <w:r w:rsidR="00BC786A">
        <w:t>example provided by Spendlove, is simple and clear, however, Jemma Sherwood, a mathematics teacher, guards against these kinds of general questions, arguing instead for more specific questioning relating to the topic covered. She goes on to suggest that “</w:t>
      </w:r>
      <w:r w:rsidR="00BC786A" w:rsidRPr="00BC786A">
        <w:t>A well-designed exit ticket will pinpoint to you exactly what your students have and haven’t grasped so that you can respond well in the next lesson</w:t>
      </w:r>
      <w:r w:rsidR="00BC786A">
        <w:t xml:space="preserve">” </w:t>
      </w:r>
      <w:sdt>
        <w:sdtPr>
          <w:id w:val="1519741963"/>
          <w:citation/>
        </w:sdtPr>
        <w:sdtEndPr/>
        <w:sdtContent>
          <w:r w:rsidR="00BC786A">
            <w:fldChar w:fldCharType="begin"/>
          </w:r>
          <w:r w:rsidR="007D6DA7">
            <w:instrText xml:space="preserve">CITATION She18 \l 2057 </w:instrText>
          </w:r>
          <w:r w:rsidR="00BC786A">
            <w:fldChar w:fldCharType="separate"/>
          </w:r>
          <w:r w:rsidR="007D6DA7" w:rsidRPr="007D6DA7">
            <w:rPr>
              <w:noProof/>
            </w:rPr>
            <w:t>(Sherwood, 2018)</w:t>
          </w:r>
          <w:r w:rsidR="00BC786A">
            <w:fldChar w:fldCharType="end"/>
          </w:r>
        </w:sdtContent>
      </w:sdt>
      <w:r w:rsidR="00BC786A" w:rsidRPr="00BC786A">
        <w:t>.</w:t>
      </w:r>
      <w:r w:rsidR="00BC786A">
        <w:t xml:space="preserve"> Another maths teacher, who has embraced exit tickets, having read Sherwood’s article, argues that they have helped make him a more efficient teacher, </w:t>
      </w:r>
      <w:r w:rsidR="007D6DA7">
        <w:t>arguing that they give him time</w:t>
      </w:r>
      <w:r w:rsidR="00BC786A">
        <w:t xml:space="preserve"> to “mark every students work twice a week, refining and reflecting on </w:t>
      </w:r>
      <w:r w:rsidR="007D6DA7">
        <w:t xml:space="preserve">my teaching in a time efficient way… Feedback now seems integral part of my lessons, I wouldn’t be half the teacher I am without it” </w:t>
      </w:r>
      <w:sdt>
        <w:sdtPr>
          <w:id w:val="-2034261632"/>
          <w:citation/>
        </w:sdtPr>
        <w:sdtEndPr/>
        <w:sdtContent>
          <w:r w:rsidR="007D6DA7">
            <w:fldChar w:fldCharType="begin"/>
          </w:r>
          <w:r w:rsidR="007D6DA7">
            <w:instrText xml:space="preserve"> CITATION JSt18 \l 2057 </w:instrText>
          </w:r>
          <w:r w:rsidR="007D6DA7">
            <w:fldChar w:fldCharType="separate"/>
          </w:r>
          <w:r w:rsidR="007D6DA7" w:rsidRPr="007D6DA7">
            <w:rPr>
              <w:noProof/>
            </w:rPr>
            <w:t>(Steele, 2018)</w:t>
          </w:r>
          <w:r w:rsidR="007D6DA7">
            <w:fldChar w:fldCharType="end"/>
          </w:r>
        </w:sdtContent>
      </w:sdt>
      <w:r w:rsidR="007D6DA7">
        <w:t>. In spite of his enthusiasm for them, Steele acknowledges that “exit tickets aren’t perfect”, however, he remains committed to using</w:t>
      </w:r>
      <w:sdt>
        <w:sdtPr>
          <w:id w:val="-2129840782"/>
          <w:citation/>
        </w:sdtPr>
        <w:sdtEndPr/>
        <w:sdtContent>
          <w:r w:rsidR="007D6DA7">
            <w:fldChar w:fldCharType="begin"/>
          </w:r>
          <w:r w:rsidR="007D6DA7">
            <w:instrText xml:space="preserve"> CITATION JSt18 \l 2057 </w:instrText>
          </w:r>
          <w:r w:rsidR="007D6DA7">
            <w:fldChar w:fldCharType="separate"/>
          </w:r>
          <w:r w:rsidR="007D6DA7">
            <w:rPr>
              <w:noProof/>
            </w:rPr>
            <w:t xml:space="preserve"> </w:t>
          </w:r>
          <w:r w:rsidR="007D6DA7" w:rsidRPr="007D6DA7">
            <w:rPr>
              <w:noProof/>
            </w:rPr>
            <w:t>(Steele, 2018)</w:t>
          </w:r>
          <w:r w:rsidR="007D6DA7">
            <w:fldChar w:fldCharType="end"/>
          </w:r>
        </w:sdtContent>
      </w:sdt>
      <w:r w:rsidR="007D6DA7">
        <w:t xml:space="preserve">. Meanwhile, for Sarah Mills they are about providing accountability for both teachers and learners </w:t>
      </w:r>
      <w:sdt>
        <w:sdtPr>
          <w:id w:val="-185449079"/>
          <w:citation/>
        </w:sdtPr>
        <w:sdtEndPr/>
        <w:sdtContent>
          <w:r w:rsidR="007D6DA7">
            <w:fldChar w:fldCharType="begin"/>
          </w:r>
          <w:r w:rsidR="007D6DA7">
            <w:instrText xml:space="preserve">CITATION SaS19 \l 2057 </w:instrText>
          </w:r>
          <w:r w:rsidR="007D6DA7">
            <w:fldChar w:fldCharType="separate"/>
          </w:r>
          <w:r w:rsidR="007D6DA7" w:rsidRPr="007D6DA7">
            <w:rPr>
              <w:noProof/>
            </w:rPr>
            <w:t>(Mills, n.d.)</w:t>
          </w:r>
          <w:r w:rsidR="007D6DA7">
            <w:fldChar w:fldCharType="end"/>
          </w:r>
        </w:sdtContent>
      </w:sdt>
      <w:r w:rsidR="007D6DA7">
        <w:t>. It is clear from all this that exit tickets can provide a time efficient method of ascertaining the understanding of</w:t>
      </w:r>
      <w:r w:rsidR="007D6DA7">
        <w:rPr>
          <w:i/>
        </w:rPr>
        <w:t xml:space="preserve"> all</w:t>
      </w:r>
      <w:r w:rsidR="007D6DA7">
        <w:t xml:space="preserve"> students at a particular moment in time. Additionally, the old adage of you get out what you put in would seem to apply here. </w:t>
      </w:r>
      <w:r w:rsidR="006E1D6D">
        <w:t xml:space="preserve">This is something backed up by the work of Doug Lemov, who argues that “not all exit tickets are created equal” </w:t>
      </w:r>
      <w:sdt>
        <w:sdtPr>
          <w:id w:val="1891070937"/>
          <w:citation/>
        </w:sdtPr>
        <w:sdtEndPr/>
        <w:sdtContent>
          <w:r w:rsidR="006E1D6D">
            <w:fldChar w:fldCharType="begin"/>
          </w:r>
          <w:r w:rsidR="00E547EB">
            <w:instrText xml:space="preserve">CITATION Dou15 \p 191 \l 2057 </w:instrText>
          </w:r>
          <w:r w:rsidR="006E1D6D">
            <w:fldChar w:fldCharType="separate"/>
          </w:r>
          <w:r w:rsidR="00E547EB" w:rsidRPr="00E547EB">
            <w:rPr>
              <w:noProof/>
            </w:rPr>
            <w:t>(Lemov, 2015, p. 191)</w:t>
          </w:r>
          <w:r w:rsidR="006E1D6D">
            <w:fldChar w:fldCharType="end"/>
          </w:r>
        </w:sdtContent>
      </w:sdt>
      <w:r w:rsidR="006E1D6D">
        <w:t>.</w:t>
      </w:r>
      <w:r w:rsidR="005E3549">
        <w:t xml:space="preserve"> For Lemov, exit tickets are </w:t>
      </w:r>
      <w:r w:rsidR="007C332F">
        <w:t>quick and designed to yield data</w:t>
      </w:r>
      <w:r w:rsidR="00EE3D49">
        <w:t xml:space="preserve">, requiring only a short time of analysis afterwards (c. 10 minutes). Structure is key: short, sharp, however, the format can vary and multiple choice can be effective </w:t>
      </w:r>
      <w:sdt>
        <w:sdtPr>
          <w:id w:val="-42145705"/>
          <w:citation/>
        </w:sdtPr>
        <w:sdtEndPr/>
        <w:sdtContent>
          <w:r w:rsidR="00EE3D49">
            <w:fldChar w:fldCharType="begin"/>
          </w:r>
          <w:r w:rsidR="00EE3D49">
            <w:instrText xml:space="preserve"> CITATION Dou15 \l 2057 </w:instrText>
          </w:r>
          <w:r w:rsidR="00EE3D49">
            <w:fldChar w:fldCharType="separate"/>
          </w:r>
          <w:r w:rsidR="00EE3D49" w:rsidRPr="00EE3D49">
            <w:rPr>
              <w:noProof/>
            </w:rPr>
            <w:t>(Lemov, 2015)</w:t>
          </w:r>
          <w:r w:rsidR="00EE3D49">
            <w:fldChar w:fldCharType="end"/>
          </w:r>
        </w:sdtContent>
      </w:sdt>
      <w:r w:rsidR="00EE3D49">
        <w:t>. Whilst they can provide a quick snapshot of student understanding, a trick is missed, if the gaps and misconceptions are not dealt with next lesson, before they become embedded. Indeed, Lemov advocates not only analysing the data yourself, but also getting the students to do so too, perhaps through “beginning the next lesson by analysing and reteaching the Exit Ticket.</w:t>
      </w:r>
      <w:sdt>
        <w:sdtPr>
          <w:id w:val="1434326131"/>
          <w:citation/>
        </w:sdtPr>
        <w:sdtEndPr/>
        <w:sdtContent>
          <w:r w:rsidR="00EE3D49">
            <w:fldChar w:fldCharType="begin"/>
          </w:r>
          <w:r w:rsidR="00EE3D49">
            <w:instrText xml:space="preserve"> CITATION Dou15 \l 2057 </w:instrText>
          </w:r>
          <w:r w:rsidR="00EE3D49">
            <w:fldChar w:fldCharType="separate"/>
          </w:r>
          <w:r w:rsidR="00EE3D49">
            <w:rPr>
              <w:noProof/>
            </w:rPr>
            <w:t xml:space="preserve"> </w:t>
          </w:r>
          <w:r w:rsidR="00EE3D49" w:rsidRPr="00EE3D49">
            <w:rPr>
              <w:noProof/>
            </w:rPr>
            <w:t>(Lemov, 2015)</w:t>
          </w:r>
          <w:r w:rsidR="00EE3D49">
            <w:fldChar w:fldCharType="end"/>
          </w:r>
        </w:sdtContent>
      </w:sdt>
      <w:r w:rsidR="00EE3D49">
        <w:t xml:space="preserve">. For any of this to work effectively, Exit Tickets should be used with a clear purpose in mind, knowing what you want to achieve/find out from them when planning them, something which an anonymous United Kingdom teacher, cited by Lemov, </w:t>
      </w:r>
      <w:r w:rsidR="002C0475">
        <w:t xml:space="preserve">explains suggesting that teachers require a “clear sense of why you are using exit tickets” </w:t>
      </w:r>
      <w:sdt>
        <w:sdtPr>
          <w:id w:val="-161543520"/>
          <w:citation/>
        </w:sdtPr>
        <w:sdtEndPr/>
        <w:sdtContent>
          <w:r w:rsidR="002C0475">
            <w:fldChar w:fldCharType="begin"/>
          </w:r>
          <w:r w:rsidR="002C0475">
            <w:instrText xml:space="preserve">CITATION Dou15 \p 192 \l 2057 </w:instrText>
          </w:r>
          <w:r w:rsidR="002C0475">
            <w:fldChar w:fldCharType="separate"/>
          </w:r>
          <w:r w:rsidR="002C0475" w:rsidRPr="002C0475">
            <w:rPr>
              <w:noProof/>
            </w:rPr>
            <w:t>(Lemov, 2015, p. 192)</w:t>
          </w:r>
          <w:r w:rsidR="002C0475">
            <w:fldChar w:fldCharType="end"/>
          </w:r>
        </w:sdtContent>
      </w:sdt>
      <w:r w:rsidR="002C0475">
        <w:t xml:space="preserve">. </w:t>
      </w:r>
      <w:r w:rsidR="002C0475">
        <w:lastRenderedPageBreak/>
        <w:t xml:space="preserve">This is backed up by advice from Heather Snodgrass, a champion teacher from Nashville you, USA, who advocates writing the exit ticket prior to planning the remainder of the lesson in order to maintain a tight focus on the key points she wishes to convey </w:t>
      </w:r>
      <w:sdt>
        <w:sdtPr>
          <w:id w:val="104847283"/>
          <w:citation/>
        </w:sdtPr>
        <w:sdtEndPr/>
        <w:sdtContent>
          <w:r w:rsidR="002C0475">
            <w:fldChar w:fldCharType="begin"/>
          </w:r>
          <w:r w:rsidR="002C0475">
            <w:instrText xml:space="preserve"> CITATION Dou15 \l 2057 </w:instrText>
          </w:r>
          <w:r w:rsidR="002C0475">
            <w:fldChar w:fldCharType="separate"/>
          </w:r>
          <w:r w:rsidR="002C0475" w:rsidRPr="002C0475">
            <w:rPr>
              <w:noProof/>
            </w:rPr>
            <w:t>(Lemov, 2015)</w:t>
          </w:r>
          <w:r w:rsidR="002C0475">
            <w:fldChar w:fldCharType="end"/>
          </w:r>
        </w:sdtContent>
      </w:sdt>
      <w:r w:rsidR="002C0475">
        <w:t xml:space="preserve">. Indeed, exit ticket results should be used to inform planning for subsequent lessons and interventions, for example providing a small group intervention for struggling students, homework task on an area of weakness, or a suggestion from Leanne Riordan, a teacher from Baltimore, USA, making a note checking with students who had not grasped the previous lesson more frequently during the next </w:t>
      </w:r>
      <w:sdt>
        <w:sdtPr>
          <w:id w:val="398263890"/>
          <w:citation/>
        </w:sdtPr>
        <w:sdtEndPr/>
        <w:sdtContent>
          <w:r w:rsidR="002C0475">
            <w:fldChar w:fldCharType="begin"/>
          </w:r>
          <w:r w:rsidR="002C0475">
            <w:instrText xml:space="preserve"> CITATION Dou15 \l 2057 </w:instrText>
          </w:r>
          <w:r w:rsidR="002C0475">
            <w:fldChar w:fldCharType="separate"/>
          </w:r>
          <w:r w:rsidR="002C0475" w:rsidRPr="002C0475">
            <w:rPr>
              <w:noProof/>
            </w:rPr>
            <w:t>(Lemov, 2015)</w:t>
          </w:r>
          <w:r w:rsidR="002C0475">
            <w:fldChar w:fldCharType="end"/>
          </w:r>
        </w:sdtContent>
      </w:sdt>
      <w:r w:rsidR="002C0475">
        <w:t>. Timely interventions, in response to exit tickets are key as the following example, cited by Harry Fletcher-Wood makes clear:</w:t>
      </w:r>
    </w:p>
    <w:p w14:paraId="70284A10" w14:textId="6BBD99AA" w:rsidR="002C0475" w:rsidRDefault="002C0475" w:rsidP="006931E4"/>
    <w:p w14:paraId="63BCF8B4" w14:textId="7339C09A" w:rsidR="002C0475" w:rsidRDefault="002C0475" w:rsidP="002C0475">
      <w:pPr>
        <w:spacing w:line="276" w:lineRule="auto"/>
        <w:rPr>
          <w:rStyle w:val="eop"/>
          <w:rFonts w:cs="Calibri"/>
          <w:color w:val="000000"/>
          <w:sz w:val="22"/>
          <w:shd w:val="clear" w:color="auto" w:fill="FFFFFF"/>
        </w:rPr>
      </w:pPr>
      <w:r w:rsidRPr="002C0475">
        <w:rPr>
          <w:rStyle w:val="normaltextrun"/>
          <w:rFonts w:cs="Calibri"/>
          <w:sz w:val="22"/>
          <w:shd w:val="clear" w:color="auto" w:fill="FFFFFF"/>
        </w:rPr>
        <w:t>Jay Altman describes a lesson taught by the maths teacher in Boston whose students achieved the best value-added scores in the state.  Students entered, listened, practised, wrote exit tickets and left.  Surprised, Altman asked what the teacher was doing differently: the teacher responded that he examined the exit tickets and helped any student who had struggled to master the </w:t>
      </w:r>
      <w:r w:rsidRPr="002C0475">
        <w:rPr>
          <w:rStyle w:val="spellingerror"/>
          <w:rFonts w:cs="Calibri"/>
          <w:sz w:val="22"/>
          <w:shd w:val="clear" w:color="auto" w:fill="FFFFFF"/>
        </w:rPr>
        <w:t>lessons’s</w:t>
      </w:r>
      <w:r w:rsidRPr="002C0475">
        <w:rPr>
          <w:rStyle w:val="normaltextrun"/>
          <w:rFonts w:cs="Calibri"/>
          <w:sz w:val="22"/>
          <w:shd w:val="clear" w:color="auto" w:fill="FFFFFF"/>
        </w:rPr>
        <w:t> content.  That afternoon.</w:t>
      </w:r>
      <w:r w:rsidRPr="002C0475">
        <w:rPr>
          <w:rStyle w:val="eop"/>
          <w:rFonts w:cs="Calibri"/>
          <w:color w:val="000000"/>
          <w:sz w:val="22"/>
          <w:shd w:val="clear" w:color="auto" w:fill="FFFFFF"/>
        </w:rPr>
        <w:t> </w:t>
      </w:r>
      <w:sdt>
        <w:sdtPr>
          <w:rPr>
            <w:rStyle w:val="eop"/>
            <w:rFonts w:cs="Calibri"/>
            <w:color w:val="000000"/>
            <w:sz w:val="22"/>
            <w:shd w:val="clear" w:color="auto" w:fill="FFFFFF"/>
          </w:rPr>
          <w:id w:val="133216755"/>
          <w:citation/>
        </w:sdtPr>
        <w:sdtEndPr>
          <w:rPr>
            <w:rStyle w:val="eop"/>
          </w:rPr>
        </w:sdtEndPr>
        <w:sdtContent>
          <w:r w:rsidR="002A784A">
            <w:rPr>
              <w:rStyle w:val="eop"/>
              <w:rFonts w:cs="Calibri"/>
              <w:color w:val="000000"/>
              <w:sz w:val="22"/>
              <w:shd w:val="clear" w:color="auto" w:fill="FFFFFF"/>
            </w:rPr>
            <w:fldChar w:fldCharType="begin"/>
          </w:r>
          <w:r w:rsidR="002A784A">
            <w:rPr>
              <w:rStyle w:val="eop"/>
              <w:rFonts w:cs="Calibri"/>
              <w:color w:val="000000"/>
              <w:sz w:val="22"/>
              <w:shd w:val="clear" w:color="auto" w:fill="FFFFFF"/>
            </w:rPr>
            <w:instrText xml:space="preserve"> CITATION Har16 \l 2057 </w:instrText>
          </w:r>
          <w:r w:rsidR="002A784A">
            <w:rPr>
              <w:rStyle w:val="eop"/>
              <w:rFonts w:cs="Calibri"/>
              <w:color w:val="000000"/>
              <w:sz w:val="22"/>
              <w:shd w:val="clear" w:color="auto" w:fill="FFFFFF"/>
            </w:rPr>
            <w:fldChar w:fldCharType="separate"/>
          </w:r>
          <w:r w:rsidR="002A784A" w:rsidRPr="002A784A">
            <w:rPr>
              <w:rFonts w:cs="Calibri"/>
              <w:noProof/>
              <w:color w:val="000000"/>
              <w:sz w:val="22"/>
              <w:shd w:val="clear" w:color="auto" w:fill="FFFFFF"/>
            </w:rPr>
            <w:t>(Fletcher-Wood, 2016)</w:t>
          </w:r>
          <w:r w:rsidR="002A784A">
            <w:rPr>
              <w:rStyle w:val="eop"/>
              <w:rFonts w:cs="Calibri"/>
              <w:color w:val="000000"/>
              <w:sz w:val="22"/>
              <w:shd w:val="clear" w:color="auto" w:fill="FFFFFF"/>
            </w:rPr>
            <w:fldChar w:fldCharType="end"/>
          </w:r>
        </w:sdtContent>
      </w:sdt>
    </w:p>
    <w:p w14:paraId="2282E810" w14:textId="099ED31A" w:rsidR="002C0475" w:rsidRDefault="002C0475" w:rsidP="002C0475">
      <w:pPr>
        <w:spacing w:line="276" w:lineRule="auto"/>
      </w:pPr>
    </w:p>
    <w:p w14:paraId="1BE09CD4" w14:textId="77777777" w:rsidR="002A784A" w:rsidRDefault="002A784A" w:rsidP="002A784A">
      <w:r>
        <w:t>Fletcher-Wood went on to acknowledge that replicating this within a British comprehensive would not be without its challenges, however, he clearly agrees with the assertion that it is best to make interventions as soon after an issue is identified as possible. Clearly, this is something which is always going to be more manageable within course subjects such as maths, English and Welsh where teachers have more regular and frequent contact time. This is not to say, however, that the use of exit tickets should be confined to those subjects. A key takeaway from this American example for Fletcher-Wood is that:</w:t>
      </w:r>
    </w:p>
    <w:p w14:paraId="16C6BC00" w14:textId="77777777" w:rsidR="002A784A" w:rsidRDefault="002A784A" w:rsidP="002A784A">
      <w:pPr>
        <w:spacing w:line="276" w:lineRule="auto"/>
      </w:pPr>
    </w:p>
    <w:p w14:paraId="2D15495D" w14:textId="6549432A" w:rsidR="002A784A" w:rsidRDefault="002A784A" w:rsidP="002A784A">
      <w:pPr>
        <w:spacing w:line="276" w:lineRule="auto"/>
        <w:ind w:left="720"/>
        <w:rPr>
          <w:rStyle w:val="normaltextrun"/>
          <w:rFonts w:cs="Calibri"/>
          <w:sz w:val="22"/>
          <w:shd w:val="clear" w:color="auto" w:fill="FFFFFF"/>
        </w:rPr>
      </w:pPr>
      <w:r w:rsidRPr="002A784A">
        <w:rPr>
          <w:rStyle w:val="normaltextrun"/>
          <w:rFonts w:cs="Calibri"/>
          <w:sz w:val="22"/>
          <w:shd w:val="clear" w:color="auto" w:fill="FFFFFF"/>
        </w:rPr>
        <w:t xml:space="preserve">frequent assessment of student understanding and rapid action - is incredibly powerful.  Moreover, introducing exit seems to have a transformative effect on teachers, modifying their sense of students’ understanding and hence of the best actions they can take.  After attending to careful setting of objectives, introducing exit tickets may be the most powerful change a teacher can make </w:t>
      </w:r>
      <w:sdt>
        <w:sdtPr>
          <w:rPr>
            <w:rStyle w:val="normaltextrun"/>
            <w:rFonts w:cs="Calibri"/>
            <w:sz w:val="22"/>
            <w:shd w:val="clear" w:color="auto" w:fill="FFFFFF"/>
          </w:rPr>
          <w:id w:val="690024028"/>
          <w:citation/>
        </w:sdtPr>
        <w:sdtEndPr>
          <w:rPr>
            <w:rStyle w:val="normaltextrun"/>
          </w:rPr>
        </w:sdtEndPr>
        <w:sdtContent>
          <w:r w:rsidRPr="002A784A">
            <w:rPr>
              <w:rStyle w:val="normaltextrun"/>
              <w:rFonts w:cs="Calibri"/>
              <w:sz w:val="22"/>
              <w:shd w:val="clear" w:color="auto" w:fill="FFFFFF"/>
            </w:rPr>
            <w:fldChar w:fldCharType="begin"/>
          </w:r>
          <w:r w:rsidRPr="002A784A">
            <w:rPr>
              <w:rStyle w:val="normaltextrun"/>
              <w:rFonts w:cs="Calibri"/>
              <w:sz w:val="22"/>
              <w:shd w:val="clear" w:color="auto" w:fill="FFFFFF"/>
            </w:rPr>
            <w:instrText xml:space="preserve"> CITATION Har16 \l 2057 </w:instrText>
          </w:r>
          <w:r w:rsidRPr="002A784A">
            <w:rPr>
              <w:rStyle w:val="normaltextrun"/>
              <w:rFonts w:cs="Calibri"/>
              <w:sz w:val="22"/>
              <w:shd w:val="clear" w:color="auto" w:fill="FFFFFF"/>
            </w:rPr>
            <w:fldChar w:fldCharType="separate"/>
          </w:r>
          <w:r w:rsidRPr="002A784A">
            <w:rPr>
              <w:rFonts w:cs="Calibri"/>
              <w:noProof/>
              <w:sz w:val="22"/>
              <w:shd w:val="clear" w:color="auto" w:fill="FFFFFF"/>
            </w:rPr>
            <w:t>(Fletcher-Wood, 2016)</w:t>
          </w:r>
          <w:r w:rsidRPr="002A784A">
            <w:rPr>
              <w:rStyle w:val="normaltextrun"/>
              <w:rFonts w:cs="Calibri"/>
              <w:sz w:val="22"/>
              <w:shd w:val="clear" w:color="auto" w:fill="FFFFFF"/>
            </w:rPr>
            <w:fldChar w:fldCharType="end"/>
          </w:r>
        </w:sdtContent>
      </w:sdt>
      <w:r w:rsidRPr="002A784A">
        <w:rPr>
          <w:rStyle w:val="normaltextrun"/>
          <w:rFonts w:cs="Calibri"/>
          <w:sz w:val="22"/>
          <w:shd w:val="clear" w:color="auto" w:fill="FFFFFF"/>
        </w:rPr>
        <w:t>.</w:t>
      </w:r>
    </w:p>
    <w:p w14:paraId="46A28D68" w14:textId="16C48EEE" w:rsidR="002A784A" w:rsidRDefault="002A784A" w:rsidP="002A784A">
      <w:pPr>
        <w:spacing w:line="276" w:lineRule="auto"/>
        <w:rPr>
          <w:rStyle w:val="normaltextrun"/>
          <w:rFonts w:cs="Calibri"/>
          <w:sz w:val="22"/>
          <w:shd w:val="clear" w:color="auto" w:fill="FFFFFF"/>
        </w:rPr>
      </w:pPr>
    </w:p>
    <w:p w14:paraId="0DAC0459" w14:textId="2F91A2D6" w:rsidR="002A784A" w:rsidRPr="002A784A" w:rsidRDefault="002A784A" w:rsidP="002A784A">
      <w:r w:rsidRPr="002A784A">
        <w:rPr>
          <w:szCs w:val="24"/>
        </w:rPr>
        <w:lastRenderedPageBreak/>
        <w:t>This, taken alongside the fact</w:t>
      </w:r>
      <w:r>
        <w:rPr>
          <w:szCs w:val="24"/>
        </w:rPr>
        <w:t xml:space="preserve"> that</w:t>
      </w:r>
      <w:r>
        <w:rPr>
          <w:rFonts w:ascii="Calibri" w:hAnsi="Calibri" w:cs="Calibri"/>
          <w:color w:val="000000"/>
          <w:sz w:val="22"/>
          <w:shd w:val="clear" w:color="auto" w:fill="FFFFFF"/>
        </w:rPr>
        <w:t> </w:t>
      </w:r>
      <w:r w:rsidRPr="002A784A">
        <w:t>“fundamentally, exit tickets provide a straight answer to a simple question we should be desperate to answer each lesson: what did students learn?</w:t>
      </w:r>
      <w:r>
        <w:t>”, it is clear why he entitled his post “</w:t>
      </w:r>
      <w:r w:rsidR="00C3339A">
        <w:t>using exit tickets to assess and plan: ‘the tuning fork of teaching’”</w:t>
      </w:r>
      <w:r>
        <w:t xml:space="preserve"> </w:t>
      </w:r>
      <w:sdt>
        <w:sdtPr>
          <w:id w:val="446898340"/>
          <w:citation/>
        </w:sdtPr>
        <w:sdtEndPr/>
        <w:sdtContent>
          <w:r>
            <w:fldChar w:fldCharType="begin"/>
          </w:r>
          <w:r>
            <w:instrText xml:space="preserve"> CITATION Har16 \l 2057 </w:instrText>
          </w:r>
          <w:r>
            <w:fldChar w:fldCharType="separate"/>
          </w:r>
          <w:r w:rsidRPr="002A784A">
            <w:rPr>
              <w:noProof/>
            </w:rPr>
            <w:t>(Fletcher-Wood, 2016)</w:t>
          </w:r>
          <w:r>
            <w:fldChar w:fldCharType="end"/>
          </w:r>
        </w:sdtContent>
      </w:sdt>
      <w:r w:rsidR="00C3339A">
        <w:t>. The clear implication here is that exit tickets can help a teacher to tune in to their class and help them plan to meet their individual needs. Meeting the needs of the individual student, whilst not a new concept, has become increasingly important within education in Wales following Prof. Graham Donaldson’s</w:t>
      </w:r>
      <w:r w:rsidR="00C3339A" w:rsidRPr="00C3339A">
        <w:t xml:space="preserve"> </w:t>
      </w:r>
      <w:r w:rsidR="00C3339A">
        <w:t xml:space="preserve">report into the education system in Wales, </w:t>
      </w:r>
      <w:r w:rsidR="00C3339A">
        <w:rPr>
          <w:i/>
        </w:rPr>
        <w:t>S</w:t>
      </w:r>
      <w:r w:rsidR="00C3339A" w:rsidRPr="00C3573E">
        <w:rPr>
          <w:i/>
        </w:rPr>
        <w:t xml:space="preserve">uccessful </w:t>
      </w:r>
      <w:r w:rsidR="00C3339A">
        <w:rPr>
          <w:i/>
        </w:rPr>
        <w:t>F</w:t>
      </w:r>
      <w:r w:rsidR="00C3339A" w:rsidRPr="00C3573E">
        <w:rPr>
          <w:i/>
        </w:rPr>
        <w:t>utures</w:t>
      </w:r>
      <w:r w:rsidR="00C3339A">
        <w:t xml:space="preserve">, was published in 2015. Within it he recommended that learning should be personalised to the individual needs of the student </w:t>
      </w:r>
      <w:sdt>
        <w:sdtPr>
          <w:id w:val="-199472425"/>
          <w:citation/>
        </w:sdtPr>
        <w:sdtEndPr/>
        <w:sdtContent>
          <w:r w:rsidR="00C3339A">
            <w:fldChar w:fldCharType="begin"/>
          </w:r>
          <w:r w:rsidR="00C3339A">
            <w:instrText xml:space="preserve"> CITATION Gra15 \l 2057 </w:instrText>
          </w:r>
          <w:r w:rsidR="00C3339A">
            <w:fldChar w:fldCharType="separate"/>
          </w:r>
          <w:r w:rsidR="00C3339A" w:rsidRPr="00C3339A">
            <w:rPr>
              <w:noProof/>
            </w:rPr>
            <w:t>(Donaldson, 2015)</w:t>
          </w:r>
          <w:r w:rsidR="00C3339A">
            <w:fldChar w:fldCharType="end"/>
          </w:r>
        </w:sdtContent>
      </w:sdt>
      <w:r w:rsidR="00C3339A">
        <w:t>. As is apparent, therefore, that exit tickets can be an useful tool to achieve this.</w:t>
      </w:r>
    </w:p>
    <w:p w14:paraId="203C3306" w14:textId="078F48CE" w:rsidR="00256F12" w:rsidRDefault="00256F12" w:rsidP="006931E4">
      <w:r>
        <w:tab/>
        <w:t>This link between exit tickets and teacher accountability</w:t>
      </w:r>
      <w:r w:rsidR="006E1D6D">
        <w:t xml:space="preserve"> is particularly important in light of recent comments made by the Welsh Cabinet Secretary for education, Kirsty Williams, calling for sustained improvement in teaching and learning, something she linked with a form of assessment which is formative, providing feedback on skills, strengths, areas for improvement and next steps </w:t>
      </w:r>
      <w:sdt>
        <w:sdtPr>
          <w:id w:val="-371614740"/>
          <w:citation/>
        </w:sdtPr>
        <w:sdtEndPr/>
        <w:sdtContent>
          <w:r w:rsidR="006E1D6D">
            <w:fldChar w:fldCharType="begin"/>
          </w:r>
          <w:r w:rsidR="006E1D6D">
            <w:instrText xml:space="preserve"> CITATION Wil19 \l 2057 </w:instrText>
          </w:r>
          <w:r w:rsidR="006E1D6D">
            <w:fldChar w:fldCharType="separate"/>
          </w:r>
          <w:r w:rsidR="006E1D6D" w:rsidRPr="006E1D6D">
            <w:rPr>
              <w:noProof/>
            </w:rPr>
            <w:t>(Williams, 2019)</w:t>
          </w:r>
          <w:r w:rsidR="006E1D6D">
            <w:fldChar w:fldCharType="end"/>
          </w:r>
        </w:sdtContent>
      </w:sdt>
      <w:r w:rsidR="006E1D6D">
        <w:t xml:space="preserve">. It is possible, therefore, that exit tickets could be an useful part of the </w:t>
      </w:r>
      <w:r w:rsidR="004D4F76">
        <w:t>teacher’s</w:t>
      </w:r>
      <w:r w:rsidR="006E1D6D">
        <w:t xml:space="preserve"> toolbox in achieving this.</w:t>
      </w:r>
    </w:p>
    <w:p w14:paraId="0D610D74" w14:textId="77777777" w:rsidR="00654641" w:rsidRPr="007D6DA7" w:rsidRDefault="00654641" w:rsidP="006931E4"/>
    <w:p w14:paraId="253FF055" w14:textId="7E5D0D76" w:rsidR="006931E4" w:rsidRDefault="006931E4" w:rsidP="006931E4">
      <w:pPr>
        <w:pStyle w:val="Heading1"/>
      </w:pPr>
      <w:r>
        <w:t>School Policy and Practice:</w:t>
      </w:r>
    </w:p>
    <w:p w14:paraId="52DA679E" w14:textId="41A76A9E" w:rsidR="006931E4" w:rsidRDefault="006931E4" w:rsidP="006931E4"/>
    <w:p w14:paraId="4B132EFD" w14:textId="6D7663A6" w:rsidR="00A44DAC" w:rsidRDefault="00686F53" w:rsidP="00A44DAC">
      <w:r>
        <w:t>The researcher’s</w:t>
      </w:r>
      <w:r w:rsidR="00A44DAC">
        <w:t xml:space="preserve"> PTE one placement school was inspected by ESTYN </w:t>
      </w:r>
      <w:r w:rsidR="000E56F3">
        <w:t xml:space="preserve">in 2017. This report challenged the school to </w:t>
      </w:r>
      <w:r w:rsidR="00A44DAC">
        <w:t xml:space="preserve">“improve teaching and assessment to match the best in the school” </w:t>
      </w:r>
      <w:sdt>
        <w:sdtPr>
          <w:id w:val="-359819643"/>
          <w:citation/>
        </w:sdtPr>
        <w:sdtEndPr/>
        <w:sdtContent>
          <w:r w:rsidR="000E56F3">
            <w:fldChar w:fldCharType="begin"/>
          </w:r>
          <w:r w:rsidR="000E56F3">
            <w:instrText xml:space="preserve"> CITATION EST17 \l 2057 </w:instrText>
          </w:r>
          <w:r w:rsidR="000E56F3">
            <w:fldChar w:fldCharType="separate"/>
          </w:r>
          <w:r w:rsidR="000E56F3" w:rsidRPr="000E56F3">
            <w:rPr>
              <w:noProof/>
            </w:rPr>
            <w:t>(ESTYN, 2017)</w:t>
          </w:r>
          <w:r w:rsidR="000E56F3">
            <w:fldChar w:fldCharType="end"/>
          </w:r>
        </w:sdtContent>
      </w:sdt>
      <w:r w:rsidR="00A44DAC">
        <w:t xml:space="preserve">, </w:t>
      </w:r>
      <w:r w:rsidR="000E56F3">
        <w:t xml:space="preserve">which the school transformed into a </w:t>
      </w:r>
      <w:r w:rsidR="00A44DAC">
        <w:t>target of developing consistency in quality of formative assessment and feedback.</w:t>
      </w:r>
      <w:r w:rsidR="000E56F3">
        <w:t xml:space="preserve"> Assessment for Learning took place in a number of ways in the department, utilising peer marking against success criteria as a form of formative assessment on written assignments as well as the use of “tweet stickers” to help ensure student engagement with the feedback they receive. There was no standard form of plenary in use within the History Department, </w:t>
      </w:r>
      <w:r w:rsidR="000E56F3">
        <w:lastRenderedPageBreak/>
        <w:t xml:space="preserve">and during time spent observing in other departments </w:t>
      </w:r>
      <w:r w:rsidR="00710C1B">
        <w:t>the researcher</w:t>
      </w:r>
      <w:r w:rsidR="000E56F3">
        <w:t xml:space="preserve"> did not observe exit tickets in use. That is not to say, however, that they were not used within the school at all.</w:t>
      </w:r>
    </w:p>
    <w:p w14:paraId="4EB21407" w14:textId="77777777" w:rsidR="00A44DAC" w:rsidRDefault="00A44DAC" w:rsidP="006931E4"/>
    <w:p w14:paraId="0BEFF189" w14:textId="01D4A003" w:rsidR="006931E4" w:rsidRDefault="006931E4" w:rsidP="006931E4">
      <w:pPr>
        <w:pStyle w:val="Heading1"/>
      </w:pPr>
      <w:r>
        <w:t>Methodology and Ethics:</w:t>
      </w:r>
    </w:p>
    <w:p w14:paraId="550B3901" w14:textId="67DEBAF9" w:rsidR="006931E4" w:rsidRDefault="006931E4" w:rsidP="006931E4"/>
    <w:p w14:paraId="66B7E069" w14:textId="2E3D7112" w:rsidR="000E56F3" w:rsidRDefault="000E56F3" w:rsidP="006931E4">
      <w:r>
        <w:t xml:space="preserve">The action research which </w:t>
      </w:r>
      <w:r w:rsidR="00AF4426">
        <w:t>was undertaken</w:t>
      </w:r>
      <w:r>
        <w:t xml:space="preserve"> involved the use of pre-and post-testing. To that end </w:t>
      </w:r>
      <w:r w:rsidR="006A1E96">
        <w:t xml:space="preserve">the classroom teacher, who was also the researcher, </w:t>
      </w:r>
      <w:r>
        <w:t xml:space="preserve">taught a lesson on Dunkirk </w:t>
      </w:r>
      <w:r w:rsidR="00944B6C">
        <w:t>(Tuesday, period five)</w:t>
      </w:r>
      <w:r w:rsidR="00FC2F3D">
        <w:t xml:space="preserve">, with the objective of equipping learners to: describe how the </w:t>
      </w:r>
      <w:r w:rsidR="006A1E96">
        <w:t xml:space="preserve">British </w:t>
      </w:r>
      <w:r w:rsidR="00FC2F3D">
        <w:t>expeditionary force came to be stranded at Dunkirk; explain</w:t>
      </w:r>
      <w:r w:rsidR="006A1E96">
        <w:t>ing</w:t>
      </w:r>
      <w:r w:rsidR="00FC2F3D">
        <w:t xml:space="preserve"> the miracle of Dunkirk; and assess</w:t>
      </w:r>
      <w:r w:rsidR="006A1E96">
        <w:t>ing</w:t>
      </w:r>
      <w:r w:rsidR="00FC2F3D">
        <w:t xml:space="preserve"> whether Dunkirk was a success or failure. </w:t>
      </w:r>
      <w:r w:rsidR="006A1E96">
        <w:t>The lesson was ended</w:t>
      </w:r>
      <w:r w:rsidR="00FC2F3D">
        <w:t xml:space="preserve"> using what </w:t>
      </w:r>
      <w:r w:rsidR="00944B6C">
        <w:t xml:space="preserve">has become </w:t>
      </w:r>
      <w:r w:rsidR="00891303">
        <w:t>the teacher’s</w:t>
      </w:r>
      <w:r w:rsidR="00944B6C">
        <w:t xml:space="preserve"> standard plenary, in which a question is asked and students place themselves upon a continuum, before asking members of the individual groupings why they made that decision. The question in this instance was should Dunkirk be viewed as a British success? The next lesson (Wednesday of the following week, period 4) began with a five-question knowledge recall test:</w:t>
      </w:r>
    </w:p>
    <w:p w14:paraId="5C5CF9F9" w14:textId="77777777" w:rsidR="00FC2F3D" w:rsidRDefault="00FC2F3D" w:rsidP="00FC2F3D">
      <w:pPr>
        <w:pStyle w:val="Title"/>
      </w:pPr>
      <w:r>
        <w:t>Dunkirk Quiz</w:t>
      </w:r>
    </w:p>
    <w:p w14:paraId="75EEAF54" w14:textId="77777777" w:rsidR="00FC2F3D" w:rsidRDefault="00FC2F3D" w:rsidP="00FC2F3D">
      <w:pPr>
        <w:spacing w:line="240" w:lineRule="auto"/>
      </w:pPr>
    </w:p>
    <w:p w14:paraId="60C91C9B" w14:textId="77777777" w:rsidR="00FC2F3D" w:rsidRDefault="00FC2F3D" w:rsidP="00FC2F3D">
      <w:pPr>
        <w:numPr>
          <w:ilvl w:val="0"/>
          <w:numId w:val="6"/>
        </w:numPr>
        <w:spacing w:after="200" w:line="240" w:lineRule="auto"/>
        <w:jc w:val="left"/>
        <w:rPr>
          <w:szCs w:val="24"/>
        </w:rPr>
      </w:pPr>
      <w:r w:rsidRPr="00C04C48">
        <w:rPr>
          <w:szCs w:val="24"/>
        </w:rPr>
        <w:t>Why did the British need to retreat?</w:t>
      </w:r>
    </w:p>
    <w:p w14:paraId="1E5B4026" w14:textId="77777777" w:rsidR="00FC2F3D" w:rsidRPr="00C04C48" w:rsidRDefault="00FC2F3D" w:rsidP="00FC2F3D">
      <w:pPr>
        <w:spacing w:line="240" w:lineRule="auto"/>
        <w:ind w:left="720"/>
        <w:rPr>
          <w:szCs w:val="24"/>
        </w:rPr>
      </w:pPr>
      <w:r>
        <w:rPr>
          <w:szCs w:val="24"/>
        </w:rPr>
        <w:t>_____________________________________________________________________</w:t>
      </w:r>
    </w:p>
    <w:p w14:paraId="2DB8C37A" w14:textId="77777777" w:rsidR="00FC2F3D" w:rsidRDefault="00FC2F3D" w:rsidP="00FC2F3D">
      <w:pPr>
        <w:numPr>
          <w:ilvl w:val="0"/>
          <w:numId w:val="6"/>
        </w:numPr>
        <w:spacing w:after="200" w:line="240" w:lineRule="auto"/>
        <w:jc w:val="left"/>
        <w:rPr>
          <w:szCs w:val="24"/>
        </w:rPr>
      </w:pPr>
      <w:r w:rsidRPr="00C04C48">
        <w:rPr>
          <w:szCs w:val="24"/>
        </w:rPr>
        <w:t>What was the operational name of the rescue of the British Expeditionary Force from Dunkirk?</w:t>
      </w:r>
    </w:p>
    <w:p w14:paraId="242FF8B6" w14:textId="77777777" w:rsidR="00FC2F3D" w:rsidRPr="00C04C48" w:rsidRDefault="00FC2F3D" w:rsidP="00FC2F3D">
      <w:pPr>
        <w:spacing w:line="240" w:lineRule="auto"/>
        <w:ind w:left="720"/>
        <w:rPr>
          <w:szCs w:val="24"/>
        </w:rPr>
      </w:pPr>
      <w:r>
        <w:rPr>
          <w:szCs w:val="24"/>
        </w:rPr>
        <w:t>_____________________________________________________________________</w:t>
      </w:r>
    </w:p>
    <w:p w14:paraId="5F652C57" w14:textId="77777777" w:rsidR="00FC2F3D" w:rsidRDefault="00FC2F3D" w:rsidP="00FC2F3D">
      <w:pPr>
        <w:numPr>
          <w:ilvl w:val="0"/>
          <w:numId w:val="6"/>
        </w:numPr>
        <w:spacing w:after="200" w:line="240" w:lineRule="auto"/>
        <w:jc w:val="left"/>
        <w:rPr>
          <w:szCs w:val="24"/>
        </w:rPr>
      </w:pPr>
      <w:r w:rsidRPr="00C04C48">
        <w:rPr>
          <w:szCs w:val="24"/>
        </w:rPr>
        <w:t>When did it take place?</w:t>
      </w:r>
    </w:p>
    <w:p w14:paraId="4762F7B9" w14:textId="77777777" w:rsidR="00FC2F3D" w:rsidRPr="00C04C48" w:rsidRDefault="00FC2F3D" w:rsidP="00FC2F3D">
      <w:pPr>
        <w:spacing w:line="240" w:lineRule="auto"/>
        <w:ind w:left="720"/>
        <w:rPr>
          <w:szCs w:val="24"/>
        </w:rPr>
      </w:pPr>
      <w:r>
        <w:rPr>
          <w:szCs w:val="24"/>
        </w:rPr>
        <w:t>_____________________________________________________________________</w:t>
      </w:r>
    </w:p>
    <w:p w14:paraId="3AC6402F" w14:textId="77777777" w:rsidR="00FC2F3D" w:rsidRDefault="00FC2F3D" w:rsidP="00FC2F3D">
      <w:pPr>
        <w:numPr>
          <w:ilvl w:val="0"/>
          <w:numId w:val="6"/>
        </w:numPr>
        <w:spacing w:after="200" w:line="240" w:lineRule="auto"/>
        <w:jc w:val="left"/>
        <w:rPr>
          <w:szCs w:val="24"/>
        </w:rPr>
      </w:pPr>
      <w:r w:rsidRPr="00C04C48">
        <w:rPr>
          <w:szCs w:val="24"/>
        </w:rPr>
        <w:t>How were the British troops evacuated?</w:t>
      </w:r>
    </w:p>
    <w:p w14:paraId="62992BF4" w14:textId="77777777" w:rsidR="00FC2F3D" w:rsidRPr="00C04C48" w:rsidRDefault="00FC2F3D" w:rsidP="00FC2F3D">
      <w:pPr>
        <w:spacing w:line="240" w:lineRule="auto"/>
        <w:ind w:left="720"/>
        <w:rPr>
          <w:szCs w:val="24"/>
        </w:rPr>
      </w:pPr>
      <w:r>
        <w:rPr>
          <w:szCs w:val="24"/>
        </w:rPr>
        <w:t>_____________________________________________________________________</w:t>
      </w:r>
    </w:p>
    <w:p w14:paraId="29382A86" w14:textId="77777777" w:rsidR="00FC2F3D" w:rsidRDefault="00FC2F3D" w:rsidP="00FC2F3D">
      <w:pPr>
        <w:numPr>
          <w:ilvl w:val="0"/>
          <w:numId w:val="6"/>
        </w:numPr>
        <w:spacing w:after="200" w:line="240" w:lineRule="auto"/>
        <w:jc w:val="left"/>
        <w:rPr>
          <w:szCs w:val="24"/>
        </w:rPr>
      </w:pPr>
      <w:r w:rsidRPr="00C04C48">
        <w:rPr>
          <w:szCs w:val="24"/>
        </w:rPr>
        <w:lastRenderedPageBreak/>
        <w:t>What was the we</w:t>
      </w:r>
      <w:r>
        <w:rPr>
          <w:szCs w:val="24"/>
        </w:rPr>
        <w:t>ather like?</w:t>
      </w:r>
    </w:p>
    <w:p w14:paraId="6AC42C52" w14:textId="77777777" w:rsidR="00FC2F3D" w:rsidRPr="00213D86" w:rsidRDefault="00FC2F3D" w:rsidP="00FC2F3D">
      <w:pPr>
        <w:spacing w:line="240" w:lineRule="auto"/>
        <w:ind w:left="720"/>
        <w:rPr>
          <w:szCs w:val="24"/>
        </w:rPr>
      </w:pPr>
      <w:r>
        <w:rPr>
          <w:szCs w:val="24"/>
        </w:rPr>
        <w:t>________________________</w:t>
      </w:r>
      <w:r w:rsidRPr="00213D86">
        <w:rPr>
          <w:szCs w:val="24"/>
        </w:rPr>
        <w:t>_____________________________________________</w:t>
      </w:r>
    </w:p>
    <w:p w14:paraId="4F391810" w14:textId="77777777" w:rsidR="00FC2F3D" w:rsidRDefault="00FC2F3D" w:rsidP="006931E4"/>
    <w:p w14:paraId="2AA2FFE9" w14:textId="74087A0F" w:rsidR="00FC2F3D" w:rsidRDefault="00EF06D3" w:rsidP="00FC2F3D">
      <w:r>
        <w:t xml:space="preserve">The teacher </w:t>
      </w:r>
      <w:r w:rsidR="00944B6C">
        <w:t xml:space="preserve">proceeded to teach as normal owing to the fact that </w:t>
      </w:r>
      <w:r>
        <w:t>the</w:t>
      </w:r>
      <w:r w:rsidR="00944B6C">
        <w:t xml:space="preserve"> next lesson with the class was on the Friday of that week. Fridays lesson (Period one) </w:t>
      </w:r>
      <w:r w:rsidR="00FC2F3D">
        <w:t>was on the Battle of Britain with the objective of e</w:t>
      </w:r>
      <w:r w:rsidR="00FC2F3D" w:rsidRPr="00FC2F3D">
        <w:t>xplain</w:t>
      </w:r>
      <w:r w:rsidR="00FC2F3D">
        <w:t>ing</w:t>
      </w:r>
      <w:r w:rsidR="00FC2F3D" w:rsidRPr="00FC2F3D">
        <w:t xml:space="preserve"> why air superiority was so important in May 1940 and why Britain won the Battle of Britain.</w:t>
      </w:r>
      <w:r w:rsidR="00FC2F3D">
        <w:t xml:space="preserve"> This lesson ended with students being given a three – two – one exit ticket (see below).</w:t>
      </w:r>
    </w:p>
    <w:p w14:paraId="1F6AE44A" w14:textId="5662BDA7" w:rsidR="00FC2F3D" w:rsidRDefault="00FC2F3D" w:rsidP="00FC2F3D">
      <w:r>
        <w:rPr>
          <w:noProof/>
        </w:rPr>
        <w:drawing>
          <wp:inline distT="0" distB="0" distL="0" distR="0" wp14:anchorId="2512A263" wp14:editId="13A12E57">
            <wp:extent cx="5731510" cy="39916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2-1- Exit Pass.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991610"/>
                    </a:xfrm>
                    <a:prstGeom prst="rect">
                      <a:avLst/>
                    </a:prstGeom>
                  </pic:spPr>
                </pic:pic>
              </a:graphicData>
            </a:graphic>
          </wp:inline>
        </w:drawing>
      </w:r>
    </w:p>
    <w:p w14:paraId="4E3C4313" w14:textId="5EABD18D" w:rsidR="00FC2F3D" w:rsidRDefault="00FC2F3D" w:rsidP="00FC2F3D">
      <w:pPr>
        <w:rPr>
          <w:rFonts w:ascii="Arial" w:hAnsi="Arial" w:cs="Arial"/>
          <w:b/>
          <w:sz w:val="22"/>
        </w:rPr>
      </w:pPr>
      <w:r>
        <w:t>The following lesson (Tuesday of the following week, period 5) began with another five-question knowledge recall test on the previous lesson:</w:t>
      </w:r>
    </w:p>
    <w:p w14:paraId="2122BFB1" w14:textId="77777777" w:rsidR="00FC2F3D" w:rsidRDefault="00FC2F3D" w:rsidP="00FC2F3D">
      <w:pPr>
        <w:pStyle w:val="Title"/>
      </w:pPr>
      <w:r>
        <w:t>Battle of Britain Quiz</w:t>
      </w:r>
    </w:p>
    <w:p w14:paraId="4D20B1D5" w14:textId="77777777" w:rsidR="00FC2F3D" w:rsidRDefault="00FC2F3D" w:rsidP="00FC2F3D"/>
    <w:p w14:paraId="7A530B9F" w14:textId="77777777" w:rsidR="00FC2F3D" w:rsidRDefault="00FC2F3D" w:rsidP="00FC2F3D">
      <w:pPr>
        <w:numPr>
          <w:ilvl w:val="0"/>
          <w:numId w:val="7"/>
        </w:numPr>
        <w:spacing w:after="200" w:line="240" w:lineRule="auto"/>
        <w:jc w:val="left"/>
        <w:rPr>
          <w:szCs w:val="24"/>
        </w:rPr>
      </w:pPr>
      <w:r>
        <w:rPr>
          <w:szCs w:val="24"/>
        </w:rPr>
        <w:t>What was the German Plan for the Invasion of Britain Called</w:t>
      </w:r>
      <w:r w:rsidRPr="00C04C48">
        <w:rPr>
          <w:szCs w:val="24"/>
        </w:rPr>
        <w:t>?</w:t>
      </w:r>
    </w:p>
    <w:p w14:paraId="5EF1CB65" w14:textId="77777777" w:rsidR="00FC2F3D" w:rsidRPr="00C04C48" w:rsidRDefault="00FC2F3D" w:rsidP="00FC2F3D">
      <w:pPr>
        <w:spacing w:line="240" w:lineRule="auto"/>
        <w:ind w:left="720"/>
        <w:rPr>
          <w:szCs w:val="24"/>
        </w:rPr>
      </w:pPr>
      <w:r>
        <w:rPr>
          <w:szCs w:val="24"/>
        </w:rPr>
        <w:t>_____________________________________________________________________</w:t>
      </w:r>
    </w:p>
    <w:p w14:paraId="7D14CC9C" w14:textId="77777777" w:rsidR="00FC2F3D" w:rsidRDefault="00FC2F3D" w:rsidP="00FC2F3D">
      <w:pPr>
        <w:numPr>
          <w:ilvl w:val="0"/>
          <w:numId w:val="7"/>
        </w:numPr>
        <w:spacing w:after="200" w:line="240" w:lineRule="auto"/>
        <w:jc w:val="left"/>
        <w:rPr>
          <w:szCs w:val="24"/>
        </w:rPr>
      </w:pPr>
      <w:r>
        <w:rPr>
          <w:szCs w:val="24"/>
        </w:rPr>
        <w:lastRenderedPageBreak/>
        <w:t>The plan relied upon Germany achieving what</w:t>
      </w:r>
      <w:r w:rsidRPr="00C04C48">
        <w:rPr>
          <w:szCs w:val="24"/>
        </w:rPr>
        <w:t>?</w:t>
      </w:r>
    </w:p>
    <w:p w14:paraId="21FA8498" w14:textId="77777777" w:rsidR="00FC2F3D" w:rsidRPr="00C04C48" w:rsidRDefault="00FC2F3D" w:rsidP="00FC2F3D">
      <w:pPr>
        <w:spacing w:line="240" w:lineRule="auto"/>
        <w:ind w:left="720"/>
        <w:rPr>
          <w:szCs w:val="24"/>
        </w:rPr>
      </w:pPr>
      <w:r>
        <w:rPr>
          <w:szCs w:val="24"/>
        </w:rPr>
        <w:t>_____________________________________________________________________</w:t>
      </w:r>
    </w:p>
    <w:p w14:paraId="22BD81E1" w14:textId="77777777" w:rsidR="00FC2F3D" w:rsidRDefault="00FC2F3D" w:rsidP="00FC2F3D">
      <w:pPr>
        <w:numPr>
          <w:ilvl w:val="0"/>
          <w:numId w:val="7"/>
        </w:numPr>
        <w:spacing w:after="200" w:line="240" w:lineRule="auto"/>
        <w:jc w:val="left"/>
        <w:rPr>
          <w:szCs w:val="24"/>
        </w:rPr>
      </w:pPr>
      <w:r w:rsidRPr="00C04C48">
        <w:rPr>
          <w:szCs w:val="24"/>
        </w:rPr>
        <w:t xml:space="preserve">When did </w:t>
      </w:r>
      <w:r>
        <w:rPr>
          <w:szCs w:val="24"/>
        </w:rPr>
        <w:t xml:space="preserve">The Battle of Britain </w:t>
      </w:r>
      <w:r w:rsidRPr="00C04C48">
        <w:rPr>
          <w:szCs w:val="24"/>
        </w:rPr>
        <w:t>take place?</w:t>
      </w:r>
    </w:p>
    <w:p w14:paraId="5B2C533A" w14:textId="77777777" w:rsidR="00FC2F3D" w:rsidRPr="00C04C48" w:rsidRDefault="00FC2F3D" w:rsidP="00FC2F3D">
      <w:pPr>
        <w:spacing w:line="240" w:lineRule="auto"/>
        <w:ind w:left="720"/>
        <w:rPr>
          <w:szCs w:val="24"/>
        </w:rPr>
      </w:pPr>
      <w:r>
        <w:rPr>
          <w:szCs w:val="24"/>
        </w:rPr>
        <w:t>_____________________________________________________________________</w:t>
      </w:r>
    </w:p>
    <w:p w14:paraId="4E81C4A4" w14:textId="77777777" w:rsidR="00FC2F3D" w:rsidRDefault="00FC2F3D" w:rsidP="00FC2F3D">
      <w:pPr>
        <w:numPr>
          <w:ilvl w:val="0"/>
          <w:numId w:val="7"/>
        </w:numPr>
        <w:spacing w:after="200" w:line="240" w:lineRule="auto"/>
        <w:jc w:val="left"/>
        <w:rPr>
          <w:szCs w:val="24"/>
        </w:rPr>
      </w:pPr>
      <w:r>
        <w:rPr>
          <w:szCs w:val="24"/>
        </w:rPr>
        <w:t>Name 3 nationalities of RAF Pilots</w:t>
      </w:r>
      <w:r w:rsidRPr="00C04C48">
        <w:rPr>
          <w:szCs w:val="24"/>
        </w:rPr>
        <w:t>?</w:t>
      </w:r>
    </w:p>
    <w:p w14:paraId="6361A8FC" w14:textId="77777777" w:rsidR="00FC2F3D" w:rsidRDefault="00FC2F3D" w:rsidP="00FC2F3D">
      <w:pPr>
        <w:spacing w:line="240" w:lineRule="auto"/>
        <w:ind w:left="720"/>
        <w:rPr>
          <w:szCs w:val="24"/>
        </w:rPr>
      </w:pPr>
      <w:r>
        <w:rPr>
          <w:szCs w:val="24"/>
        </w:rPr>
        <w:t>1)___________________________________________________________________</w:t>
      </w:r>
    </w:p>
    <w:p w14:paraId="349CAA7B" w14:textId="77777777" w:rsidR="00FC2F3D" w:rsidRDefault="00FC2F3D" w:rsidP="00FC2F3D">
      <w:pPr>
        <w:spacing w:line="240" w:lineRule="auto"/>
        <w:ind w:left="720"/>
        <w:rPr>
          <w:szCs w:val="24"/>
        </w:rPr>
      </w:pPr>
      <w:r>
        <w:rPr>
          <w:szCs w:val="24"/>
        </w:rPr>
        <w:t>2)___________________________________________________________________</w:t>
      </w:r>
    </w:p>
    <w:p w14:paraId="79450FD7" w14:textId="77777777" w:rsidR="00FC2F3D" w:rsidRPr="00C04C48" w:rsidRDefault="00FC2F3D" w:rsidP="00FC2F3D">
      <w:pPr>
        <w:spacing w:line="240" w:lineRule="auto"/>
        <w:ind w:left="720"/>
        <w:rPr>
          <w:szCs w:val="24"/>
        </w:rPr>
      </w:pPr>
      <w:r>
        <w:rPr>
          <w:szCs w:val="24"/>
        </w:rPr>
        <w:t>3)___________________________________________________________________</w:t>
      </w:r>
    </w:p>
    <w:p w14:paraId="697D9F2B" w14:textId="77777777" w:rsidR="00FC2F3D" w:rsidRDefault="00FC2F3D" w:rsidP="00FC2F3D">
      <w:pPr>
        <w:numPr>
          <w:ilvl w:val="0"/>
          <w:numId w:val="7"/>
        </w:numPr>
        <w:spacing w:after="200" w:line="240" w:lineRule="auto"/>
        <w:jc w:val="left"/>
        <w:rPr>
          <w:szCs w:val="24"/>
        </w:rPr>
      </w:pPr>
      <w:r>
        <w:rPr>
          <w:szCs w:val="24"/>
        </w:rPr>
        <w:t>What were Britain’s most effective fighter planes called</w:t>
      </w:r>
      <w:r w:rsidRPr="00C04C48">
        <w:rPr>
          <w:szCs w:val="24"/>
        </w:rPr>
        <w:t>?</w:t>
      </w:r>
    </w:p>
    <w:p w14:paraId="13501C66" w14:textId="77777777" w:rsidR="00FC2F3D" w:rsidRDefault="00FC2F3D" w:rsidP="00FC2F3D">
      <w:pPr>
        <w:spacing w:line="240" w:lineRule="auto"/>
        <w:ind w:left="720"/>
        <w:rPr>
          <w:szCs w:val="24"/>
        </w:rPr>
      </w:pPr>
      <w:r>
        <w:rPr>
          <w:szCs w:val="24"/>
        </w:rPr>
        <w:t>1)___________________________________________________________________</w:t>
      </w:r>
    </w:p>
    <w:p w14:paraId="035E3E7D" w14:textId="77777777" w:rsidR="00FC2F3D" w:rsidRPr="00C04C48" w:rsidRDefault="00FC2F3D" w:rsidP="00FC2F3D">
      <w:pPr>
        <w:spacing w:line="240" w:lineRule="auto"/>
        <w:ind w:left="720"/>
      </w:pPr>
      <w:r>
        <w:rPr>
          <w:szCs w:val="24"/>
        </w:rPr>
        <w:t>2)___________________________________________________________________</w:t>
      </w:r>
    </w:p>
    <w:p w14:paraId="4E5B6ADB" w14:textId="1F143DB5" w:rsidR="00FC2F3D" w:rsidRDefault="00FC2F3D" w:rsidP="00FC2F3D"/>
    <w:p w14:paraId="6690018C" w14:textId="33F1DE0E" w:rsidR="00FC2F3D" w:rsidRDefault="00D80D5A" w:rsidP="00FC2F3D">
      <w:r>
        <w:t xml:space="preserve">A clear flaw in the design of the knowledge recall tests, which </w:t>
      </w:r>
      <w:r w:rsidR="008D006A">
        <w:t>was</w:t>
      </w:r>
      <w:r>
        <w:t xml:space="preserve"> only noticed having reviewed them after the event, is that the first test was five questions with a total score of five marks, whereas the second test although consisting of five questions had a total score of eight marks. Clearly, therefore, the only way that these two tests can be compared is through converting the raw scores to percentages. Although the lessons which are being compared had a similar number of days between the teaching and test activities, a better methodology would have been to have done the teaching interventions and tests at the same point of the teaching cycle in both instances. Regrettably, owing to timetabling constraints, combined with the short nature of the placement this was not possible. </w:t>
      </w:r>
      <w:r w:rsidR="009946E7">
        <w:t xml:space="preserve">Owing to the gap between the two tests, not all students were able to participate in all the lessons, therefore, out of a class of 30 students, </w:t>
      </w:r>
      <w:r w:rsidR="00BB666B">
        <w:t xml:space="preserve">the researcher </w:t>
      </w:r>
      <w:r w:rsidR="009946E7">
        <w:t xml:space="preserve">only </w:t>
      </w:r>
      <w:r w:rsidR="00BB666B">
        <w:t>obtained</w:t>
      </w:r>
      <w:r w:rsidR="009946E7">
        <w:t xml:space="preserve"> 17 usable results.</w:t>
      </w:r>
      <w:r w:rsidR="003D7B97">
        <w:t xml:space="preserve"> </w:t>
      </w:r>
      <w:r w:rsidR="00BB666B">
        <w:t>The teacher</w:t>
      </w:r>
      <w:r w:rsidR="003D7B97">
        <w:t xml:space="preserve"> deliberately did not provide the class of prior notice of the quiz so that the result was not skewed by some students revising prior to the lesson, however, this pack did lead to some students attempting to look for answers in their books in spite of being told it was a closed book quiz.</w:t>
      </w:r>
    </w:p>
    <w:p w14:paraId="0100C28C" w14:textId="3DDF164B" w:rsidR="00D80D5A" w:rsidRDefault="00D80D5A" w:rsidP="00FC2F3D">
      <w:r>
        <w:tab/>
      </w:r>
      <w:r w:rsidR="00BB666B">
        <w:t xml:space="preserve">The researcher </w:t>
      </w:r>
      <w:r>
        <w:t xml:space="preserve">selected my year nine class to undertake the research with, owing to the fact that there lessons with the most evenly distributed across the </w:t>
      </w:r>
      <w:r>
        <w:lastRenderedPageBreak/>
        <w:t>timetable, and the scheme of work allowed for this to be done effectively, as they were neither changing topic over the course of the lessons (as was happening with the seven), nor completing written assignments (as was happening with ye</w:t>
      </w:r>
      <w:r w:rsidR="00011EAC">
        <w:t>ar</w:t>
      </w:r>
      <w:r>
        <w:t xml:space="preserve"> eight). </w:t>
      </w:r>
      <w:r w:rsidR="00BB666B">
        <w:t>The researcher</w:t>
      </w:r>
      <w:r>
        <w:t xml:space="preserve"> was clear that </w:t>
      </w:r>
      <w:r w:rsidR="00BB666B">
        <w:t>they</w:t>
      </w:r>
      <w:r>
        <w:t xml:space="preserve"> wanted to undertake the research with Key Stage Three students as the class sizes are larger and would therefore afford a better sample size.</w:t>
      </w:r>
    </w:p>
    <w:p w14:paraId="0847C5B1" w14:textId="1D11BB4E" w:rsidR="00D80D5A" w:rsidRDefault="00D80D5A" w:rsidP="00FC2F3D">
      <w:r>
        <w:tab/>
        <w:t>Ethical approval was sought, and granted,</w:t>
      </w:r>
      <w:r w:rsidR="009946E7">
        <w:t xml:space="preserve"> from the University of Wales Trinity’s St. David’s ethics committee. All students were informed about the research at the time and given the opportunity to talk to me in private about the research with the option of withdrawing at any time. This was important as not only was it a requirement for obtaining ethics approval from the University, but also because researchers have a duty to consider the rights of individuals involved within their project</w:t>
      </w:r>
      <w:sdt>
        <w:sdtPr>
          <w:id w:val="-1573494689"/>
          <w:citation/>
        </w:sdtPr>
        <w:sdtEndPr/>
        <w:sdtContent>
          <w:r w:rsidR="009946E7">
            <w:fldChar w:fldCharType="begin"/>
          </w:r>
          <w:r w:rsidR="009946E7">
            <w:instrText xml:space="preserve"> CITATION Bur09 \l 2057 </w:instrText>
          </w:r>
          <w:r w:rsidR="009946E7">
            <w:fldChar w:fldCharType="separate"/>
          </w:r>
          <w:r w:rsidR="009946E7">
            <w:rPr>
              <w:noProof/>
            </w:rPr>
            <w:t xml:space="preserve"> </w:t>
          </w:r>
          <w:r w:rsidR="009946E7" w:rsidRPr="009946E7">
            <w:rPr>
              <w:noProof/>
            </w:rPr>
            <w:t>(Burton &amp; Bartlett, 2009)</w:t>
          </w:r>
          <w:r w:rsidR="009946E7">
            <w:fldChar w:fldCharType="end"/>
          </w:r>
        </w:sdtContent>
      </w:sdt>
      <w:r w:rsidR="009946E7">
        <w:t>. Accordingly, the school and all participants have been anonymized, with the school referred to as PTE one placement school and students as student A, B, C, etc.</w:t>
      </w:r>
    </w:p>
    <w:p w14:paraId="0A8D6C8E" w14:textId="77777777" w:rsidR="00C25BE7" w:rsidRDefault="00C25BE7" w:rsidP="00FC2F3D"/>
    <w:p w14:paraId="0502B1FC" w14:textId="3537AA19" w:rsidR="009946E7" w:rsidRDefault="00C25BE7" w:rsidP="00C25BE7">
      <w:pPr>
        <w:pStyle w:val="Heading1"/>
      </w:pPr>
      <w:r>
        <w:t>Evaluation:</w:t>
      </w:r>
    </w:p>
    <w:p w14:paraId="338551B5" w14:textId="37D31951" w:rsidR="00C25BE7" w:rsidRDefault="006E155C" w:rsidP="008678C9">
      <w:pPr>
        <w:pStyle w:val="Heading2"/>
      </w:pPr>
      <w:r>
        <w:t>Table One:</w:t>
      </w:r>
    </w:p>
    <w:tbl>
      <w:tblPr>
        <w:tblW w:w="9016" w:type="dxa"/>
        <w:jc w:val="center"/>
        <w:tblLook w:val="04A0" w:firstRow="1" w:lastRow="0" w:firstColumn="1" w:lastColumn="0" w:noHBand="0" w:noVBand="1"/>
      </w:tblPr>
      <w:tblGrid>
        <w:gridCol w:w="678"/>
        <w:gridCol w:w="898"/>
        <w:gridCol w:w="1934"/>
        <w:gridCol w:w="1448"/>
        <w:gridCol w:w="2654"/>
        <w:gridCol w:w="1404"/>
      </w:tblGrid>
      <w:tr w:rsidR="00D753E3" w:rsidRPr="0004183D" w14:paraId="65CA012D"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4472C4" w:fill="4472C4"/>
            <w:noWrap/>
            <w:vAlign w:val="bottom"/>
            <w:hideMark/>
          </w:tcPr>
          <w:p w14:paraId="1AFD4D50" w14:textId="77777777" w:rsidR="00D753E3" w:rsidRPr="0004183D" w:rsidRDefault="00D753E3" w:rsidP="0004183D">
            <w:pPr>
              <w:spacing w:after="0" w:line="240" w:lineRule="auto"/>
              <w:jc w:val="left"/>
              <w:rPr>
                <w:rFonts w:ascii="Calibri" w:eastAsia="Times New Roman" w:hAnsi="Calibri" w:cs="Calibri"/>
                <w:b/>
                <w:bCs/>
                <w:color w:val="FFFFFF"/>
                <w:sz w:val="22"/>
                <w:lang w:eastAsia="en-GB"/>
              </w:rPr>
            </w:pPr>
            <w:r w:rsidRPr="0004183D">
              <w:rPr>
                <w:rFonts w:ascii="Calibri" w:eastAsia="Times New Roman" w:hAnsi="Calibri" w:cs="Calibri"/>
                <w:b/>
                <w:bCs/>
                <w:color w:val="FFFFFF"/>
                <w:sz w:val="22"/>
                <w:lang w:eastAsia="en-GB"/>
              </w:rPr>
              <w:t>Pupil</w:t>
            </w:r>
          </w:p>
        </w:tc>
        <w:tc>
          <w:tcPr>
            <w:tcW w:w="1014" w:type="dxa"/>
            <w:tcBorders>
              <w:top w:val="single" w:sz="4" w:space="0" w:color="8EA9DB"/>
              <w:left w:val="nil"/>
              <w:bottom w:val="single" w:sz="4" w:space="0" w:color="8EA9DB"/>
              <w:right w:val="nil"/>
            </w:tcBorders>
            <w:shd w:val="clear" w:color="4472C4" w:fill="4472C4"/>
          </w:tcPr>
          <w:p w14:paraId="65576A46" w14:textId="0365ADBF" w:rsidR="00D753E3" w:rsidRPr="0004183D" w:rsidRDefault="00D753E3" w:rsidP="0004183D">
            <w:pPr>
              <w:spacing w:after="0" w:line="240" w:lineRule="auto"/>
              <w:jc w:val="left"/>
              <w:rPr>
                <w:rFonts w:ascii="Calibri" w:eastAsia="Times New Roman" w:hAnsi="Calibri" w:cs="Calibri"/>
                <w:b/>
                <w:bCs/>
                <w:color w:val="FFFFFF"/>
                <w:sz w:val="22"/>
                <w:lang w:eastAsia="en-GB"/>
              </w:rPr>
            </w:pPr>
            <w:r>
              <w:rPr>
                <w:rFonts w:ascii="Calibri" w:eastAsia="Times New Roman" w:hAnsi="Calibri" w:cs="Calibri"/>
                <w:b/>
                <w:bCs/>
                <w:color w:val="FFFFFF"/>
                <w:sz w:val="22"/>
                <w:lang w:eastAsia="en-GB"/>
              </w:rPr>
              <w:t>Gender</w:t>
            </w:r>
          </w:p>
        </w:tc>
        <w:tc>
          <w:tcPr>
            <w:tcW w:w="1934" w:type="dxa"/>
            <w:tcBorders>
              <w:top w:val="single" w:sz="4" w:space="0" w:color="8EA9DB"/>
              <w:left w:val="nil"/>
              <w:bottom w:val="single" w:sz="4" w:space="0" w:color="8EA9DB"/>
              <w:right w:val="nil"/>
            </w:tcBorders>
            <w:shd w:val="clear" w:color="4472C4" w:fill="4472C4"/>
            <w:noWrap/>
            <w:vAlign w:val="bottom"/>
            <w:hideMark/>
          </w:tcPr>
          <w:p w14:paraId="028BC3D8" w14:textId="697FC28C" w:rsidR="00D753E3" w:rsidRPr="0004183D" w:rsidRDefault="00D753E3" w:rsidP="0004183D">
            <w:pPr>
              <w:spacing w:after="0" w:line="240" w:lineRule="auto"/>
              <w:jc w:val="left"/>
              <w:rPr>
                <w:rFonts w:ascii="Calibri" w:eastAsia="Times New Roman" w:hAnsi="Calibri" w:cs="Calibri"/>
                <w:b/>
                <w:bCs/>
                <w:color w:val="FFFFFF"/>
                <w:sz w:val="22"/>
                <w:lang w:eastAsia="en-GB"/>
              </w:rPr>
            </w:pPr>
            <w:r w:rsidRPr="0004183D">
              <w:rPr>
                <w:rFonts w:ascii="Calibri" w:eastAsia="Times New Roman" w:hAnsi="Calibri" w:cs="Calibri"/>
                <w:b/>
                <w:bCs/>
                <w:color w:val="FFFFFF"/>
                <w:sz w:val="22"/>
                <w:lang w:eastAsia="en-GB"/>
              </w:rPr>
              <w:t>Pre-Test: Dunkirk</w:t>
            </w:r>
          </w:p>
        </w:tc>
        <w:tc>
          <w:tcPr>
            <w:tcW w:w="1448" w:type="dxa"/>
            <w:tcBorders>
              <w:top w:val="single" w:sz="4" w:space="0" w:color="8EA9DB"/>
              <w:left w:val="nil"/>
              <w:bottom w:val="single" w:sz="4" w:space="0" w:color="8EA9DB"/>
              <w:right w:val="nil"/>
            </w:tcBorders>
            <w:shd w:val="clear" w:color="4472C4" w:fill="4472C4"/>
            <w:noWrap/>
            <w:vAlign w:val="bottom"/>
            <w:hideMark/>
          </w:tcPr>
          <w:p w14:paraId="46E4D769" w14:textId="77777777" w:rsidR="00D753E3" w:rsidRPr="0004183D" w:rsidRDefault="00D753E3" w:rsidP="0004183D">
            <w:pPr>
              <w:spacing w:after="0" w:line="240" w:lineRule="auto"/>
              <w:jc w:val="center"/>
              <w:rPr>
                <w:rFonts w:ascii="Calibri" w:eastAsia="Times New Roman" w:hAnsi="Calibri" w:cs="Calibri"/>
                <w:b/>
                <w:bCs/>
                <w:color w:val="FFFFFF"/>
                <w:sz w:val="22"/>
                <w:lang w:eastAsia="en-GB"/>
              </w:rPr>
            </w:pPr>
            <w:r w:rsidRPr="0004183D">
              <w:rPr>
                <w:rFonts w:ascii="Calibri" w:eastAsia="Times New Roman" w:hAnsi="Calibri" w:cs="Calibri"/>
                <w:b/>
                <w:bCs/>
                <w:color w:val="FFFFFF"/>
                <w:sz w:val="22"/>
                <w:lang w:eastAsia="en-GB"/>
              </w:rPr>
              <w:t>Pre-Test %</w:t>
            </w:r>
          </w:p>
        </w:tc>
        <w:tc>
          <w:tcPr>
            <w:tcW w:w="2654" w:type="dxa"/>
            <w:tcBorders>
              <w:top w:val="single" w:sz="4" w:space="0" w:color="8EA9DB"/>
              <w:left w:val="nil"/>
              <w:bottom w:val="single" w:sz="4" w:space="0" w:color="8EA9DB"/>
              <w:right w:val="nil"/>
            </w:tcBorders>
            <w:shd w:val="clear" w:color="4472C4" w:fill="4472C4"/>
            <w:noWrap/>
            <w:vAlign w:val="bottom"/>
            <w:hideMark/>
          </w:tcPr>
          <w:p w14:paraId="5428BBD9" w14:textId="77777777" w:rsidR="00D753E3" w:rsidRPr="0004183D" w:rsidRDefault="00D753E3" w:rsidP="0004183D">
            <w:pPr>
              <w:spacing w:after="0" w:line="240" w:lineRule="auto"/>
              <w:jc w:val="left"/>
              <w:rPr>
                <w:rFonts w:ascii="Calibri" w:eastAsia="Times New Roman" w:hAnsi="Calibri" w:cs="Calibri"/>
                <w:b/>
                <w:bCs/>
                <w:color w:val="FFFFFF"/>
                <w:sz w:val="22"/>
                <w:lang w:eastAsia="en-GB"/>
              </w:rPr>
            </w:pPr>
            <w:r w:rsidRPr="0004183D">
              <w:rPr>
                <w:rFonts w:ascii="Calibri" w:eastAsia="Times New Roman" w:hAnsi="Calibri" w:cs="Calibri"/>
                <w:b/>
                <w:bCs/>
                <w:color w:val="FFFFFF"/>
                <w:sz w:val="22"/>
                <w:lang w:eastAsia="en-GB"/>
              </w:rPr>
              <w:t>Post-Test: Battle of Britain</w:t>
            </w:r>
          </w:p>
        </w:tc>
        <w:tc>
          <w:tcPr>
            <w:tcW w:w="1404" w:type="dxa"/>
            <w:tcBorders>
              <w:top w:val="single" w:sz="4" w:space="0" w:color="8EA9DB"/>
              <w:left w:val="nil"/>
              <w:bottom w:val="single" w:sz="4" w:space="0" w:color="8EA9DB"/>
              <w:right w:val="single" w:sz="4" w:space="0" w:color="8EA9DB"/>
            </w:tcBorders>
            <w:shd w:val="clear" w:color="4472C4" w:fill="4472C4"/>
            <w:noWrap/>
            <w:vAlign w:val="bottom"/>
            <w:hideMark/>
          </w:tcPr>
          <w:p w14:paraId="39BB6978" w14:textId="77777777" w:rsidR="00D753E3" w:rsidRPr="0004183D" w:rsidRDefault="00D753E3" w:rsidP="0004183D">
            <w:pPr>
              <w:spacing w:after="0" w:line="240" w:lineRule="auto"/>
              <w:jc w:val="left"/>
              <w:rPr>
                <w:rFonts w:ascii="Calibri" w:eastAsia="Times New Roman" w:hAnsi="Calibri" w:cs="Calibri"/>
                <w:b/>
                <w:bCs/>
                <w:color w:val="FFFFFF"/>
                <w:sz w:val="22"/>
                <w:lang w:eastAsia="en-GB"/>
              </w:rPr>
            </w:pPr>
            <w:r w:rsidRPr="0004183D">
              <w:rPr>
                <w:rFonts w:ascii="Calibri" w:eastAsia="Times New Roman" w:hAnsi="Calibri" w:cs="Calibri"/>
                <w:b/>
                <w:bCs/>
                <w:color w:val="FFFFFF"/>
                <w:sz w:val="22"/>
                <w:lang w:eastAsia="en-GB"/>
              </w:rPr>
              <w:t>Post-Test %</w:t>
            </w:r>
          </w:p>
        </w:tc>
      </w:tr>
      <w:tr w:rsidR="00D753E3" w:rsidRPr="0004183D" w14:paraId="0CFD3AFD"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119BFA5C"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A</w:t>
            </w:r>
          </w:p>
        </w:tc>
        <w:tc>
          <w:tcPr>
            <w:tcW w:w="1014" w:type="dxa"/>
            <w:tcBorders>
              <w:top w:val="single" w:sz="4" w:space="0" w:color="8EA9DB"/>
              <w:left w:val="nil"/>
              <w:bottom w:val="single" w:sz="4" w:space="0" w:color="8EA9DB"/>
              <w:right w:val="nil"/>
            </w:tcBorders>
            <w:shd w:val="clear" w:color="D9E1F2" w:fill="D9E1F2"/>
          </w:tcPr>
          <w:p w14:paraId="70DF59DF" w14:textId="673CAFD6" w:rsidR="00D753E3" w:rsidRPr="0004183D" w:rsidRDefault="00B443BC"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D9E1F2" w:fill="D9E1F2"/>
            <w:noWrap/>
            <w:vAlign w:val="bottom"/>
            <w:hideMark/>
          </w:tcPr>
          <w:p w14:paraId="27E05B30" w14:textId="440AE426"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3</w:t>
            </w:r>
          </w:p>
        </w:tc>
        <w:tc>
          <w:tcPr>
            <w:tcW w:w="1448" w:type="dxa"/>
            <w:tcBorders>
              <w:top w:val="single" w:sz="4" w:space="0" w:color="8EA9DB"/>
              <w:left w:val="nil"/>
              <w:bottom w:val="single" w:sz="4" w:space="0" w:color="8EA9DB"/>
              <w:right w:val="nil"/>
            </w:tcBorders>
            <w:shd w:val="clear" w:color="D9E1F2" w:fill="D9E1F2"/>
            <w:noWrap/>
            <w:vAlign w:val="bottom"/>
            <w:hideMark/>
          </w:tcPr>
          <w:p w14:paraId="65170A04"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60</w:t>
            </w:r>
          </w:p>
        </w:tc>
        <w:tc>
          <w:tcPr>
            <w:tcW w:w="2654" w:type="dxa"/>
            <w:tcBorders>
              <w:top w:val="single" w:sz="4" w:space="0" w:color="8EA9DB"/>
              <w:left w:val="nil"/>
              <w:bottom w:val="single" w:sz="4" w:space="0" w:color="8EA9DB"/>
              <w:right w:val="nil"/>
            </w:tcBorders>
            <w:shd w:val="clear" w:color="D9E1F2" w:fill="D9E1F2"/>
            <w:noWrap/>
            <w:vAlign w:val="bottom"/>
            <w:hideMark/>
          </w:tcPr>
          <w:p w14:paraId="3FE82387"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47A7D759"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93.75</w:t>
            </w:r>
          </w:p>
        </w:tc>
      </w:tr>
      <w:tr w:rsidR="00D753E3" w:rsidRPr="0004183D" w14:paraId="01FCFE2F"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auto" w:fill="auto"/>
            <w:noWrap/>
            <w:vAlign w:val="bottom"/>
            <w:hideMark/>
          </w:tcPr>
          <w:p w14:paraId="69CCC497"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B</w:t>
            </w:r>
          </w:p>
        </w:tc>
        <w:tc>
          <w:tcPr>
            <w:tcW w:w="1014" w:type="dxa"/>
            <w:tcBorders>
              <w:top w:val="single" w:sz="4" w:space="0" w:color="8EA9DB"/>
              <w:left w:val="nil"/>
              <w:bottom w:val="single" w:sz="4" w:space="0" w:color="8EA9DB"/>
              <w:right w:val="nil"/>
            </w:tcBorders>
          </w:tcPr>
          <w:p w14:paraId="553269E2" w14:textId="1E328E05" w:rsidR="00D753E3" w:rsidRPr="0004183D" w:rsidRDefault="00B443BC"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M</w:t>
            </w:r>
          </w:p>
        </w:tc>
        <w:tc>
          <w:tcPr>
            <w:tcW w:w="1934" w:type="dxa"/>
            <w:tcBorders>
              <w:top w:val="single" w:sz="4" w:space="0" w:color="8EA9DB"/>
              <w:left w:val="nil"/>
              <w:bottom w:val="single" w:sz="4" w:space="0" w:color="8EA9DB"/>
              <w:right w:val="nil"/>
            </w:tcBorders>
            <w:shd w:val="clear" w:color="auto" w:fill="auto"/>
            <w:noWrap/>
            <w:vAlign w:val="bottom"/>
            <w:hideMark/>
          </w:tcPr>
          <w:p w14:paraId="6F9EB609" w14:textId="2050C215"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0</w:t>
            </w:r>
          </w:p>
        </w:tc>
        <w:tc>
          <w:tcPr>
            <w:tcW w:w="1448" w:type="dxa"/>
            <w:tcBorders>
              <w:top w:val="single" w:sz="4" w:space="0" w:color="8EA9DB"/>
              <w:left w:val="nil"/>
              <w:bottom w:val="single" w:sz="4" w:space="0" w:color="8EA9DB"/>
              <w:right w:val="nil"/>
            </w:tcBorders>
            <w:shd w:val="clear" w:color="auto" w:fill="auto"/>
            <w:noWrap/>
            <w:vAlign w:val="bottom"/>
            <w:hideMark/>
          </w:tcPr>
          <w:p w14:paraId="36BA67AA"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0</w:t>
            </w:r>
          </w:p>
        </w:tc>
        <w:tc>
          <w:tcPr>
            <w:tcW w:w="2654" w:type="dxa"/>
            <w:tcBorders>
              <w:top w:val="single" w:sz="4" w:space="0" w:color="8EA9DB"/>
              <w:left w:val="nil"/>
              <w:bottom w:val="single" w:sz="4" w:space="0" w:color="8EA9DB"/>
              <w:right w:val="nil"/>
            </w:tcBorders>
            <w:shd w:val="clear" w:color="auto" w:fill="auto"/>
            <w:noWrap/>
            <w:vAlign w:val="bottom"/>
            <w:hideMark/>
          </w:tcPr>
          <w:p w14:paraId="2827A9E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c>
          <w:tcPr>
            <w:tcW w:w="1404" w:type="dxa"/>
            <w:tcBorders>
              <w:top w:val="single" w:sz="4" w:space="0" w:color="8EA9DB"/>
              <w:left w:val="nil"/>
              <w:bottom w:val="single" w:sz="4" w:space="0" w:color="8EA9DB"/>
              <w:right w:val="single" w:sz="4" w:space="0" w:color="8EA9DB"/>
            </w:tcBorders>
            <w:shd w:val="clear" w:color="auto" w:fill="auto"/>
            <w:noWrap/>
            <w:vAlign w:val="bottom"/>
            <w:hideMark/>
          </w:tcPr>
          <w:p w14:paraId="14AE68F3"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93.75</w:t>
            </w:r>
          </w:p>
        </w:tc>
      </w:tr>
      <w:tr w:rsidR="00D753E3" w:rsidRPr="0004183D" w14:paraId="326828B2"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61B004A0"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C</w:t>
            </w:r>
          </w:p>
        </w:tc>
        <w:tc>
          <w:tcPr>
            <w:tcW w:w="1014" w:type="dxa"/>
            <w:tcBorders>
              <w:top w:val="single" w:sz="4" w:space="0" w:color="8EA9DB"/>
              <w:left w:val="nil"/>
              <w:bottom w:val="single" w:sz="4" w:space="0" w:color="8EA9DB"/>
              <w:right w:val="nil"/>
            </w:tcBorders>
            <w:shd w:val="clear" w:color="D9E1F2" w:fill="D9E1F2"/>
          </w:tcPr>
          <w:p w14:paraId="45B9C4EA" w14:textId="147F112A" w:rsidR="00D753E3" w:rsidRPr="0004183D" w:rsidRDefault="00B443BC"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M</w:t>
            </w:r>
          </w:p>
        </w:tc>
        <w:tc>
          <w:tcPr>
            <w:tcW w:w="1934" w:type="dxa"/>
            <w:tcBorders>
              <w:top w:val="single" w:sz="4" w:space="0" w:color="8EA9DB"/>
              <w:left w:val="nil"/>
              <w:bottom w:val="single" w:sz="4" w:space="0" w:color="8EA9DB"/>
              <w:right w:val="nil"/>
            </w:tcBorders>
            <w:shd w:val="clear" w:color="D9E1F2" w:fill="D9E1F2"/>
            <w:noWrap/>
            <w:vAlign w:val="bottom"/>
            <w:hideMark/>
          </w:tcPr>
          <w:p w14:paraId="38AE46C5" w14:textId="7EF630C4"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3</w:t>
            </w:r>
          </w:p>
        </w:tc>
        <w:tc>
          <w:tcPr>
            <w:tcW w:w="1448" w:type="dxa"/>
            <w:tcBorders>
              <w:top w:val="single" w:sz="4" w:space="0" w:color="8EA9DB"/>
              <w:left w:val="nil"/>
              <w:bottom w:val="single" w:sz="4" w:space="0" w:color="8EA9DB"/>
              <w:right w:val="nil"/>
            </w:tcBorders>
            <w:shd w:val="clear" w:color="D9E1F2" w:fill="D9E1F2"/>
            <w:noWrap/>
            <w:vAlign w:val="bottom"/>
            <w:hideMark/>
          </w:tcPr>
          <w:p w14:paraId="10DDB97A"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60</w:t>
            </w:r>
          </w:p>
        </w:tc>
        <w:tc>
          <w:tcPr>
            <w:tcW w:w="2654" w:type="dxa"/>
            <w:tcBorders>
              <w:top w:val="single" w:sz="4" w:space="0" w:color="8EA9DB"/>
              <w:left w:val="nil"/>
              <w:bottom w:val="single" w:sz="4" w:space="0" w:color="8EA9DB"/>
              <w:right w:val="nil"/>
            </w:tcBorders>
            <w:shd w:val="clear" w:color="D9E1F2" w:fill="D9E1F2"/>
            <w:noWrap/>
            <w:vAlign w:val="bottom"/>
            <w:hideMark/>
          </w:tcPr>
          <w:p w14:paraId="252142D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080E949E"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93.75</w:t>
            </w:r>
          </w:p>
        </w:tc>
      </w:tr>
      <w:tr w:rsidR="00D753E3" w:rsidRPr="0004183D" w14:paraId="6376E9FF"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auto" w:fill="auto"/>
            <w:noWrap/>
            <w:vAlign w:val="bottom"/>
            <w:hideMark/>
          </w:tcPr>
          <w:p w14:paraId="60EE1073"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D</w:t>
            </w:r>
          </w:p>
        </w:tc>
        <w:tc>
          <w:tcPr>
            <w:tcW w:w="1014" w:type="dxa"/>
            <w:tcBorders>
              <w:top w:val="single" w:sz="4" w:space="0" w:color="8EA9DB"/>
              <w:left w:val="nil"/>
              <w:bottom w:val="single" w:sz="4" w:space="0" w:color="8EA9DB"/>
              <w:right w:val="nil"/>
            </w:tcBorders>
          </w:tcPr>
          <w:p w14:paraId="13D01A27" w14:textId="69C22656" w:rsidR="00D753E3" w:rsidRPr="0004183D" w:rsidRDefault="00B443BC"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auto" w:fill="auto"/>
            <w:noWrap/>
            <w:vAlign w:val="bottom"/>
            <w:hideMark/>
          </w:tcPr>
          <w:p w14:paraId="27F9F92D" w14:textId="501A1623"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5</w:t>
            </w:r>
          </w:p>
        </w:tc>
        <w:tc>
          <w:tcPr>
            <w:tcW w:w="1448" w:type="dxa"/>
            <w:tcBorders>
              <w:top w:val="single" w:sz="4" w:space="0" w:color="8EA9DB"/>
              <w:left w:val="nil"/>
              <w:bottom w:val="single" w:sz="4" w:space="0" w:color="8EA9DB"/>
              <w:right w:val="nil"/>
            </w:tcBorders>
            <w:shd w:val="clear" w:color="auto" w:fill="auto"/>
            <w:noWrap/>
            <w:vAlign w:val="bottom"/>
            <w:hideMark/>
          </w:tcPr>
          <w:p w14:paraId="3BD8EE51"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100</w:t>
            </w:r>
          </w:p>
        </w:tc>
        <w:tc>
          <w:tcPr>
            <w:tcW w:w="2654" w:type="dxa"/>
            <w:tcBorders>
              <w:top w:val="single" w:sz="4" w:space="0" w:color="8EA9DB"/>
              <w:left w:val="nil"/>
              <w:bottom w:val="single" w:sz="4" w:space="0" w:color="8EA9DB"/>
              <w:right w:val="nil"/>
            </w:tcBorders>
            <w:shd w:val="clear" w:color="auto" w:fill="auto"/>
            <w:noWrap/>
            <w:vAlign w:val="bottom"/>
            <w:hideMark/>
          </w:tcPr>
          <w:p w14:paraId="0C3B7165"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c>
          <w:tcPr>
            <w:tcW w:w="1404" w:type="dxa"/>
            <w:tcBorders>
              <w:top w:val="single" w:sz="4" w:space="0" w:color="8EA9DB"/>
              <w:left w:val="nil"/>
              <w:bottom w:val="single" w:sz="4" w:space="0" w:color="8EA9DB"/>
              <w:right w:val="single" w:sz="4" w:space="0" w:color="8EA9DB"/>
            </w:tcBorders>
            <w:shd w:val="clear" w:color="auto" w:fill="auto"/>
            <w:noWrap/>
            <w:vAlign w:val="bottom"/>
            <w:hideMark/>
          </w:tcPr>
          <w:p w14:paraId="5F79EC9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93.75</w:t>
            </w:r>
          </w:p>
        </w:tc>
      </w:tr>
      <w:tr w:rsidR="00D753E3" w:rsidRPr="0004183D" w14:paraId="3641313F"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63FBC6DB"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E</w:t>
            </w:r>
          </w:p>
        </w:tc>
        <w:tc>
          <w:tcPr>
            <w:tcW w:w="1014" w:type="dxa"/>
            <w:tcBorders>
              <w:top w:val="single" w:sz="4" w:space="0" w:color="8EA9DB"/>
              <w:left w:val="nil"/>
              <w:bottom w:val="single" w:sz="4" w:space="0" w:color="8EA9DB"/>
              <w:right w:val="nil"/>
            </w:tcBorders>
            <w:shd w:val="clear" w:color="D9E1F2" w:fill="D9E1F2"/>
          </w:tcPr>
          <w:p w14:paraId="2D323C57" w14:textId="5845A647" w:rsidR="00D753E3" w:rsidRPr="0004183D" w:rsidRDefault="00B443BC"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D9E1F2" w:fill="D9E1F2"/>
            <w:noWrap/>
            <w:vAlign w:val="bottom"/>
            <w:hideMark/>
          </w:tcPr>
          <w:p w14:paraId="4D08BCFD" w14:textId="2835A61C"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3</w:t>
            </w:r>
          </w:p>
        </w:tc>
        <w:tc>
          <w:tcPr>
            <w:tcW w:w="1448" w:type="dxa"/>
            <w:tcBorders>
              <w:top w:val="single" w:sz="4" w:space="0" w:color="8EA9DB"/>
              <w:left w:val="nil"/>
              <w:bottom w:val="single" w:sz="4" w:space="0" w:color="8EA9DB"/>
              <w:right w:val="nil"/>
            </w:tcBorders>
            <w:shd w:val="clear" w:color="D9E1F2" w:fill="D9E1F2"/>
            <w:noWrap/>
            <w:vAlign w:val="bottom"/>
            <w:hideMark/>
          </w:tcPr>
          <w:p w14:paraId="6347124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60</w:t>
            </w:r>
          </w:p>
        </w:tc>
        <w:tc>
          <w:tcPr>
            <w:tcW w:w="2654" w:type="dxa"/>
            <w:tcBorders>
              <w:top w:val="single" w:sz="4" w:space="0" w:color="8EA9DB"/>
              <w:left w:val="nil"/>
              <w:bottom w:val="single" w:sz="4" w:space="0" w:color="8EA9DB"/>
              <w:right w:val="nil"/>
            </w:tcBorders>
            <w:shd w:val="clear" w:color="D9E1F2" w:fill="D9E1F2"/>
            <w:noWrap/>
            <w:vAlign w:val="bottom"/>
            <w:hideMark/>
          </w:tcPr>
          <w:p w14:paraId="3895C607"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4.5</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64DABAE8"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56.25</w:t>
            </w:r>
          </w:p>
        </w:tc>
      </w:tr>
      <w:tr w:rsidR="00D753E3" w:rsidRPr="0004183D" w14:paraId="599C2D97"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auto" w:fill="auto"/>
            <w:noWrap/>
            <w:vAlign w:val="bottom"/>
            <w:hideMark/>
          </w:tcPr>
          <w:p w14:paraId="7E0B04FD"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F</w:t>
            </w:r>
          </w:p>
        </w:tc>
        <w:tc>
          <w:tcPr>
            <w:tcW w:w="1014" w:type="dxa"/>
            <w:tcBorders>
              <w:top w:val="single" w:sz="4" w:space="0" w:color="8EA9DB"/>
              <w:left w:val="nil"/>
              <w:bottom w:val="single" w:sz="4" w:space="0" w:color="8EA9DB"/>
              <w:right w:val="nil"/>
            </w:tcBorders>
          </w:tcPr>
          <w:p w14:paraId="11BCB9E6" w14:textId="65A2534C"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M</w:t>
            </w:r>
          </w:p>
        </w:tc>
        <w:tc>
          <w:tcPr>
            <w:tcW w:w="1934" w:type="dxa"/>
            <w:tcBorders>
              <w:top w:val="single" w:sz="4" w:space="0" w:color="8EA9DB"/>
              <w:left w:val="nil"/>
              <w:bottom w:val="single" w:sz="4" w:space="0" w:color="8EA9DB"/>
              <w:right w:val="nil"/>
            </w:tcBorders>
            <w:shd w:val="clear" w:color="auto" w:fill="auto"/>
            <w:noWrap/>
            <w:vAlign w:val="bottom"/>
            <w:hideMark/>
          </w:tcPr>
          <w:p w14:paraId="07CB6C94" w14:textId="48E84570"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2</w:t>
            </w:r>
          </w:p>
        </w:tc>
        <w:tc>
          <w:tcPr>
            <w:tcW w:w="1448" w:type="dxa"/>
            <w:tcBorders>
              <w:top w:val="single" w:sz="4" w:space="0" w:color="8EA9DB"/>
              <w:left w:val="nil"/>
              <w:bottom w:val="single" w:sz="4" w:space="0" w:color="8EA9DB"/>
              <w:right w:val="nil"/>
            </w:tcBorders>
            <w:shd w:val="clear" w:color="auto" w:fill="auto"/>
            <w:noWrap/>
            <w:vAlign w:val="bottom"/>
            <w:hideMark/>
          </w:tcPr>
          <w:p w14:paraId="22111740"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40</w:t>
            </w:r>
          </w:p>
        </w:tc>
        <w:tc>
          <w:tcPr>
            <w:tcW w:w="2654" w:type="dxa"/>
            <w:tcBorders>
              <w:top w:val="single" w:sz="4" w:space="0" w:color="8EA9DB"/>
              <w:left w:val="nil"/>
              <w:bottom w:val="single" w:sz="4" w:space="0" w:color="8EA9DB"/>
              <w:right w:val="nil"/>
            </w:tcBorders>
            <w:shd w:val="clear" w:color="auto" w:fill="auto"/>
            <w:noWrap/>
            <w:vAlign w:val="bottom"/>
            <w:hideMark/>
          </w:tcPr>
          <w:p w14:paraId="04B5AF8C"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w:t>
            </w:r>
          </w:p>
        </w:tc>
        <w:tc>
          <w:tcPr>
            <w:tcW w:w="1404" w:type="dxa"/>
            <w:tcBorders>
              <w:top w:val="single" w:sz="4" w:space="0" w:color="8EA9DB"/>
              <w:left w:val="nil"/>
              <w:bottom w:val="single" w:sz="4" w:space="0" w:color="8EA9DB"/>
              <w:right w:val="single" w:sz="4" w:space="0" w:color="8EA9DB"/>
            </w:tcBorders>
            <w:shd w:val="clear" w:color="auto" w:fill="auto"/>
            <w:noWrap/>
            <w:vAlign w:val="bottom"/>
            <w:hideMark/>
          </w:tcPr>
          <w:p w14:paraId="491C314D"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r>
      <w:tr w:rsidR="00D753E3" w:rsidRPr="0004183D" w14:paraId="3196EFCF"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578DD2CB"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G</w:t>
            </w:r>
          </w:p>
        </w:tc>
        <w:tc>
          <w:tcPr>
            <w:tcW w:w="1014" w:type="dxa"/>
            <w:tcBorders>
              <w:top w:val="single" w:sz="4" w:space="0" w:color="8EA9DB"/>
              <w:left w:val="nil"/>
              <w:bottom w:val="single" w:sz="4" w:space="0" w:color="8EA9DB"/>
              <w:right w:val="nil"/>
            </w:tcBorders>
            <w:shd w:val="clear" w:color="D9E1F2" w:fill="D9E1F2"/>
          </w:tcPr>
          <w:p w14:paraId="1765B348" w14:textId="1F62655A"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D9E1F2" w:fill="D9E1F2"/>
            <w:noWrap/>
            <w:vAlign w:val="bottom"/>
            <w:hideMark/>
          </w:tcPr>
          <w:p w14:paraId="76DCA6E3" w14:textId="7FB9D678"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2</w:t>
            </w:r>
          </w:p>
        </w:tc>
        <w:tc>
          <w:tcPr>
            <w:tcW w:w="1448" w:type="dxa"/>
            <w:tcBorders>
              <w:top w:val="single" w:sz="4" w:space="0" w:color="8EA9DB"/>
              <w:left w:val="nil"/>
              <w:bottom w:val="single" w:sz="4" w:space="0" w:color="8EA9DB"/>
              <w:right w:val="nil"/>
            </w:tcBorders>
            <w:shd w:val="clear" w:color="D9E1F2" w:fill="D9E1F2"/>
            <w:noWrap/>
            <w:vAlign w:val="bottom"/>
            <w:hideMark/>
          </w:tcPr>
          <w:p w14:paraId="09FB36F3"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40</w:t>
            </w:r>
          </w:p>
        </w:tc>
        <w:tc>
          <w:tcPr>
            <w:tcW w:w="2654" w:type="dxa"/>
            <w:tcBorders>
              <w:top w:val="single" w:sz="4" w:space="0" w:color="8EA9DB"/>
              <w:left w:val="nil"/>
              <w:bottom w:val="single" w:sz="4" w:space="0" w:color="8EA9DB"/>
              <w:right w:val="nil"/>
            </w:tcBorders>
            <w:shd w:val="clear" w:color="D9E1F2" w:fill="D9E1F2"/>
            <w:noWrap/>
            <w:vAlign w:val="bottom"/>
            <w:hideMark/>
          </w:tcPr>
          <w:p w14:paraId="0577ABB9"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5B038876"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r>
      <w:tr w:rsidR="00D753E3" w:rsidRPr="0004183D" w14:paraId="2C367804"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auto" w:fill="auto"/>
            <w:noWrap/>
            <w:vAlign w:val="bottom"/>
            <w:hideMark/>
          </w:tcPr>
          <w:p w14:paraId="067AA2FB"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H</w:t>
            </w:r>
          </w:p>
        </w:tc>
        <w:tc>
          <w:tcPr>
            <w:tcW w:w="1014" w:type="dxa"/>
            <w:tcBorders>
              <w:top w:val="single" w:sz="4" w:space="0" w:color="8EA9DB"/>
              <w:left w:val="nil"/>
              <w:bottom w:val="single" w:sz="4" w:space="0" w:color="8EA9DB"/>
              <w:right w:val="nil"/>
            </w:tcBorders>
          </w:tcPr>
          <w:p w14:paraId="26F8E138" w14:textId="1CD6DFE6"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auto" w:fill="auto"/>
            <w:noWrap/>
            <w:vAlign w:val="bottom"/>
            <w:hideMark/>
          </w:tcPr>
          <w:p w14:paraId="29CB354D" w14:textId="5885FAF1"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4.5</w:t>
            </w:r>
          </w:p>
        </w:tc>
        <w:tc>
          <w:tcPr>
            <w:tcW w:w="1448" w:type="dxa"/>
            <w:tcBorders>
              <w:top w:val="single" w:sz="4" w:space="0" w:color="8EA9DB"/>
              <w:left w:val="nil"/>
              <w:bottom w:val="single" w:sz="4" w:space="0" w:color="8EA9DB"/>
              <w:right w:val="nil"/>
            </w:tcBorders>
            <w:shd w:val="clear" w:color="auto" w:fill="auto"/>
            <w:noWrap/>
            <w:vAlign w:val="bottom"/>
            <w:hideMark/>
          </w:tcPr>
          <w:p w14:paraId="73C894B3"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90</w:t>
            </w:r>
          </w:p>
        </w:tc>
        <w:tc>
          <w:tcPr>
            <w:tcW w:w="2654" w:type="dxa"/>
            <w:tcBorders>
              <w:top w:val="single" w:sz="4" w:space="0" w:color="8EA9DB"/>
              <w:left w:val="nil"/>
              <w:bottom w:val="single" w:sz="4" w:space="0" w:color="8EA9DB"/>
              <w:right w:val="nil"/>
            </w:tcBorders>
            <w:shd w:val="clear" w:color="auto" w:fill="auto"/>
            <w:noWrap/>
            <w:vAlign w:val="bottom"/>
            <w:hideMark/>
          </w:tcPr>
          <w:p w14:paraId="70FD8D09"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6.5</w:t>
            </w:r>
          </w:p>
        </w:tc>
        <w:tc>
          <w:tcPr>
            <w:tcW w:w="1404" w:type="dxa"/>
            <w:tcBorders>
              <w:top w:val="single" w:sz="4" w:space="0" w:color="8EA9DB"/>
              <w:left w:val="nil"/>
              <w:bottom w:val="single" w:sz="4" w:space="0" w:color="8EA9DB"/>
              <w:right w:val="single" w:sz="4" w:space="0" w:color="8EA9DB"/>
            </w:tcBorders>
            <w:shd w:val="clear" w:color="auto" w:fill="auto"/>
            <w:noWrap/>
            <w:vAlign w:val="bottom"/>
            <w:hideMark/>
          </w:tcPr>
          <w:p w14:paraId="4A1895C5"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81.25</w:t>
            </w:r>
          </w:p>
        </w:tc>
      </w:tr>
      <w:tr w:rsidR="00D753E3" w:rsidRPr="0004183D" w14:paraId="026E011B"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40A6F5F0"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I</w:t>
            </w:r>
          </w:p>
        </w:tc>
        <w:tc>
          <w:tcPr>
            <w:tcW w:w="1014" w:type="dxa"/>
            <w:tcBorders>
              <w:top w:val="single" w:sz="4" w:space="0" w:color="8EA9DB"/>
              <w:left w:val="nil"/>
              <w:bottom w:val="single" w:sz="4" w:space="0" w:color="8EA9DB"/>
              <w:right w:val="nil"/>
            </w:tcBorders>
            <w:shd w:val="clear" w:color="D9E1F2" w:fill="D9E1F2"/>
          </w:tcPr>
          <w:p w14:paraId="04C37CAF" w14:textId="7A5848DA"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M</w:t>
            </w:r>
          </w:p>
        </w:tc>
        <w:tc>
          <w:tcPr>
            <w:tcW w:w="1934" w:type="dxa"/>
            <w:tcBorders>
              <w:top w:val="single" w:sz="4" w:space="0" w:color="8EA9DB"/>
              <w:left w:val="nil"/>
              <w:bottom w:val="single" w:sz="4" w:space="0" w:color="8EA9DB"/>
              <w:right w:val="nil"/>
            </w:tcBorders>
            <w:shd w:val="clear" w:color="D9E1F2" w:fill="D9E1F2"/>
            <w:noWrap/>
            <w:vAlign w:val="bottom"/>
            <w:hideMark/>
          </w:tcPr>
          <w:p w14:paraId="6035D2C6" w14:textId="3C96EB09"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4.5</w:t>
            </w:r>
          </w:p>
        </w:tc>
        <w:tc>
          <w:tcPr>
            <w:tcW w:w="1448" w:type="dxa"/>
            <w:tcBorders>
              <w:top w:val="single" w:sz="4" w:space="0" w:color="8EA9DB"/>
              <w:left w:val="nil"/>
              <w:bottom w:val="single" w:sz="4" w:space="0" w:color="8EA9DB"/>
              <w:right w:val="nil"/>
            </w:tcBorders>
            <w:shd w:val="clear" w:color="D9E1F2" w:fill="D9E1F2"/>
            <w:noWrap/>
            <w:vAlign w:val="bottom"/>
            <w:hideMark/>
          </w:tcPr>
          <w:p w14:paraId="0BE3E6ED"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90</w:t>
            </w:r>
          </w:p>
        </w:tc>
        <w:tc>
          <w:tcPr>
            <w:tcW w:w="2654" w:type="dxa"/>
            <w:tcBorders>
              <w:top w:val="single" w:sz="4" w:space="0" w:color="8EA9DB"/>
              <w:left w:val="nil"/>
              <w:bottom w:val="single" w:sz="4" w:space="0" w:color="8EA9DB"/>
              <w:right w:val="nil"/>
            </w:tcBorders>
            <w:shd w:val="clear" w:color="D9E1F2" w:fill="D9E1F2"/>
            <w:noWrap/>
            <w:vAlign w:val="bottom"/>
            <w:hideMark/>
          </w:tcPr>
          <w:p w14:paraId="411EC247"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540FEFC3"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93.75</w:t>
            </w:r>
          </w:p>
        </w:tc>
      </w:tr>
      <w:tr w:rsidR="00D753E3" w:rsidRPr="0004183D" w14:paraId="1AC0BD05"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auto" w:fill="auto"/>
            <w:noWrap/>
            <w:vAlign w:val="bottom"/>
            <w:hideMark/>
          </w:tcPr>
          <w:p w14:paraId="512D268C"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J</w:t>
            </w:r>
          </w:p>
        </w:tc>
        <w:tc>
          <w:tcPr>
            <w:tcW w:w="1014" w:type="dxa"/>
            <w:tcBorders>
              <w:top w:val="single" w:sz="4" w:space="0" w:color="8EA9DB"/>
              <w:left w:val="nil"/>
              <w:bottom w:val="single" w:sz="4" w:space="0" w:color="8EA9DB"/>
              <w:right w:val="nil"/>
            </w:tcBorders>
          </w:tcPr>
          <w:p w14:paraId="3D974006" w14:textId="27EFCC48"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M</w:t>
            </w:r>
          </w:p>
        </w:tc>
        <w:tc>
          <w:tcPr>
            <w:tcW w:w="1934" w:type="dxa"/>
            <w:tcBorders>
              <w:top w:val="single" w:sz="4" w:space="0" w:color="8EA9DB"/>
              <w:left w:val="nil"/>
              <w:bottom w:val="single" w:sz="4" w:space="0" w:color="8EA9DB"/>
              <w:right w:val="nil"/>
            </w:tcBorders>
            <w:shd w:val="clear" w:color="auto" w:fill="auto"/>
            <w:noWrap/>
            <w:vAlign w:val="bottom"/>
            <w:hideMark/>
          </w:tcPr>
          <w:p w14:paraId="4C2CBC7A" w14:textId="45F75C28"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2</w:t>
            </w:r>
          </w:p>
        </w:tc>
        <w:tc>
          <w:tcPr>
            <w:tcW w:w="1448" w:type="dxa"/>
            <w:tcBorders>
              <w:top w:val="single" w:sz="4" w:space="0" w:color="8EA9DB"/>
              <w:left w:val="nil"/>
              <w:bottom w:val="single" w:sz="4" w:space="0" w:color="8EA9DB"/>
              <w:right w:val="nil"/>
            </w:tcBorders>
            <w:shd w:val="clear" w:color="auto" w:fill="auto"/>
            <w:noWrap/>
            <w:vAlign w:val="bottom"/>
            <w:hideMark/>
          </w:tcPr>
          <w:p w14:paraId="6B476936"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40</w:t>
            </w:r>
          </w:p>
        </w:tc>
        <w:tc>
          <w:tcPr>
            <w:tcW w:w="2654" w:type="dxa"/>
            <w:tcBorders>
              <w:top w:val="single" w:sz="4" w:space="0" w:color="8EA9DB"/>
              <w:left w:val="nil"/>
              <w:bottom w:val="single" w:sz="4" w:space="0" w:color="8EA9DB"/>
              <w:right w:val="nil"/>
            </w:tcBorders>
            <w:shd w:val="clear" w:color="auto" w:fill="auto"/>
            <w:noWrap/>
            <w:vAlign w:val="bottom"/>
            <w:hideMark/>
          </w:tcPr>
          <w:p w14:paraId="2D9C351A"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c>
          <w:tcPr>
            <w:tcW w:w="1404" w:type="dxa"/>
            <w:tcBorders>
              <w:top w:val="single" w:sz="4" w:space="0" w:color="8EA9DB"/>
              <w:left w:val="nil"/>
              <w:bottom w:val="single" w:sz="4" w:space="0" w:color="8EA9DB"/>
              <w:right w:val="single" w:sz="4" w:space="0" w:color="8EA9DB"/>
            </w:tcBorders>
            <w:shd w:val="clear" w:color="auto" w:fill="auto"/>
            <w:noWrap/>
            <w:vAlign w:val="bottom"/>
            <w:hideMark/>
          </w:tcPr>
          <w:p w14:paraId="5CAE0348"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93.75</w:t>
            </w:r>
          </w:p>
        </w:tc>
      </w:tr>
      <w:tr w:rsidR="00D753E3" w:rsidRPr="0004183D" w14:paraId="363FBF65"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6F2036D0"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K</w:t>
            </w:r>
          </w:p>
        </w:tc>
        <w:tc>
          <w:tcPr>
            <w:tcW w:w="1014" w:type="dxa"/>
            <w:tcBorders>
              <w:top w:val="single" w:sz="4" w:space="0" w:color="8EA9DB"/>
              <w:left w:val="nil"/>
              <w:bottom w:val="single" w:sz="4" w:space="0" w:color="8EA9DB"/>
              <w:right w:val="nil"/>
            </w:tcBorders>
            <w:shd w:val="clear" w:color="D9E1F2" w:fill="D9E1F2"/>
          </w:tcPr>
          <w:p w14:paraId="68476DB9" w14:textId="357CAE03"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D9E1F2" w:fill="D9E1F2"/>
            <w:noWrap/>
            <w:vAlign w:val="bottom"/>
            <w:hideMark/>
          </w:tcPr>
          <w:p w14:paraId="41E3CD23" w14:textId="468E9DC5"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2</w:t>
            </w:r>
          </w:p>
        </w:tc>
        <w:tc>
          <w:tcPr>
            <w:tcW w:w="1448" w:type="dxa"/>
            <w:tcBorders>
              <w:top w:val="single" w:sz="4" w:space="0" w:color="8EA9DB"/>
              <w:left w:val="nil"/>
              <w:bottom w:val="single" w:sz="4" w:space="0" w:color="8EA9DB"/>
              <w:right w:val="nil"/>
            </w:tcBorders>
            <w:shd w:val="clear" w:color="D9E1F2" w:fill="D9E1F2"/>
            <w:noWrap/>
            <w:vAlign w:val="bottom"/>
            <w:hideMark/>
          </w:tcPr>
          <w:p w14:paraId="5B41900E"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40</w:t>
            </w:r>
          </w:p>
        </w:tc>
        <w:tc>
          <w:tcPr>
            <w:tcW w:w="2654" w:type="dxa"/>
            <w:tcBorders>
              <w:top w:val="single" w:sz="4" w:space="0" w:color="8EA9DB"/>
              <w:left w:val="nil"/>
              <w:bottom w:val="single" w:sz="4" w:space="0" w:color="8EA9DB"/>
              <w:right w:val="nil"/>
            </w:tcBorders>
            <w:shd w:val="clear" w:color="D9E1F2" w:fill="D9E1F2"/>
            <w:noWrap/>
            <w:vAlign w:val="bottom"/>
            <w:hideMark/>
          </w:tcPr>
          <w:p w14:paraId="7D4048D7"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6.5</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2637658E"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81.25</w:t>
            </w:r>
          </w:p>
        </w:tc>
      </w:tr>
      <w:tr w:rsidR="00D753E3" w:rsidRPr="0004183D" w14:paraId="63117DA8"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auto" w:fill="auto"/>
            <w:noWrap/>
            <w:vAlign w:val="bottom"/>
            <w:hideMark/>
          </w:tcPr>
          <w:p w14:paraId="469E521E"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L</w:t>
            </w:r>
          </w:p>
        </w:tc>
        <w:tc>
          <w:tcPr>
            <w:tcW w:w="1014" w:type="dxa"/>
            <w:tcBorders>
              <w:top w:val="single" w:sz="4" w:space="0" w:color="8EA9DB"/>
              <w:left w:val="nil"/>
              <w:bottom w:val="single" w:sz="4" w:space="0" w:color="8EA9DB"/>
              <w:right w:val="nil"/>
            </w:tcBorders>
          </w:tcPr>
          <w:p w14:paraId="553E1EE0" w14:textId="0B2C8A5A"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auto" w:fill="auto"/>
            <w:noWrap/>
            <w:vAlign w:val="bottom"/>
            <w:hideMark/>
          </w:tcPr>
          <w:p w14:paraId="42C12D3A" w14:textId="0105C408"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3.5</w:t>
            </w:r>
          </w:p>
        </w:tc>
        <w:tc>
          <w:tcPr>
            <w:tcW w:w="1448" w:type="dxa"/>
            <w:tcBorders>
              <w:top w:val="single" w:sz="4" w:space="0" w:color="8EA9DB"/>
              <w:left w:val="nil"/>
              <w:bottom w:val="single" w:sz="4" w:space="0" w:color="8EA9DB"/>
              <w:right w:val="nil"/>
            </w:tcBorders>
            <w:shd w:val="clear" w:color="auto" w:fill="auto"/>
            <w:noWrap/>
            <w:vAlign w:val="bottom"/>
            <w:hideMark/>
          </w:tcPr>
          <w:p w14:paraId="07F0EC3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70</w:t>
            </w:r>
          </w:p>
        </w:tc>
        <w:tc>
          <w:tcPr>
            <w:tcW w:w="2654" w:type="dxa"/>
            <w:tcBorders>
              <w:top w:val="single" w:sz="4" w:space="0" w:color="8EA9DB"/>
              <w:left w:val="nil"/>
              <w:bottom w:val="single" w:sz="4" w:space="0" w:color="8EA9DB"/>
              <w:right w:val="nil"/>
            </w:tcBorders>
            <w:shd w:val="clear" w:color="auto" w:fill="auto"/>
            <w:noWrap/>
            <w:vAlign w:val="bottom"/>
            <w:hideMark/>
          </w:tcPr>
          <w:p w14:paraId="40A344F6"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c>
          <w:tcPr>
            <w:tcW w:w="1404" w:type="dxa"/>
            <w:tcBorders>
              <w:top w:val="single" w:sz="4" w:space="0" w:color="8EA9DB"/>
              <w:left w:val="nil"/>
              <w:bottom w:val="single" w:sz="4" w:space="0" w:color="8EA9DB"/>
              <w:right w:val="single" w:sz="4" w:space="0" w:color="8EA9DB"/>
            </w:tcBorders>
            <w:shd w:val="clear" w:color="auto" w:fill="auto"/>
            <w:noWrap/>
            <w:vAlign w:val="bottom"/>
            <w:hideMark/>
          </w:tcPr>
          <w:p w14:paraId="52996DAE"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93.75</w:t>
            </w:r>
          </w:p>
        </w:tc>
      </w:tr>
      <w:tr w:rsidR="00D753E3" w:rsidRPr="0004183D" w14:paraId="3D209E37"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310E80E1"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M</w:t>
            </w:r>
          </w:p>
        </w:tc>
        <w:tc>
          <w:tcPr>
            <w:tcW w:w="1014" w:type="dxa"/>
            <w:tcBorders>
              <w:top w:val="single" w:sz="4" w:space="0" w:color="8EA9DB"/>
              <w:left w:val="nil"/>
              <w:bottom w:val="single" w:sz="4" w:space="0" w:color="8EA9DB"/>
              <w:right w:val="nil"/>
            </w:tcBorders>
            <w:shd w:val="clear" w:color="D9E1F2" w:fill="D9E1F2"/>
          </w:tcPr>
          <w:p w14:paraId="57AD0A1E" w14:textId="46C44954"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D9E1F2" w:fill="D9E1F2"/>
            <w:noWrap/>
            <w:vAlign w:val="bottom"/>
            <w:hideMark/>
          </w:tcPr>
          <w:p w14:paraId="14731254" w14:textId="2360E7E5"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1.5</w:t>
            </w:r>
          </w:p>
        </w:tc>
        <w:tc>
          <w:tcPr>
            <w:tcW w:w="1448" w:type="dxa"/>
            <w:tcBorders>
              <w:top w:val="single" w:sz="4" w:space="0" w:color="8EA9DB"/>
              <w:left w:val="nil"/>
              <w:bottom w:val="single" w:sz="4" w:space="0" w:color="8EA9DB"/>
              <w:right w:val="nil"/>
            </w:tcBorders>
            <w:shd w:val="clear" w:color="D9E1F2" w:fill="D9E1F2"/>
            <w:noWrap/>
            <w:vAlign w:val="bottom"/>
            <w:hideMark/>
          </w:tcPr>
          <w:p w14:paraId="1D92EB26"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30</w:t>
            </w:r>
          </w:p>
        </w:tc>
        <w:tc>
          <w:tcPr>
            <w:tcW w:w="2654" w:type="dxa"/>
            <w:tcBorders>
              <w:top w:val="single" w:sz="4" w:space="0" w:color="8EA9DB"/>
              <w:left w:val="nil"/>
              <w:bottom w:val="single" w:sz="4" w:space="0" w:color="8EA9DB"/>
              <w:right w:val="nil"/>
            </w:tcBorders>
            <w:shd w:val="clear" w:color="D9E1F2" w:fill="D9E1F2"/>
            <w:noWrap/>
            <w:vAlign w:val="bottom"/>
            <w:hideMark/>
          </w:tcPr>
          <w:p w14:paraId="2853C0FC"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5.5</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301F5585"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68.75</w:t>
            </w:r>
          </w:p>
        </w:tc>
      </w:tr>
      <w:tr w:rsidR="00D753E3" w:rsidRPr="0004183D" w14:paraId="3D695679"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auto" w:fill="auto"/>
            <w:noWrap/>
            <w:vAlign w:val="bottom"/>
            <w:hideMark/>
          </w:tcPr>
          <w:p w14:paraId="27628816"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N</w:t>
            </w:r>
          </w:p>
        </w:tc>
        <w:tc>
          <w:tcPr>
            <w:tcW w:w="1014" w:type="dxa"/>
            <w:tcBorders>
              <w:top w:val="single" w:sz="4" w:space="0" w:color="8EA9DB"/>
              <w:left w:val="nil"/>
              <w:bottom w:val="single" w:sz="4" w:space="0" w:color="8EA9DB"/>
              <w:right w:val="nil"/>
            </w:tcBorders>
          </w:tcPr>
          <w:p w14:paraId="3F9ABF8F" w14:textId="733E02EA"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auto" w:fill="auto"/>
            <w:noWrap/>
            <w:vAlign w:val="bottom"/>
            <w:hideMark/>
          </w:tcPr>
          <w:p w14:paraId="0A0B813F" w14:textId="41F71984"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4.5</w:t>
            </w:r>
          </w:p>
        </w:tc>
        <w:tc>
          <w:tcPr>
            <w:tcW w:w="1448" w:type="dxa"/>
            <w:tcBorders>
              <w:top w:val="single" w:sz="4" w:space="0" w:color="8EA9DB"/>
              <w:left w:val="nil"/>
              <w:bottom w:val="single" w:sz="4" w:space="0" w:color="8EA9DB"/>
              <w:right w:val="nil"/>
            </w:tcBorders>
            <w:shd w:val="clear" w:color="auto" w:fill="auto"/>
            <w:noWrap/>
            <w:vAlign w:val="bottom"/>
            <w:hideMark/>
          </w:tcPr>
          <w:p w14:paraId="766A0BC6"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90</w:t>
            </w:r>
          </w:p>
        </w:tc>
        <w:tc>
          <w:tcPr>
            <w:tcW w:w="2654" w:type="dxa"/>
            <w:tcBorders>
              <w:top w:val="single" w:sz="4" w:space="0" w:color="8EA9DB"/>
              <w:left w:val="nil"/>
              <w:bottom w:val="single" w:sz="4" w:space="0" w:color="8EA9DB"/>
              <w:right w:val="nil"/>
            </w:tcBorders>
            <w:shd w:val="clear" w:color="auto" w:fill="auto"/>
            <w:noWrap/>
            <w:vAlign w:val="bottom"/>
            <w:hideMark/>
          </w:tcPr>
          <w:p w14:paraId="5D52AC7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c>
          <w:tcPr>
            <w:tcW w:w="1404" w:type="dxa"/>
            <w:tcBorders>
              <w:top w:val="single" w:sz="4" w:space="0" w:color="8EA9DB"/>
              <w:left w:val="nil"/>
              <w:bottom w:val="single" w:sz="4" w:space="0" w:color="8EA9DB"/>
              <w:right w:val="single" w:sz="4" w:space="0" w:color="8EA9DB"/>
            </w:tcBorders>
            <w:shd w:val="clear" w:color="auto" w:fill="auto"/>
            <w:noWrap/>
            <w:vAlign w:val="bottom"/>
            <w:hideMark/>
          </w:tcPr>
          <w:p w14:paraId="47AFC6C5"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93.75</w:t>
            </w:r>
          </w:p>
        </w:tc>
      </w:tr>
      <w:tr w:rsidR="00D753E3" w:rsidRPr="0004183D" w14:paraId="7DD6EA16"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0D2730CF"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O</w:t>
            </w:r>
          </w:p>
        </w:tc>
        <w:tc>
          <w:tcPr>
            <w:tcW w:w="1014" w:type="dxa"/>
            <w:tcBorders>
              <w:top w:val="single" w:sz="4" w:space="0" w:color="8EA9DB"/>
              <w:left w:val="nil"/>
              <w:bottom w:val="single" w:sz="4" w:space="0" w:color="8EA9DB"/>
              <w:right w:val="nil"/>
            </w:tcBorders>
            <w:shd w:val="clear" w:color="D9E1F2" w:fill="D9E1F2"/>
          </w:tcPr>
          <w:p w14:paraId="1B91A59A" w14:textId="2D02BE53"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F</w:t>
            </w:r>
          </w:p>
        </w:tc>
        <w:tc>
          <w:tcPr>
            <w:tcW w:w="1934" w:type="dxa"/>
            <w:tcBorders>
              <w:top w:val="single" w:sz="4" w:space="0" w:color="8EA9DB"/>
              <w:left w:val="nil"/>
              <w:bottom w:val="single" w:sz="4" w:space="0" w:color="8EA9DB"/>
              <w:right w:val="nil"/>
            </w:tcBorders>
            <w:shd w:val="clear" w:color="D9E1F2" w:fill="D9E1F2"/>
            <w:noWrap/>
            <w:vAlign w:val="bottom"/>
            <w:hideMark/>
          </w:tcPr>
          <w:p w14:paraId="3388284D" w14:textId="22330D4A"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2</w:t>
            </w:r>
          </w:p>
        </w:tc>
        <w:tc>
          <w:tcPr>
            <w:tcW w:w="1448" w:type="dxa"/>
            <w:tcBorders>
              <w:top w:val="single" w:sz="4" w:space="0" w:color="8EA9DB"/>
              <w:left w:val="nil"/>
              <w:bottom w:val="single" w:sz="4" w:space="0" w:color="8EA9DB"/>
              <w:right w:val="nil"/>
            </w:tcBorders>
            <w:shd w:val="clear" w:color="D9E1F2" w:fill="D9E1F2"/>
            <w:noWrap/>
            <w:vAlign w:val="bottom"/>
            <w:hideMark/>
          </w:tcPr>
          <w:p w14:paraId="097EE72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40</w:t>
            </w:r>
          </w:p>
        </w:tc>
        <w:tc>
          <w:tcPr>
            <w:tcW w:w="2654" w:type="dxa"/>
            <w:tcBorders>
              <w:top w:val="single" w:sz="4" w:space="0" w:color="8EA9DB"/>
              <w:left w:val="nil"/>
              <w:bottom w:val="single" w:sz="4" w:space="0" w:color="8EA9DB"/>
              <w:right w:val="nil"/>
            </w:tcBorders>
            <w:shd w:val="clear" w:color="D9E1F2" w:fill="D9E1F2"/>
            <w:noWrap/>
            <w:vAlign w:val="bottom"/>
            <w:hideMark/>
          </w:tcPr>
          <w:p w14:paraId="64772440"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3</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49B69DF7"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37.5</w:t>
            </w:r>
          </w:p>
        </w:tc>
      </w:tr>
      <w:tr w:rsidR="00D753E3" w:rsidRPr="0004183D" w14:paraId="52704B22"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auto" w:fill="auto"/>
            <w:noWrap/>
            <w:vAlign w:val="bottom"/>
            <w:hideMark/>
          </w:tcPr>
          <w:p w14:paraId="38DF5AA2"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P</w:t>
            </w:r>
          </w:p>
        </w:tc>
        <w:tc>
          <w:tcPr>
            <w:tcW w:w="1014" w:type="dxa"/>
            <w:tcBorders>
              <w:top w:val="single" w:sz="4" w:space="0" w:color="8EA9DB"/>
              <w:left w:val="nil"/>
              <w:bottom w:val="single" w:sz="4" w:space="0" w:color="8EA9DB"/>
              <w:right w:val="nil"/>
            </w:tcBorders>
          </w:tcPr>
          <w:p w14:paraId="3C9B0870" w14:textId="5D4C3E9B"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M</w:t>
            </w:r>
          </w:p>
        </w:tc>
        <w:tc>
          <w:tcPr>
            <w:tcW w:w="1934" w:type="dxa"/>
            <w:tcBorders>
              <w:top w:val="single" w:sz="4" w:space="0" w:color="8EA9DB"/>
              <w:left w:val="nil"/>
              <w:bottom w:val="single" w:sz="4" w:space="0" w:color="8EA9DB"/>
              <w:right w:val="nil"/>
            </w:tcBorders>
            <w:shd w:val="clear" w:color="auto" w:fill="auto"/>
            <w:noWrap/>
            <w:vAlign w:val="bottom"/>
            <w:hideMark/>
          </w:tcPr>
          <w:p w14:paraId="6BA4D071" w14:textId="06B3D911"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2</w:t>
            </w:r>
          </w:p>
        </w:tc>
        <w:tc>
          <w:tcPr>
            <w:tcW w:w="1448" w:type="dxa"/>
            <w:tcBorders>
              <w:top w:val="single" w:sz="4" w:space="0" w:color="8EA9DB"/>
              <w:left w:val="nil"/>
              <w:bottom w:val="single" w:sz="4" w:space="0" w:color="8EA9DB"/>
              <w:right w:val="nil"/>
            </w:tcBorders>
            <w:shd w:val="clear" w:color="auto" w:fill="auto"/>
            <w:noWrap/>
            <w:vAlign w:val="bottom"/>
            <w:hideMark/>
          </w:tcPr>
          <w:p w14:paraId="2CDD65D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40</w:t>
            </w:r>
          </w:p>
        </w:tc>
        <w:tc>
          <w:tcPr>
            <w:tcW w:w="2654" w:type="dxa"/>
            <w:tcBorders>
              <w:top w:val="single" w:sz="4" w:space="0" w:color="8EA9DB"/>
              <w:left w:val="nil"/>
              <w:bottom w:val="single" w:sz="4" w:space="0" w:color="8EA9DB"/>
              <w:right w:val="nil"/>
            </w:tcBorders>
            <w:shd w:val="clear" w:color="auto" w:fill="auto"/>
            <w:noWrap/>
            <w:vAlign w:val="bottom"/>
            <w:hideMark/>
          </w:tcPr>
          <w:p w14:paraId="44993E20"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6</w:t>
            </w:r>
          </w:p>
        </w:tc>
        <w:tc>
          <w:tcPr>
            <w:tcW w:w="1404" w:type="dxa"/>
            <w:tcBorders>
              <w:top w:val="single" w:sz="4" w:space="0" w:color="8EA9DB"/>
              <w:left w:val="nil"/>
              <w:bottom w:val="single" w:sz="4" w:space="0" w:color="8EA9DB"/>
              <w:right w:val="single" w:sz="4" w:space="0" w:color="8EA9DB"/>
            </w:tcBorders>
            <w:shd w:val="clear" w:color="auto" w:fill="auto"/>
            <w:noWrap/>
            <w:vAlign w:val="bottom"/>
            <w:hideMark/>
          </w:tcPr>
          <w:p w14:paraId="45F13AF9"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75</w:t>
            </w:r>
          </w:p>
        </w:tc>
      </w:tr>
      <w:tr w:rsidR="00D753E3" w:rsidRPr="0004183D" w14:paraId="7F522A1E" w14:textId="77777777" w:rsidTr="00B7356C">
        <w:trPr>
          <w:trHeight w:val="305"/>
          <w:jc w:val="center"/>
        </w:trPr>
        <w:tc>
          <w:tcPr>
            <w:tcW w:w="562" w:type="dxa"/>
            <w:tcBorders>
              <w:top w:val="single" w:sz="4" w:space="0" w:color="8EA9DB"/>
              <w:left w:val="single" w:sz="4" w:space="0" w:color="8EA9DB"/>
              <w:bottom w:val="single" w:sz="4" w:space="0" w:color="8EA9DB"/>
              <w:right w:val="nil"/>
            </w:tcBorders>
            <w:shd w:val="clear" w:color="D9E1F2" w:fill="D9E1F2"/>
            <w:noWrap/>
            <w:vAlign w:val="bottom"/>
            <w:hideMark/>
          </w:tcPr>
          <w:p w14:paraId="38FF27AD" w14:textId="77777777" w:rsidR="00D753E3" w:rsidRPr="0004183D" w:rsidRDefault="00D753E3" w:rsidP="0004183D">
            <w:pPr>
              <w:spacing w:after="0" w:line="240" w:lineRule="auto"/>
              <w:jc w:val="lef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lastRenderedPageBreak/>
              <w:t>Q</w:t>
            </w:r>
          </w:p>
        </w:tc>
        <w:tc>
          <w:tcPr>
            <w:tcW w:w="1014" w:type="dxa"/>
            <w:tcBorders>
              <w:top w:val="single" w:sz="4" w:space="0" w:color="8EA9DB"/>
              <w:left w:val="nil"/>
              <w:bottom w:val="single" w:sz="4" w:space="0" w:color="8EA9DB"/>
              <w:right w:val="nil"/>
            </w:tcBorders>
            <w:shd w:val="clear" w:color="D9E1F2" w:fill="D9E1F2"/>
          </w:tcPr>
          <w:p w14:paraId="58363AE4" w14:textId="510AB2F3" w:rsidR="00D753E3" w:rsidRPr="0004183D" w:rsidRDefault="00403199" w:rsidP="0004183D">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M</w:t>
            </w:r>
          </w:p>
        </w:tc>
        <w:tc>
          <w:tcPr>
            <w:tcW w:w="1934" w:type="dxa"/>
            <w:tcBorders>
              <w:top w:val="single" w:sz="4" w:space="0" w:color="8EA9DB"/>
              <w:left w:val="nil"/>
              <w:bottom w:val="single" w:sz="4" w:space="0" w:color="8EA9DB"/>
              <w:right w:val="nil"/>
            </w:tcBorders>
            <w:shd w:val="clear" w:color="D9E1F2" w:fill="D9E1F2"/>
            <w:noWrap/>
            <w:vAlign w:val="bottom"/>
            <w:hideMark/>
          </w:tcPr>
          <w:p w14:paraId="2FA1E6E6" w14:textId="6D6509CF"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3.5</w:t>
            </w:r>
          </w:p>
        </w:tc>
        <w:tc>
          <w:tcPr>
            <w:tcW w:w="1448" w:type="dxa"/>
            <w:tcBorders>
              <w:top w:val="single" w:sz="4" w:space="0" w:color="8EA9DB"/>
              <w:left w:val="nil"/>
              <w:bottom w:val="single" w:sz="4" w:space="0" w:color="8EA9DB"/>
              <w:right w:val="nil"/>
            </w:tcBorders>
            <w:shd w:val="clear" w:color="D9E1F2" w:fill="D9E1F2"/>
            <w:noWrap/>
            <w:vAlign w:val="bottom"/>
            <w:hideMark/>
          </w:tcPr>
          <w:p w14:paraId="7123D13B"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70</w:t>
            </w:r>
          </w:p>
        </w:tc>
        <w:tc>
          <w:tcPr>
            <w:tcW w:w="2654" w:type="dxa"/>
            <w:tcBorders>
              <w:top w:val="single" w:sz="4" w:space="0" w:color="8EA9DB"/>
              <w:left w:val="nil"/>
              <w:bottom w:val="single" w:sz="4" w:space="0" w:color="8EA9DB"/>
              <w:right w:val="nil"/>
            </w:tcBorders>
            <w:shd w:val="clear" w:color="D9E1F2" w:fill="D9E1F2"/>
            <w:noWrap/>
            <w:vAlign w:val="bottom"/>
            <w:hideMark/>
          </w:tcPr>
          <w:p w14:paraId="061EAFCF"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8</w:t>
            </w:r>
          </w:p>
        </w:tc>
        <w:tc>
          <w:tcPr>
            <w:tcW w:w="1404" w:type="dxa"/>
            <w:tcBorders>
              <w:top w:val="single" w:sz="4" w:space="0" w:color="8EA9DB"/>
              <w:left w:val="nil"/>
              <w:bottom w:val="single" w:sz="4" w:space="0" w:color="8EA9DB"/>
              <w:right w:val="single" w:sz="4" w:space="0" w:color="8EA9DB"/>
            </w:tcBorders>
            <w:shd w:val="clear" w:color="D9E1F2" w:fill="D9E1F2"/>
            <w:noWrap/>
            <w:vAlign w:val="bottom"/>
            <w:hideMark/>
          </w:tcPr>
          <w:p w14:paraId="624B56EA" w14:textId="77777777" w:rsidR="00D753E3" w:rsidRPr="0004183D" w:rsidRDefault="00D753E3" w:rsidP="0004183D">
            <w:pPr>
              <w:spacing w:after="0" w:line="240" w:lineRule="auto"/>
              <w:jc w:val="right"/>
              <w:rPr>
                <w:rFonts w:ascii="Calibri" w:eastAsia="Times New Roman" w:hAnsi="Calibri" w:cs="Calibri"/>
                <w:color w:val="000000"/>
                <w:sz w:val="22"/>
                <w:lang w:eastAsia="en-GB"/>
              </w:rPr>
            </w:pPr>
            <w:r w:rsidRPr="0004183D">
              <w:rPr>
                <w:rFonts w:ascii="Calibri" w:eastAsia="Times New Roman" w:hAnsi="Calibri" w:cs="Calibri"/>
                <w:color w:val="000000"/>
                <w:sz w:val="22"/>
                <w:lang w:eastAsia="en-GB"/>
              </w:rPr>
              <w:t>100</w:t>
            </w:r>
          </w:p>
        </w:tc>
      </w:tr>
    </w:tbl>
    <w:p w14:paraId="7DC3C3F5" w14:textId="18ED9FD5" w:rsidR="0004183D" w:rsidRDefault="0004183D" w:rsidP="00C25BE7"/>
    <w:p w14:paraId="3E4163E9" w14:textId="78512C6D" w:rsidR="00B96B60" w:rsidRDefault="00B96B60" w:rsidP="00B96B60">
      <w:r>
        <w:t>From the data</w:t>
      </w:r>
      <w:r w:rsidR="00A04923">
        <w:t xml:space="preserve"> collected in the pre- and post-test </w:t>
      </w:r>
      <w:r w:rsidR="003947F2">
        <w:t>and presented in Table One,</w:t>
      </w:r>
      <w:r>
        <w:t xml:space="preserve"> it is apparent that the majority of pupils increased their scores between the </w:t>
      </w:r>
      <w:r w:rsidR="003947F2">
        <w:t>two tests</w:t>
      </w:r>
      <w:r>
        <w:t xml:space="preserve">. Indeed, only four out of </w:t>
      </w:r>
      <w:r w:rsidR="00DE692B">
        <w:t xml:space="preserve">the </w:t>
      </w:r>
      <w:r>
        <w:t>seventeen participants failed to increase their score. Pupil D having scored 100% in the first test, dropping to 93.75%, through loosing half a mark, whilst Pupils E, H and O both increased the number of questions they answered correctly.</w:t>
      </w:r>
    </w:p>
    <w:p w14:paraId="7A20F815" w14:textId="62AE7A10" w:rsidR="006E155C" w:rsidRDefault="006E155C" w:rsidP="006E155C">
      <w:pPr>
        <w:pStyle w:val="Heading2"/>
      </w:pPr>
      <w:r>
        <w:t>Table Two:</w:t>
      </w:r>
    </w:p>
    <w:tbl>
      <w:tblPr>
        <w:tblW w:w="6980" w:type="dxa"/>
        <w:jc w:val="center"/>
        <w:tblLook w:val="04A0" w:firstRow="1" w:lastRow="0" w:firstColumn="1" w:lastColumn="0" w:noHBand="0" w:noVBand="1"/>
      </w:tblPr>
      <w:tblGrid>
        <w:gridCol w:w="960"/>
        <w:gridCol w:w="1860"/>
        <w:gridCol w:w="1420"/>
        <w:gridCol w:w="2740"/>
      </w:tblGrid>
      <w:tr w:rsidR="00B96B60" w:rsidRPr="00B96B60" w14:paraId="0217A1BB"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4472C4" w:fill="4472C4"/>
            <w:noWrap/>
            <w:vAlign w:val="bottom"/>
            <w:hideMark/>
          </w:tcPr>
          <w:p w14:paraId="74083F31" w14:textId="77777777" w:rsidR="00B96B60" w:rsidRPr="00B96B60" w:rsidRDefault="00B96B60" w:rsidP="00B96B60">
            <w:pPr>
              <w:spacing w:after="0" w:line="240" w:lineRule="auto"/>
              <w:jc w:val="left"/>
              <w:rPr>
                <w:rFonts w:ascii="Calibri" w:eastAsia="Times New Roman" w:hAnsi="Calibri" w:cs="Calibri"/>
                <w:b/>
                <w:bCs/>
                <w:color w:val="FFFFFF"/>
                <w:sz w:val="22"/>
                <w:lang w:eastAsia="en-GB"/>
              </w:rPr>
            </w:pPr>
            <w:r w:rsidRPr="00B96B60">
              <w:rPr>
                <w:rFonts w:ascii="Calibri" w:eastAsia="Times New Roman" w:hAnsi="Calibri" w:cs="Calibri"/>
                <w:b/>
                <w:bCs/>
                <w:color w:val="FFFFFF"/>
                <w:sz w:val="22"/>
                <w:lang w:eastAsia="en-GB"/>
              </w:rPr>
              <w:t>Pupil</w:t>
            </w:r>
          </w:p>
        </w:tc>
        <w:tc>
          <w:tcPr>
            <w:tcW w:w="1860" w:type="dxa"/>
            <w:tcBorders>
              <w:top w:val="single" w:sz="4" w:space="0" w:color="8EA9DB"/>
              <w:left w:val="nil"/>
              <w:bottom w:val="single" w:sz="4" w:space="0" w:color="8EA9DB"/>
              <w:right w:val="nil"/>
            </w:tcBorders>
            <w:shd w:val="clear" w:color="4472C4" w:fill="4472C4"/>
            <w:noWrap/>
            <w:vAlign w:val="bottom"/>
            <w:hideMark/>
          </w:tcPr>
          <w:p w14:paraId="7B6D341B" w14:textId="77777777" w:rsidR="00B96B60" w:rsidRPr="00B96B60" w:rsidRDefault="00B96B60" w:rsidP="00B96B60">
            <w:pPr>
              <w:spacing w:after="0" w:line="240" w:lineRule="auto"/>
              <w:jc w:val="left"/>
              <w:rPr>
                <w:rFonts w:ascii="Calibri" w:eastAsia="Times New Roman" w:hAnsi="Calibri" w:cs="Calibri"/>
                <w:b/>
                <w:bCs/>
                <w:color w:val="FFFFFF"/>
                <w:sz w:val="22"/>
                <w:lang w:eastAsia="en-GB"/>
              </w:rPr>
            </w:pPr>
            <w:r w:rsidRPr="00B96B60">
              <w:rPr>
                <w:rFonts w:ascii="Calibri" w:eastAsia="Times New Roman" w:hAnsi="Calibri" w:cs="Calibri"/>
                <w:b/>
                <w:bCs/>
                <w:color w:val="FFFFFF"/>
                <w:sz w:val="22"/>
                <w:lang w:eastAsia="en-GB"/>
              </w:rPr>
              <w:t>Pre-Test %</w:t>
            </w:r>
          </w:p>
        </w:tc>
        <w:tc>
          <w:tcPr>
            <w:tcW w:w="1420" w:type="dxa"/>
            <w:tcBorders>
              <w:top w:val="single" w:sz="4" w:space="0" w:color="8EA9DB"/>
              <w:left w:val="nil"/>
              <w:bottom w:val="single" w:sz="4" w:space="0" w:color="8EA9DB"/>
              <w:right w:val="nil"/>
            </w:tcBorders>
            <w:shd w:val="clear" w:color="4472C4" w:fill="4472C4"/>
            <w:noWrap/>
            <w:vAlign w:val="bottom"/>
            <w:hideMark/>
          </w:tcPr>
          <w:p w14:paraId="2774F303" w14:textId="77777777" w:rsidR="00B96B60" w:rsidRPr="00B96B60" w:rsidRDefault="00B96B60" w:rsidP="00B96B60">
            <w:pPr>
              <w:spacing w:after="0" w:line="240" w:lineRule="auto"/>
              <w:jc w:val="left"/>
              <w:rPr>
                <w:rFonts w:ascii="Calibri" w:eastAsia="Times New Roman" w:hAnsi="Calibri" w:cs="Calibri"/>
                <w:b/>
                <w:bCs/>
                <w:color w:val="FFFFFF"/>
                <w:sz w:val="22"/>
                <w:lang w:eastAsia="en-GB"/>
              </w:rPr>
            </w:pPr>
            <w:r w:rsidRPr="00B96B60">
              <w:rPr>
                <w:rFonts w:ascii="Calibri" w:eastAsia="Times New Roman" w:hAnsi="Calibri" w:cs="Calibri"/>
                <w:b/>
                <w:bCs/>
                <w:color w:val="FFFFFF"/>
                <w:sz w:val="22"/>
                <w:lang w:eastAsia="en-GB"/>
              </w:rPr>
              <w:t>Post-Test %</w:t>
            </w:r>
          </w:p>
        </w:tc>
        <w:tc>
          <w:tcPr>
            <w:tcW w:w="2740" w:type="dxa"/>
            <w:tcBorders>
              <w:top w:val="single" w:sz="4" w:space="0" w:color="8EA9DB"/>
              <w:left w:val="nil"/>
              <w:bottom w:val="single" w:sz="4" w:space="0" w:color="8EA9DB"/>
              <w:right w:val="single" w:sz="4" w:space="0" w:color="8EA9DB"/>
            </w:tcBorders>
            <w:shd w:val="clear" w:color="4472C4" w:fill="4472C4"/>
            <w:noWrap/>
            <w:vAlign w:val="bottom"/>
            <w:hideMark/>
          </w:tcPr>
          <w:p w14:paraId="4C9B6FAA" w14:textId="77777777" w:rsidR="00B96B60" w:rsidRPr="00B96B60" w:rsidRDefault="00B96B60" w:rsidP="00B96B60">
            <w:pPr>
              <w:spacing w:after="0" w:line="240" w:lineRule="auto"/>
              <w:jc w:val="left"/>
              <w:rPr>
                <w:rFonts w:ascii="Calibri" w:eastAsia="Times New Roman" w:hAnsi="Calibri" w:cs="Calibri"/>
                <w:b/>
                <w:bCs/>
                <w:color w:val="FFFFFF"/>
                <w:sz w:val="22"/>
                <w:lang w:eastAsia="en-GB"/>
              </w:rPr>
            </w:pPr>
            <w:r w:rsidRPr="00B96B60">
              <w:rPr>
                <w:rFonts w:ascii="Calibri" w:eastAsia="Times New Roman" w:hAnsi="Calibri" w:cs="Calibri"/>
                <w:b/>
                <w:bCs/>
                <w:color w:val="FFFFFF"/>
                <w:sz w:val="22"/>
                <w:lang w:eastAsia="en-GB"/>
              </w:rPr>
              <w:t>Percentage Point Increase</w:t>
            </w:r>
          </w:p>
        </w:tc>
      </w:tr>
      <w:tr w:rsidR="00B96B60" w:rsidRPr="00B96B60" w14:paraId="1D118C2B"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5FA435A9"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A</w:t>
            </w:r>
          </w:p>
        </w:tc>
        <w:tc>
          <w:tcPr>
            <w:tcW w:w="1860" w:type="dxa"/>
            <w:tcBorders>
              <w:top w:val="single" w:sz="4" w:space="0" w:color="8EA9DB"/>
              <w:left w:val="nil"/>
              <w:bottom w:val="single" w:sz="4" w:space="0" w:color="8EA9DB"/>
              <w:right w:val="nil"/>
            </w:tcBorders>
            <w:shd w:val="clear" w:color="D9E1F2" w:fill="D9E1F2"/>
            <w:noWrap/>
            <w:vAlign w:val="bottom"/>
            <w:hideMark/>
          </w:tcPr>
          <w:p w14:paraId="39AB6D1D"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60.00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0085BE6A"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93.75</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25E6A9EC"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33.75 </w:t>
            </w:r>
          </w:p>
        </w:tc>
      </w:tr>
      <w:tr w:rsidR="00B96B60" w:rsidRPr="00B96B60" w14:paraId="47628EC8"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453B0CE6"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B</w:t>
            </w:r>
          </w:p>
        </w:tc>
        <w:tc>
          <w:tcPr>
            <w:tcW w:w="1860" w:type="dxa"/>
            <w:tcBorders>
              <w:top w:val="single" w:sz="4" w:space="0" w:color="8EA9DB"/>
              <w:left w:val="nil"/>
              <w:bottom w:val="single" w:sz="4" w:space="0" w:color="8EA9DB"/>
              <w:right w:val="nil"/>
            </w:tcBorders>
            <w:shd w:val="clear" w:color="auto" w:fill="auto"/>
            <w:noWrap/>
            <w:vAlign w:val="bottom"/>
            <w:hideMark/>
          </w:tcPr>
          <w:p w14:paraId="056AA964"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0.00 </w:t>
            </w:r>
          </w:p>
        </w:tc>
        <w:tc>
          <w:tcPr>
            <w:tcW w:w="1420" w:type="dxa"/>
            <w:tcBorders>
              <w:top w:val="single" w:sz="4" w:space="0" w:color="8EA9DB"/>
              <w:left w:val="nil"/>
              <w:bottom w:val="single" w:sz="4" w:space="0" w:color="8EA9DB"/>
              <w:right w:val="nil"/>
            </w:tcBorders>
            <w:shd w:val="clear" w:color="auto" w:fill="auto"/>
            <w:noWrap/>
            <w:vAlign w:val="bottom"/>
            <w:hideMark/>
          </w:tcPr>
          <w:p w14:paraId="67F1043E"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93.75</w:t>
            </w:r>
          </w:p>
        </w:tc>
        <w:tc>
          <w:tcPr>
            <w:tcW w:w="2740" w:type="dxa"/>
            <w:tcBorders>
              <w:top w:val="single" w:sz="4" w:space="0" w:color="8EA9DB"/>
              <w:left w:val="nil"/>
              <w:bottom w:val="single" w:sz="4" w:space="0" w:color="8EA9DB"/>
              <w:right w:val="single" w:sz="4" w:space="0" w:color="8EA9DB"/>
            </w:tcBorders>
            <w:shd w:val="clear" w:color="auto" w:fill="auto"/>
            <w:noWrap/>
            <w:vAlign w:val="bottom"/>
            <w:hideMark/>
          </w:tcPr>
          <w:p w14:paraId="243CB117"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93.75 </w:t>
            </w:r>
          </w:p>
        </w:tc>
      </w:tr>
      <w:tr w:rsidR="00B96B60" w:rsidRPr="00B96B60" w14:paraId="5E9A2C4C"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2B0C56D0"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C</w:t>
            </w:r>
          </w:p>
        </w:tc>
        <w:tc>
          <w:tcPr>
            <w:tcW w:w="1860" w:type="dxa"/>
            <w:tcBorders>
              <w:top w:val="single" w:sz="4" w:space="0" w:color="8EA9DB"/>
              <w:left w:val="nil"/>
              <w:bottom w:val="single" w:sz="4" w:space="0" w:color="8EA9DB"/>
              <w:right w:val="nil"/>
            </w:tcBorders>
            <w:shd w:val="clear" w:color="D9E1F2" w:fill="D9E1F2"/>
            <w:noWrap/>
            <w:vAlign w:val="bottom"/>
            <w:hideMark/>
          </w:tcPr>
          <w:p w14:paraId="136B4055"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60.00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148FBD65"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93.75</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69618E3A"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33.75 </w:t>
            </w:r>
          </w:p>
        </w:tc>
      </w:tr>
      <w:tr w:rsidR="00B96B60" w:rsidRPr="00B96B60" w14:paraId="264D427E"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5BA248A8"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D</w:t>
            </w:r>
          </w:p>
        </w:tc>
        <w:tc>
          <w:tcPr>
            <w:tcW w:w="1860" w:type="dxa"/>
            <w:tcBorders>
              <w:top w:val="single" w:sz="4" w:space="0" w:color="8EA9DB"/>
              <w:left w:val="nil"/>
              <w:bottom w:val="single" w:sz="4" w:space="0" w:color="8EA9DB"/>
              <w:right w:val="nil"/>
            </w:tcBorders>
            <w:shd w:val="clear" w:color="auto" w:fill="auto"/>
            <w:noWrap/>
            <w:vAlign w:val="bottom"/>
            <w:hideMark/>
          </w:tcPr>
          <w:p w14:paraId="7BCA4831"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100.00 </w:t>
            </w:r>
          </w:p>
        </w:tc>
        <w:tc>
          <w:tcPr>
            <w:tcW w:w="1420" w:type="dxa"/>
            <w:tcBorders>
              <w:top w:val="single" w:sz="4" w:space="0" w:color="8EA9DB"/>
              <w:left w:val="nil"/>
              <w:bottom w:val="single" w:sz="4" w:space="0" w:color="8EA9DB"/>
              <w:right w:val="nil"/>
            </w:tcBorders>
            <w:shd w:val="clear" w:color="auto" w:fill="auto"/>
            <w:noWrap/>
            <w:vAlign w:val="bottom"/>
            <w:hideMark/>
          </w:tcPr>
          <w:p w14:paraId="1A4086F9"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93.75</w:t>
            </w:r>
          </w:p>
        </w:tc>
        <w:tc>
          <w:tcPr>
            <w:tcW w:w="2740" w:type="dxa"/>
            <w:tcBorders>
              <w:top w:val="single" w:sz="4" w:space="0" w:color="8EA9DB"/>
              <w:left w:val="nil"/>
              <w:bottom w:val="single" w:sz="4" w:space="0" w:color="8EA9DB"/>
              <w:right w:val="single" w:sz="4" w:space="0" w:color="8EA9DB"/>
            </w:tcBorders>
            <w:shd w:val="clear" w:color="auto" w:fill="auto"/>
            <w:noWrap/>
            <w:vAlign w:val="bottom"/>
            <w:hideMark/>
          </w:tcPr>
          <w:p w14:paraId="3886CC02"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FF0000"/>
                <w:sz w:val="22"/>
                <w:lang w:eastAsia="en-GB"/>
              </w:rPr>
              <w:t xml:space="preserve">-6.25 </w:t>
            </w:r>
          </w:p>
        </w:tc>
      </w:tr>
      <w:tr w:rsidR="00B96B60" w:rsidRPr="00B96B60" w14:paraId="56ECCE56"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7CFCA679"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E</w:t>
            </w:r>
          </w:p>
        </w:tc>
        <w:tc>
          <w:tcPr>
            <w:tcW w:w="1860" w:type="dxa"/>
            <w:tcBorders>
              <w:top w:val="single" w:sz="4" w:space="0" w:color="8EA9DB"/>
              <w:left w:val="nil"/>
              <w:bottom w:val="single" w:sz="4" w:space="0" w:color="8EA9DB"/>
              <w:right w:val="nil"/>
            </w:tcBorders>
            <w:shd w:val="clear" w:color="D9E1F2" w:fill="D9E1F2"/>
            <w:noWrap/>
            <w:vAlign w:val="bottom"/>
            <w:hideMark/>
          </w:tcPr>
          <w:p w14:paraId="038B73D6"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60.00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17E7803B"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56.25</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272F26B6"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FF0000"/>
                <w:sz w:val="22"/>
                <w:lang w:eastAsia="en-GB"/>
              </w:rPr>
              <w:t xml:space="preserve">-3.75 </w:t>
            </w:r>
          </w:p>
        </w:tc>
      </w:tr>
      <w:tr w:rsidR="00B96B60" w:rsidRPr="00B96B60" w14:paraId="6E67E24D"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55B49840"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F</w:t>
            </w:r>
          </w:p>
        </w:tc>
        <w:tc>
          <w:tcPr>
            <w:tcW w:w="1860" w:type="dxa"/>
            <w:tcBorders>
              <w:top w:val="single" w:sz="4" w:space="0" w:color="8EA9DB"/>
              <w:left w:val="nil"/>
              <w:bottom w:val="single" w:sz="4" w:space="0" w:color="8EA9DB"/>
              <w:right w:val="nil"/>
            </w:tcBorders>
            <w:shd w:val="clear" w:color="auto" w:fill="auto"/>
            <w:noWrap/>
            <w:vAlign w:val="bottom"/>
            <w:hideMark/>
          </w:tcPr>
          <w:p w14:paraId="0C41B561"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40.00 </w:t>
            </w:r>
          </w:p>
        </w:tc>
        <w:tc>
          <w:tcPr>
            <w:tcW w:w="1420" w:type="dxa"/>
            <w:tcBorders>
              <w:top w:val="single" w:sz="4" w:space="0" w:color="8EA9DB"/>
              <w:left w:val="nil"/>
              <w:bottom w:val="single" w:sz="4" w:space="0" w:color="8EA9DB"/>
              <w:right w:val="nil"/>
            </w:tcBorders>
            <w:shd w:val="clear" w:color="auto" w:fill="auto"/>
            <w:noWrap/>
            <w:vAlign w:val="bottom"/>
            <w:hideMark/>
          </w:tcPr>
          <w:p w14:paraId="4FD813D1"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75</w:t>
            </w:r>
          </w:p>
        </w:tc>
        <w:tc>
          <w:tcPr>
            <w:tcW w:w="2740" w:type="dxa"/>
            <w:tcBorders>
              <w:top w:val="single" w:sz="4" w:space="0" w:color="8EA9DB"/>
              <w:left w:val="nil"/>
              <w:bottom w:val="single" w:sz="4" w:space="0" w:color="8EA9DB"/>
              <w:right w:val="single" w:sz="4" w:space="0" w:color="8EA9DB"/>
            </w:tcBorders>
            <w:shd w:val="clear" w:color="auto" w:fill="auto"/>
            <w:noWrap/>
            <w:vAlign w:val="bottom"/>
            <w:hideMark/>
          </w:tcPr>
          <w:p w14:paraId="2F7D2101"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35.00 </w:t>
            </w:r>
          </w:p>
        </w:tc>
      </w:tr>
      <w:tr w:rsidR="00B96B60" w:rsidRPr="00B96B60" w14:paraId="3AD00AF0"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226193FE"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G</w:t>
            </w:r>
          </w:p>
        </w:tc>
        <w:tc>
          <w:tcPr>
            <w:tcW w:w="1860" w:type="dxa"/>
            <w:tcBorders>
              <w:top w:val="single" w:sz="4" w:space="0" w:color="8EA9DB"/>
              <w:left w:val="nil"/>
              <w:bottom w:val="single" w:sz="4" w:space="0" w:color="8EA9DB"/>
              <w:right w:val="nil"/>
            </w:tcBorders>
            <w:shd w:val="clear" w:color="D9E1F2" w:fill="D9E1F2"/>
            <w:noWrap/>
            <w:vAlign w:val="bottom"/>
            <w:hideMark/>
          </w:tcPr>
          <w:p w14:paraId="14774008"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40.00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3DE034B2"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75</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5D525692"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35.00 </w:t>
            </w:r>
          </w:p>
        </w:tc>
      </w:tr>
      <w:tr w:rsidR="00B96B60" w:rsidRPr="00B96B60" w14:paraId="7CE075A0"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5A40623E"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H</w:t>
            </w:r>
          </w:p>
        </w:tc>
        <w:tc>
          <w:tcPr>
            <w:tcW w:w="1860" w:type="dxa"/>
            <w:tcBorders>
              <w:top w:val="single" w:sz="4" w:space="0" w:color="8EA9DB"/>
              <w:left w:val="nil"/>
              <w:bottom w:val="single" w:sz="4" w:space="0" w:color="8EA9DB"/>
              <w:right w:val="nil"/>
            </w:tcBorders>
            <w:shd w:val="clear" w:color="auto" w:fill="auto"/>
            <w:noWrap/>
            <w:vAlign w:val="bottom"/>
            <w:hideMark/>
          </w:tcPr>
          <w:p w14:paraId="7305C22E"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90.00 </w:t>
            </w:r>
          </w:p>
        </w:tc>
        <w:tc>
          <w:tcPr>
            <w:tcW w:w="1420" w:type="dxa"/>
            <w:tcBorders>
              <w:top w:val="single" w:sz="4" w:space="0" w:color="8EA9DB"/>
              <w:left w:val="nil"/>
              <w:bottom w:val="single" w:sz="4" w:space="0" w:color="8EA9DB"/>
              <w:right w:val="nil"/>
            </w:tcBorders>
            <w:shd w:val="clear" w:color="auto" w:fill="auto"/>
            <w:noWrap/>
            <w:vAlign w:val="bottom"/>
            <w:hideMark/>
          </w:tcPr>
          <w:p w14:paraId="3EF760DD"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81.25</w:t>
            </w:r>
          </w:p>
        </w:tc>
        <w:tc>
          <w:tcPr>
            <w:tcW w:w="2740" w:type="dxa"/>
            <w:tcBorders>
              <w:top w:val="single" w:sz="4" w:space="0" w:color="8EA9DB"/>
              <w:left w:val="nil"/>
              <w:bottom w:val="single" w:sz="4" w:space="0" w:color="8EA9DB"/>
              <w:right w:val="single" w:sz="4" w:space="0" w:color="8EA9DB"/>
            </w:tcBorders>
            <w:shd w:val="clear" w:color="auto" w:fill="auto"/>
            <w:noWrap/>
            <w:vAlign w:val="bottom"/>
            <w:hideMark/>
          </w:tcPr>
          <w:p w14:paraId="334BC565"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FF0000"/>
                <w:sz w:val="22"/>
                <w:lang w:eastAsia="en-GB"/>
              </w:rPr>
              <w:t xml:space="preserve">-8.75 </w:t>
            </w:r>
          </w:p>
        </w:tc>
      </w:tr>
      <w:tr w:rsidR="00B96B60" w:rsidRPr="00B96B60" w14:paraId="677DD875"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4A0D7555"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I</w:t>
            </w:r>
          </w:p>
        </w:tc>
        <w:tc>
          <w:tcPr>
            <w:tcW w:w="1860" w:type="dxa"/>
            <w:tcBorders>
              <w:top w:val="single" w:sz="4" w:space="0" w:color="8EA9DB"/>
              <w:left w:val="nil"/>
              <w:bottom w:val="single" w:sz="4" w:space="0" w:color="8EA9DB"/>
              <w:right w:val="nil"/>
            </w:tcBorders>
            <w:shd w:val="clear" w:color="D9E1F2" w:fill="D9E1F2"/>
            <w:noWrap/>
            <w:vAlign w:val="bottom"/>
            <w:hideMark/>
          </w:tcPr>
          <w:p w14:paraId="015B219D"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90.00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20252E72"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93.75</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4D739DE9"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3.75 </w:t>
            </w:r>
          </w:p>
        </w:tc>
      </w:tr>
      <w:tr w:rsidR="00B96B60" w:rsidRPr="00B96B60" w14:paraId="21371EEA"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61E5FCBC"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J</w:t>
            </w:r>
          </w:p>
        </w:tc>
        <w:tc>
          <w:tcPr>
            <w:tcW w:w="1860" w:type="dxa"/>
            <w:tcBorders>
              <w:top w:val="single" w:sz="4" w:space="0" w:color="8EA9DB"/>
              <w:left w:val="nil"/>
              <w:bottom w:val="single" w:sz="4" w:space="0" w:color="8EA9DB"/>
              <w:right w:val="nil"/>
            </w:tcBorders>
            <w:shd w:val="clear" w:color="auto" w:fill="auto"/>
            <w:noWrap/>
            <w:vAlign w:val="bottom"/>
            <w:hideMark/>
          </w:tcPr>
          <w:p w14:paraId="4F1D9848"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40.00 </w:t>
            </w:r>
          </w:p>
        </w:tc>
        <w:tc>
          <w:tcPr>
            <w:tcW w:w="1420" w:type="dxa"/>
            <w:tcBorders>
              <w:top w:val="single" w:sz="4" w:space="0" w:color="8EA9DB"/>
              <w:left w:val="nil"/>
              <w:bottom w:val="single" w:sz="4" w:space="0" w:color="8EA9DB"/>
              <w:right w:val="nil"/>
            </w:tcBorders>
            <w:shd w:val="clear" w:color="auto" w:fill="auto"/>
            <w:noWrap/>
            <w:vAlign w:val="bottom"/>
            <w:hideMark/>
          </w:tcPr>
          <w:p w14:paraId="3D67CFC8"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93.75</w:t>
            </w:r>
          </w:p>
        </w:tc>
        <w:tc>
          <w:tcPr>
            <w:tcW w:w="2740" w:type="dxa"/>
            <w:tcBorders>
              <w:top w:val="single" w:sz="4" w:space="0" w:color="8EA9DB"/>
              <w:left w:val="nil"/>
              <w:bottom w:val="single" w:sz="4" w:space="0" w:color="8EA9DB"/>
              <w:right w:val="single" w:sz="4" w:space="0" w:color="8EA9DB"/>
            </w:tcBorders>
            <w:shd w:val="clear" w:color="auto" w:fill="auto"/>
            <w:noWrap/>
            <w:vAlign w:val="bottom"/>
            <w:hideMark/>
          </w:tcPr>
          <w:p w14:paraId="529B0C63"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53.75 </w:t>
            </w:r>
          </w:p>
        </w:tc>
      </w:tr>
      <w:tr w:rsidR="00B96B60" w:rsidRPr="00B96B60" w14:paraId="7BDDCFDB"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5AA9AE87"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K</w:t>
            </w:r>
          </w:p>
        </w:tc>
        <w:tc>
          <w:tcPr>
            <w:tcW w:w="1860" w:type="dxa"/>
            <w:tcBorders>
              <w:top w:val="single" w:sz="4" w:space="0" w:color="8EA9DB"/>
              <w:left w:val="nil"/>
              <w:bottom w:val="single" w:sz="4" w:space="0" w:color="8EA9DB"/>
              <w:right w:val="nil"/>
            </w:tcBorders>
            <w:shd w:val="clear" w:color="D9E1F2" w:fill="D9E1F2"/>
            <w:noWrap/>
            <w:vAlign w:val="bottom"/>
            <w:hideMark/>
          </w:tcPr>
          <w:p w14:paraId="3A9961BC"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40.00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29474A55"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81.25</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2EFB5AF9"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41.25 </w:t>
            </w:r>
          </w:p>
        </w:tc>
      </w:tr>
      <w:tr w:rsidR="00B96B60" w:rsidRPr="00B96B60" w14:paraId="0CE154E6"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077BF6C1"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L</w:t>
            </w:r>
          </w:p>
        </w:tc>
        <w:tc>
          <w:tcPr>
            <w:tcW w:w="1860" w:type="dxa"/>
            <w:tcBorders>
              <w:top w:val="single" w:sz="4" w:space="0" w:color="8EA9DB"/>
              <w:left w:val="nil"/>
              <w:bottom w:val="single" w:sz="4" w:space="0" w:color="8EA9DB"/>
              <w:right w:val="nil"/>
            </w:tcBorders>
            <w:shd w:val="clear" w:color="auto" w:fill="auto"/>
            <w:noWrap/>
            <w:vAlign w:val="bottom"/>
            <w:hideMark/>
          </w:tcPr>
          <w:p w14:paraId="39B5F6B2"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70.00 </w:t>
            </w:r>
          </w:p>
        </w:tc>
        <w:tc>
          <w:tcPr>
            <w:tcW w:w="1420" w:type="dxa"/>
            <w:tcBorders>
              <w:top w:val="single" w:sz="4" w:space="0" w:color="8EA9DB"/>
              <w:left w:val="nil"/>
              <w:bottom w:val="single" w:sz="4" w:space="0" w:color="8EA9DB"/>
              <w:right w:val="nil"/>
            </w:tcBorders>
            <w:shd w:val="clear" w:color="auto" w:fill="auto"/>
            <w:noWrap/>
            <w:vAlign w:val="bottom"/>
            <w:hideMark/>
          </w:tcPr>
          <w:p w14:paraId="14C5E76E"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93.75</w:t>
            </w:r>
          </w:p>
        </w:tc>
        <w:tc>
          <w:tcPr>
            <w:tcW w:w="2740" w:type="dxa"/>
            <w:tcBorders>
              <w:top w:val="single" w:sz="4" w:space="0" w:color="8EA9DB"/>
              <w:left w:val="nil"/>
              <w:bottom w:val="single" w:sz="4" w:space="0" w:color="8EA9DB"/>
              <w:right w:val="single" w:sz="4" w:space="0" w:color="8EA9DB"/>
            </w:tcBorders>
            <w:shd w:val="clear" w:color="auto" w:fill="auto"/>
            <w:noWrap/>
            <w:vAlign w:val="bottom"/>
            <w:hideMark/>
          </w:tcPr>
          <w:p w14:paraId="074C157F"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23.75 </w:t>
            </w:r>
          </w:p>
        </w:tc>
      </w:tr>
      <w:tr w:rsidR="00B96B60" w:rsidRPr="00B96B60" w14:paraId="789312FC"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3B82B207"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M</w:t>
            </w:r>
          </w:p>
        </w:tc>
        <w:tc>
          <w:tcPr>
            <w:tcW w:w="1860" w:type="dxa"/>
            <w:tcBorders>
              <w:top w:val="single" w:sz="4" w:space="0" w:color="8EA9DB"/>
              <w:left w:val="nil"/>
              <w:bottom w:val="single" w:sz="4" w:space="0" w:color="8EA9DB"/>
              <w:right w:val="nil"/>
            </w:tcBorders>
            <w:shd w:val="clear" w:color="D9E1F2" w:fill="D9E1F2"/>
            <w:noWrap/>
            <w:vAlign w:val="bottom"/>
            <w:hideMark/>
          </w:tcPr>
          <w:p w14:paraId="1FF49268"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04A16DC9"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68.75</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3FFD6EDE"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38.75 </w:t>
            </w:r>
          </w:p>
        </w:tc>
      </w:tr>
      <w:tr w:rsidR="00B96B60" w:rsidRPr="00B96B60" w14:paraId="09231F02"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3D4C53AB"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N</w:t>
            </w:r>
          </w:p>
        </w:tc>
        <w:tc>
          <w:tcPr>
            <w:tcW w:w="1860" w:type="dxa"/>
            <w:tcBorders>
              <w:top w:val="single" w:sz="4" w:space="0" w:color="8EA9DB"/>
              <w:left w:val="nil"/>
              <w:bottom w:val="single" w:sz="4" w:space="0" w:color="8EA9DB"/>
              <w:right w:val="nil"/>
            </w:tcBorders>
            <w:shd w:val="clear" w:color="auto" w:fill="auto"/>
            <w:noWrap/>
            <w:vAlign w:val="bottom"/>
            <w:hideMark/>
          </w:tcPr>
          <w:p w14:paraId="3432A65B"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90.00 </w:t>
            </w:r>
          </w:p>
        </w:tc>
        <w:tc>
          <w:tcPr>
            <w:tcW w:w="1420" w:type="dxa"/>
            <w:tcBorders>
              <w:top w:val="single" w:sz="4" w:space="0" w:color="8EA9DB"/>
              <w:left w:val="nil"/>
              <w:bottom w:val="single" w:sz="4" w:space="0" w:color="8EA9DB"/>
              <w:right w:val="nil"/>
            </w:tcBorders>
            <w:shd w:val="clear" w:color="auto" w:fill="auto"/>
            <w:noWrap/>
            <w:vAlign w:val="bottom"/>
            <w:hideMark/>
          </w:tcPr>
          <w:p w14:paraId="1624C5BB"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93.75</w:t>
            </w:r>
          </w:p>
        </w:tc>
        <w:tc>
          <w:tcPr>
            <w:tcW w:w="2740" w:type="dxa"/>
            <w:tcBorders>
              <w:top w:val="single" w:sz="4" w:space="0" w:color="8EA9DB"/>
              <w:left w:val="nil"/>
              <w:bottom w:val="single" w:sz="4" w:space="0" w:color="8EA9DB"/>
              <w:right w:val="single" w:sz="4" w:space="0" w:color="8EA9DB"/>
            </w:tcBorders>
            <w:shd w:val="clear" w:color="auto" w:fill="auto"/>
            <w:noWrap/>
            <w:vAlign w:val="bottom"/>
            <w:hideMark/>
          </w:tcPr>
          <w:p w14:paraId="1BC25427"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3.75 </w:t>
            </w:r>
          </w:p>
        </w:tc>
      </w:tr>
      <w:tr w:rsidR="00B96B60" w:rsidRPr="00B96B60" w14:paraId="13583095"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2369441A"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O</w:t>
            </w:r>
          </w:p>
        </w:tc>
        <w:tc>
          <w:tcPr>
            <w:tcW w:w="1860" w:type="dxa"/>
            <w:tcBorders>
              <w:top w:val="single" w:sz="4" w:space="0" w:color="8EA9DB"/>
              <w:left w:val="nil"/>
              <w:bottom w:val="single" w:sz="4" w:space="0" w:color="8EA9DB"/>
              <w:right w:val="nil"/>
            </w:tcBorders>
            <w:shd w:val="clear" w:color="D9E1F2" w:fill="D9E1F2"/>
            <w:noWrap/>
            <w:vAlign w:val="bottom"/>
            <w:hideMark/>
          </w:tcPr>
          <w:p w14:paraId="18667203"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40.00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2D30AB64"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37.5</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3F2BEE0D"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FF0000"/>
                <w:sz w:val="22"/>
                <w:lang w:eastAsia="en-GB"/>
              </w:rPr>
              <w:t xml:space="preserve">-2.50 </w:t>
            </w:r>
          </w:p>
        </w:tc>
      </w:tr>
      <w:tr w:rsidR="00B96B60" w:rsidRPr="00B96B60" w14:paraId="04F49AC6"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auto" w:fill="auto"/>
            <w:noWrap/>
            <w:vAlign w:val="bottom"/>
            <w:hideMark/>
          </w:tcPr>
          <w:p w14:paraId="394C7F06"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P</w:t>
            </w:r>
          </w:p>
        </w:tc>
        <w:tc>
          <w:tcPr>
            <w:tcW w:w="1860" w:type="dxa"/>
            <w:tcBorders>
              <w:top w:val="single" w:sz="4" w:space="0" w:color="8EA9DB"/>
              <w:left w:val="nil"/>
              <w:bottom w:val="single" w:sz="4" w:space="0" w:color="8EA9DB"/>
              <w:right w:val="nil"/>
            </w:tcBorders>
            <w:shd w:val="clear" w:color="auto" w:fill="auto"/>
            <w:noWrap/>
            <w:vAlign w:val="bottom"/>
            <w:hideMark/>
          </w:tcPr>
          <w:p w14:paraId="46B1DA2D"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40.00 </w:t>
            </w:r>
          </w:p>
        </w:tc>
        <w:tc>
          <w:tcPr>
            <w:tcW w:w="1420" w:type="dxa"/>
            <w:tcBorders>
              <w:top w:val="single" w:sz="4" w:space="0" w:color="8EA9DB"/>
              <w:left w:val="nil"/>
              <w:bottom w:val="single" w:sz="4" w:space="0" w:color="8EA9DB"/>
              <w:right w:val="nil"/>
            </w:tcBorders>
            <w:shd w:val="clear" w:color="auto" w:fill="auto"/>
            <w:noWrap/>
            <w:vAlign w:val="bottom"/>
            <w:hideMark/>
          </w:tcPr>
          <w:p w14:paraId="300BD7C0"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75</w:t>
            </w:r>
          </w:p>
        </w:tc>
        <w:tc>
          <w:tcPr>
            <w:tcW w:w="2740" w:type="dxa"/>
            <w:tcBorders>
              <w:top w:val="single" w:sz="4" w:space="0" w:color="8EA9DB"/>
              <w:left w:val="nil"/>
              <w:bottom w:val="single" w:sz="4" w:space="0" w:color="8EA9DB"/>
              <w:right w:val="single" w:sz="4" w:space="0" w:color="8EA9DB"/>
            </w:tcBorders>
            <w:shd w:val="clear" w:color="auto" w:fill="auto"/>
            <w:noWrap/>
            <w:vAlign w:val="bottom"/>
            <w:hideMark/>
          </w:tcPr>
          <w:p w14:paraId="5160ADB3"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35.00 </w:t>
            </w:r>
          </w:p>
        </w:tc>
      </w:tr>
      <w:tr w:rsidR="00B96B60" w:rsidRPr="00B96B60" w14:paraId="4861D66D" w14:textId="77777777" w:rsidTr="00B96B60">
        <w:trPr>
          <w:trHeight w:val="300"/>
          <w:jc w:val="center"/>
        </w:trPr>
        <w:tc>
          <w:tcPr>
            <w:tcW w:w="960" w:type="dxa"/>
            <w:tcBorders>
              <w:top w:val="single" w:sz="4" w:space="0" w:color="8EA9DB"/>
              <w:left w:val="single" w:sz="4" w:space="0" w:color="8EA9DB"/>
              <w:bottom w:val="single" w:sz="4" w:space="0" w:color="8EA9DB"/>
              <w:right w:val="nil"/>
            </w:tcBorders>
            <w:shd w:val="clear" w:color="D9E1F2" w:fill="D9E1F2"/>
            <w:noWrap/>
            <w:vAlign w:val="bottom"/>
            <w:hideMark/>
          </w:tcPr>
          <w:p w14:paraId="36E2633D" w14:textId="77777777" w:rsidR="00B96B60" w:rsidRPr="00B96B60" w:rsidRDefault="00B96B60" w:rsidP="00B96B60">
            <w:pPr>
              <w:spacing w:after="0" w:line="240" w:lineRule="auto"/>
              <w:jc w:val="lef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Q</w:t>
            </w:r>
          </w:p>
        </w:tc>
        <w:tc>
          <w:tcPr>
            <w:tcW w:w="1860" w:type="dxa"/>
            <w:tcBorders>
              <w:top w:val="single" w:sz="4" w:space="0" w:color="8EA9DB"/>
              <w:left w:val="nil"/>
              <w:bottom w:val="single" w:sz="4" w:space="0" w:color="8EA9DB"/>
              <w:right w:val="nil"/>
            </w:tcBorders>
            <w:shd w:val="clear" w:color="D9E1F2" w:fill="D9E1F2"/>
            <w:noWrap/>
            <w:vAlign w:val="bottom"/>
            <w:hideMark/>
          </w:tcPr>
          <w:p w14:paraId="2605F5AD"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70.00 </w:t>
            </w:r>
          </w:p>
        </w:tc>
        <w:tc>
          <w:tcPr>
            <w:tcW w:w="1420" w:type="dxa"/>
            <w:tcBorders>
              <w:top w:val="single" w:sz="4" w:space="0" w:color="8EA9DB"/>
              <w:left w:val="nil"/>
              <w:bottom w:val="single" w:sz="4" w:space="0" w:color="8EA9DB"/>
              <w:right w:val="nil"/>
            </w:tcBorders>
            <w:shd w:val="clear" w:color="D9E1F2" w:fill="D9E1F2"/>
            <w:noWrap/>
            <w:vAlign w:val="bottom"/>
            <w:hideMark/>
          </w:tcPr>
          <w:p w14:paraId="4DAEB182"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100</w:t>
            </w:r>
          </w:p>
        </w:tc>
        <w:tc>
          <w:tcPr>
            <w:tcW w:w="2740" w:type="dxa"/>
            <w:tcBorders>
              <w:top w:val="single" w:sz="4" w:space="0" w:color="8EA9DB"/>
              <w:left w:val="nil"/>
              <w:bottom w:val="single" w:sz="4" w:space="0" w:color="8EA9DB"/>
              <w:right w:val="single" w:sz="4" w:space="0" w:color="8EA9DB"/>
            </w:tcBorders>
            <w:shd w:val="clear" w:color="D9E1F2" w:fill="D9E1F2"/>
            <w:noWrap/>
            <w:vAlign w:val="bottom"/>
            <w:hideMark/>
          </w:tcPr>
          <w:p w14:paraId="41DCA2E4" w14:textId="77777777" w:rsidR="00B96B60" w:rsidRPr="00B96B60" w:rsidRDefault="00B96B60" w:rsidP="00B96B60">
            <w:pPr>
              <w:spacing w:after="0" w:line="240" w:lineRule="auto"/>
              <w:jc w:val="right"/>
              <w:rPr>
                <w:rFonts w:ascii="Calibri" w:eastAsia="Times New Roman" w:hAnsi="Calibri" w:cs="Calibri"/>
                <w:color w:val="000000"/>
                <w:sz w:val="22"/>
                <w:lang w:eastAsia="en-GB"/>
              </w:rPr>
            </w:pPr>
            <w:r w:rsidRPr="00B96B60">
              <w:rPr>
                <w:rFonts w:ascii="Calibri" w:eastAsia="Times New Roman" w:hAnsi="Calibri" w:cs="Calibri"/>
                <w:color w:val="000000"/>
                <w:sz w:val="22"/>
                <w:lang w:eastAsia="en-GB"/>
              </w:rPr>
              <w:t xml:space="preserve">30.00 </w:t>
            </w:r>
          </w:p>
        </w:tc>
      </w:tr>
    </w:tbl>
    <w:p w14:paraId="33E84B9F" w14:textId="6DA2A6F3" w:rsidR="00C25BE7" w:rsidRDefault="00C25BE7" w:rsidP="00C25BE7"/>
    <w:p w14:paraId="53022270" w14:textId="0FEF76F1" w:rsidR="00B17A9D" w:rsidRDefault="00B96B60" w:rsidP="00B17A9D">
      <w:r>
        <w:t>The mean percentage point increase was 25.88, with over half of students achieving an increase above this. It is, however, not possible to consider an average mark increase, as the two tests were not scored out of the same number of marks, an oversight from the planning phase. Of the students with a below average percentage point increase, it was statistically impossible for four of them</w:t>
      </w:r>
      <w:r w:rsidR="001C019A">
        <w:t xml:space="preserve"> (Pupils D, H, I and N)</w:t>
      </w:r>
      <w:r>
        <w:t xml:space="preserve"> to achieve this having scored over 75% on the pre-test. </w:t>
      </w:r>
      <w:r w:rsidR="00E1713C">
        <w:t xml:space="preserve">These figures, combined with the fact that Pupil B went from having failed to answer a question to scoring 93.75% has skewed the figures. If we were to remove their scores and re-calculate the mean </w:t>
      </w:r>
      <w:r w:rsidR="00E1713C">
        <w:lastRenderedPageBreak/>
        <w:t>percentage point increase, then a figure of 29.48 is arrived at, something achieved by 9 of the students.</w:t>
      </w:r>
      <w:r w:rsidR="000E1344">
        <w:t xml:space="preserve"> Prima facie </w:t>
      </w:r>
      <w:r w:rsidR="00B203A4">
        <w:t>evidence</w:t>
      </w:r>
      <w:r w:rsidR="00C25388">
        <w:t xml:space="preserve"> suggests that the overwhelming majority of students benefited from this intervention.</w:t>
      </w:r>
      <w:r w:rsidR="009625CB">
        <w:t xml:space="preserve"> </w:t>
      </w:r>
      <w:r w:rsidR="00B17A9D">
        <w:t>There are, however, a number of variables which were outside of the researcher’s direct control and, therefore, in need of further consideration</w:t>
      </w:r>
      <w:r w:rsidR="00451E43">
        <w:t>, whilst consideration of the gender breakdown of the results could also be insightful.</w:t>
      </w:r>
    </w:p>
    <w:p w14:paraId="759219F4" w14:textId="3267080C" w:rsidR="007F4BCB" w:rsidRDefault="007F4BCB" w:rsidP="007F4BCB">
      <w:pPr>
        <w:ind w:firstLine="720"/>
      </w:pPr>
      <w:r>
        <w:t>The gap between the students being taught the material and the knowledge recall test was not the same in both cases. The first topic, Dunkirk, was taught during period five on a Tuesday, with the knowledge recall test being administered on the Wednesday of the following week during period four, a gap of eight days including a weekend. The second topic, the Battle of Britain, was taught during period one on a Friday with the test being administered at the start of the following lesson which took place during period five on the following Tuesday, an interval of four days which included a weekend. It is, therefore, possible that the reduced gap between learning the material and being tested upon it contributed to the rise and attainment. It should also be noted, that elements of the topic were introduced t</w:t>
      </w:r>
      <w:r w:rsidR="00011EAC">
        <w:t>w</w:t>
      </w:r>
      <w:r>
        <w:t xml:space="preserve">o days earlier during Wednesday’s period lesson. </w:t>
      </w:r>
    </w:p>
    <w:p w14:paraId="00FA9E0E" w14:textId="77777777" w:rsidR="007F4BCB" w:rsidRDefault="007F4BCB" w:rsidP="007F4BCB">
      <w:r>
        <w:tab/>
        <w:t>Consideration should also be given to the fact that the lesson on Dunkirk was taught during period five, the final lesson of the day, and tested during period four, the lesson immediately preceding lunch. The second topic, the Battle of Britain, was taught, during period one and assessed during period five. Clearly, this was not ideal as students will work better at different points in the school day. Additionally, it is unknown to the researcher what the students were doing during period three both prior to the lesson on Dunkirk and the lesson during which the material on the Battle of Britain was tested. Furthermore, the impact of the lunchtime break upon the class is unknown. The distance into the term, is another factor, which is not possible to measure, however, it would appear a fair assumption, based upon professional dialogue with colleagues at school, that there is a correlation between distant into the term and the tiredness of the students, and indeed teachers.</w:t>
      </w:r>
    </w:p>
    <w:p w14:paraId="4EA116B6" w14:textId="38E3602C" w:rsidR="007F4BCB" w:rsidRPr="00C25BE7" w:rsidRDefault="009D6542" w:rsidP="00B7356C">
      <w:pPr>
        <w:ind w:firstLine="720"/>
      </w:pPr>
      <w:r>
        <w:lastRenderedPageBreak/>
        <w:t>The style of lesson</w:t>
      </w:r>
      <w:r w:rsidR="007F4BCB">
        <w:t xml:space="preserve"> is a further variable which should be considered. The lesson on Dunkirk relied heavily on clips from the World at War, with two clips being shown followed by oral questioning. The first clip was approximately 18 minutes in length, with the second lasting for approximately eight minutes. The lesson on the Battle of Britain was introduced using an horrible histories song on the Battle of Britain, which is played twice, with students noting down the nationalities of the pilots, information that would later be tested. The lesson also made use of visual aids, in the form of model aeroplanes, and involved oral questioning, revising material taught on the preceding Wednesday, before showing a cartoon style video clip, lasting just under five minutes, prior to creating a spider diagram as a class. Clearly, therefore, the change in plenary task between the two lessons was not the only pedagogical change. It is again possible, therefore, that other factors were also at play, leading to the improved outcome. Additionally, some knowledge would have been consolidated across the two lessons and therefore more likely to become embedded.</w:t>
      </w:r>
      <w:r w:rsidR="006D4CD1">
        <w:t xml:space="preserve"> Clearly, the number of different variables </w:t>
      </w:r>
      <w:r w:rsidR="00C7336A">
        <w:t xml:space="preserve">in addition to the one being investigated is far from ideal, and could have skewed the results, making it virtually impossible to say, with </w:t>
      </w:r>
      <w:r w:rsidR="00723261">
        <w:t xml:space="preserve">any degree of certainty that the 3-2-1 exit tickets made a discernible difference one way of the other. That said, however, </w:t>
      </w:r>
      <w:r w:rsidR="007332A5">
        <w:t>it may be possible to draw some broad conclusions regarding teacher agency.</w:t>
      </w:r>
    </w:p>
    <w:p w14:paraId="381EF14E" w14:textId="161C1B13" w:rsidR="006E155C" w:rsidRDefault="006E155C" w:rsidP="00C25BE7"/>
    <w:p w14:paraId="4F47644B" w14:textId="117C804E" w:rsidR="006E155C" w:rsidRDefault="006E155C" w:rsidP="006E155C">
      <w:pPr>
        <w:pStyle w:val="Heading2"/>
      </w:pPr>
      <w:r>
        <w:lastRenderedPageBreak/>
        <w:t>Chart One:</w:t>
      </w:r>
    </w:p>
    <w:p w14:paraId="7E90C38E" w14:textId="12C1C9F3" w:rsidR="00C92825" w:rsidRDefault="00C92825" w:rsidP="00C92825">
      <w:pPr>
        <w:jc w:val="center"/>
      </w:pPr>
      <w:r>
        <w:rPr>
          <w:noProof/>
        </w:rPr>
        <mc:AlternateContent>
          <mc:Choice Requires="cx1">
            <w:drawing>
              <wp:inline distT="0" distB="0" distL="0" distR="0" wp14:anchorId="2F6D2F7E" wp14:editId="02310DB7">
                <wp:extent cx="5991225" cy="4248150"/>
                <wp:effectExtent l="0" t="0" r="9525" b="0"/>
                <wp:docPr id="4" name="Chart 4">
                  <a:extLst xmlns:a="http://schemas.openxmlformats.org/drawingml/2006/main">
                    <a:ext uri="{FF2B5EF4-FFF2-40B4-BE49-F238E27FC236}">
                      <a16:creationId xmlns:a16="http://schemas.microsoft.com/office/drawing/2014/main" id="{5E17EA8D-2B05-4142-AAD0-35ABF018918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7708EFD3" wp14:editId="02310DB7">
                <wp:extent cx="5991225" cy="4248150"/>
                <wp:effectExtent l="0" t="0" r="9525" b="0"/>
                <wp:docPr id="908060733" name="Chart 4">
                  <a:extLst xmlns:a="http://schemas.openxmlformats.org/drawingml/2006/main">
                    <a:ext uri="{FF2B5EF4-FFF2-40B4-BE49-F238E27FC236}">
                      <a16:creationId xmlns:a16="http://schemas.microsoft.com/office/drawing/2014/main" id="{5E17EA8D-2B05-4142-AAD0-35ABF018918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5E17EA8D-2B05-4142-AAD0-35ABF018918D}"/>
                            </a:ext>
                          </a:extLst>
                        </pic:cNvPr>
                        <pic:cNvPicPr>
                          <a:picLocks noGrp="1" noRot="1" noChangeAspect="1" noMove="1" noResize="1" noEditPoints="1" noAdjustHandles="1" noChangeArrowheads="1" noChangeShapeType="1"/>
                        </pic:cNvPicPr>
                      </pic:nvPicPr>
                      <pic:blipFill>
                        <a:blip r:embed="rId13"/>
                        <a:stretch>
                          <a:fillRect/>
                        </a:stretch>
                      </pic:blipFill>
                      <pic:spPr>
                        <a:xfrm>
                          <a:off x="0" y="0"/>
                          <a:ext cx="5991225" cy="4248150"/>
                        </a:xfrm>
                        <a:prstGeom prst="rect">
                          <a:avLst/>
                        </a:prstGeom>
                      </pic:spPr>
                    </pic:pic>
                  </a:graphicData>
                </a:graphic>
              </wp:inline>
            </w:drawing>
          </mc:Fallback>
        </mc:AlternateContent>
      </w:r>
    </w:p>
    <w:p w14:paraId="4A055A57" w14:textId="12EEA4D3" w:rsidR="00C92825" w:rsidRDefault="00C92825" w:rsidP="00C25BE7"/>
    <w:p w14:paraId="6835F3D6" w14:textId="2661AF5B" w:rsidR="00C92825" w:rsidRDefault="00DB5B34" w:rsidP="00C25BE7">
      <w:r>
        <w:t xml:space="preserve">Chart One </w:t>
      </w:r>
      <w:r w:rsidR="00F313A5">
        <w:t>shows a range of marks of 100 percentage points for the pre-test with an interquartile range</w:t>
      </w:r>
      <w:r w:rsidR="00A570B1">
        <w:t xml:space="preserve"> of between 40</w:t>
      </w:r>
      <w:r w:rsidR="00D10E0C">
        <w:t>%</w:t>
      </w:r>
      <w:r w:rsidR="00A570B1">
        <w:t xml:space="preserve"> and 80%. The range for the post-test is </w:t>
      </w:r>
      <w:r w:rsidR="00B623D6">
        <w:t>62.5 percentage points</w:t>
      </w:r>
      <w:r w:rsidR="007F6A07">
        <w:t xml:space="preserve"> with an interquartile range of between 75</w:t>
      </w:r>
      <w:r w:rsidR="00D10E0C">
        <w:t>% and 93.75%.</w:t>
      </w:r>
      <w:r w:rsidR="00FD1CEA">
        <w:t xml:space="preserve"> It is evident, therefore, that the range of marks</w:t>
      </w:r>
      <w:r w:rsidR="00925FEC">
        <w:t xml:space="preserve"> was significantly less for the post-test, whilst the interquartile range</w:t>
      </w:r>
      <w:r w:rsidR="00E4651C">
        <w:t xml:space="preserve"> decreased with marks increasing.</w:t>
      </w:r>
      <w:r w:rsidR="00CE52CE">
        <w:t xml:space="preserve"> It is striking that student be went from being the lowest achieving member of </w:t>
      </w:r>
      <w:r w:rsidR="00D145F4">
        <w:t>C</w:t>
      </w:r>
      <w:r w:rsidR="00CE52CE">
        <w:t>lass I on the pre-test where they</w:t>
      </w:r>
      <w:r w:rsidR="0099433F">
        <w:t xml:space="preserve"> failed to answer a single question</w:t>
      </w:r>
      <w:r w:rsidR="00AB6A2A">
        <w:t>, to obtaining one of the highest scores in the post-test</w:t>
      </w:r>
      <w:r w:rsidR="00BD7032">
        <w:t xml:space="preserve"> gaining 93.75% with a score of 7.5/8. Clearly this result is somewhat of an anomaly</w:t>
      </w:r>
      <w:r w:rsidR="00AF3551">
        <w:t xml:space="preserve"> and there will have been a variety of factors at play, however, the intervention being tested for cannot be ruled out from having</w:t>
      </w:r>
      <w:r w:rsidR="00477898">
        <w:t xml:space="preserve"> an effect.</w:t>
      </w:r>
      <w:r w:rsidR="000950CA">
        <w:t xml:space="preserve"> It is also interesting</w:t>
      </w:r>
      <w:r w:rsidR="009C72C1">
        <w:t xml:space="preserve"> that the mode score within the pre-test, 40%, was at the bottom of the interquartile range</w:t>
      </w:r>
      <w:r w:rsidR="00F01489">
        <w:t xml:space="preserve">, </w:t>
      </w:r>
      <w:r w:rsidR="009D6542">
        <w:t>whereas</w:t>
      </w:r>
      <w:r w:rsidR="00F01489">
        <w:t xml:space="preserve"> with the post-test the mode, 93.75%, was at the top of the interquartile range.</w:t>
      </w:r>
      <w:r w:rsidR="0044380F">
        <w:t xml:space="preserve"> This indicates that there has been a substantial improvement in </w:t>
      </w:r>
      <w:r w:rsidR="0044380F">
        <w:lastRenderedPageBreak/>
        <w:t>attainment.</w:t>
      </w:r>
      <w:r w:rsidR="00B560D7">
        <w:t xml:space="preserve"> Again, this could be due in part to factors other than the three–two</w:t>
      </w:r>
      <w:r w:rsidR="00936A38">
        <w:t>-o</w:t>
      </w:r>
      <w:r w:rsidR="00B560D7">
        <w:t>ne exit ticket</w:t>
      </w:r>
      <w:r w:rsidR="00B17A9D">
        <w:t xml:space="preserve"> that was being researched.</w:t>
      </w:r>
      <w:r w:rsidR="00081B0B">
        <w:t xml:space="preserve"> </w:t>
      </w:r>
      <w:r w:rsidR="0020353E">
        <w:t>It was not possible, to</w:t>
      </w:r>
      <w:r w:rsidR="00490A8D">
        <w:t xml:space="preserve"> eliminate many of these other factors owing to ethical</w:t>
      </w:r>
      <w:r w:rsidR="000A331B">
        <w:t xml:space="preserve"> considerations around teaching the same lesson </w:t>
      </w:r>
      <w:r w:rsidR="00936A38">
        <w:t>to</w:t>
      </w:r>
      <w:r w:rsidR="000A331B">
        <w:t xml:space="preserve"> t</w:t>
      </w:r>
      <w:r w:rsidR="00936A38">
        <w:t>w</w:t>
      </w:r>
      <w:r w:rsidR="000A331B">
        <w:t>o</w:t>
      </w:r>
      <w:r w:rsidR="0020772D">
        <w:t xml:space="preserve"> or more different classes providing the intervention to just one.</w:t>
      </w:r>
    </w:p>
    <w:p w14:paraId="015339CF" w14:textId="77777777" w:rsidR="00C92825" w:rsidRDefault="00C92825" w:rsidP="00C25BE7"/>
    <w:p w14:paraId="36ACD7BA" w14:textId="4E53697A" w:rsidR="006E155C" w:rsidRDefault="006E155C" w:rsidP="006E155C">
      <w:pPr>
        <w:pStyle w:val="Heading2"/>
      </w:pPr>
      <w:r>
        <w:t>Chart Two:</w:t>
      </w:r>
    </w:p>
    <w:p w14:paraId="722E3A83" w14:textId="675B55CF" w:rsidR="006931E4" w:rsidRDefault="00C25BE7" w:rsidP="00B96B60">
      <w:pPr>
        <w:jc w:val="center"/>
      </w:pPr>
      <w:r>
        <w:rPr>
          <w:noProof/>
        </w:rPr>
        <w:drawing>
          <wp:inline distT="0" distB="0" distL="0" distR="0" wp14:anchorId="6DB40B97" wp14:editId="76E02AD9">
            <wp:extent cx="5715000" cy="3838575"/>
            <wp:effectExtent l="0" t="0" r="0" b="9525"/>
            <wp:docPr id="2" name="Chart 2">
              <a:extLst xmlns:a="http://schemas.openxmlformats.org/drawingml/2006/main">
                <a:ext uri="{FF2B5EF4-FFF2-40B4-BE49-F238E27FC236}">
                  <a16:creationId xmlns:a16="http://schemas.microsoft.com/office/drawing/2014/main" id="{6473814D-379B-4FA4-87A2-98A8F4209F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F57D3AB" w14:textId="523CC9C6" w:rsidR="007A06DE" w:rsidRDefault="007A06DE" w:rsidP="00486C37">
      <w:pPr>
        <w:ind w:firstLine="720"/>
      </w:pPr>
    </w:p>
    <w:p w14:paraId="01159E41" w14:textId="1D3DA2A1" w:rsidR="007A06DE" w:rsidRDefault="00DE13B1" w:rsidP="00486C37">
      <w:pPr>
        <w:ind w:firstLine="720"/>
      </w:pPr>
      <w:r>
        <w:t>It is apparent from</w:t>
      </w:r>
      <w:r w:rsidR="009564FA">
        <w:t xml:space="preserve"> </w:t>
      </w:r>
      <w:r w:rsidR="00185D5B">
        <w:t>C</w:t>
      </w:r>
      <w:r w:rsidR="009564FA">
        <w:t xml:space="preserve">harts </w:t>
      </w:r>
      <w:r w:rsidR="00185D5B">
        <w:t>O</w:t>
      </w:r>
      <w:r w:rsidR="009564FA">
        <w:t xml:space="preserve">ne and </w:t>
      </w:r>
      <w:r w:rsidR="00185D5B">
        <w:t>T</w:t>
      </w:r>
      <w:r w:rsidR="009564FA">
        <w:t xml:space="preserve">wo that whilst the majority of </w:t>
      </w:r>
      <w:r w:rsidR="00081B0B">
        <w:t>pupil</w:t>
      </w:r>
      <w:r w:rsidR="009564FA">
        <w:t>s increased their scores between the</w:t>
      </w:r>
      <w:r w:rsidR="00723B06">
        <w:t xml:space="preserve"> pre-and post-test the increase is by no means equal.</w:t>
      </w:r>
      <w:r w:rsidR="00430CB0">
        <w:t xml:space="preserve"> Chart </w:t>
      </w:r>
      <w:r w:rsidR="00185D5B">
        <w:t>T</w:t>
      </w:r>
      <w:r w:rsidR="00430CB0">
        <w:t xml:space="preserve">wo demonstrates that </w:t>
      </w:r>
      <w:r w:rsidR="00290E66">
        <w:t>P</w:t>
      </w:r>
      <w:r w:rsidR="00430CB0">
        <w:t>upil’s D,</w:t>
      </w:r>
      <w:r w:rsidR="00746654">
        <w:t xml:space="preserve"> E,</w:t>
      </w:r>
      <w:r w:rsidR="00430CB0">
        <w:t xml:space="preserve"> H, I</w:t>
      </w:r>
      <w:r w:rsidR="00746654">
        <w:t>, O</w:t>
      </w:r>
      <w:r w:rsidR="00430CB0">
        <w:t xml:space="preserve"> </w:t>
      </w:r>
      <w:r w:rsidR="00746654">
        <w:t xml:space="preserve">and N were the most consistent </w:t>
      </w:r>
      <w:r w:rsidR="004E3400">
        <w:t xml:space="preserve">performers within the class with </w:t>
      </w:r>
      <w:r w:rsidR="00290E66">
        <w:t>P</w:t>
      </w:r>
      <w:r w:rsidR="004E3400">
        <w:t>upils the, H, I and N</w:t>
      </w:r>
      <w:r w:rsidR="002005BC">
        <w:t xml:space="preserve"> being amongst the highest achievers in both tests.</w:t>
      </w:r>
      <w:r w:rsidR="001139C6">
        <w:t xml:space="preserve"> Meanwhile, </w:t>
      </w:r>
      <w:r w:rsidR="00290E66">
        <w:t>P</w:t>
      </w:r>
      <w:r w:rsidR="001139C6">
        <w:t>upil</w:t>
      </w:r>
      <w:r w:rsidR="00BA2A31">
        <w:t>s</w:t>
      </w:r>
      <w:r w:rsidR="00A102EF">
        <w:t xml:space="preserve"> D,</w:t>
      </w:r>
      <w:r w:rsidR="00BA2A31">
        <w:t xml:space="preserve"> E, H and</w:t>
      </w:r>
      <w:r w:rsidR="001139C6">
        <w:t xml:space="preserve"> O</w:t>
      </w:r>
      <w:r w:rsidR="00BA2A31">
        <w:t xml:space="preserve"> were the only students to not make progress</w:t>
      </w:r>
      <w:r w:rsidR="00A102EF">
        <w:t xml:space="preserve"> between the two tests.</w:t>
      </w:r>
      <w:r w:rsidR="00BB0177">
        <w:t xml:space="preserve"> Pupil E achieved a score of 60% in the pre-test 56.25% in the post-test</w:t>
      </w:r>
      <w:r w:rsidR="00A36359">
        <w:t xml:space="preserve"> whilst </w:t>
      </w:r>
      <w:r w:rsidR="00290E66">
        <w:t>P</w:t>
      </w:r>
      <w:r w:rsidR="00A36359">
        <w:t>upil</w:t>
      </w:r>
      <w:r w:rsidR="00AA2E8D">
        <w:t xml:space="preserve"> O achieved a score of 40% in the pre-test and 37.5% in the post-test. </w:t>
      </w:r>
      <w:r w:rsidR="00150A07">
        <w:t xml:space="preserve">From these scores it is possible to surmise that the intervention had no discernible effect upon them as </w:t>
      </w:r>
      <w:r w:rsidR="00C675EC">
        <w:t>their raw score was very similar</w:t>
      </w:r>
      <w:r w:rsidR="008E51F5">
        <w:t xml:space="preserve"> and it was </w:t>
      </w:r>
      <w:r w:rsidR="008E51F5">
        <w:lastRenderedPageBreak/>
        <w:t>statistically possible for them to achieve the mean increase in attainment</w:t>
      </w:r>
      <w:r w:rsidR="002F0053">
        <w:t>.</w:t>
      </w:r>
      <w:r w:rsidR="00867797">
        <w:t xml:space="preserve"> For the other consistent performers, </w:t>
      </w:r>
      <w:r w:rsidR="00135B53">
        <w:t>P</w:t>
      </w:r>
      <w:r w:rsidR="00867797">
        <w:t>upils D, H, I and N</w:t>
      </w:r>
      <w:r w:rsidR="00841D99">
        <w:t>, their raw score was again similar, however, such was their mark on the pre-test it was statistically impossible for them to</w:t>
      </w:r>
      <w:r w:rsidR="00BA0673">
        <w:t xml:space="preserve"> make the mean average increase in mark.</w:t>
      </w:r>
      <w:r w:rsidR="00150A07">
        <w:t xml:space="preserve"> </w:t>
      </w:r>
      <w:r w:rsidR="00723B06">
        <w:t>It could, therefore, be surmised that</w:t>
      </w:r>
      <w:r w:rsidR="007D05B1">
        <w:t xml:space="preserve"> whilst the intervention benefited most students it had a disproportionate positive impact upon those with weaker attainment</w:t>
      </w:r>
      <w:r w:rsidR="00C03DA5">
        <w:t>. Clearly, the results of two tests is insufficient to draw any broad conclusions as to the effectiveness</w:t>
      </w:r>
      <w:r w:rsidR="004F4C62">
        <w:t xml:space="preserve"> of three – two – one exit tickets on knowledge recall and more research is required in order</w:t>
      </w:r>
      <w:r w:rsidR="00AF6D7B">
        <w:t xml:space="preserve"> to triangulate the results.</w:t>
      </w:r>
    </w:p>
    <w:p w14:paraId="7A315953" w14:textId="40DA1406" w:rsidR="007A06DE" w:rsidRDefault="007A06DE" w:rsidP="005C46F5"/>
    <w:p w14:paraId="093EF3FD" w14:textId="587039AD" w:rsidR="005C46F5" w:rsidRDefault="005C46F5" w:rsidP="005C46F5">
      <w:pPr>
        <w:pStyle w:val="Heading2"/>
      </w:pPr>
      <w:r>
        <w:t>Chart Three:</w:t>
      </w:r>
    </w:p>
    <w:p w14:paraId="7B10164A" w14:textId="12E74FB1" w:rsidR="00C827E6" w:rsidRDefault="00C827E6" w:rsidP="00486C37">
      <w:pPr>
        <w:ind w:firstLine="720"/>
      </w:pPr>
      <w:r>
        <w:rPr>
          <w:noProof/>
        </w:rPr>
        <mc:AlternateContent>
          <mc:Choice Requires="cx1">
            <w:drawing>
              <wp:inline distT="0" distB="0" distL="0" distR="0" wp14:anchorId="4EE9074D" wp14:editId="615B0D35">
                <wp:extent cx="5343525" cy="3533775"/>
                <wp:effectExtent l="0" t="0" r="9525" b="9525"/>
                <wp:docPr id="5" name="Chart 5">
                  <a:extLst xmlns:a="http://schemas.openxmlformats.org/drawingml/2006/main">
                    <a:ext uri="{FF2B5EF4-FFF2-40B4-BE49-F238E27FC236}">
                      <a16:creationId xmlns:a16="http://schemas.microsoft.com/office/drawing/2014/main" id="{36687AF3-4C61-41A0-8071-A1B4F75C5632}"/>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6B97D16E" wp14:editId="615B0D35">
                <wp:extent cx="5343525" cy="3533775"/>
                <wp:effectExtent l="0" t="0" r="9525" b="9525"/>
                <wp:docPr id="513405852" name="Chart 5">
                  <a:extLst xmlns:a="http://schemas.openxmlformats.org/drawingml/2006/main">
                    <a:ext uri="{FF2B5EF4-FFF2-40B4-BE49-F238E27FC236}">
                      <a16:creationId xmlns:a16="http://schemas.microsoft.com/office/drawing/2014/main" id="{36687AF3-4C61-41A0-8071-A1B4F75C5632}"/>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36687AF3-4C61-41A0-8071-A1B4F75C5632}"/>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5343525" cy="3533775"/>
                        </a:xfrm>
                        <a:prstGeom prst="rect">
                          <a:avLst/>
                        </a:prstGeom>
                      </pic:spPr>
                    </pic:pic>
                  </a:graphicData>
                </a:graphic>
              </wp:inline>
            </w:drawing>
          </mc:Fallback>
        </mc:AlternateContent>
      </w:r>
    </w:p>
    <w:p w14:paraId="6740C876" w14:textId="19B60BE4" w:rsidR="006931E4" w:rsidRDefault="00B7356C" w:rsidP="006931E4">
      <w:r>
        <w:tab/>
      </w:r>
    </w:p>
    <w:p w14:paraId="7DCE6954" w14:textId="441080D3" w:rsidR="009A3DEF" w:rsidRDefault="004E0DEB" w:rsidP="006931E4">
      <w:r>
        <w:tab/>
      </w:r>
      <w:r w:rsidR="00B37423">
        <w:t>A further</w:t>
      </w:r>
      <w:r w:rsidR="00C73E75">
        <w:t xml:space="preserve"> area within which the data requires consideration is that</w:t>
      </w:r>
      <w:r w:rsidR="005C46F5">
        <w:t xml:space="preserve"> of the gender gap. </w:t>
      </w:r>
      <w:r w:rsidR="005C7726">
        <w:t>In chart</w:t>
      </w:r>
      <w:r w:rsidR="002C751D">
        <w:t xml:space="preserve"> three it is apparent that the most significant improvement can be found within the seven male students. It should be noted, however, that </w:t>
      </w:r>
      <w:r w:rsidR="00135B53">
        <w:t>P</w:t>
      </w:r>
      <w:r w:rsidR="002C751D">
        <w:t>upil B,</w:t>
      </w:r>
      <w:r w:rsidR="00EF7FA6">
        <w:t xml:space="preserve"> who scored zero on the pre-test having failed to answer a single question,</w:t>
      </w:r>
      <w:r w:rsidR="000D6E65">
        <w:t xml:space="preserve"> may have skewed the results slightly. That said, the interquartile range for the female students in the pre-test was 40% to 90%,</w:t>
      </w:r>
      <w:r w:rsidR="00564FA6">
        <w:t xml:space="preserve"> the latter being the highest score achieved by male </w:t>
      </w:r>
      <w:r w:rsidR="00564FA6">
        <w:lastRenderedPageBreak/>
        <w:t>student.</w:t>
      </w:r>
      <w:r w:rsidR="00821A5E">
        <w:t xml:space="preserve"> The interquartile range for the male students, was smaller, and was 40% to 60%.</w:t>
      </w:r>
      <w:r w:rsidR="00654720">
        <w:t xml:space="preserve"> Clearly, the fact that the</w:t>
      </w:r>
      <w:r w:rsidR="00653695">
        <w:t xml:space="preserve"> ratio of female to male students within the sample was 10</w:t>
      </w:r>
      <w:r w:rsidR="00D42368">
        <w:t>:7 will have been a factor here. Nevertheless,</w:t>
      </w:r>
      <w:r w:rsidR="00071F35">
        <w:t xml:space="preserve"> in the post-test it was a male student was alone in scoring full marks, and </w:t>
      </w:r>
      <w:r w:rsidR="007900F6">
        <w:t>their</w:t>
      </w:r>
      <w:r w:rsidR="00071F35">
        <w:t xml:space="preserve"> interquartile range</w:t>
      </w:r>
      <w:r w:rsidR="004272AA">
        <w:t xml:space="preserve"> went from 75% to 93.75%,</w:t>
      </w:r>
      <w:r w:rsidR="0070578C">
        <w:t xml:space="preserve"> which was identical to that for the class as a whole. The female students, however, had</w:t>
      </w:r>
      <w:r w:rsidR="00212C10">
        <w:t xml:space="preserve"> a wider interquartile range, from 65.625% to 93.75%.</w:t>
      </w:r>
      <w:r w:rsidR="00CE16B3">
        <w:t xml:space="preserve"> For the male students</w:t>
      </w:r>
      <w:r w:rsidR="00993C89">
        <w:t>, nobody scored under 75% in the post-test, whilst for the female students nobody scored over 93.75%.</w:t>
      </w:r>
      <w:r w:rsidR="00AF504A">
        <w:t xml:space="preserve"> </w:t>
      </w:r>
      <w:r w:rsidR="00842B55">
        <w:t>Interestingly, the interquartile range for</w:t>
      </w:r>
      <w:r w:rsidR="00FF259E">
        <w:t xml:space="preserve"> the male students</w:t>
      </w:r>
      <w:r w:rsidR="00842B55">
        <w:t xml:space="preserve"> the post-test equated to 1.5 marks</w:t>
      </w:r>
      <w:r w:rsidR="00FF259E">
        <w:t xml:space="preserve">, with </w:t>
      </w:r>
      <w:r w:rsidR="005808B3">
        <w:t>just two marks separating the top and bottom performing male students. The female students the interquartile range</w:t>
      </w:r>
      <w:r w:rsidR="00BD4820">
        <w:t xml:space="preserve"> </w:t>
      </w:r>
      <w:r w:rsidR="00DF15EF">
        <w:t>equated to somewhere between 2 ½ and three marks, whilst the actual range</w:t>
      </w:r>
      <w:r w:rsidR="00EC73CD">
        <w:t xml:space="preserve"> was 4 ½ marks. This is in contrast to </w:t>
      </w:r>
      <w:r w:rsidR="004D09F3">
        <w:t xml:space="preserve">the pre-test, for which </w:t>
      </w:r>
      <w:r w:rsidR="00B63C57">
        <w:t>the interquartile range for the female students equated to</w:t>
      </w:r>
      <w:r w:rsidR="00307296">
        <w:t xml:space="preserve"> 2 ½ marks with an actual range of</w:t>
      </w:r>
      <w:r w:rsidR="007458FF">
        <w:t xml:space="preserve"> 3 ½ marks</w:t>
      </w:r>
      <w:r w:rsidR="0097334C">
        <w:t xml:space="preserve">, </w:t>
      </w:r>
      <w:r w:rsidR="002D03BB">
        <w:t>indicating that the gap between the highest and lowest achieving female students increased across the two tests. For the male students the interquartile range of the pre-test</w:t>
      </w:r>
      <w:r w:rsidR="00AE5F01">
        <w:t>, in common with the post-test,</w:t>
      </w:r>
      <w:r w:rsidR="002D03BB">
        <w:t xml:space="preserve"> equated to</w:t>
      </w:r>
      <w:r w:rsidR="00AB3E12">
        <w:t xml:space="preserve"> one the half marks</w:t>
      </w:r>
      <w:r w:rsidR="00AE5F01">
        <w:t xml:space="preserve">, however, </w:t>
      </w:r>
      <w:r w:rsidR="00240765">
        <w:t>the actual range was 4 ½ marks, indicating a closing of the gap</w:t>
      </w:r>
      <w:r w:rsidR="003B3D68">
        <w:t xml:space="preserve"> between the highest and lowest achieving male students across the two tests. Again, it should be pointed out that the fact that one male student did not answer a single question in the pre-test</w:t>
      </w:r>
      <w:r w:rsidR="00173830">
        <w:t xml:space="preserve"> could be skewing these figures.</w:t>
      </w:r>
      <w:r w:rsidR="006E6753">
        <w:t xml:space="preserve"> </w:t>
      </w:r>
      <w:r w:rsidR="009968A0">
        <w:t xml:space="preserve">Analysis of the data by gender </w:t>
      </w:r>
      <w:r w:rsidR="00C7723F">
        <w:t xml:space="preserve">also showed that although the interquartile ranges differed </w:t>
      </w:r>
      <w:r w:rsidR="00E45534">
        <w:t xml:space="preserve">across the genders the mode score in the pre-test </w:t>
      </w:r>
      <w:r w:rsidR="006B5822">
        <w:t>was 40</w:t>
      </w:r>
      <w:r w:rsidR="00EC4B1A">
        <w:t>%</w:t>
      </w:r>
      <w:r w:rsidR="006B5822">
        <w:t>, with three</w:t>
      </w:r>
      <w:r w:rsidR="008F4D6E">
        <w:t xml:space="preserve"> male and three female students each achieving this score, whilst for the post-test the mode score of 93.75% was again achieved by</w:t>
      </w:r>
      <w:r w:rsidR="00EC4B1A">
        <w:t xml:space="preserve"> an equal number of male and female students, with eight students achieving the score.</w:t>
      </w:r>
      <w:r w:rsidR="006B5822">
        <w:t xml:space="preserve"> </w:t>
      </w:r>
      <w:r w:rsidR="006E6753">
        <w:t>From this data,</w:t>
      </w:r>
      <w:r w:rsidR="005F3F56">
        <w:t xml:space="preserve"> it does appear that</w:t>
      </w:r>
      <w:r w:rsidR="0010657C">
        <w:t xml:space="preserve"> the students were all improving at a similar rate</w:t>
      </w:r>
      <w:r w:rsidR="0072378C">
        <w:t>, given that the interquartile range</w:t>
      </w:r>
      <w:r w:rsidR="007F481F">
        <w:t xml:space="preserve"> in both tests, for both male and female students, was broadly identical.</w:t>
      </w:r>
    </w:p>
    <w:p w14:paraId="08C8813A" w14:textId="4EA1B231" w:rsidR="00EA4A28" w:rsidRDefault="00EA4A28" w:rsidP="00EA4A28">
      <w:pPr>
        <w:pStyle w:val="Heading2"/>
      </w:pPr>
      <w:r>
        <w:t>Table Three:</w:t>
      </w:r>
    </w:p>
    <w:tbl>
      <w:tblPr>
        <w:tblW w:w="9500" w:type="dxa"/>
        <w:tblLook w:val="04A0" w:firstRow="1" w:lastRow="0" w:firstColumn="1" w:lastColumn="0" w:noHBand="0" w:noVBand="1"/>
      </w:tblPr>
      <w:tblGrid>
        <w:gridCol w:w="1720"/>
        <w:gridCol w:w="1660"/>
        <w:gridCol w:w="2580"/>
        <w:gridCol w:w="1760"/>
        <w:gridCol w:w="1780"/>
      </w:tblGrid>
      <w:tr w:rsidR="008E6C55" w:rsidRPr="008E6C55" w14:paraId="1AE2A5CD" w14:textId="77777777" w:rsidTr="008E6C55">
        <w:trPr>
          <w:trHeight w:val="300"/>
        </w:trPr>
        <w:tc>
          <w:tcPr>
            <w:tcW w:w="1720" w:type="dxa"/>
            <w:tcBorders>
              <w:top w:val="single" w:sz="4" w:space="0" w:color="8EA9DB"/>
              <w:left w:val="single" w:sz="4" w:space="0" w:color="8EA9DB"/>
              <w:bottom w:val="single" w:sz="4" w:space="0" w:color="8EA9DB"/>
              <w:right w:val="nil"/>
            </w:tcBorders>
            <w:shd w:val="clear" w:color="4472C4" w:fill="4472C4"/>
            <w:noWrap/>
            <w:vAlign w:val="bottom"/>
            <w:hideMark/>
          </w:tcPr>
          <w:p w14:paraId="46322785" w14:textId="77777777" w:rsidR="008E6C55" w:rsidRPr="008E6C55" w:rsidRDefault="008E6C55" w:rsidP="008E6C55">
            <w:pPr>
              <w:spacing w:after="0" w:line="240" w:lineRule="auto"/>
              <w:jc w:val="left"/>
              <w:rPr>
                <w:rFonts w:ascii="Calibri" w:eastAsia="Times New Roman" w:hAnsi="Calibri" w:cs="Calibri"/>
                <w:b/>
                <w:bCs/>
                <w:color w:val="FFFFFF"/>
                <w:sz w:val="22"/>
                <w:lang w:eastAsia="en-GB"/>
              </w:rPr>
            </w:pPr>
            <w:r w:rsidRPr="008E6C55">
              <w:rPr>
                <w:rFonts w:ascii="Calibri" w:eastAsia="Times New Roman" w:hAnsi="Calibri" w:cs="Calibri"/>
                <w:b/>
                <w:bCs/>
                <w:color w:val="FFFFFF"/>
                <w:sz w:val="22"/>
                <w:lang w:eastAsia="en-GB"/>
              </w:rPr>
              <w:t>Gender</w:t>
            </w:r>
          </w:p>
        </w:tc>
        <w:tc>
          <w:tcPr>
            <w:tcW w:w="1660" w:type="dxa"/>
            <w:tcBorders>
              <w:top w:val="single" w:sz="4" w:space="0" w:color="8EA9DB"/>
              <w:left w:val="nil"/>
              <w:bottom w:val="single" w:sz="4" w:space="0" w:color="8EA9DB"/>
              <w:right w:val="nil"/>
            </w:tcBorders>
            <w:shd w:val="clear" w:color="4472C4" w:fill="4472C4"/>
            <w:noWrap/>
            <w:vAlign w:val="bottom"/>
            <w:hideMark/>
          </w:tcPr>
          <w:p w14:paraId="0D22FD33" w14:textId="77777777" w:rsidR="008E6C55" w:rsidRPr="008E6C55" w:rsidRDefault="008E6C55" w:rsidP="008E6C55">
            <w:pPr>
              <w:spacing w:after="0" w:line="240" w:lineRule="auto"/>
              <w:jc w:val="left"/>
              <w:rPr>
                <w:rFonts w:ascii="Calibri" w:eastAsia="Times New Roman" w:hAnsi="Calibri" w:cs="Calibri"/>
                <w:b/>
                <w:bCs/>
                <w:color w:val="FFFFFF"/>
                <w:sz w:val="22"/>
                <w:lang w:eastAsia="en-GB"/>
              </w:rPr>
            </w:pPr>
            <w:r w:rsidRPr="008E6C55">
              <w:rPr>
                <w:rFonts w:ascii="Calibri" w:eastAsia="Times New Roman" w:hAnsi="Calibri" w:cs="Calibri"/>
                <w:b/>
                <w:bCs/>
                <w:color w:val="FFFFFF"/>
                <w:sz w:val="22"/>
                <w:lang w:eastAsia="en-GB"/>
              </w:rPr>
              <w:t>Mean Pre-test</w:t>
            </w:r>
          </w:p>
        </w:tc>
        <w:tc>
          <w:tcPr>
            <w:tcW w:w="2580" w:type="dxa"/>
            <w:tcBorders>
              <w:top w:val="single" w:sz="4" w:space="0" w:color="8EA9DB"/>
              <w:left w:val="nil"/>
              <w:bottom w:val="single" w:sz="4" w:space="0" w:color="8EA9DB"/>
              <w:right w:val="nil"/>
            </w:tcBorders>
            <w:shd w:val="clear" w:color="4472C4" w:fill="4472C4"/>
            <w:noWrap/>
            <w:vAlign w:val="bottom"/>
            <w:hideMark/>
          </w:tcPr>
          <w:p w14:paraId="125845E0" w14:textId="77777777" w:rsidR="008E6C55" w:rsidRPr="008E6C55" w:rsidRDefault="008E6C55" w:rsidP="008E6C55">
            <w:pPr>
              <w:spacing w:after="0" w:line="240" w:lineRule="auto"/>
              <w:jc w:val="left"/>
              <w:rPr>
                <w:rFonts w:ascii="Calibri" w:eastAsia="Times New Roman" w:hAnsi="Calibri" w:cs="Calibri"/>
                <w:b/>
                <w:bCs/>
                <w:color w:val="FFFFFF"/>
                <w:sz w:val="22"/>
                <w:lang w:eastAsia="en-GB"/>
              </w:rPr>
            </w:pPr>
            <w:r w:rsidRPr="008E6C55">
              <w:rPr>
                <w:rFonts w:ascii="Calibri" w:eastAsia="Times New Roman" w:hAnsi="Calibri" w:cs="Calibri"/>
                <w:b/>
                <w:bCs/>
                <w:color w:val="FFFFFF"/>
                <w:sz w:val="22"/>
                <w:lang w:eastAsia="en-GB"/>
              </w:rPr>
              <w:t>Mode Pre-Test</w:t>
            </w:r>
          </w:p>
        </w:tc>
        <w:tc>
          <w:tcPr>
            <w:tcW w:w="1760" w:type="dxa"/>
            <w:tcBorders>
              <w:top w:val="single" w:sz="4" w:space="0" w:color="8EA9DB"/>
              <w:left w:val="nil"/>
              <w:bottom w:val="single" w:sz="4" w:space="0" w:color="8EA9DB"/>
              <w:right w:val="nil"/>
            </w:tcBorders>
            <w:shd w:val="clear" w:color="4472C4" w:fill="4472C4"/>
            <w:noWrap/>
            <w:vAlign w:val="bottom"/>
            <w:hideMark/>
          </w:tcPr>
          <w:p w14:paraId="5F7D6CA1" w14:textId="77777777" w:rsidR="008E6C55" w:rsidRPr="008E6C55" w:rsidRDefault="008E6C55" w:rsidP="008E6C55">
            <w:pPr>
              <w:spacing w:after="0" w:line="240" w:lineRule="auto"/>
              <w:jc w:val="left"/>
              <w:rPr>
                <w:rFonts w:ascii="Calibri" w:eastAsia="Times New Roman" w:hAnsi="Calibri" w:cs="Calibri"/>
                <w:b/>
                <w:bCs/>
                <w:color w:val="FFFFFF"/>
                <w:sz w:val="22"/>
                <w:lang w:eastAsia="en-GB"/>
              </w:rPr>
            </w:pPr>
            <w:r w:rsidRPr="008E6C55">
              <w:rPr>
                <w:rFonts w:ascii="Calibri" w:eastAsia="Times New Roman" w:hAnsi="Calibri" w:cs="Calibri"/>
                <w:b/>
                <w:bCs/>
                <w:color w:val="FFFFFF"/>
                <w:sz w:val="22"/>
                <w:lang w:eastAsia="en-GB"/>
              </w:rPr>
              <w:t>Mean Post-test</w:t>
            </w:r>
          </w:p>
        </w:tc>
        <w:tc>
          <w:tcPr>
            <w:tcW w:w="1780" w:type="dxa"/>
            <w:tcBorders>
              <w:top w:val="single" w:sz="4" w:space="0" w:color="8EA9DB"/>
              <w:left w:val="nil"/>
              <w:bottom w:val="single" w:sz="4" w:space="0" w:color="8EA9DB"/>
              <w:right w:val="single" w:sz="4" w:space="0" w:color="8EA9DB"/>
            </w:tcBorders>
            <w:shd w:val="clear" w:color="4472C4" w:fill="4472C4"/>
            <w:noWrap/>
            <w:vAlign w:val="bottom"/>
            <w:hideMark/>
          </w:tcPr>
          <w:p w14:paraId="69BD368D" w14:textId="77777777" w:rsidR="008E6C55" w:rsidRPr="008E6C55" w:rsidRDefault="008E6C55" w:rsidP="008E6C55">
            <w:pPr>
              <w:spacing w:after="0" w:line="240" w:lineRule="auto"/>
              <w:jc w:val="left"/>
              <w:rPr>
                <w:rFonts w:ascii="Calibri" w:eastAsia="Times New Roman" w:hAnsi="Calibri" w:cs="Calibri"/>
                <w:b/>
                <w:bCs/>
                <w:color w:val="FFFFFF"/>
                <w:sz w:val="22"/>
                <w:lang w:eastAsia="en-GB"/>
              </w:rPr>
            </w:pPr>
            <w:r w:rsidRPr="008E6C55">
              <w:rPr>
                <w:rFonts w:ascii="Calibri" w:eastAsia="Times New Roman" w:hAnsi="Calibri" w:cs="Calibri"/>
                <w:b/>
                <w:bCs/>
                <w:color w:val="FFFFFF"/>
                <w:sz w:val="22"/>
                <w:lang w:eastAsia="en-GB"/>
              </w:rPr>
              <w:t>Mode Post-test</w:t>
            </w:r>
          </w:p>
        </w:tc>
      </w:tr>
      <w:tr w:rsidR="008E6C55" w:rsidRPr="008E6C55" w14:paraId="45F848B8" w14:textId="77777777" w:rsidTr="008E6C55">
        <w:trPr>
          <w:trHeight w:val="300"/>
        </w:trPr>
        <w:tc>
          <w:tcPr>
            <w:tcW w:w="1720" w:type="dxa"/>
            <w:tcBorders>
              <w:top w:val="single" w:sz="4" w:space="0" w:color="8EA9DB"/>
              <w:left w:val="single" w:sz="4" w:space="0" w:color="8EA9DB"/>
              <w:bottom w:val="single" w:sz="4" w:space="0" w:color="8EA9DB"/>
              <w:right w:val="nil"/>
            </w:tcBorders>
            <w:shd w:val="clear" w:color="D9E1F2" w:fill="D9E1F2"/>
            <w:noWrap/>
            <w:vAlign w:val="bottom"/>
            <w:hideMark/>
          </w:tcPr>
          <w:p w14:paraId="03FF7681" w14:textId="77777777" w:rsidR="008E6C55" w:rsidRPr="008E6C55" w:rsidRDefault="008E6C55" w:rsidP="008E6C55">
            <w:pPr>
              <w:spacing w:after="0" w:line="240" w:lineRule="auto"/>
              <w:jc w:val="lef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Male</w:t>
            </w:r>
          </w:p>
        </w:tc>
        <w:tc>
          <w:tcPr>
            <w:tcW w:w="1660" w:type="dxa"/>
            <w:tcBorders>
              <w:top w:val="single" w:sz="4" w:space="0" w:color="8EA9DB"/>
              <w:left w:val="nil"/>
              <w:bottom w:val="single" w:sz="4" w:space="0" w:color="8EA9DB"/>
              <w:right w:val="nil"/>
            </w:tcBorders>
            <w:shd w:val="clear" w:color="D9E1F2" w:fill="D9E1F2"/>
            <w:noWrap/>
            <w:vAlign w:val="bottom"/>
            <w:hideMark/>
          </w:tcPr>
          <w:p w14:paraId="7A71DBD9" w14:textId="77777777" w:rsidR="008E6C55" w:rsidRPr="008E6C55" w:rsidRDefault="008E6C55" w:rsidP="008E6C55">
            <w:pPr>
              <w:spacing w:after="0" w:line="240" w:lineRule="auto"/>
              <w:jc w:val="righ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 xml:space="preserve">48.57 </w:t>
            </w:r>
          </w:p>
        </w:tc>
        <w:tc>
          <w:tcPr>
            <w:tcW w:w="2580" w:type="dxa"/>
            <w:tcBorders>
              <w:top w:val="single" w:sz="4" w:space="0" w:color="8EA9DB"/>
              <w:left w:val="nil"/>
              <w:bottom w:val="single" w:sz="4" w:space="0" w:color="8EA9DB"/>
              <w:right w:val="nil"/>
            </w:tcBorders>
            <w:shd w:val="clear" w:color="D9E1F2" w:fill="D9E1F2"/>
            <w:noWrap/>
            <w:vAlign w:val="bottom"/>
            <w:hideMark/>
          </w:tcPr>
          <w:p w14:paraId="7D0BFB61" w14:textId="77777777" w:rsidR="008E6C55" w:rsidRPr="008E6C55" w:rsidRDefault="008E6C55" w:rsidP="008E6C55">
            <w:pPr>
              <w:spacing w:after="0" w:line="240" w:lineRule="auto"/>
              <w:jc w:val="righ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 xml:space="preserve">40.00 </w:t>
            </w:r>
          </w:p>
        </w:tc>
        <w:tc>
          <w:tcPr>
            <w:tcW w:w="1760" w:type="dxa"/>
            <w:tcBorders>
              <w:top w:val="single" w:sz="4" w:space="0" w:color="8EA9DB"/>
              <w:left w:val="nil"/>
              <w:bottom w:val="single" w:sz="4" w:space="0" w:color="8EA9DB"/>
              <w:right w:val="nil"/>
            </w:tcBorders>
            <w:shd w:val="clear" w:color="D9E1F2" w:fill="D9E1F2"/>
            <w:noWrap/>
            <w:vAlign w:val="bottom"/>
            <w:hideMark/>
          </w:tcPr>
          <w:p w14:paraId="4FB7B9A4" w14:textId="77777777" w:rsidR="008E6C55" w:rsidRPr="008E6C55" w:rsidRDefault="008E6C55" w:rsidP="008E6C55">
            <w:pPr>
              <w:spacing w:after="0" w:line="240" w:lineRule="auto"/>
              <w:jc w:val="righ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 xml:space="preserve">89.29 </w:t>
            </w:r>
          </w:p>
        </w:tc>
        <w:tc>
          <w:tcPr>
            <w:tcW w:w="1780" w:type="dxa"/>
            <w:tcBorders>
              <w:top w:val="single" w:sz="4" w:space="0" w:color="8EA9DB"/>
              <w:left w:val="nil"/>
              <w:bottom w:val="single" w:sz="4" w:space="0" w:color="8EA9DB"/>
              <w:right w:val="single" w:sz="4" w:space="0" w:color="8EA9DB"/>
            </w:tcBorders>
            <w:shd w:val="clear" w:color="D9E1F2" w:fill="D9E1F2"/>
            <w:noWrap/>
            <w:vAlign w:val="bottom"/>
            <w:hideMark/>
          </w:tcPr>
          <w:p w14:paraId="565996BA" w14:textId="77777777" w:rsidR="008E6C55" w:rsidRPr="008E6C55" w:rsidRDefault="008E6C55" w:rsidP="008E6C55">
            <w:pPr>
              <w:spacing w:after="0" w:line="240" w:lineRule="auto"/>
              <w:jc w:val="righ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 xml:space="preserve">93.75 </w:t>
            </w:r>
          </w:p>
        </w:tc>
      </w:tr>
      <w:tr w:rsidR="008E6C55" w:rsidRPr="008E6C55" w14:paraId="21A28F12" w14:textId="77777777" w:rsidTr="008E6C55">
        <w:trPr>
          <w:trHeight w:val="300"/>
        </w:trPr>
        <w:tc>
          <w:tcPr>
            <w:tcW w:w="1720" w:type="dxa"/>
            <w:tcBorders>
              <w:top w:val="single" w:sz="4" w:space="0" w:color="8EA9DB"/>
              <w:left w:val="single" w:sz="4" w:space="0" w:color="8EA9DB"/>
              <w:bottom w:val="single" w:sz="4" w:space="0" w:color="8EA9DB"/>
              <w:right w:val="nil"/>
            </w:tcBorders>
            <w:shd w:val="clear" w:color="auto" w:fill="auto"/>
            <w:noWrap/>
            <w:vAlign w:val="bottom"/>
            <w:hideMark/>
          </w:tcPr>
          <w:p w14:paraId="610A8AF1" w14:textId="77777777" w:rsidR="008E6C55" w:rsidRPr="008E6C55" w:rsidRDefault="008E6C55" w:rsidP="008E6C55">
            <w:pPr>
              <w:spacing w:after="0" w:line="240" w:lineRule="auto"/>
              <w:jc w:val="lef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Female</w:t>
            </w:r>
          </w:p>
        </w:tc>
        <w:tc>
          <w:tcPr>
            <w:tcW w:w="1660" w:type="dxa"/>
            <w:tcBorders>
              <w:top w:val="single" w:sz="4" w:space="0" w:color="8EA9DB"/>
              <w:left w:val="nil"/>
              <w:bottom w:val="single" w:sz="4" w:space="0" w:color="8EA9DB"/>
              <w:right w:val="nil"/>
            </w:tcBorders>
            <w:shd w:val="clear" w:color="auto" w:fill="auto"/>
            <w:noWrap/>
            <w:vAlign w:val="bottom"/>
            <w:hideMark/>
          </w:tcPr>
          <w:p w14:paraId="6C81200E" w14:textId="77777777" w:rsidR="008E6C55" w:rsidRPr="008E6C55" w:rsidRDefault="008E6C55" w:rsidP="008E6C55">
            <w:pPr>
              <w:spacing w:after="0" w:line="240" w:lineRule="auto"/>
              <w:jc w:val="righ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 xml:space="preserve">62.00 </w:t>
            </w:r>
          </w:p>
        </w:tc>
        <w:tc>
          <w:tcPr>
            <w:tcW w:w="2580" w:type="dxa"/>
            <w:tcBorders>
              <w:top w:val="single" w:sz="4" w:space="0" w:color="8EA9DB"/>
              <w:left w:val="nil"/>
              <w:bottom w:val="single" w:sz="4" w:space="0" w:color="8EA9DB"/>
              <w:right w:val="nil"/>
            </w:tcBorders>
            <w:shd w:val="clear" w:color="auto" w:fill="auto"/>
            <w:noWrap/>
            <w:vAlign w:val="bottom"/>
            <w:hideMark/>
          </w:tcPr>
          <w:p w14:paraId="30B7B77E" w14:textId="77777777" w:rsidR="008E6C55" w:rsidRPr="008E6C55" w:rsidRDefault="008E6C55" w:rsidP="008E6C55">
            <w:pPr>
              <w:spacing w:after="0" w:line="240" w:lineRule="auto"/>
              <w:jc w:val="righ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 xml:space="preserve">40.00 </w:t>
            </w:r>
          </w:p>
        </w:tc>
        <w:tc>
          <w:tcPr>
            <w:tcW w:w="1760" w:type="dxa"/>
            <w:tcBorders>
              <w:top w:val="single" w:sz="4" w:space="0" w:color="8EA9DB"/>
              <w:left w:val="nil"/>
              <w:bottom w:val="single" w:sz="4" w:space="0" w:color="8EA9DB"/>
              <w:right w:val="nil"/>
            </w:tcBorders>
            <w:shd w:val="clear" w:color="auto" w:fill="auto"/>
            <w:noWrap/>
            <w:vAlign w:val="bottom"/>
            <w:hideMark/>
          </w:tcPr>
          <w:p w14:paraId="130720BD" w14:textId="77777777" w:rsidR="008E6C55" w:rsidRPr="008E6C55" w:rsidRDefault="008E6C55" w:rsidP="008E6C55">
            <w:pPr>
              <w:spacing w:after="0" w:line="240" w:lineRule="auto"/>
              <w:jc w:val="righ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 xml:space="preserve">77.50 </w:t>
            </w:r>
          </w:p>
        </w:tc>
        <w:tc>
          <w:tcPr>
            <w:tcW w:w="1780" w:type="dxa"/>
            <w:tcBorders>
              <w:top w:val="single" w:sz="4" w:space="0" w:color="8EA9DB"/>
              <w:left w:val="nil"/>
              <w:bottom w:val="single" w:sz="4" w:space="0" w:color="8EA9DB"/>
              <w:right w:val="single" w:sz="4" w:space="0" w:color="8EA9DB"/>
            </w:tcBorders>
            <w:shd w:val="clear" w:color="auto" w:fill="auto"/>
            <w:noWrap/>
            <w:vAlign w:val="bottom"/>
            <w:hideMark/>
          </w:tcPr>
          <w:p w14:paraId="137F9C79" w14:textId="77777777" w:rsidR="008E6C55" w:rsidRPr="008E6C55" w:rsidRDefault="008E6C55" w:rsidP="008E6C55">
            <w:pPr>
              <w:spacing w:after="0" w:line="240" w:lineRule="auto"/>
              <w:jc w:val="right"/>
              <w:rPr>
                <w:rFonts w:ascii="Calibri" w:eastAsia="Times New Roman" w:hAnsi="Calibri" w:cs="Calibri"/>
                <w:color w:val="000000"/>
                <w:sz w:val="22"/>
                <w:lang w:eastAsia="en-GB"/>
              </w:rPr>
            </w:pPr>
            <w:r w:rsidRPr="008E6C55">
              <w:rPr>
                <w:rFonts w:ascii="Calibri" w:eastAsia="Times New Roman" w:hAnsi="Calibri" w:cs="Calibri"/>
                <w:color w:val="000000"/>
                <w:sz w:val="22"/>
                <w:lang w:eastAsia="en-GB"/>
              </w:rPr>
              <w:t xml:space="preserve">93.75 </w:t>
            </w:r>
          </w:p>
        </w:tc>
      </w:tr>
    </w:tbl>
    <w:p w14:paraId="3FA3E6BB" w14:textId="77777777" w:rsidR="009A3DEF" w:rsidRDefault="009A3DEF" w:rsidP="006931E4"/>
    <w:p w14:paraId="77F2D788" w14:textId="6474BA93" w:rsidR="004E0DEB" w:rsidRDefault="00C514B7" w:rsidP="009A3DEF">
      <w:pPr>
        <w:ind w:firstLine="720"/>
      </w:pPr>
      <w:r>
        <w:lastRenderedPageBreak/>
        <w:t xml:space="preserve">Intriguingly, the data appears to be giving contradictory results, </w:t>
      </w:r>
      <w:r w:rsidR="00852336">
        <w:t>with chart three</w:t>
      </w:r>
      <w:r w:rsidR="00EA4A28">
        <w:t xml:space="preserve"> and table</w:t>
      </w:r>
      <w:r w:rsidR="00852336">
        <w:t xml:space="preserve"> indicating a gender gap</w:t>
      </w:r>
      <w:r w:rsidR="000D1EDB">
        <w:t>, whilst</w:t>
      </w:r>
      <w:r w:rsidR="00852336">
        <w:t xml:space="preserve"> the mode </w:t>
      </w:r>
      <w:r w:rsidR="000D1EDB">
        <w:t xml:space="preserve">score </w:t>
      </w:r>
      <w:r w:rsidR="00852336">
        <w:t xml:space="preserve">indicating </w:t>
      </w:r>
      <w:r w:rsidR="000D1EDB">
        <w:t>parity between the genders.</w:t>
      </w:r>
      <w:r w:rsidR="008E6C55">
        <w:t xml:space="preserve"> When the </w:t>
      </w:r>
      <w:r w:rsidR="00B85DCC">
        <w:t xml:space="preserve">mean scores are compared in table three, the gap between the mean </w:t>
      </w:r>
      <w:r w:rsidR="00F41EC6">
        <w:t xml:space="preserve">percentage score in the pre- and post-test is striking for the male students, rising by </w:t>
      </w:r>
      <w:r w:rsidR="00D45F58">
        <w:t>40.7</w:t>
      </w:r>
      <w:r w:rsidR="00E478CD">
        <w:t xml:space="preserve">2 percentage points. </w:t>
      </w:r>
      <w:r w:rsidR="009D6542">
        <w:t>Again,</w:t>
      </w:r>
      <w:r w:rsidR="00E478CD">
        <w:t xml:space="preserve"> it needs to be pointed out that pupil B </w:t>
      </w:r>
      <w:r w:rsidR="00A518E6">
        <w:t xml:space="preserve">contributes significantly </w:t>
      </w:r>
      <w:r w:rsidR="00143009">
        <w:t xml:space="preserve">to this gap, however, if his scores are removed the mean for the male student’s attainment still rises </w:t>
      </w:r>
      <w:r w:rsidR="001F7B92">
        <w:t xml:space="preserve">dramatically from 56.67% to 88.54%, which </w:t>
      </w:r>
      <w:r w:rsidR="00AC1E10">
        <w:t>is still markedly ahead of their female counterparts.</w:t>
      </w:r>
      <w:r w:rsidR="001B32FD">
        <w:t xml:space="preserve"> Clearly there is more research required to triangulate </w:t>
      </w:r>
      <w:r w:rsidR="00075582">
        <w:t>these results</w:t>
      </w:r>
      <w:r w:rsidR="00D35363">
        <w:t xml:space="preserve">, using a larger sample in order to establish a clearer picture regarding the </w:t>
      </w:r>
      <w:r w:rsidR="00B0736A">
        <w:t>differentiated impacts of this intervention by gender.</w:t>
      </w:r>
    </w:p>
    <w:p w14:paraId="48650BE3" w14:textId="1A1C8BA7" w:rsidR="00A31187" w:rsidRDefault="00A350AF" w:rsidP="006931E4">
      <w:r>
        <w:tab/>
      </w:r>
    </w:p>
    <w:p w14:paraId="20CDFE0D" w14:textId="04350016" w:rsidR="006931E4" w:rsidRDefault="006931E4" w:rsidP="006931E4">
      <w:pPr>
        <w:pStyle w:val="Heading1"/>
      </w:pPr>
      <w:r>
        <w:t>Conclusion:</w:t>
      </w:r>
    </w:p>
    <w:p w14:paraId="005103E5" w14:textId="3ECB21A5" w:rsidR="00E549E4" w:rsidRDefault="00E549E4" w:rsidP="00E549E4"/>
    <w:p w14:paraId="11D6834C" w14:textId="245EC902" w:rsidR="00E549E4" w:rsidRDefault="00C560DA" w:rsidP="00E549E4">
      <w:r>
        <w:t>In conclusion,</w:t>
      </w:r>
      <w:r w:rsidR="006658B5">
        <w:t xml:space="preserve"> this </w:t>
      </w:r>
      <w:r w:rsidR="00DE63A7">
        <w:t xml:space="preserve">small </w:t>
      </w:r>
      <w:r w:rsidR="006658B5">
        <w:t>study</w:t>
      </w:r>
      <w:r w:rsidR="00474D60">
        <w:t xml:space="preserve"> was further limited by the fact that</w:t>
      </w:r>
      <w:r w:rsidR="00531263">
        <w:t xml:space="preserve"> some of the class were absent for one or more of the three lessons</w:t>
      </w:r>
      <w:r w:rsidR="003304C4">
        <w:t xml:space="preserve"> which this study involved.</w:t>
      </w:r>
      <w:r w:rsidR="0008665E">
        <w:t xml:space="preserve"> Indeed, 14 students failed to complete both the pre-and post-test</w:t>
      </w:r>
      <w:r w:rsidR="00342E41">
        <w:t>, reducing an already small sample size</w:t>
      </w:r>
      <w:r w:rsidR="00175128">
        <w:t xml:space="preserve"> </w:t>
      </w:r>
      <w:r w:rsidR="00346407">
        <w:t xml:space="preserve">by </w:t>
      </w:r>
      <w:r w:rsidR="00CB03ED">
        <w:t>almost</w:t>
      </w:r>
      <w:r w:rsidR="00216417">
        <w:t xml:space="preserve"> an </w:t>
      </w:r>
      <w:r w:rsidR="00CB03ED">
        <w:t>half</w:t>
      </w:r>
      <w:r w:rsidR="00926B20">
        <w:t>. Whilst</w:t>
      </w:r>
      <w:r w:rsidR="00A2259C">
        <w:t xml:space="preserve"> the research undertaken was ostensibly</w:t>
      </w:r>
      <w:r w:rsidR="000E7AD1">
        <w:t xml:space="preserve"> investigating the impact of three – two – one exit tickets upon knowledge recall</w:t>
      </w:r>
      <w:r w:rsidR="00B13AF7">
        <w:t xml:space="preserve"> there were a number of other non-fixed variables</w:t>
      </w:r>
      <w:r w:rsidR="00FD6AE7">
        <w:t xml:space="preserve"> which may have had an impact upon the overall results.</w:t>
      </w:r>
      <w:r w:rsidR="003B1A67">
        <w:t xml:space="preserve"> Clearly, this was far from desirable, however,</w:t>
      </w:r>
      <w:r w:rsidR="000D2F2D">
        <w:t xml:space="preserve"> was a </w:t>
      </w:r>
      <w:r w:rsidR="00A76228">
        <w:t>by-product</w:t>
      </w:r>
      <w:r w:rsidR="000D2F2D">
        <w:t xml:space="preserve"> of the research being undertaken as part of normal teaching,</w:t>
      </w:r>
      <w:r w:rsidR="001D443A">
        <w:t xml:space="preserve"> where it was unusual for the teacher/researcher to teach</w:t>
      </w:r>
      <w:r w:rsidR="00B208EB">
        <w:t xml:space="preserve"> two</w:t>
      </w:r>
      <w:r w:rsidR="00EE5934">
        <w:t xml:space="preserve"> consecutive lessons in an identical manner. This is due to the fact that</w:t>
      </w:r>
      <w:r w:rsidR="006204F3">
        <w:t xml:space="preserve"> students benefit from a variety of approaches and teaching methods and, therefore,</w:t>
      </w:r>
      <w:r w:rsidR="004877EA">
        <w:t xml:space="preserve"> it is an important part of this practitioners pedagogical practice to do this, so as</w:t>
      </w:r>
      <w:r w:rsidR="00223CC0">
        <w:t xml:space="preserve"> to teach to a range of learning styles across a topic</w:t>
      </w:r>
      <w:r w:rsidR="005C1FB9">
        <w:t xml:space="preserve"> </w:t>
      </w:r>
      <w:sdt>
        <w:sdtPr>
          <w:id w:val="-597715806"/>
          <w:citation/>
        </w:sdtPr>
        <w:sdtEndPr/>
        <w:sdtContent>
          <w:r w:rsidR="005C1FB9">
            <w:fldChar w:fldCharType="begin"/>
          </w:r>
          <w:r w:rsidR="005C1FB9">
            <w:instrText xml:space="preserve"> CITATION Mar19 \l 2057 </w:instrText>
          </w:r>
          <w:r w:rsidR="005C1FB9">
            <w:fldChar w:fldCharType="separate"/>
          </w:r>
          <w:r w:rsidR="005C1FB9" w:rsidRPr="005C1FB9">
            <w:rPr>
              <w:noProof/>
            </w:rPr>
            <w:t>(Caldwell, n.d.)</w:t>
          </w:r>
          <w:r w:rsidR="005C1FB9">
            <w:fldChar w:fldCharType="end"/>
          </w:r>
        </w:sdtContent>
      </w:sdt>
      <w:r w:rsidR="00223CC0">
        <w:t>.</w:t>
      </w:r>
      <w:r w:rsidR="00F86B40">
        <w:t xml:space="preserve"> Indeed, books, such as </w:t>
      </w:r>
      <w:r w:rsidR="00B31C2F">
        <w:t xml:space="preserve">Russel Tarr’s </w:t>
      </w:r>
      <w:r w:rsidR="00B31C2F">
        <w:rPr>
          <w:i/>
        </w:rPr>
        <w:t>A History Teaching Toolbox</w:t>
      </w:r>
      <w:r w:rsidR="00B31C2F">
        <w:t xml:space="preserve"> and </w:t>
      </w:r>
      <w:r w:rsidR="00912245">
        <w:t xml:space="preserve">Doug Lemov’s </w:t>
      </w:r>
      <w:r w:rsidR="00912245">
        <w:rPr>
          <w:i/>
        </w:rPr>
        <w:t>Teach Like a Champion 2.0</w:t>
      </w:r>
      <w:r w:rsidR="00912245">
        <w:t xml:space="preserve"> </w:t>
      </w:r>
      <w:r w:rsidR="00076712">
        <w:t>provide a range of techniques, designed to help practitioners vary their approach and engage</w:t>
      </w:r>
      <w:r w:rsidR="005753F3">
        <w:t xml:space="preserve"> </w:t>
      </w:r>
      <w:r w:rsidR="00076712">
        <w:t xml:space="preserve">students </w:t>
      </w:r>
      <w:sdt>
        <w:sdtPr>
          <w:id w:val="1726104662"/>
          <w:citation/>
        </w:sdtPr>
        <w:sdtEndPr/>
        <w:sdtContent>
          <w:r w:rsidR="00076712">
            <w:fldChar w:fldCharType="begin"/>
          </w:r>
          <w:r w:rsidR="00076712">
            <w:instrText xml:space="preserve"> CITATION Dou15 \l 2057 </w:instrText>
          </w:r>
          <w:r w:rsidR="00076712">
            <w:fldChar w:fldCharType="separate"/>
          </w:r>
          <w:r w:rsidR="00076712" w:rsidRPr="00076712">
            <w:rPr>
              <w:noProof/>
            </w:rPr>
            <w:t>(Lemov, 2015)</w:t>
          </w:r>
          <w:r w:rsidR="00076712">
            <w:fldChar w:fldCharType="end"/>
          </w:r>
        </w:sdtContent>
      </w:sdt>
      <w:r w:rsidR="00076712">
        <w:t xml:space="preserve">; </w:t>
      </w:r>
      <w:sdt>
        <w:sdtPr>
          <w:id w:val="-978759764"/>
          <w:citation/>
        </w:sdtPr>
        <w:sdtEndPr/>
        <w:sdtContent>
          <w:r w:rsidR="00076712">
            <w:fldChar w:fldCharType="begin"/>
          </w:r>
          <w:r w:rsidR="00076712">
            <w:instrText xml:space="preserve"> CITATION Rus16 \l 2057 </w:instrText>
          </w:r>
          <w:r w:rsidR="00076712">
            <w:fldChar w:fldCharType="separate"/>
          </w:r>
          <w:r w:rsidR="00076712" w:rsidRPr="00076712">
            <w:rPr>
              <w:noProof/>
            </w:rPr>
            <w:t>(Tarr, 2016)</w:t>
          </w:r>
          <w:r w:rsidR="00076712">
            <w:fldChar w:fldCharType="end"/>
          </w:r>
        </w:sdtContent>
      </w:sdt>
      <w:r w:rsidR="00076712">
        <w:t>.</w:t>
      </w:r>
      <w:r w:rsidR="00E32F66">
        <w:t xml:space="preserve"> </w:t>
      </w:r>
      <w:r w:rsidR="00A43241">
        <w:t xml:space="preserve">Lemov emphasises this when he asserts that ‘as many teachers know firsthand, doing </w:t>
      </w:r>
      <w:r w:rsidR="00A43241">
        <w:lastRenderedPageBreak/>
        <w:t xml:space="preserve">the same thing for too long can be a recipe for </w:t>
      </w:r>
      <w:r w:rsidR="00ED5E85">
        <w:t>trouble’</w:t>
      </w:r>
      <w:r w:rsidR="002A6AFA">
        <w:t xml:space="preserve">, emphasising that both changes in pace and activity </w:t>
      </w:r>
      <w:r w:rsidR="003C756C">
        <w:t xml:space="preserve">are important for ‘achieving the right balance of energy in your classroom’ </w:t>
      </w:r>
      <w:r w:rsidR="00ED5E85">
        <w:t xml:space="preserve"> </w:t>
      </w:r>
      <w:sdt>
        <w:sdtPr>
          <w:id w:val="1879129564"/>
          <w:citation/>
        </w:sdtPr>
        <w:sdtEndPr/>
        <w:sdtContent>
          <w:r w:rsidR="00ED5E85">
            <w:fldChar w:fldCharType="begin"/>
          </w:r>
          <w:r w:rsidR="003C756C">
            <w:instrText xml:space="preserve">CITATION Dou15 \p 201-2 \l 2057 </w:instrText>
          </w:r>
          <w:r w:rsidR="00ED5E85">
            <w:fldChar w:fldCharType="separate"/>
          </w:r>
          <w:r w:rsidR="003C756C" w:rsidRPr="003C756C">
            <w:rPr>
              <w:noProof/>
            </w:rPr>
            <w:t>(Lemov, 2015, pp. 201-2)</w:t>
          </w:r>
          <w:r w:rsidR="00ED5E85">
            <w:fldChar w:fldCharType="end"/>
          </w:r>
        </w:sdtContent>
      </w:sdt>
      <w:r w:rsidR="00076712">
        <w:t xml:space="preserve"> </w:t>
      </w:r>
      <w:r w:rsidR="005753F3">
        <w:t>Furthermore, owing to time constraints within</w:t>
      </w:r>
      <w:r w:rsidR="00450CB8">
        <w:t xml:space="preserve"> the allocated time for conducting this research</w:t>
      </w:r>
      <w:r w:rsidR="009A4576">
        <w:t>, combined with the fact that the school operates a two week timetable,</w:t>
      </w:r>
      <w:r w:rsidR="00582454">
        <w:t xml:space="preserve"> meant that it was not possible to teach and assess both lessons during the same part</w:t>
      </w:r>
      <w:r w:rsidR="004205E0">
        <w:t xml:space="preserve"> of the timetable. It is widely understood that both the time of day and</w:t>
      </w:r>
      <w:r w:rsidR="001E630D">
        <w:t xml:space="preserve"> preceding lessons can have an impact</w:t>
      </w:r>
      <w:r w:rsidR="005E1ECE">
        <w:t xml:space="preserve"> upon student performance and attainment</w:t>
      </w:r>
      <w:r w:rsidR="00DB098D">
        <w:t xml:space="preserve"> </w:t>
      </w:r>
      <w:sdt>
        <w:sdtPr>
          <w:id w:val="554815567"/>
          <w:citation/>
        </w:sdtPr>
        <w:sdtEndPr/>
        <w:sdtContent>
          <w:r w:rsidR="00DB6636">
            <w:fldChar w:fldCharType="begin"/>
          </w:r>
          <w:r w:rsidR="00DB6636">
            <w:instrText xml:space="preserve"> CITATION Pop16 \l 2057 </w:instrText>
          </w:r>
          <w:r w:rsidR="00DB6636">
            <w:fldChar w:fldCharType="separate"/>
          </w:r>
          <w:r w:rsidR="00DB6636" w:rsidRPr="00DB6636">
            <w:rPr>
              <w:noProof/>
            </w:rPr>
            <w:t>(Pope, 2016)</w:t>
          </w:r>
          <w:r w:rsidR="00DB6636">
            <w:fldChar w:fldCharType="end"/>
          </w:r>
        </w:sdtContent>
      </w:sdt>
      <w:r w:rsidR="005E1ECE">
        <w:t>.</w:t>
      </w:r>
      <w:r w:rsidR="00013566">
        <w:t xml:space="preserve"> That said, even if the research had been conducted at the same point</w:t>
      </w:r>
      <w:r w:rsidR="00E61D41">
        <w:t>, in the timetable on both occasions, there is no guarantee that the preceding lesson</w:t>
      </w:r>
      <w:r w:rsidR="00094E5F">
        <w:t xml:space="preserve"> would have been taught in the same way on both occasions, or that climatic conditions (e.g.</w:t>
      </w:r>
      <w:r w:rsidR="0034593A">
        <w:t xml:space="preserve"> rain leading to wet play) would have been identical.</w:t>
      </w:r>
      <w:r w:rsidR="00A24C35">
        <w:t xml:space="preserve"> Both these factors should be noted, however, they are outside of the </w:t>
      </w:r>
      <w:r w:rsidR="0009736E">
        <w:t>researcher’s</w:t>
      </w:r>
      <w:r w:rsidR="00A24C35">
        <w:t xml:space="preserve"> control.</w:t>
      </w:r>
    </w:p>
    <w:p w14:paraId="063FB36D" w14:textId="5A2B404F" w:rsidR="00A24C35" w:rsidRDefault="006714C7" w:rsidP="00136CD0">
      <w:pPr>
        <w:ind w:firstLine="720"/>
      </w:pPr>
      <w:r>
        <w:t>It further be noted, that</w:t>
      </w:r>
      <w:r w:rsidR="00E30DA0">
        <w:t xml:space="preserve"> the planning of the research, was hampered by issues of university timetabling</w:t>
      </w:r>
      <w:r w:rsidR="004F7CE4">
        <w:t>, so that useful guidance regarding the research process</w:t>
      </w:r>
      <w:r w:rsidR="00FF2BBD">
        <w:t>, in particular, advice that how the research data</w:t>
      </w:r>
      <w:r w:rsidR="00BF290C">
        <w:t xml:space="preserve"> was going to be interrogated and analysed should be considered prior to collection, was only imparted</w:t>
      </w:r>
      <w:r w:rsidR="007847CE">
        <w:t xml:space="preserve"> during a lecture following the end of PTE one (professional teaching experience one)</w:t>
      </w:r>
      <w:r w:rsidR="00B80C44">
        <w:t xml:space="preserve"> and the collection of data.</w:t>
      </w:r>
      <w:r w:rsidR="00A4547E">
        <w:t xml:space="preserve"> </w:t>
      </w:r>
      <w:r w:rsidR="00814E57">
        <w:t>This</w:t>
      </w:r>
      <w:r w:rsidR="00361729">
        <w:t xml:space="preserve"> was in part responsible</w:t>
      </w:r>
      <w:r w:rsidR="005173A0">
        <w:t xml:space="preserve"> for</w:t>
      </w:r>
      <w:r w:rsidR="00915AED">
        <w:t xml:space="preserve"> imperfections and limitations</w:t>
      </w:r>
      <w:r w:rsidR="008C6D8B">
        <w:t xml:space="preserve"> within the methodology, however, ultimately the</w:t>
      </w:r>
      <w:r w:rsidR="00057858">
        <w:t xml:space="preserve"> inexperience of the researcher in conducting this type of research was the main factor at play here. In hindsight, additional consideration</w:t>
      </w:r>
      <w:r w:rsidR="003F05BA">
        <w:t xml:space="preserve"> should have been made as to how this would have played out, and at the planning stage it would have been beneficial</w:t>
      </w:r>
      <w:r w:rsidR="006808E9">
        <w:t xml:space="preserve"> if the researcher had produced a list of variables, divided between</w:t>
      </w:r>
      <w:r w:rsidR="008D343D">
        <w:t xml:space="preserve"> those within an those without their immediate control. This would, therefore, </w:t>
      </w:r>
      <w:r w:rsidR="00D571D7">
        <w:t>have made the research more tightly centred upon one individual factor, making it possible</w:t>
      </w:r>
      <w:r w:rsidR="00552722">
        <w:t xml:space="preserve"> to ascertain the impact upon a particular intervention. The fact that the teaching methods varied</w:t>
      </w:r>
      <w:r w:rsidR="005F0652">
        <w:t xml:space="preserve"> between the two lessons upon which the pre-and post-test were assessing knowledge recall</w:t>
      </w:r>
      <w:r w:rsidR="000C7A7F">
        <w:t>, means that it is impossible, with any degree of certainty, to isolate the impact of three – two – one exit tickets</w:t>
      </w:r>
      <w:r w:rsidR="002176C0">
        <w:t xml:space="preserve"> upon knowledge recall. Accordingly, the findings of this piece of research</w:t>
      </w:r>
      <w:r w:rsidR="0092199F">
        <w:t xml:space="preserve"> could tell as much about teacher agency within the learning process as they do about the effectiveness</w:t>
      </w:r>
      <w:r w:rsidR="000309A5">
        <w:t xml:space="preserve"> or otherwise of three – two – one exit tickets upon knowledge recall.</w:t>
      </w:r>
    </w:p>
    <w:p w14:paraId="124E31A2" w14:textId="3D31B68A" w:rsidR="00FF6E1B" w:rsidRPr="00E549E4" w:rsidRDefault="00FF6E1B" w:rsidP="00136CD0">
      <w:pPr>
        <w:ind w:firstLine="720"/>
      </w:pPr>
      <w:r>
        <w:lastRenderedPageBreak/>
        <w:t>Notwithstanding the above, the research exercise did throw up</w:t>
      </w:r>
      <w:r w:rsidR="009E0411">
        <w:t xml:space="preserve"> some interesting and incongruous data. Whilst</w:t>
      </w:r>
      <w:r w:rsidR="00C678C5">
        <w:t xml:space="preserve"> it is apparent that improvements were made and which</w:t>
      </w:r>
      <w:r w:rsidR="008A1804">
        <w:t xml:space="preserve"> pupils made the most progress and which students performed consistently,</w:t>
      </w:r>
      <w:r w:rsidR="00A125B0">
        <w:t xml:space="preserve"> whether or not the intervention, three – two – one exit tickets, had a greater</w:t>
      </w:r>
      <w:r w:rsidR="00FD1CF2">
        <w:t xml:space="preserve"> impact upon the knowledge recall of male or female students is much more open to interpretation.</w:t>
      </w:r>
      <w:r w:rsidR="00F529F6">
        <w:t xml:space="preserve"> Indeed, analysis of the data suggests a different picture depending upon how one chooses to interrogate and interpret it.</w:t>
      </w:r>
      <w:r w:rsidR="00B650C4">
        <w:t xml:space="preserve"> If one were to look for the most common</w:t>
      </w:r>
      <w:r w:rsidR="000A33C4">
        <w:t xml:space="preserve"> score within the two tests then all we obliged to conclude</w:t>
      </w:r>
      <w:r w:rsidR="00FC4846">
        <w:t xml:space="preserve"> that the intervention had an identical impact upon male and female students as the mode</w:t>
      </w:r>
      <w:r w:rsidR="00206841">
        <w:t xml:space="preserve"> average score was identical for both male and female students,</w:t>
      </w:r>
      <w:r w:rsidR="003F33CF">
        <w:t xml:space="preserve"> with the same number of students from each gender achieving it in both tests.</w:t>
      </w:r>
      <w:r w:rsidR="00273DAB">
        <w:t xml:space="preserve"> Such an analysis, however, would oversimplify the issue,</w:t>
      </w:r>
      <w:r w:rsidR="001C5E2F">
        <w:t xml:space="preserve"> as the number of male and female students was not identical.</w:t>
      </w:r>
      <w:r w:rsidR="00B05414">
        <w:t xml:space="preserve"> Notwithstanding this, the mean percentage point increase between</w:t>
      </w:r>
      <w:r w:rsidR="000D3333">
        <w:t xml:space="preserve"> the pre-and post-test for male students was identical to that for the class</w:t>
      </w:r>
      <w:r w:rsidR="009375B1">
        <w:t xml:space="preserve"> as a </w:t>
      </w:r>
      <w:r w:rsidR="0009736E">
        <w:t>whole and</w:t>
      </w:r>
      <w:r w:rsidR="00027BEF">
        <w:t xml:space="preserve"> was higher than that</w:t>
      </w:r>
      <w:r w:rsidR="009A1070">
        <w:t xml:space="preserve"> of the female students. The range of marks achieved by the male students was greater</w:t>
      </w:r>
      <w:r w:rsidR="004F3934">
        <w:t xml:space="preserve"> than that for their female counterparts during the pre-test, but reduced to a much greater extent for the post-test</w:t>
      </w:r>
      <w:r w:rsidR="00136CD0">
        <w:t>, achieving a narrower range of marks, in this instance, than their female classmates.</w:t>
      </w:r>
    </w:p>
    <w:p w14:paraId="167487FF" w14:textId="77777777" w:rsidR="009F0853" w:rsidRDefault="00253A12" w:rsidP="006931E4">
      <w:r>
        <w:tab/>
      </w:r>
      <w:r w:rsidR="00C871B4">
        <w:t>In addition,</w:t>
      </w:r>
      <w:r w:rsidR="000C6F2D">
        <w:t xml:space="preserve"> from this small sample</w:t>
      </w:r>
      <w:r w:rsidR="005602B0">
        <w:t xml:space="preserve"> it would appear that the three – two – one exit pass had a disproportionately</w:t>
      </w:r>
      <w:r w:rsidR="00870917">
        <w:t xml:space="preserve"> positive impact upon those students who obtained lower scores in the pre-test. It should be emphasised, however, that the size</w:t>
      </w:r>
      <w:r w:rsidR="008A3DA3">
        <w:t xml:space="preserve"> of the sample is too small to be able to draw broad conclusions from as to the efficacy of this intervention</w:t>
      </w:r>
      <w:r w:rsidR="002E542F">
        <w:t>. Equally important to note, is the fact that</w:t>
      </w:r>
      <w:r w:rsidR="00C26863">
        <w:t xml:space="preserve"> the only baseline figure available to the researcher was the pre-test as they did not have access to</w:t>
      </w:r>
      <w:r w:rsidR="008012C7">
        <w:t xml:space="preserve"> information on student</w:t>
      </w:r>
      <w:r w:rsidR="004225BE">
        <w:t>’</w:t>
      </w:r>
      <w:r w:rsidR="008012C7">
        <w:t>s current attainment or target grades. This has had the effect of making</w:t>
      </w:r>
      <w:r w:rsidR="004225BE">
        <w:t xml:space="preserve"> the evidence even more of a snapshot than it might have been.</w:t>
      </w:r>
    </w:p>
    <w:p w14:paraId="2894B698" w14:textId="5E2AB797" w:rsidR="006931E4" w:rsidRDefault="009F0853" w:rsidP="006931E4">
      <w:r>
        <w:tab/>
        <w:t>In spite of</w:t>
      </w:r>
      <w:r w:rsidR="00EE1AD0">
        <w:t xml:space="preserve"> the necessary limitations of the study,</w:t>
      </w:r>
      <w:r w:rsidR="00374D1B">
        <w:t xml:space="preserve"> it can be argued</w:t>
      </w:r>
      <w:r w:rsidR="00474D1C">
        <w:t xml:space="preserve"> that progress was made between the pre-test and post-test by the overwhelming majority of pupils.</w:t>
      </w:r>
      <w:r w:rsidR="00597462">
        <w:t xml:space="preserve"> Additionally, the evidence suggests that greater levels of improvement were made by lower achieving students</w:t>
      </w:r>
      <w:r w:rsidR="00580854">
        <w:t xml:space="preserve"> and male students. The intriguing fact that for both the pre-</w:t>
      </w:r>
      <w:r w:rsidR="00580854">
        <w:lastRenderedPageBreak/>
        <w:t xml:space="preserve">and post-test </w:t>
      </w:r>
      <w:r w:rsidR="00996415">
        <w:t>the mode mark was the same for both male and female students, with an equal number of each achieving the said</w:t>
      </w:r>
      <w:r w:rsidR="005167DA">
        <w:t xml:space="preserve"> mark is in need of more investigation. The fact that</w:t>
      </w:r>
      <w:r w:rsidR="008763C3">
        <w:t xml:space="preserve"> teaching methods, along with the choice of plenary varied across lessons means that</w:t>
      </w:r>
      <w:r w:rsidR="0094490C">
        <w:t xml:space="preserve"> the improvement which was observed cannot be entirely attributed to the changing plenary activity. Therefore, further research is required</w:t>
      </w:r>
      <w:r w:rsidR="005832C4">
        <w:t xml:space="preserve"> to be able to</w:t>
      </w:r>
      <w:r w:rsidR="003F3B06">
        <w:t xml:space="preserve"> drill down and see how much of the improvement was due to thre</w:t>
      </w:r>
      <w:r w:rsidR="00BD5385">
        <w:t>e</w:t>
      </w:r>
      <w:r w:rsidR="003F3B06">
        <w:t>–two–one exit tickets and how much to teacher agency.</w:t>
      </w:r>
    </w:p>
    <w:p w14:paraId="39D9BCC8" w14:textId="77777777" w:rsidR="002C7EAC" w:rsidRDefault="002C7EAC" w:rsidP="006931E4"/>
    <w:p w14:paraId="30C2A2BC" w14:textId="52199972" w:rsidR="006931E4" w:rsidRDefault="006931E4" w:rsidP="006931E4">
      <w:pPr>
        <w:pStyle w:val="Heading1"/>
      </w:pPr>
      <w:r>
        <w:t>Limitations and Future Developments:</w:t>
      </w:r>
    </w:p>
    <w:p w14:paraId="3B207EB6" w14:textId="68A9CCDA" w:rsidR="00BD5385" w:rsidRDefault="00BD5385" w:rsidP="00BD5385"/>
    <w:p w14:paraId="2D7C9E91" w14:textId="20DBEC6E" w:rsidR="00325A8E" w:rsidRDefault="00BD5385" w:rsidP="00BD5385">
      <w:r>
        <w:t>As discussed earlier,</w:t>
      </w:r>
      <w:r w:rsidR="00A76F25">
        <w:t xml:space="preserve"> there were a number of limitations to this study, namely: the small student sample;</w:t>
      </w:r>
      <w:r w:rsidR="00D15220">
        <w:t xml:space="preserve"> the uneven gender split of the sample group; the fact that lessons and knowledge recall testing</w:t>
      </w:r>
      <w:r w:rsidR="0016715B">
        <w:t xml:space="preserve"> did not occur at the same place in the timetable across the study; differences in topic taught;</w:t>
      </w:r>
      <w:r w:rsidR="00970382">
        <w:t xml:space="preserve"> different teaching techniques and methods being used in both lessons;</w:t>
      </w:r>
      <w:r w:rsidR="00BC0CE8">
        <w:t xml:space="preserve"> the pre- and post-test were out of a different number of marks</w:t>
      </w:r>
      <w:r w:rsidR="00F97CAE">
        <w:t>; only one set of data collected</w:t>
      </w:r>
      <w:r w:rsidR="00D34CDC">
        <w:t xml:space="preserve">. </w:t>
      </w:r>
    </w:p>
    <w:p w14:paraId="300A03F1" w14:textId="3BECDC79" w:rsidR="00325A8E" w:rsidRDefault="00325A8E" w:rsidP="00BD5385">
      <w:r>
        <w:tab/>
      </w:r>
      <w:r w:rsidR="00EE4A4C">
        <w:t>These limitations will almost certainly have had an impact upon the results obtained.</w:t>
      </w:r>
      <w:r w:rsidR="007C06AA">
        <w:t xml:space="preserve"> For example, had the sample contained an even number of both male and female</w:t>
      </w:r>
      <w:r w:rsidR="00AF2D09">
        <w:t xml:space="preserve"> students, with the same number of high</w:t>
      </w:r>
      <w:r w:rsidR="005E38B7">
        <w:t>, middle, and low achievers then</w:t>
      </w:r>
      <w:r w:rsidR="00B92D3B">
        <w:t xml:space="preserve"> a</w:t>
      </w:r>
      <w:r w:rsidR="00E06A34">
        <w:t xml:space="preserve"> potentially more reliable set of data would have been collected in terms of the impact of the intervention by gender.</w:t>
      </w:r>
      <w:r w:rsidR="00776556">
        <w:t xml:space="preserve"> Clearly, when there is a small group anomalous results will carry greater weight</w:t>
      </w:r>
      <w:r w:rsidR="00225ABE">
        <w:t xml:space="preserve"> than in large groups and, therefore, can have a disproportionate impact upon the results.</w:t>
      </w:r>
      <w:r w:rsidR="004307D8">
        <w:t xml:space="preserve"> </w:t>
      </w:r>
      <w:r w:rsidR="00E31EC5">
        <w:t>Undoubtedly</w:t>
      </w:r>
      <w:r w:rsidR="004307D8">
        <w:t>, therefore,</w:t>
      </w:r>
      <w:r w:rsidR="00E5577F">
        <w:t xml:space="preserve"> </w:t>
      </w:r>
      <w:r w:rsidR="00AB2C98">
        <w:t xml:space="preserve">there is a need to </w:t>
      </w:r>
      <w:r w:rsidR="00895B85">
        <w:t>validate</w:t>
      </w:r>
      <w:r w:rsidR="00AB2C98">
        <w:t xml:space="preserve"> the results from this small sample,</w:t>
      </w:r>
      <w:r w:rsidR="00E5577F">
        <w:t xml:space="preserve"> </w:t>
      </w:r>
      <w:r w:rsidR="00895B85">
        <w:t>e</w:t>
      </w:r>
      <w:r w:rsidR="00E5577F">
        <w:t xml:space="preserve">ither </w:t>
      </w:r>
      <w:r w:rsidR="00895B85">
        <w:t xml:space="preserve">thorough </w:t>
      </w:r>
      <w:r w:rsidR="00E5577F">
        <w:t>conduct</w:t>
      </w:r>
      <w:r w:rsidR="00895B85">
        <w:t>ing</w:t>
      </w:r>
      <w:r w:rsidR="0043116A">
        <w:t xml:space="preserve"> a wider study, or make comparisons to comparative studies from elsewhere, in order to triangulate results and test hypotheses</w:t>
      </w:r>
      <w:r w:rsidR="00F26FA4">
        <w:t>. Indeed, just because an intervention works in one school with one class does not</w:t>
      </w:r>
      <w:r w:rsidR="004316CC">
        <w:t xml:space="preserve"> mean that it will necessarily work with other classes within the school, or indeed in other schools.</w:t>
      </w:r>
      <w:r w:rsidR="009A29C2">
        <w:t xml:space="preserve"> Indeed, once you have met one year nine class you have met one year nine class, every class is different and every student</w:t>
      </w:r>
      <w:r w:rsidR="001C501E">
        <w:t xml:space="preserve"> will have </w:t>
      </w:r>
      <w:r w:rsidR="001C501E">
        <w:lastRenderedPageBreak/>
        <w:t>their own individual learning needs, thus making it difficult to draw effective comparisons even between classes within the same school</w:t>
      </w:r>
      <w:r w:rsidR="00D76926">
        <w:t>, and students within the same class. This will, therefore, be a limitation to any study of this nature.</w:t>
      </w:r>
    </w:p>
    <w:p w14:paraId="6BA52B80" w14:textId="7A3817FB" w:rsidR="001B2623" w:rsidRDefault="001B2623" w:rsidP="00BD5385">
      <w:r>
        <w:tab/>
        <w:t>The fact that the</w:t>
      </w:r>
      <w:r w:rsidR="00CF2B71">
        <w:t xml:space="preserve"> pre-and post-test knowledge recall quizzes were out of different marks</w:t>
      </w:r>
      <w:r w:rsidR="00BF661F">
        <w:t xml:space="preserve"> is not necessarily a limitation, however, clearly the more marks available the more knowledge</w:t>
      </w:r>
      <w:r w:rsidR="00080FEA">
        <w:t xml:space="preserve"> was required. Notwithstanding this, it is possible that</w:t>
      </w:r>
      <w:r w:rsidR="00EE2C59">
        <w:t xml:space="preserve"> the complexity of the information required was equal across the two tests. Where the difference</w:t>
      </w:r>
      <w:r w:rsidR="00C858A3">
        <w:t xml:space="preserve"> in available marks becomes problematic, is where it is possible for a student to answer more questions correctly, but </w:t>
      </w:r>
      <w:r w:rsidR="0098600F">
        <w:t>at the same time obtain a lower percentage mark.</w:t>
      </w:r>
    </w:p>
    <w:p w14:paraId="214E150F" w14:textId="5FF2736B" w:rsidR="00B06FE1" w:rsidRDefault="00B06FE1" w:rsidP="00BD5385">
      <w:r>
        <w:tab/>
        <w:t>Additionally, the fact that both the day and time of day</w:t>
      </w:r>
      <w:r w:rsidR="005D30B4">
        <w:t xml:space="preserve"> that the two lessons and the pre-and post-testing took place changed</w:t>
      </w:r>
      <w:r w:rsidR="00D42335">
        <w:t xml:space="preserve"> meant that it was not an entirely fair test, in part because students will work better at different points</w:t>
      </w:r>
      <w:r w:rsidR="00D66965">
        <w:t xml:space="preserve"> in the day, days in the week and weeks and the term, but also the gap, in terms of both days and hours</w:t>
      </w:r>
      <w:r w:rsidR="00510166">
        <w:t xml:space="preserve"> between students learning the material and being tested was not uniform across the pre-and post-test.</w:t>
      </w:r>
      <w:r w:rsidR="00A85EE3">
        <w:t xml:space="preserve"> Changes in topic</w:t>
      </w:r>
      <w:r w:rsidR="001A6B95">
        <w:t xml:space="preserve"> will also have had an impact, as it is conceivable that students would not have found Dunkirk and the Battle of Britain equally interesting.</w:t>
      </w:r>
      <w:r w:rsidR="00EF3127">
        <w:t xml:space="preserve"> Furthermore, the methods</w:t>
      </w:r>
      <w:r w:rsidR="00D4468B">
        <w:t xml:space="preserve"> employed by the teacher to deliver the lessons</w:t>
      </w:r>
      <w:r w:rsidR="00C65FCA">
        <w:t xml:space="preserve"> varied, however, whilst research suggests that different students will respond</w:t>
      </w:r>
      <w:r w:rsidR="00B905CA">
        <w:t xml:space="preserve"> to differently in different ways, it is also been argued that</w:t>
      </w:r>
      <w:r w:rsidR="00C55DDB">
        <w:t xml:space="preserve"> this will vary day-to-day, subject by subject, and or</w:t>
      </w:r>
      <w:r w:rsidR="00C20680">
        <w:t xml:space="preserve"> hour </w:t>
      </w:r>
      <w:r w:rsidR="00C55DDB">
        <w:t>by</w:t>
      </w:r>
      <w:r w:rsidR="00C20680">
        <w:t xml:space="preserve"> hour</w:t>
      </w:r>
      <w:r w:rsidR="005C1FB9">
        <w:t xml:space="preserve"> </w:t>
      </w:r>
      <w:sdt>
        <w:sdtPr>
          <w:id w:val="-1545442943"/>
          <w:citation/>
        </w:sdtPr>
        <w:sdtEndPr/>
        <w:sdtContent>
          <w:r w:rsidR="005C1FB9">
            <w:fldChar w:fldCharType="begin"/>
          </w:r>
          <w:r w:rsidR="005C1FB9">
            <w:instrText xml:space="preserve"> CITATION Mar19 \l 2057 </w:instrText>
          </w:r>
          <w:r w:rsidR="005C1FB9">
            <w:fldChar w:fldCharType="separate"/>
          </w:r>
          <w:r w:rsidR="005C1FB9" w:rsidRPr="005C1FB9">
            <w:rPr>
              <w:noProof/>
            </w:rPr>
            <w:t>(Caldwell, n.d.)</w:t>
          </w:r>
          <w:r w:rsidR="005C1FB9">
            <w:fldChar w:fldCharType="end"/>
          </w:r>
        </w:sdtContent>
      </w:sdt>
      <w:r w:rsidR="00F609C5">
        <w:t xml:space="preserve">; </w:t>
      </w:r>
      <w:sdt>
        <w:sdtPr>
          <w:id w:val="696359210"/>
          <w:citation/>
        </w:sdtPr>
        <w:sdtEndPr/>
        <w:sdtContent>
          <w:r w:rsidR="00F609C5">
            <w:fldChar w:fldCharType="begin"/>
          </w:r>
          <w:r w:rsidR="00F609C5">
            <w:instrText xml:space="preserve"> CITATION Coe14 \l 2057 </w:instrText>
          </w:r>
          <w:r w:rsidR="00F609C5">
            <w:fldChar w:fldCharType="separate"/>
          </w:r>
          <w:r w:rsidR="00F609C5" w:rsidRPr="00F609C5">
            <w:rPr>
              <w:noProof/>
            </w:rPr>
            <w:t>(Coe, et al., 2014)</w:t>
          </w:r>
          <w:r w:rsidR="00F609C5">
            <w:fldChar w:fldCharType="end"/>
          </w:r>
        </w:sdtContent>
      </w:sdt>
      <w:r w:rsidR="003A3AE6">
        <w:t xml:space="preserve">; </w:t>
      </w:r>
      <w:sdt>
        <w:sdtPr>
          <w:id w:val="1229190395"/>
          <w:citation/>
        </w:sdtPr>
        <w:sdtEndPr/>
        <w:sdtContent>
          <w:r w:rsidR="003A3AE6">
            <w:fldChar w:fldCharType="begin"/>
          </w:r>
          <w:r w:rsidR="003A3AE6">
            <w:instrText xml:space="preserve"> CITATION Muj18 \l 2057 </w:instrText>
          </w:r>
          <w:r w:rsidR="003A3AE6">
            <w:fldChar w:fldCharType="separate"/>
          </w:r>
          <w:r w:rsidR="003A3AE6" w:rsidRPr="003A3AE6">
            <w:rPr>
              <w:noProof/>
            </w:rPr>
            <w:t>(Mujis, 2018)</w:t>
          </w:r>
          <w:r w:rsidR="003A3AE6">
            <w:fldChar w:fldCharType="end"/>
          </w:r>
        </w:sdtContent>
      </w:sdt>
      <w:r w:rsidR="00C20680">
        <w:t>.</w:t>
      </w:r>
    </w:p>
    <w:p w14:paraId="235F687C" w14:textId="227C35B2" w:rsidR="000F1547" w:rsidRDefault="000F1547" w:rsidP="00BD5385">
      <w:r>
        <w:tab/>
      </w:r>
      <w:r w:rsidR="00AE6B4C">
        <w:t>These limitations, do not in of themselves invalidate the data,</w:t>
      </w:r>
      <w:r w:rsidR="005578EA">
        <w:t xml:space="preserve"> and certainly provide discussion points within the analysis and conclusion, as well as throwing up</w:t>
      </w:r>
      <w:r w:rsidR="007A1B94">
        <w:t xml:space="preserve"> interesting avenues for further enquiry. In some </w:t>
      </w:r>
      <w:r w:rsidR="004D4F76">
        <w:t>respects,</w:t>
      </w:r>
      <w:r w:rsidR="00100C70">
        <w:t xml:space="preserve"> one or more </w:t>
      </w:r>
      <w:r w:rsidR="007A1B94">
        <w:t>trial</w:t>
      </w:r>
      <w:r w:rsidR="005555CC">
        <w:t xml:space="preserve"> sample</w:t>
      </w:r>
      <w:r w:rsidR="00FC102C">
        <w:t>s</w:t>
      </w:r>
      <w:r w:rsidR="00A77546">
        <w:t xml:space="preserve"> should always be</w:t>
      </w:r>
      <w:r w:rsidR="00FC102C">
        <w:t xml:space="preserve"> collected</w:t>
      </w:r>
      <w:r w:rsidR="00A77546">
        <w:t xml:space="preserve"> ahead of any major</w:t>
      </w:r>
      <w:r w:rsidR="00100C70">
        <w:t xml:space="preserve"> quantitative data collection exercise,</w:t>
      </w:r>
      <w:r w:rsidR="00FC102C">
        <w:t xml:space="preserve"> two</w:t>
      </w:r>
      <w:r w:rsidR="00B9743F">
        <w:t xml:space="preserve"> help identify additional variables to consider, as well</w:t>
      </w:r>
      <w:r w:rsidR="002F4678">
        <w:t xml:space="preserve"> to provide not to hone the research methodology.</w:t>
      </w:r>
    </w:p>
    <w:p w14:paraId="5524C500" w14:textId="05ED51C1" w:rsidR="00BD5385" w:rsidRDefault="00895B85" w:rsidP="00325A8E">
      <w:pPr>
        <w:ind w:firstLine="720"/>
      </w:pPr>
      <w:r>
        <w:t>Evidently</w:t>
      </w:r>
      <w:r w:rsidR="00D34CDC">
        <w:t>, therefore, in terms of future development it would be beneficial to conduct a broader survey</w:t>
      </w:r>
      <w:r w:rsidR="00FE7D37">
        <w:t>, studying all classes within a year group, on the same topics,</w:t>
      </w:r>
      <w:r w:rsidR="00AB7037">
        <w:t xml:space="preserve"> </w:t>
      </w:r>
      <w:r w:rsidR="00AB7037">
        <w:lastRenderedPageBreak/>
        <w:t>where lessons are equally spaced (potentially utilising a one-week timetable)</w:t>
      </w:r>
      <w:r w:rsidR="00501633">
        <w:t>, with pre-and post-test topics being taught</w:t>
      </w:r>
      <w:r w:rsidR="001E244A">
        <w:t xml:space="preserve"> utilising the same teaching methods. With this it would be an interesting development, two apply</w:t>
      </w:r>
      <w:r w:rsidR="002C3D90">
        <w:t xml:space="preserve"> pre-and post-testing using three–two-one exit passes</w:t>
      </w:r>
      <w:r w:rsidR="00592E03">
        <w:t xml:space="preserve"> during lessons which have employed different teaching techniques, so as to not only</w:t>
      </w:r>
      <w:r w:rsidR="004E0C9C">
        <w:t xml:space="preserve"> investigate whether three– two–one exit tickets have an effect over an extended period,</w:t>
      </w:r>
      <w:r w:rsidR="00485BE5">
        <w:t xml:space="preserve"> but also to see whether they are more effective with particular teaching methods.</w:t>
      </w:r>
      <w:r w:rsidR="00520D31">
        <w:t xml:space="preserve"> A further area for development, would be to conduct research across a range of year groups</w:t>
      </w:r>
      <w:r w:rsidR="00850489">
        <w:t xml:space="preserve"> and or subject areas</w:t>
      </w:r>
      <w:r w:rsidR="00520D31">
        <w:t>, to</w:t>
      </w:r>
      <w:r w:rsidR="00850489">
        <w:t xml:space="preserve"> ascertain </w:t>
      </w:r>
      <w:r w:rsidR="00520D31">
        <w:t>whether three–two–one exit passes</w:t>
      </w:r>
      <w:r w:rsidR="00850489">
        <w:t xml:space="preserve"> are effective across year groups and or subject areas.</w:t>
      </w:r>
      <w:r w:rsidR="00CF2924">
        <w:t xml:space="preserve"> Clearly, in any future study it would be beneficial if the sample were larger and</w:t>
      </w:r>
      <w:r w:rsidR="00325A8E">
        <w:t xml:space="preserve"> more potential variables controlled.</w:t>
      </w:r>
      <w:r w:rsidR="009A6D43">
        <w:t xml:space="preserve"> If such a study </w:t>
      </w:r>
      <w:r w:rsidR="002108B6">
        <w:t>were to be undertaken, not only would it be able to comment upon how effective three–two–one exit tickets</w:t>
      </w:r>
      <w:r w:rsidR="00B12828">
        <w:t xml:space="preserve"> were in aiding knowledge recall, </w:t>
      </w:r>
      <w:r w:rsidR="001529DC">
        <w:t>but could also provide a scope for comment upon teacher agency</w:t>
      </w:r>
      <w:r w:rsidR="00A10215">
        <w:t xml:space="preserve"> within the learning process.</w:t>
      </w:r>
    </w:p>
    <w:p w14:paraId="7C65FD73" w14:textId="6FB928A6" w:rsidR="00011EAC" w:rsidRDefault="00011EAC" w:rsidP="00325A8E">
      <w:pPr>
        <w:ind w:firstLine="720"/>
      </w:pPr>
    </w:p>
    <w:sdt>
      <w:sdtPr>
        <w:rPr>
          <w:rFonts w:ascii="Book Antiqua" w:eastAsiaTheme="minorHAnsi" w:hAnsi="Book Antiqua" w:cstheme="minorBidi"/>
          <w:color w:val="auto"/>
          <w:sz w:val="24"/>
          <w:szCs w:val="22"/>
        </w:rPr>
        <w:id w:val="-140733474"/>
        <w:docPartObj>
          <w:docPartGallery w:val="Bibliographies"/>
          <w:docPartUnique/>
        </w:docPartObj>
      </w:sdtPr>
      <w:sdtEndPr/>
      <w:sdtContent>
        <w:p w14:paraId="7852C782" w14:textId="44EF50E0" w:rsidR="00011EAC" w:rsidRDefault="00011EAC">
          <w:pPr>
            <w:pStyle w:val="Heading1"/>
          </w:pPr>
          <w:r>
            <w:t>References</w:t>
          </w:r>
        </w:p>
        <w:sdt>
          <w:sdtPr>
            <w:id w:val="-573587230"/>
            <w:bibliography/>
          </w:sdtPr>
          <w:sdtEndPr/>
          <w:sdtContent>
            <w:p w14:paraId="7B4388D6" w14:textId="77777777" w:rsidR="00011EAC" w:rsidRDefault="00011EAC" w:rsidP="00011EAC">
              <w:pPr>
                <w:pStyle w:val="Bibliography"/>
                <w:rPr>
                  <w:noProof/>
                  <w:szCs w:val="24"/>
                </w:rPr>
              </w:pPr>
              <w:r>
                <w:fldChar w:fldCharType="begin"/>
              </w:r>
              <w:r>
                <w:instrText xml:space="preserve"> BIBLIOGRAPHY </w:instrText>
              </w:r>
              <w:r>
                <w:fldChar w:fldCharType="separate"/>
              </w:r>
              <w:r>
                <w:rPr>
                  <w:noProof/>
                </w:rPr>
                <w:t xml:space="preserve">Anon., 2014. </w:t>
              </w:r>
              <w:r>
                <w:rPr>
                  <w:i/>
                  <w:iCs/>
                  <w:noProof/>
                </w:rPr>
                <w:t xml:space="preserve">classteaching.wordpress.com. </w:t>
              </w:r>
              <w:r>
                <w:rPr>
                  <w:noProof/>
                </w:rPr>
                <w:t xml:space="preserve">[Online] </w:t>
              </w:r>
              <w:r>
                <w:rPr>
                  <w:noProof/>
                </w:rPr>
                <w:br/>
                <w:t xml:space="preserve">Available at: </w:t>
              </w:r>
              <w:r>
                <w:rPr>
                  <w:noProof/>
                  <w:u w:val="single"/>
                </w:rPr>
                <w:t>https://classteaching.wordpress.com/2014/06/12/spacing-and-interleaving/</w:t>
              </w:r>
              <w:r>
                <w:rPr>
                  <w:noProof/>
                </w:rPr>
                <w:br/>
                <w:t>[Accessed 28 03 2019].</w:t>
              </w:r>
            </w:p>
            <w:p w14:paraId="68E56DBB" w14:textId="77777777" w:rsidR="00011EAC" w:rsidRDefault="00011EAC" w:rsidP="00011EAC">
              <w:pPr>
                <w:pStyle w:val="Bibliography"/>
                <w:rPr>
                  <w:noProof/>
                </w:rPr>
              </w:pPr>
              <w:r>
                <w:rPr>
                  <w:noProof/>
                </w:rPr>
                <w:t xml:space="preserve">Atherton, C., 2018. </w:t>
              </w:r>
              <w:r>
                <w:rPr>
                  <w:i/>
                  <w:iCs/>
                  <w:noProof/>
                </w:rPr>
                <w:t xml:space="preserve">Assessment: Evidence-based Teaching for Enquiring Teachers. </w:t>
              </w:r>
              <w:r>
                <w:rPr>
                  <w:noProof/>
                </w:rPr>
                <w:t>St. Albans: Critical Publishing.</w:t>
              </w:r>
            </w:p>
            <w:p w14:paraId="44AF7FAB" w14:textId="77777777" w:rsidR="00011EAC" w:rsidRDefault="00011EAC" w:rsidP="00011EAC">
              <w:pPr>
                <w:pStyle w:val="Bibliography"/>
                <w:rPr>
                  <w:noProof/>
                </w:rPr>
              </w:pPr>
              <w:r>
                <w:rPr>
                  <w:noProof/>
                </w:rPr>
                <w:t xml:space="preserve">Black, P. &amp; Wiliam, D., 2010. Inside the Black Box: raising standards through classroom assessment. </w:t>
              </w:r>
              <w:r>
                <w:rPr>
                  <w:i/>
                  <w:iCs/>
                  <w:noProof/>
                </w:rPr>
                <w:t>Kappan Classic</w:t>
              </w:r>
              <w:r>
                <w:rPr>
                  <w:noProof/>
                </w:rPr>
                <w:t>, September, pp. 81-90.</w:t>
              </w:r>
            </w:p>
            <w:p w14:paraId="1BC189B5" w14:textId="77777777" w:rsidR="00011EAC" w:rsidRDefault="00011EAC" w:rsidP="00011EAC">
              <w:pPr>
                <w:pStyle w:val="Bibliography"/>
                <w:rPr>
                  <w:noProof/>
                </w:rPr>
              </w:pPr>
              <w:r>
                <w:rPr>
                  <w:noProof/>
                </w:rPr>
                <w:t xml:space="preserve">Burton, D. &amp; Bartlett, S., 2009. </w:t>
              </w:r>
              <w:r>
                <w:rPr>
                  <w:i/>
                  <w:iCs/>
                  <w:noProof/>
                </w:rPr>
                <w:t xml:space="preserve">Key Issues for Education Researchers. </w:t>
              </w:r>
              <w:r>
                <w:rPr>
                  <w:noProof/>
                </w:rPr>
                <w:t>London, California, New Delhi, Singapore: SAGE.</w:t>
              </w:r>
            </w:p>
            <w:p w14:paraId="6ACC9C46" w14:textId="77777777" w:rsidR="00011EAC" w:rsidRDefault="00011EAC" w:rsidP="00011EAC">
              <w:pPr>
                <w:pStyle w:val="Bibliography"/>
                <w:rPr>
                  <w:noProof/>
                </w:rPr>
              </w:pPr>
              <w:r>
                <w:rPr>
                  <w:noProof/>
                </w:rPr>
                <w:t xml:space="preserve">Butt, G., 2003. </w:t>
              </w:r>
              <w:r>
                <w:rPr>
                  <w:i/>
                  <w:iCs/>
                  <w:noProof/>
                </w:rPr>
                <w:t xml:space="preserve">Lesson Planning. </w:t>
              </w:r>
              <w:r>
                <w:rPr>
                  <w:noProof/>
                </w:rPr>
                <w:t>London: Continuum.</w:t>
              </w:r>
            </w:p>
            <w:p w14:paraId="46941A1F" w14:textId="77777777" w:rsidR="00011EAC" w:rsidRDefault="00011EAC" w:rsidP="00011EAC">
              <w:pPr>
                <w:pStyle w:val="Bibliography"/>
                <w:rPr>
                  <w:noProof/>
                </w:rPr>
              </w:pPr>
              <w:r>
                <w:rPr>
                  <w:noProof/>
                </w:rPr>
                <w:lastRenderedPageBreak/>
                <w:t xml:space="preserve">Caldwell, M., n.d. </w:t>
              </w:r>
              <w:r>
                <w:rPr>
                  <w:i/>
                  <w:iCs/>
                  <w:noProof/>
                </w:rPr>
                <w:t xml:space="preserve">Chicago Center for Teaching. </w:t>
              </w:r>
              <w:r>
                <w:rPr>
                  <w:noProof/>
                </w:rPr>
                <w:t xml:space="preserve">[Online] </w:t>
              </w:r>
              <w:r>
                <w:rPr>
                  <w:noProof/>
                </w:rPr>
                <w:br/>
                <w:t xml:space="preserve">Available at: </w:t>
              </w:r>
              <w:r>
                <w:rPr>
                  <w:noProof/>
                  <w:u w:val="single"/>
                </w:rPr>
                <w:t>https://teaching.uchicago.edu/resources/teaching-guides/how-students-learn/</w:t>
              </w:r>
              <w:r>
                <w:rPr>
                  <w:noProof/>
                </w:rPr>
                <w:br/>
                <w:t>[Accessed 28 March 2019].</w:t>
              </w:r>
            </w:p>
            <w:p w14:paraId="3ABAF84B" w14:textId="77777777" w:rsidR="00011EAC" w:rsidRDefault="00011EAC" w:rsidP="00011EAC">
              <w:pPr>
                <w:pStyle w:val="Bibliography"/>
                <w:rPr>
                  <w:noProof/>
                </w:rPr>
              </w:pPr>
              <w:r>
                <w:rPr>
                  <w:noProof/>
                </w:rPr>
                <w:t xml:space="preserve">Clarke, S., 2005. </w:t>
              </w:r>
              <w:r>
                <w:rPr>
                  <w:i/>
                  <w:iCs/>
                  <w:noProof/>
                </w:rPr>
                <w:t xml:space="preserve">Formative Assessment in the Secondary School. </w:t>
              </w:r>
              <w:r>
                <w:rPr>
                  <w:noProof/>
                </w:rPr>
                <w:t>Oxford: Hodder Murray.</w:t>
              </w:r>
            </w:p>
            <w:p w14:paraId="31D437B4" w14:textId="77777777" w:rsidR="00011EAC" w:rsidRDefault="00011EAC" w:rsidP="00011EAC">
              <w:pPr>
                <w:pStyle w:val="Bibliography"/>
                <w:rPr>
                  <w:noProof/>
                </w:rPr>
              </w:pPr>
              <w:r>
                <w:rPr>
                  <w:noProof/>
                </w:rPr>
                <w:t xml:space="preserve">Coe, R., Aloisi, C., Higgins, S. &amp; Major, L. E., 2014. </w:t>
              </w:r>
              <w:r>
                <w:rPr>
                  <w:i/>
                  <w:iCs/>
                  <w:noProof/>
                </w:rPr>
                <w:t xml:space="preserve">What Makes Great Teaching? Review of the Underpinning Research, </w:t>
              </w:r>
              <w:r>
                <w:rPr>
                  <w:noProof/>
                </w:rPr>
                <w:t>s.l.: The Sutton Trust.</w:t>
              </w:r>
            </w:p>
            <w:p w14:paraId="3569C1CB" w14:textId="77777777" w:rsidR="00011EAC" w:rsidRDefault="00011EAC" w:rsidP="00011EAC">
              <w:pPr>
                <w:pStyle w:val="Bibliography"/>
                <w:rPr>
                  <w:noProof/>
                </w:rPr>
              </w:pPr>
              <w:r>
                <w:rPr>
                  <w:noProof/>
                </w:rPr>
                <w:t xml:space="preserve">Donaldson, G., 2015. </w:t>
              </w:r>
              <w:r>
                <w:rPr>
                  <w:i/>
                  <w:iCs/>
                  <w:noProof/>
                </w:rPr>
                <w:t xml:space="preserve">Successful Futures, </w:t>
              </w:r>
              <w:r>
                <w:rPr>
                  <w:noProof/>
                </w:rPr>
                <w:t>s.l.: Welsh Assembly Government.</w:t>
              </w:r>
            </w:p>
            <w:p w14:paraId="353C5493" w14:textId="77777777" w:rsidR="00011EAC" w:rsidRDefault="00011EAC" w:rsidP="00011EAC">
              <w:pPr>
                <w:pStyle w:val="Bibliography"/>
                <w:rPr>
                  <w:noProof/>
                </w:rPr>
              </w:pPr>
              <w:r>
                <w:rPr>
                  <w:noProof/>
                </w:rPr>
                <w:t xml:space="preserve">ESTYN, 2017. </w:t>
              </w:r>
              <w:r>
                <w:rPr>
                  <w:i/>
                  <w:iCs/>
                  <w:noProof/>
                </w:rPr>
                <w:t xml:space="preserve">A Report on - School, </w:t>
              </w:r>
              <w:r>
                <w:rPr>
                  <w:noProof/>
                </w:rPr>
                <w:t>s.l.: ESTYN.</w:t>
              </w:r>
            </w:p>
            <w:p w14:paraId="66855E59" w14:textId="77777777" w:rsidR="00011EAC" w:rsidRDefault="00011EAC" w:rsidP="00011EAC">
              <w:pPr>
                <w:pStyle w:val="Bibliography"/>
                <w:rPr>
                  <w:noProof/>
                </w:rPr>
              </w:pPr>
              <w:r>
                <w:rPr>
                  <w:noProof/>
                </w:rPr>
                <w:t xml:space="preserve">Fletcher-Wood, H., 2016. </w:t>
              </w:r>
              <w:r>
                <w:rPr>
                  <w:i/>
                  <w:iCs/>
                  <w:noProof/>
                </w:rPr>
                <w:t xml:space="preserve">Improving Teaching. </w:t>
              </w:r>
              <w:r>
                <w:rPr>
                  <w:noProof/>
                </w:rPr>
                <w:t xml:space="preserve">[Online] </w:t>
              </w:r>
              <w:r>
                <w:rPr>
                  <w:noProof/>
                </w:rPr>
                <w:br/>
                <w:t xml:space="preserve">Available at: </w:t>
              </w:r>
              <w:r>
                <w:rPr>
                  <w:noProof/>
                  <w:u w:val="single"/>
                </w:rPr>
                <w:t>https://improvingteaching.co.uk/2016/04/24/exit-tickets-assess-plan/</w:t>
              </w:r>
              <w:r>
                <w:rPr>
                  <w:noProof/>
                </w:rPr>
                <w:br/>
                <w:t>[Accessed 28 February 2019].</w:t>
              </w:r>
            </w:p>
            <w:p w14:paraId="25815918" w14:textId="77777777" w:rsidR="00011EAC" w:rsidRDefault="00011EAC" w:rsidP="00011EAC">
              <w:pPr>
                <w:pStyle w:val="Bibliography"/>
                <w:rPr>
                  <w:noProof/>
                </w:rPr>
              </w:pPr>
              <w:r>
                <w:rPr>
                  <w:noProof/>
                </w:rPr>
                <w:t xml:space="preserve">Fordham, M., 2017. Thinking Makes it so: cognative psycology and history teaching. </w:t>
              </w:r>
              <w:r>
                <w:rPr>
                  <w:i/>
                  <w:iCs/>
                  <w:noProof/>
                </w:rPr>
                <w:t xml:space="preserve">Teaching History, </w:t>
              </w:r>
              <w:r>
                <w:rPr>
                  <w:noProof/>
                </w:rPr>
                <w:t>Issue 166, pp. 37-42.</w:t>
              </w:r>
            </w:p>
            <w:p w14:paraId="6E43C29C" w14:textId="77777777" w:rsidR="00011EAC" w:rsidRDefault="00011EAC" w:rsidP="00011EAC">
              <w:pPr>
                <w:pStyle w:val="Bibliography"/>
                <w:rPr>
                  <w:noProof/>
                </w:rPr>
              </w:pPr>
              <w:r>
                <w:rPr>
                  <w:noProof/>
                </w:rPr>
                <w:t xml:space="preserve">Jones, S. &amp; Tanner, H., 2003. </w:t>
              </w:r>
              <w:r>
                <w:rPr>
                  <w:i/>
                  <w:iCs/>
                  <w:noProof/>
                </w:rPr>
                <w:t xml:space="preserve">Marking and Assessment. </w:t>
              </w:r>
              <w:r>
                <w:rPr>
                  <w:noProof/>
                </w:rPr>
                <w:t>London and New York: Continuum.</w:t>
              </w:r>
            </w:p>
            <w:p w14:paraId="388DD328" w14:textId="77777777" w:rsidR="00011EAC" w:rsidRDefault="00011EAC" w:rsidP="00011EAC">
              <w:pPr>
                <w:pStyle w:val="Bibliography"/>
                <w:rPr>
                  <w:noProof/>
                </w:rPr>
              </w:pPr>
              <w:r>
                <w:rPr>
                  <w:noProof/>
                </w:rPr>
                <w:t xml:space="preserve">Lemov, D., 2015. </w:t>
              </w:r>
              <w:r>
                <w:rPr>
                  <w:i/>
                  <w:iCs/>
                  <w:noProof/>
                </w:rPr>
                <w:t xml:space="preserve">Teach Like a Champion 2.0. </w:t>
              </w:r>
              <w:r>
                <w:rPr>
                  <w:noProof/>
                </w:rPr>
                <w:t>San Francisco: Jossey-Bass.</w:t>
              </w:r>
            </w:p>
            <w:p w14:paraId="33EA825E" w14:textId="77777777" w:rsidR="00011EAC" w:rsidRDefault="00011EAC" w:rsidP="00011EAC">
              <w:pPr>
                <w:pStyle w:val="Bibliography"/>
                <w:rPr>
                  <w:noProof/>
                </w:rPr>
              </w:pPr>
              <w:r>
                <w:rPr>
                  <w:noProof/>
                </w:rPr>
                <w:t xml:space="preserve">McNiff, J., 2013. </w:t>
              </w:r>
              <w:r>
                <w:rPr>
                  <w:i/>
                  <w:iCs/>
                  <w:noProof/>
                </w:rPr>
                <w:t xml:space="preserve">Action Research: Principles and Practice. </w:t>
              </w:r>
              <w:r>
                <w:rPr>
                  <w:noProof/>
                </w:rPr>
                <w:t>Third ed. London and New York: Routledge.</w:t>
              </w:r>
            </w:p>
            <w:p w14:paraId="46982C03" w14:textId="77777777" w:rsidR="00011EAC" w:rsidRDefault="00011EAC" w:rsidP="00011EAC">
              <w:pPr>
                <w:pStyle w:val="Bibliography"/>
                <w:rPr>
                  <w:noProof/>
                </w:rPr>
              </w:pPr>
              <w:r>
                <w:rPr>
                  <w:noProof/>
                </w:rPr>
                <w:t xml:space="preserve">Mertler, C. A., 2009. </w:t>
              </w:r>
              <w:r>
                <w:rPr>
                  <w:i/>
                  <w:iCs/>
                  <w:noProof/>
                </w:rPr>
                <w:t xml:space="preserve">Action Research: Teachers as Researchers in the Classroom. </w:t>
              </w:r>
              <w:r>
                <w:rPr>
                  <w:noProof/>
                </w:rPr>
                <w:t>Second ed. Los Angeles; London; New Delhi; Singapore: Sage.</w:t>
              </w:r>
            </w:p>
            <w:p w14:paraId="56DD3D17" w14:textId="77777777" w:rsidR="00011EAC" w:rsidRDefault="00011EAC" w:rsidP="00011EAC">
              <w:pPr>
                <w:pStyle w:val="Bibliography"/>
                <w:rPr>
                  <w:noProof/>
                </w:rPr>
              </w:pPr>
              <w:r>
                <w:rPr>
                  <w:noProof/>
                </w:rPr>
                <w:t xml:space="preserve">Mills, S., n.d. </w:t>
              </w:r>
              <w:r>
                <w:rPr>
                  <w:i/>
                  <w:iCs/>
                  <w:noProof/>
                </w:rPr>
                <w:t xml:space="preserve">Study.com. </w:t>
              </w:r>
              <w:r>
                <w:rPr>
                  <w:noProof/>
                </w:rPr>
                <w:t xml:space="preserve">[Online] </w:t>
              </w:r>
              <w:r>
                <w:rPr>
                  <w:noProof/>
                </w:rPr>
                <w:br/>
                <w:t xml:space="preserve">Available at: </w:t>
              </w:r>
              <w:r>
                <w:rPr>
                  <w:noProof/>
                  <w:u w:val="single"/>
                </w:rPr>
                <w:t>https://study.com/academy/lesson/3-2-1-exit-slip-strategy.html</w:t>
              </w:r>
              <w:r>
                <w:rPr>
                  <w:noProof/>
                </w:rPr>
                <w:br/>
                <w:t>[Accessed 28 February 2019].</w:t>
              </w:r>
            </w:p>
            <w:p w14:paraId="007D7892" w14:textId="77777777" w:rsidR="00011EAC" w:rsidRDefault="00011EAC" w:rsidP="00011EAC">
              <w:pPr>
                <w:pStyle w:val="Bibliography"/>
                <w:rPr>
                  <w:noProof/>
                </w:rPr>
              </w:pPr>
              <w:r>
                <w:rPr>
                  <w:noProof/>
                </w:rPr>
                <w:lastRenderedPageBreak/>
                <w:t xml:space="preserve">Mujis, D., 2018. Theories of Learning and Inteligence. In: D. Mujis &amp; D. Reynolds, eds. </w:t>
              </w:r>
              <w:r>
                <w:rPr>
                  <w:i/>
                  <w:iCs/>
                  <w:noProof/>
                </w:rPr>
                <w:t xml:space="preserve">Effective Teaching: Evidence and Practice. </w:t>
              </w:r>
              <w:r>
                <w:rPr>
                  <w:noProof/>
                </w:rPr>
                <w:t>London; California; New Delhi; Singapore: Sage, pp. 15-35.</w:t>
              </w:r>
            </w:p>
            <w:p w14:paraId="68872B04" w14:textId="77777777" w:rsidR="00011EAC" w:rsidRDefault="00011EAC" w:rsidP="00011EAC">
              <w:pPr>
                <w:pStyle w:val="Bibliography"/>
                <w:rPr>
                  <w:noProof/>
                </w:rPr>
              </w:pPr>
              <w:r>
                <w:rPr>
                  <w:noProof/>
                </w:rPr>
                <w:t xml:space="preserve">Pope, N. G., 2016. How the time of day affects productivity:evidence from school schedules. </w:t>
              </w:r>
              <w:r>
                <w:rPr>
                  <w:i/>
                  <w:iCs/>
                  <w:noProof/>
                </w:rPr>
                <w:t xml:space="preserve">The Review of Economics and Statistics, </w:t>
              </w:r>
              <w:r>
                <w:rPr>
                  <w:noProof/>
                </w:rPr>
                <w:t>XCVIII(1), pp. 1-11.</w:t>
              </w:r>
            </w:p>
            <w:p w14:paraId="248A1837" w14:textId="77777777" w:rsidR="00011EAC" w:rsidRDefault="00011EAC" w:rsidP="00011EAC">
              <w:pPr>
                <w:pStyle w:val="Bibliography"/>
                <w:rPr>
                  <w:noProof/>
                </w:rPr>
              </w:pPr>
              <w:r>
                <w:rPr>
                  <w:noProof/>
                </w:rPr>
                <w:t xml:space="preserve">Sherwood, J., 2018. </w:t>
              </w:r>
              <w:r>
                <w:rPr>
                  <w:i/>
                  <w:iCs/>
                  <w:noProof/>
                </w:rPr>
                <w:t xml:space="preserve">SecEd. </w:t>
              </w:r>
              <w:r>
                <w:rPr>
                  <w:noProof/>
                </w:rPr>
                <w:t xml:space="preserve">[Online] </w:t>
              </w:r>
              <w:r>
                <w:rPr>
                  <w:noProof/>
                </w:rPr>
                <w:br/>
                <w:t xml:space="preserve">Available at: </w:t>
              </w:r>
              <w:r>
                <w:rPr>
                  <w:noProof/>
                  <w:u w:val="single"/>
                </w:rPr>
                <w:t>http://www.sec-ed.co.uk/best-practice/new-approaches-to-student-feedback/</w:t>
              </w:r>
              <w:r>
                <w:rPr>
                  <w:noProof/>
                </w:rPr>
                <w:br/>
                <w:t>[Accessed 28 February 2019].</w:t>
              </w:r>
            </w:p>
            <w:p w14:paraId="60CFBA2A" w14:textId="77777777" w:rsidR="00011EAC" w:rsidRDefault="00011EAC" w:rsidP="00011EAC">
              <w:pPr>
                <w:pStyle w:val="Bibliography"/>
                <w:rPr>
                  <w:noProof/>
                </w:rPr>
              </w:pPr>
              <w:r>
                <w:rPr>
                  <w:noProof/>
                </w:rPr>
                <w:t xml:space="preserve">Spendlove, D., 2015. </w:t>
              </w:r>
              <w:r>
                <w:rPr>
                  <w:i/>
                  <w:iCs/>
                  <w:noProof/>
                </w:rPr>
                <w:t xml:space="preserve">100 Ideas for Secondary Teachers: Assessment for Learning. </w:t>
              </w:r>
              <w:r>
                <w:rPr>
                  <w:noProof/>
                </w:rPr>
                <w:t>London and New York: Bloomsbury.</w:t>
              </w:r>
            </w:p>
            <w:p w14:paraId="1C25C257" w14:textId="77777777" w:rsidR="00011EAC" w:rsidRDefault="00011EAC" w:rsidP="00011EAC">
              <w:pPr>
                <w:pStyle w:val="Bibliography"/>
                <w:rPr>
                  <w:noProof/>
                </w:rPr>
              </w:pPr>
              <w:r>
                <w:rPr>
                  <w:noProof/>
                </w:rPr>
                <w:t xml:space="preserve">Steele, J., 2018. </w:t>
              </w:r>
              <w:r>
                <w:rPr>
                  <w:i/>
                  <w:iCs/>
                  <w:noProof/>
                </w:rPr>
                <w:t xml:space="preserve">Darton College. </w:t>
              </w:r>
              <w:r>
                <w:rPr>
                  <w:noProof/>
                </w:rPr>
                <w:t xml:space="preserve">[Online] </w:t>
              </w:r>
              <w:r>
                <w:rPr>
                  <w:noProof/>
                </w:rPr>
                <w:br/>
                <w:t xml:space="preserve">Available at: </w:t>
              </w:r>
              <w:r>
                <w:rPr>
                  <w:noProof/>
                  <w:u w:val="single"/>
                </w:rPr>
                <w:t>http://dartoncollege.co.uk/blog/reflecting-on-exit-tickets/</w:t>
              </w:r>
              <w:r>
                <w:rPr>
                  <w:noProof/>
                </w:rPr>
                <w:br/>
                <w:t>[Accessed 28 February 2019].</w:t>
              </w:r>
            </w:p>
            <w:p w14:paraId="6F9D385A" w14:textId="77777777" w:rsidR="00011EAC" w:rsidRDefault="00011EAC" w:rsidP="00011EAC">
              <w:pPr>
                <w:pStyle w:val="Bibliography"/>
                <w:rPr>
                  <w:noProof/>
                </w:rPr>
              </w:pPr>
              <w:r>
                <w:rPr>
                  <w:noProof/>
                </w:rPr>
                <w:t xml:space="preserve">Tarr, R., 2016. </w:t>
              </w:r>
              <w:r>
                <w:rPr>
                  <w:i/>
                  <w:iCs/>
                  <w:noProof/>
                </w:rPr>
                <w:t xml:space="preserve">A History Teaching Toolbox. </w:t>
              </w:r>
              <w:r>
                <w:rPr>
                  <w:noProof/>
                </w:rPr>
                <w:t>s.l.:s.n.</w:t>
              </w:r>
            </w:p>
            <w:p w14:paraId="7D87D019" w14:textId="77777777" w:rsidR="00011EAC" w:rsidRDefault="00011EAC" w:rsidP="00011EAC">
              <w:pPr>
                <w:pStyle w:val="Bibliography"/>
                <w:rPr>
                  <w:noProof/>
                </w:rPr>
              </w:pPr>
              <w:r>
                <w:rPr>
                  <w:noProof/>
                </w:rPr>
                <w:t xml:space="preserve">Williams, K., 2019. </w:t>
              </w:r>
              <w:r>
                <w:rPr>
                  <w:i/>
                  <w:iCs/>
                  <w:noProof/>
                </w:rPr>
                <w:t xml:space="preserve">Welsh Assembly: Plenary 08/01/2019. </w:t>
              </w:r>
              <w:r>
                <w:rPr>
                  <w:noProof/>
                </w:rPr>
                <w:t xml:space="preserve">[Online] </w:t>
              </w:r>
              <w:r>
                <w:rPr>
                  <w:noProof/>
                </w:rPr>
                <w:br/>
                <w:t xml:space="preserve">Available at: </w:t>
              </w:r>
              <w:r>
                <w:rPr>
                  <w:noProof/>
                  <w:u w:val="single"/>
                </w:rPr>
                <w:t>http://record.assembly.wales/Plenary/5409#A47585</w:t>
              </w:r>
              <w:r>
                <w:rPr>
                  <w:noProof/>
                </w:rPr>
                <w:br/>
                <w:t>[Accessed 14 01 2019].</w:t>
              </w:r>
            </w:p>
            <w:p w14:paraId="1ABCC3F5" w14:textId="71AAEA66" w:rsidR="00011EAC" w:rsidRDefault="00011EAC" w:rsidP="00011EAC">
              <w:r>
                <w:rPr>
                  <w:b/>
                  <w:bCs/>
                  <w:noProof/>
                </w:rPr>
                <w:fldChar w:fldCharType="end"/>
              </w:r>
            </w:p>
          </w:sdtContent>
        </w:sdt>
      </w:sdtContent>
    </w:sdt>
    <w:p w14:paraId="2D595C85" w14:textId="77777777" w:rsidR="00011EAC" w:rsidRPr="00BD5385" w:rsidRDefault="00011EAC" w:rsidP="00325A8E">
      <w:pPr>
        <w:ind w:firstLine="720"/>
      </w:pPr>
    </w:p>
    <w:sectPr w:rsidR="00011EAC" w:rsidRPr="00BD538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00BF08" w14:textId="77777777" w:rsidR="00196383" w:rsidRDefault="00196383" w:rsidP="002C7EAC">
      <w:pPr>
        <w:spacing w:after="0" w:line="240" w:lineRule="auto"/>
      </w:pPr>
      <w:r>
        <w:separator/>
      </w:r>
    </w:p>
  </w:endnote>
  <w:endnote w:type="continuationSeparator" w:id="0">
    <w:p w14:paraId="44FBAE38" w14:textId="77777777" w:rsidR="00196383" w:rsidRDefault="00196383" w:rsidP="002C7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3125550"/>
      <w:docPartObj>
        <w:docPartGallery w:val="Page Numbers (Bottom of Page)"/>
        <w:docPartUnique/>
      </w:docPartObj>
    </w:sdtPr>
    <w:sdtEndPr/>
    <w:sdtContent>
      <w:p w14:paraId="3895CAC5" w14:textId="7E1BFBA8" w:rsidR="002C7EAC" w:rsidRDefault="002C7EAC">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62351EB0" w14:textId="77777777" w:rsidR="002C7EAC" w:rsidRDefault="002C7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4379C0" w14:textId="77777777" w:rsidR="00196383" w:rsidRDefault="00196383" w:rsidP="002C7EAC">
      <w:pPr>
        <w:spacing w:after="0" w:line="240" w:lineRule="auto"/>
      </w:pPr>
      <w:r>
        <w:separator/>
      </w:r>
    </w:p>
  </w:footnote>
  <w:footnote w:type="continuationSeparator" w:id="0">
    <w:p w14:paraId="1F4D8978" w14:textId="77777777" w:rsidR="00196383" w:rsidRDefault="00196383" w:rsidP="002C7E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21F8F"/>
    <w:multiLevelType w:val="hybridMultilevel"/>
    <w:tmpl w:val="CEFAE0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A42F3"/>
    <w:multiLevelType w:val="hybridMultilevel"/>
    <w:tmpl w:val="B712B75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907F01"/>
    <w:multiLevelType w:val="hybridMultilevel"/>
    <w:tmpl w:val="5F584E02"/>
    <w:lvl w:ilvl="0" w:tplc="FF7E2504">
      <w:start w:val="1"/>
      <w:numFmt w:val="decimal"/>
      <w:lvlText w:val="%1."/>
      <w:lvlJc w:val="left"/>
      <w:pPr>
        <w:tabs>
          <w:tab w:val="num" w:pos="720"/>
        </w:tabs>
        <w:ind w:left="720" w:hanging="360"/>
      </w:pPr>
    </w:lvl>
    <w:lvl w:ilvl="1" w:tplc="5F30280A" w:tentative="1">
      <w:start w:val="1"/>
      <w:numFmt w:val="decimal"/>
      <w:lvlText w:val="%2."/>
      <w:lvlJc w:val="left"/>
      <w:pPr>
        <w:tabs>
          <w:tab w:val="num" w:pos="1440"/>
        </w:tabs>
        <w:ind w:left="1440" w:hanging="360"/>
      </w:pPr>
    </w:lvl>
    <w:lvl w:ilvl="2" w:tplc="58B6DB76" w:tentative="1">
      <w:start w:val="1"/>
      <w:numFmt w:val="decimal"/>
      <w:lvlText w:val="%3."/>
      <w:lvlJc w:val="left"/>
      <w:pPr>
        <w:tabs>
          <w:tab w:val="num" w:pos="2160"/>
        </w:tabs>
        <w:ind w:left="2160" w:hanging="360"/>
      </w:pPr>
    </w:lvl>
    <w:lvl w:ilvl="3" w:tplc="BB32F838" w:tentative="1">
      <w:start w:val="1"/>
      <w:numFmt w:val="decimal"/>
      <w:lvlText w:val="%4."/>
      <w:lvlJc w:val="left"/>
      <w:pPr>
        <w:tabs>
          <w:tab w:val="num" w:pos="2880"/>
        </w:tabs>
        <w:ind w:left="2880" w:hanging="360"/>
      </w:pPr>
    </w:lvl>
    <w:lvl w:ilvl="4" w:tplc="03366A50" w:tentative="1">
      <w:start w:val="1"/>
      <w:numFmt w:val="decimal"/>
      <w:lvlText w:val="%5."/>
      <w:lvlJc w:val="left"/>
      <w:pPr>
        <w:tabs>
          <w:tab w:val="num" w:pos="3600"/>
        </w:tabs>
        <w:ind w:left="3600" w:hanging="360"/>
      </w:pPr>
    </w:lvl>
    <w:lvl w:ilvl="5" w:tplc="DD3CE832" w:tentative="1">
      <w:start w:val="1"/>
      <w:numFmt w:val="decimal"/>
      <w:lvlText w:val="%6."/>
      <w:lvlJc w:val="left"/>
      <w:pPr>
        <w:tabs>
          <w:tab w:val="num" w:pos="4320"/>
        </w:tabs>
        <w:ind w:left="4320" w:hanging="360"/>
      </w:pPr>
    </w:lvl>
    <w:lvl w:ilvl="6" w:tplc="81AC418A" w:tentative="1">
      <w:start w:val="1"/>
      <w:numFmt w:val="decimal"/>
      <w:lvlText w:val="%7."/>
      <w:lvlJc w:val="left"/>
      <w:pPr>
        <w:tabs>
          <w:tab w:val="num" w:pos="5040"/>
        </w:tabs>
        <w:ind w:left="5040" w:hanging="360"/>
      </w:pPr>
    </w:lvl>
    <w:lvl w:ilvl="7" w:tplc="A21CB79C" w:tentative="1">
      <w:start w:val="1"/>
      <w:numFmt w:val="decimal"/>
      <w:lvlText w:val="%8."/>
      <w:lvlJc w:val="left"/>
      <w:pPr>
        <w:tabs>
          <w:tab w:val="num" w:pos="5760"/>
        </w:tabs>
        <w:ind w:left="5760" w:hanging="360"/>
      </w:pPr>
    </w:lvl>
    <w:lvl w:ilvl="8" w:tplc="7A1ABD80" w:tentative="1">
      <w:start w:val="1"/>
      <w:numFmt w:val="decimal"/>
      <w:lvlText w:val="%9."/>
      <w:lvlJc w:val="left"/>
      <w:pPr>
        <w:tabs>
          <w:tab w:val="num" w:pos="6480"/>
        </w:tabs>
        <w:ind w:left="6480" w:hanging="360"/>
      </w:pPr>
    </w:lvl>
  </w:abstractNum>
  <w:abstractNum w:abstractNumId="3" w15:restartNumberingAfterBreak="0">
    <w:nsid w:val="2BB912EB"/>
    <w:multiLevelType w:val="hybridMultilevel"/>
    <w:tmpl w:val="005C3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0262CB"/>
    <w:multiLevelType w:val="multilevel"/>
    <w:tmpl w:val="994A3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8F1ABD"/>
    <w:multiLevelType w:val="hybridMultilevel"/>
    <w:tmpl w:val="5F584E02"/>
    <w:lvl w:ilvl="0" w:tplc="FF7E2504">
      <w:start w:val="1"/>
      <w:numFmt w:val="decimal"/>
      <w:lvlText w:val="%1."/>
      <w:lvlJc w:val="left"/>
      <w:pPr>
        <w:tabs>
          <w:tab w:val="num" w:pos="720"/>
        </w:tabs>
        <w:ind w:left="720" w:hanging="360"/>
      </w:pPr>
    </w:lvl>
    <w:lvl w:ilvl="1" w:tplc="5F30280A" w:tentative="1">
      <w:start w:val="1"/>
      <w:numFmt w:val="decimal"/>
      <w:lvlText w:val="%2."/>
      <w:lvlJc w:val="left"/>
      <w:pPr>
        <w:tabs>
          <w:tab w:val="num" w:pos="1440"/>
        </w:tabs>
        <w:ind w:left="1440" w:hanging="360"/>
      </w:pPr>
    </w:lvl>
    <w:lvl w:ilvl="2" w:tplc="58B6DB76" w:tentative="1">
      <w:start w:val="1"/>
      <w:numFmt w:val="decimal"/>
      <w:lvlText w:val="%3."/>
      <w:lvlJc w:val="left"/>
      <w:pPr>
        <w:tabs>
          <w:tab w:val="num" w:pos="2160"/>
        </w:tabs>
        <w:ind w:left="2160" w:hanging="360"/>
      </w:pPr>
    </w:lvl>
    <w:lvl w:ilvl="3" w:tplc="BB32F838" w:tentative="1">
      <w:start w:val="1"/>
      <w:numFmt w:val="decimal"/>
      <w:lvlText w:val="%4."/>
      <w:lvlJc w:val="left"/>
      <w:pPr>
        <w:tabs>
          <w:tab w:val="num" w:pos="2880"/>
        </w:tabs>
        <w:ind w:left="2880" w:hanging="360"/>
      </w:pPr>
    </w:lvl>
    <w:lvl w:ilvl="4" w:tplc="03366A50" w:tentative="1">
      <w:start w:val="1"/>
      <w:numFmt w:val="decimal"/>
      <w:lvlText w:val="%5."/>
      <w:lvlJc w:val="left"/>
      <w:pPr>
        <w:tabs>
          <w:tab w:val="num" w:pos="3600"/>
        </w:tabs>
        <w:ind w:left="3600" w:hanging="360"/>
      </w:pPr>
    </w:lvl>
    <w:lvl w:ilvl="5" w:tplc="DD3CE832" w:tentative="1">
      <w:start w:val="1"/>
      <w:numFmt w:val="decimal"/>
      <w:lvlText w:val="%6."/>
      <w:lvlJc w:val="left"/>
      <w:pPr>
        <w:tabs>
          <w:tab w:val="num" w:pos="4320"/>
        </w:tabs>
        <w:ind w:left="4320" w:hanging="360"/>
      </w:pPr>
    </w:lvl>
    <w:lvl w:ilvl="6" w:tplc="81AC418A" w:tentative="1">
      <w:start w:val="1"/>
      <w:numFmt w:val="decimal"/>
      <w:lvlText w:val="%7."/>
      <w:lvlJc w:val="left"/>
      <w:pPr>
        <w:tabs>
          <w:tab w:val="num" w:pos="5040"/>
        </w:tabs>
        <w:ind w:left="5040" w:hanging="360"/>
      </w:pPr>
    </w:lvl>
    <w:lvl w:ilvl="7" w:tplc="A21CB79C" w:tentative="1">
      <w:start w:val="1"/>
      <w:numFmt w:val="decimal"/>
      <w:lvlText w:val="%8."/>
      <w:lvlJc w:val="left"/>
      <w:pPr>
        <w:tabs>
          <w:tab w:val="num" w:pos="5760"/>
        </w:tabs>
        <w:ind w:left="5760" w:hanging="360"/>
      </w:pPr>
    </w:lvl>
    <w:lvl w:ilvl="8" w:tplc="7A1ABD80" w:tentative="1">
      <w:start w:val="1"/>
      <w:numFmt w:val="decimal"/>
      <w:lvlText w:val="%9."/>
      <w:lvlJc w:val="left"/>
      <w:pPr>
        <w:tabs>
          <w:tab w:val="num" w:pos="6480"/>
        </w:tabs>
        <w:ind w:left="6480" w:hanging="360"/>
      </w:pPr>
    </w:lvl>
  </w:abstractNum>
  <w:abstractNum w:abstractNumId="6" w15:restartNumberingAfterBreak="0">
    <w:nsid w:val="77066A40"/>
    <w:multiLevelType w:val="hybridMultilevel"/>
    <w:tmpl w:val="CE088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6"/>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2781924-0F0D-4E7E-902A-FD798FDE6881}"/>
    <w:docVar w:name="dgnword-eventsink" w:val="2233341916736"/>
  </w:docVars>
  <w:rsids>
    <w:rsidRoot w:val="006931E4"/>
    <w:rsid w:val="00004606"/>
    <w:rsid w:val="00006FFD"/>
    <w:rsid w:val="00011EAC"/>
    <w:rsid w:val="00013566"/>
    <w:rsid w:val="00027BEF"/>
    <w:rsid w:val="000309A5"/>
    <w:rsid w:val="0004183D"/>
    <w:rsid w:val="00041CF3"/>
    <w:rsid w:val="00043AC9"/>
    <w:rsid w:val="00057858"/>
    <w:rsid w:val="00070FA3"/>
    <w:rsid w:val="00071F35"/>
    <w:rsid w:val="00075582"/>
    <w:rsid w:val="00075ACE"/>
    <w:rsid w:val="00076712"/>
    <w:rsid w:val="00077900"/>
    <w:rsid w:val="00080FEA"/>
    <w:rsid w:val="00081B0B"/>
    <w:rsid w:val="0008665E"/>
    <w:rsid w:val="00094E5F"/>
    <w:rsid w:val="000950CA"/>
    <w:rsid w:val="0009736E"/>
    <w:rsid w:val="000A20CE"/>
    <w:rsid w:val="000A331B"/>
    <w:rsid w:val="000A33C4"/>
    <w:rsid w:val="000A5433"/>
    <w:rsid w:val="000B4B32"/>
    <w:rsid w:val="000C6F2D"/>
    <w:rsid w:val="000C7A7F"/>
    <w:rsid w:val="000D1EDB"/>
    <w:rsid w:val="000D25EE"/>
    <w:rsid w:val="000D2F2D"/>
    <w:rsid w:val="000D3333"/>
    <w:rsid w:val="000D6E65"/>
    <w:rsid w:val="000E1344"/>
    <w:rsid w:val="000E56F3"/>
    <w:rsid w:val="000E7AD1"/>
    <w:rsid w:val="000F1547"/>
    <w:rsid w:val="00100C70"/>
    <w:rsid w:val="0010657C"/>
    <w:rsid w:val="001139C6"/>
    <w:rsid w:val="00134F1C"/>
    <w:rsid w:val="00135B53"/>
    <w:rsid w:val="00136CD0"/>
    <w:rsid w:val="00143009"/>
    <w:rsid w:val="001450D0"/>
    <w:rsid w:val="00145622"/>
    <w:rsid w:val="00147C25"/>
    <w:rsid w:val="00150A07"/>
    <w:rsid w:val="001529DC"/>
    <w:rsid w:val="0016715B"/>
    <w:rsid w:val="00173830"/>
    <w:rsid w:val="00175128"/>
    <w:rsid w:val="001852BC"/>
    <w:rsid w:val="00185D5B"/>
    <w:rsid w:val="00196383"/>
    <w:rsid w:val="001A4220"/>
    <w:rsid w:val="001A6B95"/>
    <w:rsid w:val="001B2623"/>
    <w:rsid w:val="001B32FD"/>
    <w:rsid w:val="001C019A"/>
    <w:rsid w:val="001C501E"/>
    <w:rsid w:val="001C5E2F"/>
    <w:rsid w:val="001C7A5A"/>
    <w:rsid w:val="001D443A"/>
    <w:rsid w:val="001E244A"/>
    <w:rsid w:val="001E630D"/>
    <w:rsid w:val="001F354E"/>
    <w:rsid w:val="001F4472"/>
    <w:rsid w:val="001F57D5"/>
    <w:rsid w:val="001F7B92"/>
    <w:rsid w:val="002005BC"/>
    <w:rsid w:val="0020353E"/>
    <w:rsid w:val="00206841"/>
    <w:rsid w:val="0020772D"/>
    <w:rsid w:val="002108B6"/>
    <w:rsid w:val="00212C10"/>
    <w:rsid w:val="00216417"/>
    <w:rsid w:val="002176C0"/>
    <w:rsid w:val="00223CC0"/>
    <w:rsid w:val="00225ABE"/>
    <w:rsid w:val="00240765"/>
    <w:rsid w:val="00246F90"/>
    <w:rsid w:val="00253A12"/>
    <w:rsid w:val="00256C65"/>
    <w:rsid w:val="00256F12"/>
    <w:rsid w:val="0026623A"/>
    <w:rsid w:val="00273DAB"/>
    <w:rsid w:val="00290E66"/>
    <w:rsid w:val="002A2344"/>
    <w:rsid w:val="002A6AFA"/>
    <w:rsid w:val="002A784A"/>
    <w:rsid w:val="002C0475"/>
    <w:rsid w:val="002C3D90"/>
    <w:rsid w:val="002C751D"/>
    <w:rsid w:val="002C7EAC"/>
    <w:rsid w:val="002D03BB"/>
    <w:rsid w:val="002E542F"/>
    <w:rsid w:val="002F0053"/>
    <w:rsid w:val="002F1DAC"/>
    <w:rsid w:val="002F30CB"/>
    <w:rsid w:val="002F4678"/>
    <w:rsid w:val="00300A3D"/>
    <w:rsid w:val="00306261"/>
    <w:rsid w:val="00307296"/>
    <w:rsid w:val="00325A8E"/>
    <w:rsid w:val="003304C4"/>
    <w:rsid w:val="00342E41"/>
    <w:rsid w:val="0034593A"/>
    <w:rsid w:val="00346407"/>
    <w:rsid w:val="00352345"/>
    <w:rsid w:val="00361729"/>
    <w:rsid w:val="0036291B"/>
    <w:rsid w:val="003661C9"/>
    <w:rsid w:val="00374D1B"/>
    <w:rsid w:val="003947F2"/>
    <w:rsid w:val="003A3AE6"/>
    <w:rsid w:val="003B1A67"/>
    <w:rsid w:val="003B3D68"/>
    <w:rsid w:val="003B54DC"/>
    <w:rsid w:val="003C0AE9"/>
    <w:rsid w:val="003C58A2"/>
    <w:rsid w:val="003C756C"/>
    <w:rsid w:val="003D7B97"/>
    <w:rsid w:val="003D7EEF"/>
    <w:rsid w:val="003F05BA"/>
    <w:rsid w:val="003F33CF"/>
    <w:rsid w:val="003F3B06"/>
    <w:rsid w:val="00403199"/>
    <w:rsid w:val="00403942"/>
    <w:rsid w:val="004205E0"/>
    <w:rsid w:val="004225BE"/>
    <w:rsid w:val="00424063"/>
    <w:rsid w:val="004272AA"/>
    <w:rsid w:val="004307D8"/>
    <w:rsid w:val="00430CB0"/>
    <w:rsid w:val="0043116A"/>
    <w:rsid w:val="004316CC"/>
    <w:rsid w:val="0044380F"/>
    <w:rsid w:val="00450CB8"/>
    <w:rsid w:val="00451E43"/>
    <w:rsid w:val="00474D1C"/>
    <w:rsid w:val="00474D60"/>
    <w:rsid w:val="00477898"/>
    <w:rsid w:val="00485BE5"/>
    <w:rsid w:val="00486C37"/>
    <w:rsid w:val="004877EA"/>
    <w:rsid w:val="00490A8D"/>
    <w:rsid w:val="004A691E"/>
    <w:rsid w:val="004A7AAC"/>
    <w:rsid w:val="004C5666"/>
    <w:rsid w:val="004D09F3"/>
    <w:rsid w:val="004D4F76"/>
    <w:rsid w:val="004E0C9C"/>
    <w:rsid w:val="004E0DEB"/>
    <w:rsid w:val="004E3400"/>
    <w:rsid w:val="004F3934"/>
    <w:rsid w:val="004F4C62"/>
    <w:rsid w:val="004F7CE4"/>
    <w:rsid w:val="00501633"/>
    <w:rsid w:val="0050301F"/>
    <w:rsid w:val="00510166"/>
    <w:rsid w:val="00510DDD"/>
    <w:rsid w:val="00510EA7"/>
    <w:rsid w:val="005167DA"/>
    <w:rsid w:val="005173A0"/>
    <w:rsid w:val="00520D31"/>
    <w:rsid w:val="00523B6E"/>
    <w:rsid w:val="00531263"/>
    <w:rsid w:val="0055172B"/>
    <w:rsid w:val="00552722"/>
    <w:rsid w:val="005555CC"/>
    <w:rsid w:val="005578EA"/>
    <w:rsid w:val="005602B0"/>
    <w:rsid w:val="00560AFF"/>
    <w:rsid w:val="00564FA6"/>
    <w:rsid w:val="005753F3"/>
    <w:rsid w:val="00580854"/>
    <w:rsid w:val="005808B3"/>
    <w:rsid w:val="00582454"/>
    <w:rsid w:val="005832C4"/>
    <w:rsid w:val="00592AD9"/>
    <w:rsid w:val="00592E03"/>
    <w:rsid w:val="0059334A"/>
    <w:rsid w:val="0059367B"/>
    <w:rsid w:val="00595371"/>
    <w:rsid w:val="00597462"/>
    <w:rsid w:val="005A520B"/>
    <w:rsid w:val="005A75F1"/>
    <w:rsid w:val="005B259D"/>
    <w:rsid w:val="005C1FB9"/>
    <w:rsid w:val="005C2597"/>
    <w:rsid w:val="005C370F"/>
    <w:rsid w:val="005C46F5"/>
    <w:rsid w:val="005C4DE7"/>
    <w:rsid w:val="005C7726"/>
    <w:rsid w:val="005D30B4"/>
    <w:rsid w:val="005E18E4"/>
    <w:rsid w:val="005E1ECE"/>
    <w:rsid w:val="005E3549"/>
    <w:rsid w:val="005E38B7"/>
    <w:rsid w:val="005F0652"/>
    <w:rsid w:val="005F22C6"/>
    <w:rsid w:val="005F3F56"/>
    <w:rsid w:val="00605BFC"/>
    <w:rsid w:val="006168C6"/>
    <w:rsid w:val="00617597"/>
    <w:rsid w:val="006204F3"/>
    <w:rsid w:val="006355B4"/>
    <w:rsid w:val="00640D00"/>
    <w:rsid w:val="00651678"/>
    <w:rsid w:val="00653695"/>
    <w:rsid w:val="00654641"/>
    <w:rsid w:val="00654720"/>
    <w:rsid w:val="006658B5"/>
    <w:rsid w:val="006714C7"/>
    <w:rsid w:val="00680157"/>
    <w:rsid w:val="006808E9"/>
    <w:rsid w:val="00686F53"/>
    <w:rsid w:val="006931E4"/>
    <w:rsid w:val="006A1E96"/>
    <w:rsid w:val="006B4C09"/>
    <w:rsid w:val="006B5822"/>
    <w:rsid w:val="006D17DC"/>
    <w:rsid w:val="006D2275"/>
    <w:rsid w:val="006D4CD1"/>
    <w:rsid w:val="006E155C"/>
    <w:rsid w:val="006E1D6D"/>
    <w:rsid w:val="006E6753"/>
    <w:rsid w:val="006F4601"/>
    <w:rsid w:val="0070578C"/>
    <w:rsid w:val="00710C1B"/>
    <w:rsid w:val="007142FE"/>
    <w:rsid w:val="00723261"/>
    <w:rsid w:val="0072378C"/>
    <w:rsid w:val="00723B06"/>
    <w:rsid w:val="007332A5"/>
    <w:rsid w:val="00734969"/>
    <w:rsid w:val="00737ACA"/>
    <w:rsid w:val="0074054A"/>
    <w:rsid w:val="007458FF"/>
    <w:rsid w:val="00746654"/>
    <w:rsid w:val="0075166E"/>
    <w:rsid w:val="00776556"/>
    <w:rsid w:val="0077712F"/>
    <w:rsid w:val="007847CE"/>
    <w:rsid w:val="007900F6"/>
    <w:rsid w:val="007A06DE"/>
    <w:rsid w:val="007A1B94"/>
    <w:rsid w:val="007C06AA"/>
    <w:rsid w:val="007C332F"/>
    <w:rsid w:val="007D05B1"/>
    <w:rsid w:val="007D5B1F"/>
    <w:rsid w:val="007D6DA7"/>
    <w:rsid w:val="007E16E6"/>
    <w:rsid w:val="007E4B80"/>
    <w:rsid w:val="007F481F"/>
    <w:rsid w:val="007F4BCB"/>
    <w:rsid w:val="007F6A07"/>
    <w:rsid w:val="008012C7"/>
    <w:rsid w:val="00814E57"/>
    <w:rsid w:val="00821A5E"/>
    <w:rsid w:val="00841D99"/>
    <w:rsid w:val="00842B55"/>
    <w:rsid w:val="00850489"/>
    <w:rsid w:val="00852336"/>
    <w:rsid w:val="008532BB"/>
    <w:rsid w:val="00867797"/>
    <w:rsid w:val="008678C9"/>
    <w:rsid w:val="00870917"/>
    <w:rsid w:val="008763C3"/>
    <w:rsid w:val="00882327"/>
    <w:rsid w:val="00891303"/>
    <w:rsid w:val="00895B85"/>
    <w:rsid w:val="008A1804"/>
    <w:rsid w:val="008A3DA3"/>
    <w:rsid w:val="008C2F20"/>
    <w:rsid w:val="008C3773"/>
    <w:rsid w:val="008C6D8B"/>
    <w:rsid w:val="008D006A"/>
    <w:rsid w:val="008D343D"/>
    <w:rsid w:val="008D469B"/>
    <w:rsid w:val="008E0325"/>
    <w:rsid w:val="008E51F5"/>
    <w:rsid w:val="008E6C55"/>
    <w:rsid w:val="008F4D6E"/>
    <w:rsid w:val="00901B48"/>
    <w:rsid w:val="009056D5"/>
    <w:rsid w:val="00912245"/>
    <w:rsid w:val="00915AED"/>
    <w:rsid w:val="00916853"/>
    <w:rsid w:val="0092199F"/>
    <w:rsid w:val="00925FEC"/>
    <w:rsid w:val="00926B20"/>
    <w:rsid w:val="00936A38"/>
    <w:rsid w:val="009375B1"/>
    <w:rsid w:val="0094490C"/>
    <w:rsid w:val="00944B6C"/>
    <w:rsid w:val="00944BD4"/>
    <w:rsid w:val="009564FA"/>
    <w:rsid w:val="009625CB"/>
    <w:rsid w:val="00970299"/>
    <w:rsid w:val="00970382"/>
    <w:rsid w:val="0097144B"/>
    <w:rsid w:val="0097334C"/>
    <w:rsid w:val="0098600F"/>
    <w:rsid w:val="009932C6"/>
    <w:rsid w:val="00993C89"/>
    <w:rsid w:val="00993D2A"/>
    <w:rsid w:val="0099433F"/>
    <w:rsid w:val="009946E7"/>
    <w:rsid w:val="0099497D"/>
    <w:rsid w:val="00996415"/>
    <w:rsid w:val="009968A0"/>
    <w:rsid w:val="00997090"/>
    <w:rsid w:val="009A1070"/>
    <w:rsid w:val="009A29C2"/>
    <w:rsid w:val="009A3DEF"/>
    <w:rsid w:val="009A4576"/>
    <w:rsid w:val="009A6D43"/>
    <w:rsid w:val="009C72C1"/>
    <w:rsid w:val="009D6542"/>
    <w:rsid w:val="009E0411"/>
    <w:rsid w:val="009E4E52"/>
    <w:rsid w:val="009E52AF"/>
    <w:rsid w:val="009F0853"/>
    <w:rsid w:val="009F1CFE"/>
    <w:rsid w:val="00A04923"/>
    <w:rsid w:val="00A10215"/>
    <w:rsid w:val="00A102EF"/>
    <w:rsid w:val="00A125B0"/>
    <w:rsid w:val="00A133A7"/>
    <w:rsid w:val="00A2259C"/>
    <w:rsid w:val="00A24C35"/>
    <w:rsid w:val="00A31187"/>
    <w:rsid w:val="00A350AF"/>
    <w:rsid w:val="00A36359"/>
    <w:rsid w:val="00A43241"/>
    <w:rsid w:val="00A44DAC"/>
    <w:rsid w:val="00A4547E"/>
    <w:rsid w:val="00A518E6"/>
    <w:rsid w:val="00A52F69"/>
    <w:rsid w:val="00A5413D"/>
    <w:rsid w:val="00A570B1"/>
    <w:rsid w:val="00A6733C"/>
    <w:rsid w:val="00A76228"/>
    <w:rsid w:val="00A76F25"/>
    <w:rsid w:val="00A77546"/>
    <w:rsid w:val="00A85EE3"/>
    <w:rsid w:val="00A93C57"/>
    <w:rsid w:val="00AA2E8D"/>
    <w:rsid w:val="00AB2C98"/>
    <w:rsid w:val="00AB3E12"/>
    <w:rsid w:val="00AB42E0"/>
    <w:rsid w:val="00AB5A0C"/>
    <w:rsid w:val="00AB6A2A"/>
    <w:rsid w:val="00AB7037"/>
    <w:rsid w:val="00AC1E10"/>
    <w:rsid w:val="00AE1D37"/>
    <w:rsid w:val="00AE48EA"/>
    <w:rsid w:val="00AE5F01"/>
    <w:rsid w:val="00AE6B4C"/>
    <w:rsid w:val="00AF2D09"/>
    <w:rsid w:val="00AF3551"/>
    <w:rsid w:val="00AF4426"/>
    <w:rsid w:val="00AF504A"/>
    <w:rsid w:val="00AF57C1"/>
    <w:rsid w:val="00AF6D7B"/>
    <w:rsid w:val="00B05414"/>
    <w:rsid w:val="00B06FE1"/>
    <w:rsid w:val="00B0736A"/>
    <w:rsid w:val="00B12828"/>
    <w:rsid w:val="00B13AF7"/>
    <w:rsid w:val="00B16B8D"/>
    <w:rsid w:val="00B17A9D"/>
    <w:rsid w:val="00B203A4"/>
    <w:rsid w:val="00B208EB"/>
    <w:rsid w:val="00B23404"/>
    <w:rsid w:val="00B2685E"/>
    <w:rsid w:val="00B31C2F"/>
    <w:rsid w:val="00B36851"/>
    <w:rsid w:val="00B37423"/>
    <w:rsid w:val="00B443BC"/>
    <w:rsid w:val="00B560D7"/>
    <w:rsid w:val="00B623D6"/>
    <w:rsid w:val="00B63C57"/>
    <w:rsid w:val="00B64E5B"/>
    <w:rsid w:val="00B650C4"/>
    <w:rsid w:val="00B719CF"/>
    <w:rsid w:val="00B7356C"/>
    <w:rsid w:val="00B74D54"/>
    <w:rsid w:val="00B80C44"/>
    <w:rsid w:val="00B8136A"/>
    <w:rsid w:val="00B85DCC"/>
    <w:rsid w:val="00B905CA"/>
    <w:rsid w:val="00B92D3B"/>
    <w:rsid w:val="00B9539D"/>
    <w:rsid w:val="00B96B60"/>
    <w:rsid w:val="00B9743F"/>
    <w:rsid w:val="00BA0673"/>
    <w:rsid w:val="00BA2A31"/>
    <w:rsid w:val="00BA58EA"/>
    <w:rsid w:val="00BA6212"/>
    <w:rsid w:val="00BB0177"/>
    <w:rsid w:val="00BB666B"/>
    <w:rsid w:val="00BC0CE8"/>
    <w:rsid w:val="00BC21DA"/>
    <w:rsid w:val="00BC786A"/>
    <w:rsid w:val="00BD4820"/>
    <w:rsid w:val="00BD5385"/>
    <w:rsid w:val="00BD7032"/>
    <w:rsid w:val="00BE7557"/>
    <w:rsid w:val="00BF290C"/>
    <w:rsid w:val="00BF661F"/>
    <w:rsid w:val="00C03DA5"/>
    <w:rsid w:val="00C20680"/>
    <w:rsid w:val="00C25388"/>
    <w:rsid w:val="00C25BE7"/>
    <w:rsid w:val="00C26863"/>
    <w:rsid w:val="00C26FA1"/>
    <w:rsid w:val="00C3339A"/>
    <w:rsid w:val="00C514B7"/>
    <w:rsid w:val="00C55DDB"/>
    <w:rsid w:val="00C560DA"/>
    <w:rsid w:val="00C65FCA"/>
    <w:rsid w:val="00C675EC"/>
    <w:rsid w:val="00C678C5"/>
    <w:rsid w:val="00C71A2A"/>
    <w:rsid w:val="00C7336A"/>
    <w:rsid w:val="00C73E75"/>
    <w:rsid w:val="00C73ED2"/>
    <w:rsid w:val="00C7723F"/>
    <w:rsid w:val="00C807D6"/>
    <w:rsid w:val="00C827E6"/>
    <w:rsid w:val="00C858A3"/>
    <w:rsid w:val="00C871B4"/>
    <w:rsid w:val="00C92825"/>
    <w:rsid w:val="00CB03ED"/>
    <w:rsid w:val="00CB1A4B"/>
    <w:rsid w:val="00CC2921"/>
    <w:rsid w:val="00CC741B"/>
    <w:rsid w:val="00CD78BF"/>
    <w:rsid w:val="00CE16B3"/>
    <w:rsid w:val="00CE52CE"/>
    <w:rsid w:val="00CF2924"/>
    <w:rsid w:val="00CF2B71"/>
    <w:rsid w:val="00D02B3F"/>
    <w:rsid w:val="00D10E0C"/>
    <w:rsid w:val="00D145F4"/>
    <w:rsid w:val="00D15220"/>
    <w:rsid w:val="00D26699"/>
    <w:rsid w:val="00D34CDC"/>
    <w:rsid w:val="00D35363"/>
    <w:rsid w:val="00D42335"/>
    <w:rsid w:val="00D42368"/>
    <w:rsid w:val="00D435E7"/>
    <w:rsid w:val="00D4468B"/>
    <w:rsid w:val="00D45F58"/>
    <w:rsid w:val="00D571D7"/>
    <w:rsid w:val="00D66965"/>
    <w:rsid w:val="00D753E3"/>
    <w:rsid w:val="00D76926"/>
    <w:rsid w:val="00D80D5A"/>
    <w:rsid w:val="00DA2745"/>
    <w:rsid w:val="00DB098D"/>
    <w:rsid w:val="00DB5B34"/>
    <w:rsid w:val="00DB5FF2"/>
    <w:rsid w:val="00DB6636"/>
    <w:rsid w:val="00DB7EB6"/>
    <w:rsid w:val="00DD3200"/>
    <w:rsid w:val="00DE13B1"/>
    <w:rsid w:val="00DE1E38"/>
    <w:rsid w:val="00DE4B44"/>
    <w:rsid w:val="00DE63A7"/>
    <w:rsid w:val="00DE692B"/>
    <w:rsid w:val="00DF15EF"/>
    <w:rsid w:val="00E0427D"/>
    <w:rsid w:val="00E06A34"/>
    <w:rsid w:val="00E1713C"/>
    <w:rsid w:val="00E20B00"/>
    <w:rsid w:val="00E30DA0"/>
    <w:rsid w:val="00E31EC5"/>
    <w:rsid w:val="00E32F66"/>
    <w:rsid w:val="00E45534"/>
    <w:rsid w:val="00E4651C"/>
    <w:rsid w:val="00E478CD"/>
    <w:rsid w:val="00E5366C"/>
    <w:rsid w:val="00E547EB"/>
    <w:rsid w:val="00E549E4"/>
    <w:rsid w:val="00E5577F"/>
    <w:rsid w:val="00E56E15"/>
    <w:rsid w:val="00E57BE4"/>
    <w:rsid w:val="00E61D41"/>
    <w:rsid w:val="00E9173D"/>
    <w:rsid w:val="00EA0A44"/>
    <w:rsid w:val="00EA1D14"/>
    <w:rsid w:val="00EA4A28"/>
    <w:rsid w:val="00EC4B1A"/>
    <w:rsid w:val="00EC73CD"/>
    <w:rsid w:val="00ED5E85"/>
    <w:rsid w:val="00ED7EDB"/>
    <w:rsid w:val="00EE1AD0"/>
    <w:rsid w:val="00EE2C59"/>
    <w:rsid w:val="00EE3D49"/>
    <w:rsid w:val="00EE4A4C"/>
    <w:rsid w:val="00EE5934"/>
    <w:rsid w:val="00EF06D3"/>
    <w:rsid w:val="00EF0CFB"/>
    <w:rsid w:val="00EF3127"/>
    <w:rsid w:val="00EF7FA6"/>
    <w:rsid w:val="00F01489"/>
    <w:rsid w:val="00F103BC"/>
    <w:rsid w:val="00F12B97"/>
    <w:rsid w:val="00F20E2F"/>
    <w:rsid w:val="00F24FE5"/>
    <w:rsid w:val="00F26FA4"/>
    <w:rsid w:val="00F2770F"/>
    <w:rsid w:val="00F313A5"/>
    <w:rsid w:val="00F41EC6"/>
    <w:rsid w:val="00F50FEC"/>
    <w:rsid w:val="00F529F6"/>
    <w:rsid w:val="00F609C5"/>
    <w:rsid w:val="00F66284"/>
    <w:rsid w:val="00F66914"/>
    <w:rsid w:val="00F86B40"/>
    <w:rsid w:val="00F97CAE"/>
    <w:rsid w:val="00FC102C"/>
    <w:rsid w:val="00FC2F3D"/>
    <w:rsid w:val="00FC4846"/>
    <w:rsid w:val="00FD1CEA"/>
    <w:rsid w:val="00FD1CF2"/>
    <w:rsid w:val="00FD6AE7"/>
    <w:rsid w:val="00FE169C"/>
    <w:rsid w:val="00FE4E37"/>
    <w:rsid w:val="00FE7D37"/>
    <w:rsid w:val="00FF0E1C"/>
    <w:rsid w:val="00FF259E"/>
    <w:rsid w:val="00FF2962"/>
    <w:rsid w:val="00FF2BBD"/>
    <w:rsid w:val="00FF6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8324A"/>
  <w15:chartTrackingRefBased/>
  <w15:docId w15:val="{29A13126-8CC9-4F31-98BD-74D6B668E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13D"/>
    <w:pPr>
      <w:spacing w:line="360" w:lineRule="auto"/>
      <w:jc w:val="both"/>
    </w:pPr>
    <w:rPr>
      <w:rFonts w:ascii="Book Antiqua" w:hAnsi="Book Antiqua"/>
      <w:sz w:val="24"/>
    </w:rPr>
  </w:style>
  <w:style w:type="paragraph" w:styleId="Heading1">
    <w:name w:val="heading 1"/>
    <w:basedOn w:val="Normal"/>
    <w:next w:val="Normal"/>
    <w:link w:val="Heading1Char"/>
    <w:uiPriority w:val="9"/>
    <w:qFormat/>
    <w:rsid w:val="006931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78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26FA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31E4"/>
    <w:pPr>
      <w:spacing w:after="0" w:line="240" w:lineRule="auto"/>
      <w:contextualSpacing/>
      <w:jc w:val="center"/>
    </w:pPr>
    <w:rPr>
      <w:rFonts w:asciiTheme="majorHAnsi" w:eastAsiaTheme="majorEastAsia" w:hAnsiTheme="majorHAnsi" w:cstheme="majorBidi"/>
      <w:spacing w:val="-10"/>
      <w:kern w:val="28"/>
      <w:sz w:val="56"/>
      <w:szCs w:val="56"/>
      <w:u w:val="single"/>
    </w:rPr>
  </w:style>
  <w:style w:type="character" w:customStyle="1" w:styleId="TitleChar">
    <w:name w:val="Title Char"/>
    <w:basedOn w:val="DefaultParagraphFont"/>
    <w:link w:val="Title"/>
    <w:uiPriority w:val="10"/>
    <w:rsid w:val="006931E4"/>
    <w:rPr>
      <w:rFonts w:asciiTheme="majorHAnsi" w:eastAsiaTheme="majorEastAsia" w:hAnsiTheme="majorHAnsi" w:cstheme="majorBidi"/>
      <w:spacing w:val="-10"/>
      <w:kern w:val="28"/>
      <w:sz w:val="56"/>
      <w:szCs w:val="56"/>
      <w:u w:val="single"/>
    </w:rPr>
  </w:style>
  <w:style w:type="character" w:customStyle="1" w:styleId="Heading1Char">
    <w:name w:val="Heading 1 Char"/>
    <w:basedOn w:val="DefaultParagraphFont"/>
    <w:link w:val="Heading1"/>
    <w:uiPriority w:val="9"/>
    <w:rsid w:val="006931E4"/>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AB5A0C"/>
  </w:style>
  <w:style w:type="character" w:customStyle="1" w:styleId="eop">
    <w:name w:val="eop"/>
    <w:basedOn w:val="DefaultParagraphFont"/>
    <w:rsid w:val="00F66914"/>
  </w:style>
  <w:style w:type="character" w:styleId="CommentReference">
    <w:name w:val="annotation reference"/>
    <w:basedOn w:val="DefaultParagraphFont"/>
    <w:uiPriority w:val="99"/>
    <w:semiHidden/>
    <w:unhideWhenUsed/>
    <w:rsid w:val="008C2F20"/>
    <w:rPr>
      <w:sz w:val="16"/>
      <w:szCs w:val="16"/>
    </w:rPr>
  </w:style>
  <w:style w:type="paragraph" w:styleId="CommentText">
    <w:name w:val="annotation text"/>
    <w:basedOn w:val="Normal"/>
    <w:link w:val="CommentTextChar"/>
    <w:uiPriority w:val="99"/>
    <w:semiHidden/>
    <w:unhideWhenUsed/>
    <w:rsid w:val="008C2F20"/>
    <w:pPr>
      <w:spacing w:line="240" w:lineRule="auto"/>
    </w:pPr>
    <w:rPr>
      <w:sz w:val="20"/>
      <w:szCs w:val="20"/>
    </w:rPr>
  </w:style>
  <w:style w:type="character" w:customStyle="1" w:styleId="CommentTextChar">
    <w:name w:val="Comment Text Char"/>
    <w:basedOn w:val="DefaultParagraphFont"/>
    <w:link w:val="CommentText"/>
    <w:uiPriority w:val="99"/>
    <w:semiHidden/>
    <w:rsid w:val="008C2F20"/>
    <w:rPr>
      <w:rFonts w:ascii="Book Antiqua" w:hAnsi="Book Antiqua"/>
      <w:sz w:val="20"/>
      <w:szCs w:val="20"/>
    </w:rPr>
  </w:style>
  <w:style w:type="paragraph" w:styleId="CommentSubject">
    <w:name w:val="annotation subject"/>
    <w:basedOn w:val="CommentText"/>
    <w:next w:val="CommentText"/>
    <w:link w:val="CommentSubjectChar"/>
    <w:uiPriority w:val="99"/>
    <w:semiHidden/>
    <w:unhideWhenUsed/>
    <w:rsid w:val="008C2F20"/>
    <w:rPr>
      <w:b/>
      <w:bCs/>
    </w:rPr>
  </w:style>
  <w:style w:type="character" w:customStyle="1" w:styleId="CommentSubjectChar">
    <w:name w:val="Comment Subject Char"/>
    <w:basedOn w:val="CommentTextChar"/>
    <w:link w:val="CommentSubject"/>
    <w:uiPriority w:val="99"/>
    <w:semiHidden/>
    <w:rsid w:val="008C2F20"/>
    <w:rPr>
      <w:rFonts w:ascii="Book Antiqua" w:hAnsi="Book Antiqua"/>
      <w:b/>
      <w:bCs/>
      <w:sz w:val="20"/>
      <w:szCs w:val="20"/>
    </w:rPr>
  </w:style>
  <w:style w:type="paragraph" w:styleId="BalloonText">
    <w:name w:val="Balloon Text"/>
    <w:basedOn w:val="Normal"/>
    <w:link w:val="BalloonTextChar"/>
    <w:uiPriority w:val="99"/>
    <w:semiHidden/>
    <w:unhideWhenUsed/>
    <w:rsid w:val="008C2F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2F20"/>
    <w:rPr>
      <w:rFonts w:ascii="Segoe UI" w:hAnsi="Segoe UI" w:cs="Segoe UI"/>
      <w:sz w:val="18"/>
      <w:szCs w:val="18"/>
    </w:rPr>
  </w:style>
  <w:style w:type="paragraph" w:customStyle="1" w:styleId="paragraph">
    <w:name w:val="paragraph"/>
    <w:basedOn w:val="Normal"/>
    <w:rsid w:val="00A133A7"/>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contextualspellingandgrammarerror">
    <w:name w:val="contextualspellingandgrammarerror"/>
    <w:basedOn w:val="DefaultParagraphFont"/>
    <w:rsid w:val="00DB7EB6"/>
  </w:style>
  <w:style w:type="character" w:customStyle="1" w:styleId="spellingerror">
    <w:name w:val="spellingerror"/>
    <w:basedOn w:val="DefaultParagraphFont"/>
    <w:rsid w:val="002C0475"/>
  </w:style>
  <w:style w:type="paragraph" w:styleId="ListParagraph">
    <w:name w:val="List Paragraph"/>
    <w:basedOn w:val="Normal"/>
    <w:uiPriority w:val="34"/>
    <w:qFormat/>
    <w:rsid w:val="00A44DAC"/>
    <w:pPr>
      <w:ind w:left="720"/>
      <w:contextualSpacing/>
    </w:pPr>
  </w:style>
  <w:style w:type="character" w:customStyle="1" w:styleId="Heading2Char">
    <w:name w:val="Heading 2 Char"/>
    <w:basedOn w:val="DefaultParagraphFont"/>
    <w:link w:val="Heading2"/>
    <w:uiPriority w:val="9"/>
    <w:rsid w:val="008678C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nhideWhenUsed/>
    <w:rsid w:val="002C7EAC"/>
    <w:pPr>
      <w:tabs>
        <w:tab w:val="center" w:pos="4513"/>
        <w:tab w:val="right" w:pos="9026"/>
      </w:tabs>
      <w:spacing w:after="0" w:line="240" w:lineRule="auto"/>
    </w:pPr>
  </w:style>
  <w:style w:type="character" w:customStyle="1" w:styleId="HeaderChar">
    <w:name w:val="Header Char"/>
    <w:basedOn w:val="DefaultParagraphFont"/>
    <w:link w:val="Header"/>
    <w:rsid w:val="002C7EAC"/>
    <w:rPr>
      <w:rFonts w:ascii="Book Antiqua" w:hAnsi="Book Antiqua"/>
      <w:sz w:val="24"/>
    </w:rPr>
  </w:style>
  <w:style w:type="paragraph" w:styleId="Footer">
    <w:name w:val="footer"/>
    <w:basedOn w:val="Normal"/>
    <w:link w:val="FooterChar"/>
    <w:uiPriority w:val="99"/>
    <w:unhideWhenUsed/>
    <w:rsid w:val="002C7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EAC"/>
    <w:rPr>
      <w:rFonts w:ascii="Book Antiqua" w:hAnsi="Book Antiqua"/>
      <w:sz w:val="24"/>
    </w:rPr>
  </w:style>
  <w:style w:type="paragraph" w:styleId="Bibliography">
    <w:name w:val="Bibliography"/>
    <w:basedOn w:val="Normal"/>
    <w:next w:val="Normal"/>
    <w:uiPriority w:val="37"/>
    <w:unhideWhenUsed/>
    <w:rsid w:val="00011EAC"/>
  </w:style>
  <w:style w:type="character" w:customStyle="1" w:styleId="Heading4Char">
    <w:name w:val="Heading 4 Char"/>
    <w:basedOn w:val="DefaultParagraphFont"/>
    <w:link w:val="Heading4"/>
    <w:uiPriority w:val="9"/>
    <w:semiHidden/>
    <w:rsid w:val="00C26FA1"/>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rsid w:val="00C26FA1"/>
    <w:pPr>
      <w:spacing w:before="100" w:after="100" w:line="240" w:lineRule="auto"/>
      <w:jc w:val="left"/>
    </w:pPr>
    <w:rPr>
      <w:rFonts w:ascii="Times New Roman" w:eastAsia="Times New Roman" w:hAnsi="Times New Roma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0829">
      <w:bodyDiv w:val="1"/>
      <w:marLeft w:val="0"/>
      <w:marRight w:val="0"/>
      <w:marTop w:val="0"/>
      <w:marBottom w:val="0"/>
      <w:divBdr>
        <w:top w:val="none" w:sz="0" w:space="0" w:color="auto"/>
        <w:left w:val="none" w:sz="0" w:space="0" w:color="auto"/>
        <w:bottom w:val="none" w:sz="0" w:space="0" w:color="auto"/>
        <w:right w:val="none" w:sz="0" w:space="0" w:color="auto"/>
      </w:divBdr>
    </w:div>
    <w:div w:id="10304007">
      <w:bodyDiv w:val="1"/>
      <w:marLeft w:val="0"/>
      <w:marRight w:val="0"/>
      <w:marTop w:val="0"/>
      <w:marBottom w:val="0"/>
      <w:divBdr>
        <w:top w:val="none" w:sz="0" w:space="0" w:color="auto"/>
        <w:left w:val="none" w:sz="0" w:space="0" w:color="auto"/>
        <w:bottom w:val="none" w:sz="0" w:space="0" w:color="auto"/>
        <w:right w:val="none" w:sz="0" w:space="0" w:color="auto"/>
      </w:divBdr>
    </w:div>
    <w:div w:id="10761309">
      <w:bodyDiv w:val="1"/>
      <w:marLeft w:val="0"/>
      <w:marRight w:val="0"/>
      <w:marTop w:val="0"/>
      <w:marBottom w:val="0"/>
      <w:divBdr>
        <w:top w:val="none" w:sz="0" w:space="0" w:color="auto"/>
        <w:left w:val="none" w:sz="0" w:space="0" w:color="auto"/>
        <w:bottom w:val="none" w:sz="0" w:space="0" w:color="auto"/>
        <w:right w:val="none" w:sz="0" w:space="0" w:color="auto"/>
      </w:divBdr>
    </w:div>
    <w:div w:id="95449069">
      <w:bodyDiv w:val="1"/>
      <w:marLeft w:val="0"/>
      <w:marRight w:val="0"/>
      <w:marTop w:val="0"/>
      <w:marBottom w:val="0"/>
      <w:divBdr>
        <w:top w:val="none" w:sz="0" w:space="0" w:color="auto"/>
        <w:left w:val="none" w:sz="0" w:space="0" w:color="auto"/>
        <w:bottom w:val="none" w:sz="0" w:space="0" w:color="auto"/>
        <w:right w:val="none" w:sz="0" w:space="0" w:color="auto"/>
      </w:divBdr>
    </w:div>
    <w:div w:id="101844079">
      <w:bodyDiv w:val="1"/>
      <w:marLeft w:val="0"/>
      <w:marRight w:val="0"/>
      <w:marTop w:val="0"/>
      <w:marBottom w:val="0"/>
      <w:divBdr>
        <w:top w:val="none" w:sz="0" w:space="0" w:color="auto"/>
        <w:left w:val="none" w:sz="0" w:space="0" w:color="auto"/>
        <w:bottom w:val="none" w:sz="0" w:space="0" w:color="auto"/>
        <w:right w:val="none" w:sz="0" w:space="0" w:color="auto"/>
      </w:divBdr>
    </w:div>
    <w:div w:id="169419083">
      <w:bodyDiv w:val="1"/>
      <w:marLeft w:val="0"/>
      <w:marRight w:val="0"/>
      <w:marTop w:val="0"/>
      <w:marBottom w:val="0"/>
      <w:divBdr>
        <w:top w:val="none" w:sz="0" w:space="0" w:color="auto"/>
        <w:left w:val="none" w:sz="0" w:space="0" w:color="auto"/>
        <w:bottom w:val="none" w:sz="0" w:space="0" w:color="auto"/>
        <w:right w:val="none" w:sz="0" w:space="0" w:color="auto"/>
      </w:divBdr>
    </w:div>
    <w:div w:id="177741118">
      <w:bodyDiv w:val="1"/>
      <w:marLeft w:val="0"/>
      <w:marRight w:val="0"/>
      <w:marTop w:val="0"/>
      <w:marBottom w:val="0"/>
      <w:divBdr>
        <w:top w:val="none" w:sz="0" w:space="0" w:color="auto"/>
        <w:left w:val="none" w:sz="0" w:space="0" w:color="auto"/>
        <w:bottom w:val="none" w:sz="0" w:space="0" w:color="auto"/>
        <w:right w:val="none" w:sz="0" w:space="0" w:color="auto"/>
      </w:divBdr>
      <w:divsChild>
        <w:div w:id="1462528382">
          <w:marLeft w:val="0"/>
          <w:marRight w:val="0"/>
          <w:marTop w:val="0"/>
          <w:marBottom w:val="0"/>
          <w:divBdr>
            <w:top w:val="none" w:sz="0" w:space="0" w:color="auto"/>
            <w:left w:val="none" w:sz="0" w:space="0" w:color="auto"/>
            <w:bottom w:val="none" w:sz="0" w:space="0" w:color="auto"/>
            <w:right w:val="none" w:sz="0" w:space="0" w:color="auto"/>
          </w:divBdr>
        </w:div>
        <w:div w:id="1077903269">
          <w:marLeft w:val="0"/>
          <w:marRight w:val="0"/>
          <w:marTop w:val="0"/>
          <w:marBottom w:val="0"/>
          <w:divBdr>
            <w:top w:val="none" w:sz="0" w:space="0" w:color="auto"/>
            <w:left w:val="none" w:sz="0" w:space="0" w:color="auto"/>
            <w:bottom w:val="none" w:sz="0" w:space="0" w:color="auto"/>
            <w:right w:val="none" w:sz="0" w:space="0" w:color="auto"/>
          </w:divBdr>
        </w:div>
      </w:divsChild>
    </w:div>
    <w:div w:id="185413671">
      <w:bodyDiv w:val="1"/>
      <w:marLeft w:val="0"/>
      <w:marRight w:val="0"/>
      <w:marTop w:val="0"/>
      <w:marBottom w:val="0"/>
      <w:divBdr>
        <w:top w:val="none" w:sz="0" w:space="0" w:color="auto"/>
        <w:left w:val="none" w:sz="0" w:space="0" w:color="auto"/>
        <w:bottom w:val="none" w:sz="0" w:space="0" w:color="auto"/>
        <w:right w:val="none" w:sz="0" w:space="0" w:color="auto"/>
      </w:divBdr>
    </w:div>
    <w:div w:id="202718255">
      <w:bodyDiv w:val="1"/>
      <w:marLeft w:val="0"/>
      <w:marRight w:val="0"/>
      <w:marTop w:val="0"/>
      <w:marBottom w:val="0"/>
      <w:divBdr>
        <w:top w:val="none" w:sz="0" w:space="0" w:color="auto"/>
        <w:left w:val="none" w:sz="0" w:space="0" w:color="auto"/>
        <w:bottom w:val="none" w:sz="0" w:space="0" w:color="auto"/>
        <w:right w:val="none" w:sz="0" w:space="0" w:color="auto"/>
      </w:divBdr>
    </w:div>
    <w:div w:id="203758584">
      <w:bodyDiv w:val="1"/>
      <w:marLeft w:val="0"/>
      <w:marRight w:val="0"/>
      <w:marTop w:val="0"/>
      <w:marBottom w:val="0"/>
      <w:divBdr>
        <w:top w:val="none" w:sz="0" w:space="0" w:color="auto"/>
        <w:left w:val="none" w:sz="0" w:space="0" w:color="auto"/>
        <w:bottom w:val="none" w:sz="0" w:space="0" w:color="auto"/>
        <w:right w:val="none" w:sz="0" w:space="0" w:color="auto"/>
      </w:divBdr>
    </w:div>
    <w:div w:id="267469442">
      <w:bodyDiv w:val="1"/>
      <w:marLeft w:val="0"/>
      <w:marRight w:val="0"/>
      <w:marTop w:val="0"/>
      <w:marBottom w:val="0"/>
      <w:divBdr>
        <w:top w:val="none" w:sz="0" w:space="0" w:color="auto"/>
        <w:left w:val="none" w:sz="0" w:space="0" w:color="auto"/>
        <w:bottom w:val="none" w:sz="0" w:space="0" w:color="auto"/>
        <w:right w:val="none" w:sz="0" w:space="0" w:color="auto"/>
      </w:divBdr>
    </w:div>
    <w:div w:id="290746509">
      <w:bodyDiv w:val="1"/>
      <w:marLeft w:val="0"/>
      <w:marRight w:val="0"/>
      <w:marTop w:val="0"/>
      <w:marBottom w:val="0"/>
      <w:divBdr>
        <w:top w:val="none" w:sz="0" w:space="0" w:color="auto"/>
        <w:left w:val="none" w:sz="0" w:space="0" w:color="auto"/>
        <w:bottom w:val="none" w:sz="0" w:space="0" w:color="auto"/>
        <w:right w:val="none" w:sz="0" w:space="0" w:color="auto"/>
      </w:divBdr>
    </w:div>
    <w:div w:id="339888504">
      <w:bodyDiv w:val="1"/>
      <w:marLeft w:val="0"/>
      <w:marRight w:val="0"/>
      <w:marTop w:val="0"/>
      <w:marBottom w:val="0"/>
      <w:divBdr>
        <w:top w:val="none" w:sz="0" w:space="0" w:color="auto"/>
        <w:left w:val="none" w:sz="0" w:space="0" w:color="auto"/>
        <w:bottom w:val="none" w:sz="0" w:space="0" w:color="auto"/>
        <w:right w:val="none" w:sz="0" w:space="0" w:color="auto"/>
      </w:divBdr>
      <w:divsChild>
        <w:div w:id="1306668242">
          <w:marLeft w:val="360"/>
          <w:marRight w:val="0"/>
          <w:marTop w:val="0"/>
          <w:marBottom w:val="0"/>
          <w:divBdr>
            <w:top w:val="none" w:sz="0" w:space="0" w:color="auto"/>
            <w:left w:val="none" w:sz="0" w:space="0" w:color="auto"/>
            <w:bottom w:val="none" w:sz="0" w:space="0" w:color="auto"/>
            <w:right w:val="none" w:sz="0" w:space="0" w:color="auto"/>
          </w:divBdr>
        </w:div>
      </w:divsChild>
    </w:div>
    <w:div w:id="379984319">
      <w:bodyDiv w:val="1"/>
      <w:marLeft w:val="0"/>
      <w:marRight w:val="0"/>
      <w:marTop w:val="0"/>
      <w:marBottom w:val="0"/>
      <w:divBdr>
        <w:top w:val="none" w:sz="0" w:space="0" w:color="auto"/>
        <w:left w:val="none" w:sz="0" w:space="0" w:color="auto"/>
        <w:bottom w:val="none" w:sz="0" w:space="0" w:color="auto"/>
        <w:right w:val="none" w:sz="0" w:space="0" w:color="auto"/>
      </w:divBdr>
    </w:div>
    <w:div w:id="391781012">
      <w:bodyDiv w:val="1"/>
      <w:marLeft w:val="0"/>
      <w:marRight w:val="0"/>
      <w:marTop w:val="0"/>
      <w:marBottom w:val="0"/>
      <w:divBdr>
        <w:top w:val="none" w:sz="0" w:space="0" w:color="auto"/>
        <w:left w:val="none" w:sz="0" w:space="0" w:color="auto"/>
        <w:bottom w:val="none" w:sz="0" w:space="0" w:color="auto"/>
        <w:right w:val="none" w:sz="0" w:space="0" w:color="auto"/>
      </w:divBdr>
    </w:div>
    <w:div w:id="404109038">
      <w:bodyDiv w:val="1"/>
      <w:marLeft w:val="0"/>
      <w:marRight w:val="0"/>
      <w:marTop w:val="0"/>
      <w:marBottom w:val="0"/>
      <w:divBdr>
        <w:top w:val="none" w:sz="0" w:space="0" w:color="auto"/>
        <w:left w:val="none" w:sz="0" w:space="0" w:color="auto"/>
        <w:bottom w:val="none" w:sz="0" w:space="0" w:color="auto"/>
        <w:right w:val="none" w:sz="0" w:space="0" w:color="auto"/>
      </w:divBdr>
    </w:div>
    <w:div w:id="454833171">
      <w:bodyDiv w:val="1"/>
      <w:marLeft w:val="0"/>
      <w:marRight w:val="0"/>
      <w:marTop w:val="0"/>
      <w:marBottom w:val="0"/>
      <w:divBdr>
        <w:top w:val="none" w:sz="0" w:space="0" w:color="auto"/>
        <w:left w:val="none" w:sz="0" w:space="0" w:color="auto"/>
        <w:bottom w:val="none" w:sz="0" w:space="0" w:color="auto"/>
        <w:right w:val="none" w:sz="0" w:space="0" w:color="auto"/>
      </w:divBdr>
    </w:div>
    <w:div w:id="466239931">
      <w:bodyDiv w:val="1"/>
      <w:marLeft w:val="0"/>
      <w:marRight w:val="0"/>
      <w:marTop w:val="0"/>
      <w:marBottom w:val="0"/>
      <w:divBdr>
        <w:top w:val="none" w:sz="0" w:space="0" w:color="auto"/>
        <w:left w:val="none" w:sz="0" w:space="0" w:color="auto"/>
        <w:bottom w:val="none" w:sz="0" w:space="0" w:color="auto"/>
        <w:right w:val="none" w:sz="0" w:space="0" w:color="auto"/>
      </w:divBdr>
    </w:div>
    <w:div w:id="518012928">
      <w:bodyDiv w:val="1"/>
      <w:marLeft w:val="0"/>
      <w:marRight w:val="0"/>
      <w:marTop w:val="0"/>
      <w:marBottom w:val="0"/>
      <w:divBdr>
        <w:top w:val="none" w:sz="0" w:space="0" w:color="auto"/>
        <w:left w:val="none" w:sz="0" w:space="0" w:color="auto"/>
        <w:bottom w:val="none" w:sz="0" w:space="0" w:color="auto"/>
        <w:right w:val="none" w:sz="0" w:space="0" w:color="auto"/>
      </w:divBdr>
    </w:div>
    <w:div w:id="532379144">
      <w:bodyDiv w:val="1"/>
      <w:marLeft w:val="0"/>
      <w:marRight w:val="0"/>
      <w:marTop w:val="0"/>
      <w:marBottom w:val="0"/>
      <w:divBdr>
        <w:top w:val="none" w:sz="0" w:space="0" w:color="auto"/>
        <w:left w:val="none" w:sz="0" w:space="0" w:color="auto"/>
        <w:bottom w:val="none" w:sz="0" w:space="0" w:color="auto"/>
        <w:right w:val="none" w:sz="0" w:space="0" w:color="auto"/>
      </w:divBdr>
    </w:div>
    <w:div w:id="606083705">
      <w:bodyDiv w:val="1"/>
      <w:marLeft w:val="0"/>
      <w:marRight w:val="0"/>
      <w:marTop w:val="0"/>
      <w:marBottom w:val="0"/>
      <w:divBdr>
        <w:top w:val="none" w:sz="0" w:space="0" w:color="auto"/>
        <w:left w:val="none" w:sz="0" w:space="0" w:color="auto"/>
        <w:bottom w:val="none" w:sz="0" w:space="0" w:color="auto"/>
        <w:right w:val="none" w:sz="0" w:space="0" w:color="auto"/>
      </w:divBdr>
    </w:div>
    <w:div w:id="645166698">
      <w:bodyDiv w:val="1"/>
      <w:marLeft w:val="0"/>
      <w:marRight w:val="0"/>
      <w:marTop w:val="0"/>
      <w:marBottom w:val="0"/>
      <w:divBdr>
        <w:top w:val="none" w:sz="0" w:space="0" w:color="auto"/>
        <w:left w:val="none" w:sz="0" w:space="0" w:color="auto"/>
        <w:bottom w:val="none" w:sz="0" w:space="0" w:color="auto"/>
        <w:right w:val="none" w:sz="0" w:space="0" w:color="auto"/>
      </w:divBdr>
    </w:div>
    <w:div w:id="728462586">
      <w:bodyDiv w:val="1"/>
      <w:marLeft w:val="0"/>
      <w:marRight w:val="0"/>
      <w:marTop w:val="0"/>
      <w:marBottom w:val="0"/>
      <w:divBdr>
        <w:top w:val="none" w:sz="0" w:space="0" w:color="auto"/>
        <w:left w:val="none" w:sz="0" w:space="0" w:color="auto"/>
        <w:bottom w:val="none" w:sz="0" w:space="0" w:color="auto"/>
        <w:right w:val="none" w:sz="0" w:space="0" w:color="auto"/>
      </w:divBdr>
    </w:div>
    <w:div w:id="754672965">
      <w:bodyDiv w:val="1"/>
      <w:marLeft w:val="0"/>
      <w:marRight w:val="0"/>
      <w:marTop w:val="0"/>
      <w:marBottom w:val="0"/>
      <w:divBdr>
        <w:top w:val="none" w:sz="0" w:space="0" w:color="auto"/>
        <w:left w:val="none" w:sz="0" w:space="0" w:color="auto"/>
        <w:bottom w:val="none" w:sz="0" w:space="0" w:color="auto"/>
        <w:right w:val="none" w:sz="0" w:space="0" w:color="auto"/>
      </w:divBdr>
    </w:div>
    <w:div w:id="785930091">
      <w:bodyDiv w:val="1"/>
      <w:marLeft w:val="0"/>
      <w:marRight w:val="0"/>
      <w:marTop w:val="0"/>
      <w:marBottom w:val="0"/>
      <w:divBdr>
        <w:top w:val="none" w:sz="0" w:space="0" w:color="auto"/>
        <w:left w:val="none" w:sz="0" w:space="0" w:color="auto"/>
        <w:bottom w:val="none" w:sz="0" w:space="0" w:color="auto"/>
        <w:right w:val="none" w:sz="0" w:space="0" w:color="auto"/>
      </w:divBdr>
    </w:div>
    <w:div w:id="801003103">
      <w:bodyDiv w:val="1"/>
      <w:marLeft w:val="0"/>
      <w:marRight w:val="0"/>
      <w:marTop w:val="0"/>
      <w:marBottom w:val="0"/>
      <w:divBdr>
        <w:top w:val="none" w:sz="0" w:space="0" w:color="auto"/>
        <w:left w:val="none" w:sz="0" w:space="0" w:color="auto"/>
        <w:bottom w:val="none" w:sz="0" w:space="0" w:color="auto"/>
        <w:right w:val="none" w:sz="0" w:space="0" w:color="auto"/>
      </w:divBdr>
    </w:div>
    <w:div w:id="842934023">
      <w:bodyDiv w:val="1"/>
      <w:marLeft w:val="0"/>
      <w:marRight w:val="0"/>
      <w:marTop w:val="0"/>
      <w:marBottom w:val="0"/>
      <w:divBdr>
        <w:top w:val="none" w:sz="0" w:space="0" w:color="auto"/>
        <w:left w:val="none" w:sz="0" w:space="0" w:color="auto"/>
        <w:bottom w:val="none" w:sz="0" w:space="0" w:color="auto"/>
        <w:right w:val="none" w:sz="0" w:space="0" w:color="auto"/>
      </w:divBdr>
    </w:div>
    <w:div w:id="867837022">
      <w:bodyDiv w:val="1"/>
      <w:marLeft w:val="0"/>
      <w:marRight w:val="0"/>
      <w:marTop w:val="0"/>
      <w:marBottom w:val="0"/>
      <w:divBdr>
        <w:top w:val="none" w:sz="0" w:space="0" w:color="auto"/>
        <w:left w:val="none" w:sz="0" w:space="0" w:color="auto"/>
        <w:bottom w:val="none" w:sz="0" w:space="0" w:color="auto"/>
        <w:right w:val="none" w:sz="0" w:space="0" w:color="auto"/>
      </w:divBdr>
    </w:div>
    <w:div w:id="870797885">
      <w:bodyDiv w:val="1"/>
      <w:marLeft w:val="0"/>
      <w:marRight w:val="0"/>
      <w:marTop w:val="0"/>
      <w:marBottom w:val="0"/>
      <w:divBdr>
        <w:top w:val="none" w:sz="0" w:space="0" w:color="auto"/>
        <w:left w:val="none" w:sz="0" w:space="0" w:color="auto"/>
        <w:bottom w:val="none" w:sz="0" w:space="0" w:color="auto"/>
        <w:right w:val="none" w:sz="0" w:space="0" w:color="auto"/>
      </w:divBdr>
    </w:div>
    <w:div w:id="884102962">
      <w:bodyDiv w:val="1"/>
      <w:marLeft w:val="0"/>
      <w:marRight w:val="0"/>
      <w:marTop w:val="0"/>
      <w:marBottom w:val="0"/>
      <w:divBdr>
        <w:top w:val="none" w:sz="0" w:space="0" w:color="auto"/>
        <w:left w:val="none" w:sz="0" w:space="0" w:color="auto"/>
        <w:bottom w:val="none" w:sz="0" w:space="0" w:color="auto"/>
        <w:right w:val="none" w:sz="0" w:space="0" w:color="auto"/>
      </w:divBdr>
      <w:divsChild>
        <w:div w:id="1856727183">
          <w:marLeft w:val="0"/>
          <w:marRight w:val="0"/>
          <w:marTop w:val="0"/>
          <w:marBottom w:val="0"/>
          <w:divBdr>
            <w:top w:val="none" w:sz="0" w:space="0" w:color="auto"/>
            <w:left w:val="none" w:sz="0" w:space="0" w:color="auto"/>
            <w:bottom w:val="none" w:sz="0" w:space="0" w:color="auto"/>
            <w:right w:val="none" w:sz="0" w:space="0" w:color="auto"/>
          </w:divBdr>
        </w:div>
        <w:div w:id="1478379483">
          <w:marLeft w:val="0"/>
          <w:marRight w:val="0"/>
          <w:marTop w:val="0"/>
          <w:marBottom w:val="0"/>
          <w:divBdr>
            <w:top w:val="none" w:sz="0" w:space="0" w:color="auto"/>
            <w:left w:val="none" w:sz="0" w:space="0" w:color="auto"/>
            <w:bottom w:val="none" w:sz="0" w:space="0" w:color="auto"/>
            <w:right w:val="none" w:sz="0" w:space="0" w:color="auto"/>
          </w:divBdr>
        </w:div>
      </w:divsChild>
    </w:div>
    <w:div w:id="930166581">
      <w:bodyDiv w:val="1"/>
      <w:marLeft w:val="0"/>
      <w:marRight w:val="0"/>
      <w:marTop w:val="0"/>
      <w:marBottom w:val="0"/>
      <w:divBdr>
        <w:top w:val="none" w:sz="0" w:space="0" w:color="auto"/>
        <w:left w:val="none" w:sz="0" w:space="0" w:color="auto"/>
        <w:bottom w:val="none" w:sz="0" w:space="0" w:color="auto"/>
        <w:right w:val="none" w:sz="0" w:space="0" w:color="auto"/>
      </w:divBdr>
    </w:div>
    <w:div w:id="932201954">
      <w:bodyDiv w:val="1"/>
      <w:marLeft w:val="0"/>
      <w:marRight w:val="0"/>
      <w:marTop w:val="0"/>
      <w:marBottom w:val="0"/>
      <w:divBdr>
        <w:top w:val="none" w:sz="0" w:space="0" w:color="auto"/>
        <w:left w:val="none" w:sz="0" w:space="0" w:color="auto"/>
        <w:bottom w:val="none" w:sz="0" w:space="0" w:color="auto"/>
        <w:right w:val="none" w:sz="0" w:space="0" w:color="auto"/>
      </w:divBdr>
    </w:div>
    <w:div w:id="941767068">
      <w:bodyDiv w:val="1"/>
      <w:marLeft w:val="0"/>
      <w:marRight w:val="0"/>
      <w:marTop w:val="0"/>
      <w:marBottom w:val="0"/>
      <w:divBdr>
        <w:top w:val="none" w:sz="0" w:space="0" w:color="auto"/>
        <w:left w:val="none" w:sz="0" w:space="0" w:color="auto"/>
        <w:bottom w:val="none" w:sz="0" w:space="0" w:color="auto"/>
        <w:right w:val="none" w:sz="0" w:space="0" w:color="auto"/>
      </w:divBdr>
    </w:div>
    <w:div w:id="998196851">
      <w:bodyDiv w:val="1"/>
      <w:marLeft w:val="0"/>
      <w:marRight w:val="0"/>
      <w:marTop w:val="0"/>
      <w:marBottom w:val="0"/>
      <w:divBdr>
        <w:top w:val="none" w:sz="0" w:space="0" w:color="auto"/>
        <w:left w:val="none" w:sz="0" w:space="0" w:color="auto"/>
        <w:bottom w:val="none" w:sz="0" w:space="0" w:color="auto"/>
        <w:right w:val="none" w:sz="0" w:space="0" w:color="auto"/>
      </w:divBdr>
    </w:div>
    <w:div w:id="1021052684">
      <w:bodyDiv w:val="1"/>
      <w:marLeft w:val="0"/>
      <w:marRight w:val="0"/>
      <w:marTop w:val="0"/>
      <w:marBottom w:val="0"/>
      <w:divBdr>
        <w:top w:val="none" w:sz="0" w:space="0" w:color="auto"/>
        <w:left w:val="none" w:sz="0" w:space="0" w:color="auto"/>
        <w:bottom w:val="none" w:sz="0" w:space="0" w:color="auto"/>
        <w:right w:val="none" w:sz="0" w:space="0" w:color="auto"/>
      </w:divBdr>
    </w:div>
    <w:div w:id="1029181701">
      <w:bodyDiv w:val="1"/>
      <w:marLeft w:val="0"/>
      <w:marRight w:val="0"/>
      <w:marTop w:val="0"/>
      <w:marBottom w:val="0"/>
      <w:divBdr>
        <w:top w:val="none" w:sz="0" w:space="0" w:color="auto"/>
        <w:left w:val="none" w:sz="0" w:space="0" w:color="auto"/>
        <w:bottom w:val="none" w:sz="0" w:space="0" w:color="auto"/>
        <w:right w:val="none" w:sz="0" w:space="0" w:color="auto"/>
      </w:divBdr>
    </w:div>
    <w:div w:id="1046369290">
      <w:bodyDiv w:val="1"/>
      <w:marLeft w:val="0"/>
      <w:marRight w:val="0"/>
      <w:marTop w:val="0"/>
      <w:marBottom w:val="0"/>
      <w:divBdr>
        <w:top w:val="none" w:sz="0" w:space="0" w:color="auto"/>
        <w:left w:val="none" w:sz="0" w:space="0" w:color="auto"/>
        <w:bottom w:val="none" w:sz="0" w:space="0" w:color="auto"/>
        <w:right w:val="none" w:sz="0" w:space="0" w:color="auto"/>
      </w:divBdr>
    </w:div>
    <w:div w:id="1088115468">
      <w:bodyDiv w:val="1"/>
      <w:marLeft w:val="0"/>
      <w:marRight w:val="0"/>
      <w:marTop w:val="0"/>
      <w:marBottom w:val="0"/>
      <w:divBdr>
        <w:top w:val="none" w:sz="0" w:space="0" w:color="auto"/>
        <w:left w:val="none" w:sz="0" w:space="0" w:color="auto"/>
        <w:bottom w:val="none" w:sz="0" w:space="0" w:color="auto"/>
        <w:right w:val="none" w:sz="0" w:space="0" w:color="auto"/>
      </w:divBdr>
    </w:div>
    <w:div w:id="1088308534">
      <w:bodyDiv w:val="1"/>
      <w:marLeft w:val="0"/>
      <w:marRight w:val="0"/>
      <w:marTop w:val="0"/>
      <w:marBottom w:val="0"/>
      <w:divBdr>
        <w:top w:val="none" w:sz="0" w:space="0" w:color="auto"/>
        <w:left w:val="none" w:sz="0" w:space="0" w:color="auto"/>
        <w:bottom w:val="none" w:sz="0" w:space="0" w:color="auto"/>
        <w:right w:val="none" w:sz="0" w:space="0" w:color="auto"/>
      </w:divBdr>
    </w:div>
    <w:div w:id="1133208582">
      <w:bodyDiv w:val="1"/>
      <w:marLeft w:val="0"/>
      <w:marRight w:val="0"/>
      <w:marTop w:val="0"/>
      <w:marBottom w:val="0"/>
      <w:divBdr>
        <w:top w:val="none" w:sz="0" w:space="0" w:color="auto"/>
        <w:left w:val="none" w:sz="0" w:space="0" w:color="auto"/>
        <w:bottom w:val="none" w:sz="0" w:space="0" w:color="auto"/>
        <w:right w:val="none" w:sz="0" w:space="0" w:color="auto"/>
      </w:divBdr>
    </w:div>
    <w:div w:id="1178425211">
      <w:bodyDiv w:val="1"/>
      <w:marLeft w:val="0"/>
      <w:marRight w:val="0"/>
      <w:marTop w:val="0"/>
      <w:marBottom w:val="0"/>
      <w:divBdr>
        <w:top w:val="none" w:sz="0" w:space="0" w:color="auto"/>
        <w:left w:val="none" w:sz="0" w:space="0" w:color="auto"/>
        <w:bottom w:val="none" w:sz="0" w:space="0" w:color="auto"/>
        <w:right w:val="none" w:sz="0" w:space="0" w:color="auto"/>
      </w:divBdr>
    </w:div>
    <w:div w:id="1195463737">
      <w:bodyDiv w:val="1"/>
      <w:marLeft w:val="0"/>
      <w:marRight w:val="0"/>
      <w:marTop w:val="0"/>
      <w:marBottom w:val="0"/>
      <w:divBdr>
        <w:top w:val="none" w:sz="0" w:space="0" w:color="auto"/>
        <w:left w:val="none" w:sz="0" w:space="0" w:color="auto"/>
        <w:bottom w:val="none" w:sz="0" w:space="0" w:color="auto"/>
        <w:right w:val="none" w:sz="0" w:space="0" w:color="auto"/>
      </w:divBdr>
    </w:div>
    <w:div w:id="1200161805">
      <w:bodyDiv w:val="1"/>
      <w:marLeft w:val="0"/>
      <w:marRight w:val="0"/>
      <w:marTop w:val="0"/>
      <w:marBottom w:val="0"/>
      <w:divBdr>
        <w:top w:val="none" w:sz="0" w:space="0" w:color="auto"/>
        <w:left w:val="none" w:sz="0" w:space="0" w:color="auto"/>
        <w:bottom w:val="none" w:sz="0" w:space="0" w:color="auto"/>
        <w:right w:val="none" w:sz="0" w:space="0" w:color="auto"/>
      </w:divBdr>
    </w:div>
    <w:div w:id="1218474193">
      <w:bodyDiv w:val="1"/>
      <w:marLeft w:val="0"/>
      <w:marRight w:val="0"/>
      <w:marTop w:val="0"/>
      <w:marBottom w:val="0"/>
      <w:divBdr>
        <w:top w:val="none" w:sz="0" w:space="0" w:color="auto"/>
        <w:left w:val="none" w:sz="0" w:space="0" w:color="auto"/>
        <w:bottom w:val="none" w:sz="0" w:space="0" w:color="auto"/>
        <w:right w:val="none" w:sz="0" w:space="0" w:color="auto"/>
      </w:divBdr>
    </w:div>
    <w:div w:id="1229876185">
      <w:bodyDiv w:val="1"/>
      <w:marLeft w:val="0"/>
      <w:marRight w:val="0"/>
      <w:marTop w:val="0"/>
      <w:marBottom w:val="0"/>
      <w:divBdr>
        <w:top w:val="none" w:sz="0" w:space="0" w:color="auto"/>
        <w:left w:val="none" w:sz="0" w:space="0" w:color="auto"/>
        <w:bottom w:val="none" w:sz="0" w:space="0" w:color="auto"/>
        <w:right w:val="none" w:sz="0" w:space="0" w:color="auto"/>
      </w:divBdr>
    </w:div>
    <w:div w:id="1231115740">
      <w:bodyDiv w:val="1"/>
      <w:marLeft w:val="0"/>
      <w:marRight w:val="0"/>
      <w:marTop w:val="0"/>
      <w:marBottom w:val="0"/>
      <w:divBdr>
        <w:top w:val="none" w:sz="0" w:space="0" w:color="auto"/>
        <w:left w:val="none" w:sz="0" w:space="0" w:color="auto"/>
        <w:bottom w:val="none" w:sz="0" w:space="0" w:color="auto"/>
        <w:right w:val="none" w:sz="0" w:space="0" w:color="auto"/>
      </w:divBdr>
    </w:div>
    <w:div w:id="1315378797">
      <w:bodyDiv w:val="1"/>
      <w:marLeft w:val="0"/>
      <w:marRight w:val="0"/>
      <w:marTop w:val="0"/>
      <w:marBottom w:val="0"/>
      <w:divBdr>
        <w:top w:val="none" w:sz="0" w:space="0" w:color="auto"/>
        <w:left w:val="none" w:sz="0" w:space="0" w:color="auto"/>
        <w:bottom w:val="none" w:sz="0" w:space="0" w:color="auto"/>
        <w:right w:val="none" w:sz="0" w:space="0" w:color="auto"/>
      </w:divBdr>
    </w:div>
    <w:div w:id="1333751926">
      <w:bodyDiv w:val="1"/>
      <w:marLeft w:val="0"/>
      <w:marRight w:val="0"/>
      <w:marTop w:val="0"/>
      <w:marBottom w:val="0"/>
      <w:divBdr>
        <w:top w:val="none" w:sz="0" w:space="0" w:color="auto"/>
        <w:left w:val="none" w:sz="0" w:space="0" w:color="auto"/>
        <w:bottom w:val="none" w:sz="0" w:space="0" w:color="auto"/>
        <w:right w:val="none" w:sz="0" w:space="0" w:color="auto"/>
      </w:divBdr>
    </w:div>
    <w:div w:id="1371539931">
      <w:bodyDiv w:val="1"/>
      <w:marLeft w:val="0"/>
      <w:marRight w:val="0"/>
      <w:marTop w:val="0"/>
      <w:marBottom w:val="0"/>
      <w:divBdr>
        <w:top w:val="none" w:sz="0" w:space="0" w:color="auto"/>
        <w:left w:val="none" w:sz="0" w:space="0" w:color="auto"/>
        <w:bottom w:val="none" w:sz="0" w:space="0" w:color="auto"/>
        <w:right w:val="none" w:sz="0" w:space="0" w:color="auto"/>
      </w:divBdr>
    </w:div>
    <w:div w:id="1392463263">
      <w:bodyDiv w:val="1"/>
      <w:marLeft w:val="0"/>
      <w:marRight w:val="0"/>
      <w:marTop w:val="0"/>
      <w:marBottom w:val="0"/>
      <w:divBdr>
        <w:top w:val="none" w:sz="0" w:space="0" w:color="auto"/>
        <w:left w:val="none" w:sz="0" w:space="0" w:color="auto"/>
        <w:bottom w:val="none" w:sz="0" w:space="0" w:color="auto"/>
        <w:right w:val="none" w:sz="0" w:space="0" w:color="auto"/>
      </w:divBdr>
    </w:div>
    <w:div w:id="1424957000">
      <w:bodyDiv w:val="1"/>
      <w:marLeft w:val="0"/>
      <w:marRight w:val="0"/>
      <w:marTop w:val="0"/>
      <w:marBottom w:val="0"/>
      <w:divBdr>
        <w:top w:val="none" w:sz="0" w:space="0" w:color="auto"/>
        <w:left w:val="none" w:sz="0" w:space="0" w:color="auto"/>
        <w:bottom w:val="none" w:sz="0" w:space="0" w:color="auto"/>
        <w:right w:val="none" w:sz="0" w:space="0" w:color="auto"/>
      </w:divBdr>
    </w:div>
    <w:div w:id="1447043467">
      <w:bodyDiv w:val="1"/>
      <w:marLeft w:val="0"/>
      <w:marRight w:val="0"/>
      <w:marTop w:val="0"/>
      <w:marBottom w:val="0"/>
      <w:divBdr>
        <w:top w:val="none" w:sz="0" w:space="0" w:color="auto"/>
        <w:left w:val="none" w:sz="0" w:space="0" w:color="auto"/>
        <w:bottom w:val="none" w:sz="0" w:space="0" w:color="auto"/>
        <w:right w:val="none" w:sz="0" w:space="0" w:color="auto"/>
      </w:divBdr>
    </w:div>
    <w:div w:id="1454714256">
      <w:bodyDiv w:val="1"/>
      <w:marLeft w:val="0"/>
      <w:marRight w:val="0"/>
      <w:marTop w:val="0"/>
      <w:marBottom w:val="0"/>
      <w:divBdr>
        <w:top w:val="none" w:sz="0" w:space="0" w:color="auto"/>
        <w:left w:val="none" w:sz="0" w:space="0" w:color="auto"/>
        <w:bottom w:val="none" w:sz="0" w:space="0" w:color="auto"/>
        <w:right w:val="none" w:sz="0" w:space="0" w:color="auto"/>
      </w:divBdr>
    </w:div>
    <w:div w:id="1478061468">
      <w:bodyDiv w:val="1"/>
      <w:marLeft w:val="0"/>
      <w:marRight w:val="0"/>
      <w:marTop w:val="0"/>
      <w:marBottom w:val="0"/>
      <w:divBdr>
        <w:top w:val="none" w:sz="0" w:space="0" w:color="auto"/>
        <w:left w:val="none" w:sz="0" w:space="0" w:color="auto"/>
        <w:bottom w:val="none" w:sz="0" w:space="0" w:color="auto"/>
        <w:right w:val="none" w:sz="0" w:space="0" w:color="auto"/>
      </w:divBdr>
    </w:div>
    <w:div w:id="1511288145">
      <w:bodyDiv w:val="1"/>
      <w:marLeft w:val="0"/>
      <w:marRight w:val="0"/>
      <w:marTop w:val="0"/>
      <w:marBottom w:val="0"/>
      <w:divBdr>
        <w:top w:val="none" w:sz="0" w:space="0" w:color="auto"/>
        <w:left w:val="none" w:sz="0" w:space="0" w:color="auto"/>
        <w:bottom w:val="none" w:sz="0" w:space="0" w:color="auto"/>
        <w:right w:val="none" w:sz="0" w:space="0" w:color="auto"/>
      </w:divBdr>
    </w:div>
    <w:div w:id="1533417444">
      <w:bodyDiv w:val="1"/>
      <w:marLeft w:val="0"/>
      <w:marRight w:val="0"/>
      <w:marTop w:val="0"/>
      <w:marBottom w:val="0"/>
      <w:divBdr>
        <w:top w:val="none" w:sz="0" w:space="0" w:color="auto"/>
        <w:left w:val="none" w:sz="0" w:space="0" w:color="auto"/>
        <w:bottom w:val="none" w:sz="0" w:space="0" w:color="auto"/>
        <w:right w:val="none" w:sz="0" w:space="0" w:color="auto"/>
      </w:divBdr>
    </w:div>
    <w:div w:id="1538353945">
      <w:bodyDiv w:val="1"/>
      <w:marLeft w:val="0"/>
      <w:marRight w:val="0"/>
      <w:marTop w:val="0"/>
      <w:marBottom w:val="0"/>
      <w:divBdr>
        <w:top w:val="none" w:sz="0" w:space="0" w:color="auto"/>
        <w:left w:val="none" w:sz="0" w:space="0" w:color="auto"/>
        <w:bottom w:val="none" w:sz="0" w:space="0" w:color="auto"/>
        <w:right w:val="none" w:sz="0" w:space="0" w:color="auto"/>
      </w:divBdr>
    </w:div>
    <w:div w:id="1547718859">
      <w:bodyDiv w:val="1"/>
      <w:marLeft w:val="0"/>
      <w:marRight w:val="0"/>
      <w:marTop w:val="0"/>
      <w:marBottom w:val="0"/>
      <w:divBdr>
        <w:top w:val="none" w:sz="0" w:space="0" w:color="auto"/>
        <w:left w:val="none" w:sz="0" w:space="0" w:color="auto"/>
        <w:bottom w:val="none" w:sz="0" w:space="0" w:color="auto"/>
        <w:right w:val="none" w:sz="0" w:space="0" w:color="auto"/>
      </w:divBdr>
      <w:divsChild>
        <w:div w:id="1418791400">
          <w:marLeft w:val="0"/>
          <w:marRight w:val="0"/>
          <w:marTop w:val="0"/>
          <w:marBottom w:val="0"/>
          <w:divBdr>
            <w:top w:val="none" w:sz="0" w:space="0" w:color="auto"/>
            <w:left w:val="none" w:sz="0" w:space="0" w:color="auto"/>
            <w:bottom w:val="none" w:sz="0" w:space="0" w:color="auto"/>
            <w:right w:val="none" w:sz="0" w:space="0" w:color="auto"/>
          </w:divBdr>
        </w:div>
        <w:div w:id="235432766">
          <w:marLeft w:val="0"/>
          <w:marRight w:val="0"/>
          <w:marTop w:val="0"/>
          <w:marBottom w:val="0"/>
          <w:divBdr>
            <w:top w:val="none" w:sz="0" w:space="0" w:color="auto"/>
            <w:left w:val="none" w:sz="0" w:space="0" w:color="auto"/>
            <w:bottom w:val="none" w:sz="0" w:space="0" w:color="auto"/>
            <w:right w:val="none" w:sz="0" w:space="0" w:color="auto"/>
          </w:divBdr>
        </w:div>
      </w:divsChild>
    </w:div>
    <w:div w:id="1569146216">
      <w:bodyDiv w:val="1"/>
      <w:marLeft w:val="0"/>
      <w:marRight w:val="0"/>
      <w:marTop w:val="0"/>
      <w:marBottom w:val="0"/>
      <w:divBdr>
        <w:top w:val="none" w:sz="0" w:space="0" w:color="auto"/>
        <w:left w:val="none" w:sz="0" w:space="0" w:color="auto"/>
        <w:bottom w:val="none" w:sz="0" w:space="0" w:color="auto"/>
        <w:right w:val="none" w:sz="0" w:space="0" w:color="auto"/>
      </w:divBdr>
    </w:div>
    <w:div w:id="1589073239">
      <w:bodyDiv w:val="1"/>
      <w:marLeft w:val="0"/>
      <w:marRight w:val="0"/>
      <w:marTop w:val="0"/>
      <w:marBottom w:val="0"/>
      <w:divBdr>
        <w:top w:val="none" w:sz="0" w:space="0" w:color="auto"/>
        <w:left w:val="none" w:sz="0" w:space="0" w:color="auto"/>
        <w:bottom w:val="none" w:sz="0" w:space="0" w:color="auto"/>
        <w:right w:val="none" w:sz="0" w:space="0" w:color="auto"/>
      </w:divBdr>
    </w:div>
    <w:div w:id="1605767457">
      <w:bodyDiv w:val="1"/>
      <w:marLeft w:val="0"/>
      <w:marRight w:val="0"/>
      <w:marTop w:val="0"/>
      <w:marBottom w:val="0"/>
      <w:divBdr>
        <w:top w:val="none" w:sz="0" w:space="0" w:color="auto"/>
        <w:left w:val="none" w:sz="0" w:space="0" w:color="auto"/>
        <w:bottom w:val="none" w:sz="0" w:space="0" w:color="auto"/>
        <w:right w:val="none" w:sz="0" w:space="0" w:color="auto"/>
      </w:divBdr>
    </w:div>
    <w:div w:id="1636518718">
      <w:bodyDiv w:val="1"/>
      <w:marLeft w:val="0"/>
      <w:marRight w:val="0"/>
      <w:marTop w:val="0"/>
      <w:marBottom w:val="0"/>
      <w:divBdr>
        <w:top w:val="none" w:sz="0" w:space="0" w:color="auto"/>
        <w:left w:val="none" w:sz="0" w:space="0" w:color="auto"/>
        <w:bottom w:val="none" w:sz="0" w:space="0" w:color="auto"/>
        <w:right w:val="none" w:sz="0" w:space="0" w:color="auto"/>
      </w:divBdr>
    </w:div>
    <w:div w:id="1645231311">
      <w:bodyDiv w:val="1"/>
      <w:marLeft w:val="0"/>
      <w:marRight w:val="0"/>
      <w:marTop w:val="0"/>
      <w:marBottom w:val="0"/>
      <w:divBdr>
        <w:top w:val="none" w:sz="0" w:space="0" w:color="auto"/>
        <w:left w:val="none" w:sz="0" w:space="0" w:color="auto"/>
        <w:bottom w:val="none" w:sz="0" w:space="0" w:color="auto"/>
        <w:right w:val="none" w:sz="0" w:space="0" w:color="auto"/>
      </w:divBdr>
    </w:div>
    <w:div w:id="1656840049">
      <w:bodyDiv w:val="1"/>
      <w:marLeft w:val="0"/>
      <w:marRight w:val="0"/>
      <w:marTop w:val="0"/>
      <w:marBottom w:val="0"/>
      <w:divBdr>
        <w:top w:val="none" w:sz="0" w:space="0" w:color="auto"/>
        <w:left w:val="none" w:sz="0" w:space="0" w:color="auto"/>
        <w:bottom w:val="none" w:sz="0" w:space="0" w:color="auto"/>
        <w:right w:val="none" w:sz="0" w:space="0" w:color="auto"/>
      </w:divBdr>
    </w:div>
    <w:div w:id="1731223028">
      <w:bodyDiv w:val="1"/>
      <w:marLeft w:val="0"/>
      <w:marRight w:val="0"/>
      <w:marTop w:val="0"/>
      <w:marBottom w:val="0"/>
      <w:divBdr>
        <w:top w:val="none" w:sz="0" w:space="0" w:color="auto"/>
        <w:left w:val="none" w:sz="0" w:space="0" w:color="auto"/>
        <w:bottom w:val="none" w:sz="0" w:space="0" w:color="auto"/>
        <w:right w:val="none" w:sz="0" w:space="0" w:color="auto"/>
      </w:divBdr>
    </w:div>
    <w:div w:id="1858621329">
      <w:bodyDiv w:val="1"/>
      <w:marLeft w:val="0"/>
      <w:marRight w:val="0"/>
      <w:marTop w:val="0"/>
      <w:marBottom w:val="0"/>
      <w:divBdr>
        <w:top w:val="none" w:sz="0" w:space="0" w:color="auto"/>
        <w:left w:val="none" w:sz="0" w:space="0" w:color="auto"/>
        <w:bottom w:val="none" w:sz="0" w:space="0" w:color="auto"/>
        <w:right w:val="none" w:sz="0" w:space="0" w:color="auto"/>
      </w:divBdr>
    </w:div>
    <w:div w:id="2014213293">
      <w:bodyDiv w:val="1"/>
      <w:marLeft w:val="0"/>
      <w:marRight w:val="0"/>
      <w:marTop w:val="0"/>
      <w:marBottom w:val="0"/>
      <w:divBdr>
        <w:top w:val="none" w:sz="0" w:space="0" w:color="auto"/>
        <w:left w:val="none" w:sz="0" w:space="0" w:color="auto"/>
        <w:bottom w:val="none" w:sz="0" w:space="0" w:color="auto"/>
        <w:right w:val="none" w:sz="0" w:space="0" w:color="auto"/>
      </w:divBdr>
    </w:div>
    <w:div w:id="2020347859">
      <w:bodyDiv w:val="1"/>
      <w:marLeft w:val="0"/>
      <w:marRight w:val="0"/>
      <w:marTop w:val="0"/>
      <w:marBottom w:val="0"/>
      <w:divBdr>
        <w:top w:val="none" w:sz="0" w:space="0" w:color="auto"/>
        <w:left w:val="none" w:sz="0" w:space="0" w:color="auto"/>
        <w:bottom w:val="none" w:sz="0" w:space="0" w:color="auto"/>
        <w:right w:val="none" w:sz="0" w:space="0" w:color="auto"/>
      </w:divBdr>
    </w:div>
    <w:div w:id="2049646959">
      <w:bodyDiv w:val="1"/>
      <w:marLeft w:val="0"/>
      <w:marRight w:val="0"/>
      <w:marTop w:val="0"/>
      <w:marBottom w:val="0"/>
      <w:divBdr>
        <w:top w:val="none" w:sz="0" w:space="0" w:color="auto"/>
        <w:left w:val="none" w:sz="0" w:space="0" w:color="auto"/>
        <w:bottom w:val="none" w:sz="0" w:space="0" w:color="auto"/>
        <w:right w:val="none" w:sz="0" w:space="0" w:color="auto"/>
      </w:divBdr>
    </w:div>
    <w:div w:id="213663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1.xml"/><Relationship Id="rId5" Type="http://schemas.openxmlformats.org/officeDocument/2006/relationships/webSettings" Target="webSettings.xml"/><Relationship Id="rId15" Type="http://schemas.microsoft.com/office/2014/relationships/chartEx" Target="charts/chartEx2.xml"/><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0194_student_uwtsd_ac_uk/Documents/Research%20Data.xlsx" TargetMode="External"/><Relationship Id="rId2" Type="http://schemas.microsoft.com/office/2011/relationships/chartColorStyle" Target="colors2.xml"/><Relationship Id="rId1" Type="http://schemas.microsoft.com/office/2011/relationships/chartStyle" Target="style2.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Neil%20Howe\OneDrive%20-%20University%20of%20Wales%20Trinity%20Saint%20David\Research%20Assignment\Research%20Data.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Neil%20Howe\OneDrive%20-%20University%20of%20Wales%20Trinity%20Saint%20David\Research%20Assignment\Research%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Comparing Percentage Scores on Knowledge Recall Tests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Sheet1!$J$1</c:f>
              <c:strCache>
                <c:ptCount val="1"/>
                <c:pt idx="0">
                  <c:v>Dunkirk </c:v>
                </c:pt>
              </c:strCache>
            </c:strRef>
          </c:tx>
          <c:spPr>
            <a:solidFill>
              <a:schemeClr val="accent1"/>
            </a:solidFill>
            <a:ln>
              <a:noFill/>
            </a:ln>
            <a:effectLst/>
          </c:spPr>
          <c:invertIfNegative val="0"/>
          <c:cat>
            <c:strRef>
              <c:f>Sheet1!$I$2:$I$18</c:f>
              <c:strCache>
                <c:ptCount val="17"/>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strCache>
            </c:strRef>
          </c:cat>
          <c:val>
            <c:numRef>
              <c:f>Sheet1!$J$2:$J$18</c:f>
              <c:numCache>
                <c:formatCode>General</c:formatCode>
                <c:ptCount val="17"/>
                <c:pt idx="0">
                  <c:v>60</c:v>
                </c:pt>
                <c:pt idx="1">
                  <c:v>0</c:v>
                </c:pt>
                <c:pt idx="2">
                  <c:v>60</c:v>
                </c:pt>
                <c:pt idx="3">
                  <c:v>100</c:v>
                </c:pt>
                <c:pt idx="4">
                  <c:v>60</c:v>
                </c:pt>
                <c:pt idx="5">
                  <c:v>40</c:v>
                </c:pt>
                <c:pt idx="6">
                  <c:v>40</c:v>
                </c:pt>
                <c:pt idx="7">
                  <c:v>90</c:v>
                </c:pt>
                <c:pt idx="8">
                  <c:v>90</c:v>
                </c:pt>
                <c:pt idx="9">
                  <c:v>40</c:v>
                </c:pt>
                <c:pt idx="10">
                  <c:v>40</c:v>
                </c:pt>
                <c:pt idx="11">
                  <c:v>70</c:v>
                </c:pt>
                <c:pt idx="12">
                  <c:v>30</c:v>
                </c:pt>
                <c:pt idx="13">
                  <c:v>90</c:v>
                </c:pt>
                <c:pt idx="14">
                  <c:v>40</c:v>
                </c:pt>
                <c:pt idx="15">
                  <c:v>40</c:v>
                </c:pt>
                <c:pt idx="16">
                  <c:v>70</c:v>
                </c:pt>
              </c:numCache>
            </c:numRef>
          </c:val>
          <c:extLst>
            <c:ext xmlns:c16="http://schemas.microsoft.com/office/drawing/2014/chart" uri="{C3380CC4-5D6E-409C-BE32-E72D297353CC}">
              <c16:uniqueId val="{00000000-336D-4155-B478-1E08184F0FED}"/>
            </c:ext>
          </c:extLst>
        </c:ser>
        <c:ser>
          <c:idx val="1"/>
          <c:order val="1"/>
          <c:tx>
            <c:strRef>
              <c:f>Sheet1!$K$1</c:f>
              <c:strCache>
                <c:ptCount val="1"/>
                <c:pt idx="0">
                  <c:v>Battle of Britain </c:v>
                </c:pt>
              </c:strCache>
            </c:strRef>
          </c:tx>
          <c:spPr>
            <a:solidFill>
              <a:schemeClr val="accent2"/>
            </a:solidFill>
            <a:ln>
              <a:noFill/>
            </a:ln>
            <a:effectLst/>
          </c:spPr>
          <c:invertIfNegative val="0"/>
          <c:cat>
            <c:strRef>
              <c:f>Sheet1!$I$2:$I$18</c:f>
              <c:strCache>
                <c:ptCount val="17"/>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strCache>
            </c:strRef>
          </c:cat>
          <c:val>
            <c:numRef>
              <c:f>Sheet1!$K$2:$K$18</c:f>
              <c:numCache>
                <c:formatCode>General</c:formatCode>
                <c:ptCount val="17"/>
                <c:pt idx="0">
                  <c:v>93.75</c:v>
                </c:pt>
                <c:pt idx="1">
                  <c:v>93.75</c:v>
                </c:pt>
                <c:pt idx="2">
                  <c:v>93.75</c:v>
                </c:pt>
                <c:pt idx="3">
                  <c:v>93.75</c:v>
                </c:pt>
                <c:pt idx="4">
                  <c:v>56.25</c:v>
                </c:pt>
                <c:pt idx="5">
                  <c:v>75</c:v>
                </c:pt>
                <c:pt idx="6">
                  <c:v>75</c:v>
                </c:pt>
                <c:pt idx="7">
                  <c:v>81.25</c:v>
                </c:pt>
                <c:pt idx="8">
                  <c:v>93.75</c:v>
                </c:pt>
                <c:pt idx="9">
                  <c:v>93.75</c:v>
                </c:pt>
                <c:pt idx="10">
                  <c:v>81.25</c:v>
                </c:pt>
                <c:pt idx="11">
                  <c:v>93.75</c:v>
                </c:pt>
                <c:pt idx="12">
                  <c:v>68.75</c:v>
                </c:pt>
                <c:pt idx="13">
                  <c:v>93.75</c:v>
                </c:pt>
                <c:pt idx="14">
                  <c:v>37.5</c:v>
                </c:pt>
                <c:pt idx="15">
                  <c:v>75</c:v>
                </c:pt>
                <c:pt idx="16">
                  <c:v>100</c:v>
                </c:pt>
              </c:numCache>
            </c:numRef>
          </c:val>
          <c:extLst>
            <c:ext xmlns:c16="http://schemas.microsoft.com/office/drawing/2014/chart" uri="{C3380CC4-5D6E-409C-BE32-E72D297353CC}">
              <c16:uniqueId val="{00000001-336D-4155-B478-1E08184F0FED}"/>
            </c:ext>
          </c:extLst>
        </c:ser>
        <c:dLbls>
          <c:showLegendKey val="0"/>
          <c:showVal val="0"/>
          <c:showCatName val="0"/>
          <c:showSerName val="0"/>
          <c:showPercent val="0"/>
          <c:showBubbleSize val="0"/>
        </c:dLbls>
        <c:gapWidth val="219"/>
        <c:overlap val="-27"/>
        <c:axId val="579440624"/>
        <c:axId val="582646256"/>
      </c:barChart>
      <c:catAx>
        <c:axId val="579440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646256"/>
        <c:crosses val="autoZero"/>
        <c:auto val="1"/>
        <c:lblAlgn val="ctr"/>
        <c:lblOffset val="100"/>
        <c:noMultiLvlLbl val="0"/>
      </c:catAx>
      <c:valAx>
        <c:axId val="582646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440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'[Research Data.xlsx]Sheet1'!$Q$2:$Q$18</cx:f>
        <cx:lvl ptCount="17" formatCode="0.00_ ;[Red]\-0.00\ ">
          <cx:pt idx="0">60</cx:pt>
          <cx:pt idx="1">0</cx:pt>
          <cx:pt idx="2">60</cx:pt>
          <cx:pt idx="3">100</cx:pt>
          <cx:pt idx="4">60</cx:pt>
          <cx:pt idx="5">40</cx:pt>
          <cx:pt idx="6">40</cx:pt>
          <cx:pt idx="7">90</cx:pt>
          <cx:pt idx="8">90</cx:pt>
          <cx:pt idx="9">40</cx:pt>
          <cx:pt idx="10">40</cx:pt>
          <cx:pt idx="11">70</cx:pt>
          <cx:pt idx="12">30</cx:pt>
          <cx:pt idx="13">90</cx:pt>
          <cx:pt idx="14">40</cx:pt>
          <cx:pt idx="15">40</cx:pt>
          <cx:pt idx="16">70</cx:pt>
        </cx:lvl>
      </cx:numDim>
    </cx:data>
    <cx:data id="1">
      <cx:numDim type="val">
        <cx:f>'[Research Data.xlsx]Sheet1'!$R$2:$R$18</cx:f>
        <cx:lvl ptCount="17" formatCode="General">
          <cx:pt idx="0">93.75</cx:pt>
          <cx:pt idx="1">93.75</cx:pt>
          <cx:pt idx="2">93.75</cx:pt>
          <cx:pt idx="3">93.75</cx:pt>
          <cx:pt idx="4">56.25</cx:pt>
          <cx:pt idx="5">75</cx:pt>
          <cx:pt idx="6">75</cx:pt>
          <cx:pt idx="7">81.25</cx:pt>
          <cx:pt idx="8">93.75</cx:pt>
          <cx:pt idx="9">93.75</cx:pt>
          <cx:pt idx="10">81.25</cx:pt>
          <cx:pt idx="11">93.75</cx:pt>
          <cx:pt idx="12">68.75</cx:pt>
          <cx:pt idx="13">93.75</cx:pt>
          <cx:pt idx="14">37.5</cx:pt>
          <cx:pt idx="15">75</cx:pt>
          <cx:pt idx="16">100</cx:pt>
        </cx:lvl>
      </cx:numDim>
    </cx:data>
  </cx:chartData>
  <cx:chart>
    <cx:title pos="t" align="ctr" overlay="0">
      <cx:tx>
        <cx:txData>
          <cx:v>Chart to show the interquartile range for Class 1 in pre- and post-test</cx:v>
        </cx:txData>
      </cx:tx>
      <cx:txPr>
        <a:bodyPr spcFirstLastPara="1" vertOverflow="ellipsis" horzOverflow="overflow" wrap="square" lIns="0" tIns="0" rIns="0" bIns="0" anchor="ctr" anchorCtr="1"/>
        <a:lstStyle/>
        <a:p>
          <a:pPr algn="ctr" rtl="0">
            <a:defRPr/>
          </a:pPr>
          <a:r>
            <a:rPr lang="en-US" sz="2000" b="0" i="0" u="none" strike="noStrike" baseline="0">
              <a:solidFill>
                <a:sysClr val="windowText" lastClr="000000">
                  <a:lumMod val="65000"/>
                  <a:lumOff val="35000"/>
                </a:sysClr>
              </a:solidFill>
              <a:latin typeface="Calibri Light" panose="020F0302020204030204"/>
            </a:rPr>
            <a:t>Chart to show the interquartile range for Class 1 in pre- and post-test</a:t>
          </a:r>
        </a:p>
      </cx:txPr>
    </cx:title>
    <cx:plotArea>
      <cx:plotAreaRegion>
        <cx:series layoutId="boxWhisker" uniqueId="{F60CAFD4-F5BE-4845-A45C-717051364358}">
          <cx:tx>
            <cx:txData>
              <cx:f>'[Research Data.xlsx]Sheet1'!$Q$1</cx:f>
              <cx:v>Pre-Test %</cx:v>
            </cx:txData>
          </cx:tx>
          <cx:dataLabels>
            <cx:visibility seriesName="0" categoryName="0" value="1"/>
          </cx:dataLabels>
          <cx:dataId val="0"/>
          <cx:layoutPr>
            <cx:visibility meanLine="0" meanMarker="1" nonoutliers="0" outliers="1"/>
            <cx:statistics quartileMethod="exclusive"/>
          </cx:layoutPr>
        </cx:series>
        <cx:series layoutId="boxWhisker" uniqueId="{0DD73BFD-A9E1-4E4B-BFD0-52F5F4E0D874}">
          <cx:tx>
            <cx:txData>
              <cx:f>'[Research Data.xlsx]Sheet1'!$R$1</cx:f>
              <cx:v>Post-Test %</cx:v>
            </cx:txData>
          </cx:tx>
          <cx:dataLabels>
            <cx:visibility seriesName="0" categoryName="0" value="1"/>
          </cx:dataLabels>
          <cx:dataId val="1"/>
          <cx:layoutPr>
            <cx:visibility meanLine="0" meanMarker="1" nonoutliers="0" outliers="1"/>
            <cx:statistics quartileMethod="exclusive"/>
          </cx:layoutPr>
        </cx:series>
      </cx:plotAreaRegion>
      <cx:axis id="0">
        <cx:catScaling gapWidth="1.5"/>
        <cx:title>
          <cx:tx>
            <cx:txData>
              <cx:v>Class</cx:v>
            </cx:txData>
          </cx:tx>
          <cx:txPr>
            <a:bodyPr spcFirstLastPara="1" vertOverflow="ellipsis" horzOverflow="overflow" wrap="square" lIns="0" tIns="0" rIns="0" bIns="0" anchor="ctr" anchorCtr="1"/>
            <a:lstStyle/>
            <a:p>
              <a:pPr algn="ctr" rtl="0">
                <a:defRPr/>
              </a:pPr>
              <a:r>
                <a:rPr lang="en-US" sz="900" b="0" i="0" u="none" strike="noStrike" cap="all" baseline="0">
                  <a:solidFill>
                    <a:sysClr val="windowText" lastClr="000000">
                      <a:lumMod val="65000"/>
                      <a:lumOff val="35000"/>
                    </a:sysClr>
                  </a:solidFill>
                  <a:latin typeface="Calibri" panose="020F0502020204030204"/>
                </a:rPr>
                <a:t>Class</a:t>
              </a:r>
            </a:p>
          </cx:txPr>
        </cx:title>
        <cx:tickLabels/>
      </cx:axis>
      <cx:axis id="1">
        <cx:valScaling/>
        <cx:title>
          <cx:tx>
            <cx:txData>
              <cx:v>%</cx:v>
            </cx:txData>
          </cx:tx>
          <cx:txPr>
            <a:bodyPr spcFirstLastPara="1" vertOverflow="ellipsis" horzOverflow="overflow" wrap="square" lIns="0" tIns="0" rIns="0" bIns="0" anchor="ctr" anchorCtr="1"/>
            <a:lstStyle/>
            <a:p>
              <a:pPr algn="ctr" rtl="0">
                <a:defRPr/>
              </a:pPr>
              <a:r>
                <a:rPr lang="en-US" sz="900" b="0" i="0" u="none" strike="noStrike" cap="all" baseline="0">
                  <a:solidFill>
                    <a:sysClr val="windowText" lastClr="000000">
                      <a:lumMod val="65000"/>
                      <a:lumOff val="35000"/>
                    </a:sysClr>
                  </a:solidFill>
                  <a:latin typeface="Calibri" panose="020F0502020204030204"/>
                </a:rPr>
                <a:t>%</a:t>
              </a:r>
            </a:p>
          </cx:txPr>
        </cx:title>
        <cx:majorGridlines/>
        <cx:minorGridlines/>
        <cx:tickLabels/>
      </cx:axis>
    </cx:plotArea>
    <cx:legend pos="t" align="ctr" overlay="0"/>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'[Research Data.xlsx]Sheet2'!$H$12:$H$21</cx:f>
        <cx:lvl ptCount="10" formatCode="General">
          <cx:pt idx="0">60</cx:pt>
          <cx:pt idx="1">100</cx:pt>
          <cx:pt idx="2">60</cx:pt>
          <cx:pt idx="3">40</cx:pt>
          <cx:pt idx="4">90</cx:pt>
          <cx:pt idx="5">40</cx:pt>
          <cx:pt idx="6">70</cx:pt>
          <cx:pt idx="7">30</cx:pt>
          <cx:pt idx="8">90</cx:pt>
          <cx:pt idx="9">40</cx:pt>
        </cx:lvl>
      </cx:numDim>
    </cx:data>
    <cx:data id="1">
      <cx:numDim type="val">
        <cx:f>'[Research Data.xlsx]Sheet2'!$I$12:$I$21</cx:f>
        <cx:lvl ptCount="10" formatCode="General">
          <cx:pt idx="0">0</cx:pt>
          <cx:pt idx="1">60</cx:pt>
          <cx:pt idx="2">40</cx:pt>
          <cx:pt idx="3">90</cx:pt>
          <cx:pt idx="4">40</cx:pt>
          <cx:pt idx="5">40</cx:pt>
          <cx:pt idx="6">70</cx:pt>
        </cx:lvl>
      </cx:numDim>
    </cx:data>
    <cx:data id="2">
      <cx:numDim type="val">
        <cx:f>'[Research Data.xlsx]Sheet2'!$J$12:$J$21</cx:f>
        <cx:lvl ptCount="10" formatCode="General">
          <cx:pt idx="0">93.75</cx:pt>
          <cx:pt idx="1">93.75</cx:pt>
          <cx:pt idx="2">56.25</cx:pt>
          <cx:pt idx="3">75</cx:pt>
          <cx:pt idx="4">81.25</cx:pt>
          <cx:pt idx="5">81.25</cx:pt>
          <cx:pt idx="6">93.75</cx:pt>
          <cx:pt idx="7">68.75</cx:pt>
          <cx:pt idx="8">93.75</cx:pt>
          <cx:pt idx="9">37.5</cx:pt>
        </cx:lvl>
      </cx:numDim>
    </cx:data>
    <cx:data id="3">
      <cx:numDim type="val">
        <cx:f>'[Research Data.xlsx]Sheet2'!$K$12:$K$21</cx:f>
        <cx:lvl ptCount="10" formatCode="General">
          <cx:pt idx="0">93.75</cx:pt>
          <cx:pt idx="1">93.75</cx:pt>
          <cx:pt idx="2">75</cx:pt>
          <cx:pt idx="3">93.75</cx:pt>
          <cx:pt idx="4">93.75</cx:pt>
          <cx:pt idx="5">75</cx:pt>
          <cx:pt idx="6">100</cx:pt>
        </cx:lvl>
      </cx:numDim>
    </cx:data>
  </cx:chartData>
  <cx:chart>
    <cx:title pos="t" align="ctr" overlay="0">
      <cx:tx>
        <cx:txData>
          <cx:v>Chart to show interquartile range in pre- and post-test by gender</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Chart to show interquartile range in pre- and post-test by gender</a:t>
          </a:r>
        </a:p>
      </cx:txPr>
    </cx:title>
    <cx:plotArea>
      <cx:plotAreaRegion>
        <cx:series layoutId="boxWhisker" uniqueId="{579B63C1-DDC5-4F07-952B-876BF33FC790}">
          <cx:tx>
            <cx:txData>
              <cx:f>'[Research Data.xlsx]Sheet2'!$H$11</cx:f>
              <cx:v>Pre-Test (Female)</cx:v>
            </cx:txData>
          </cx:tx>
          <cx:spPr>
            <a:solidFill>
              <a:srgbClr val="7030A0"/>
            </a:solidFill>
            <a:ln>
              <a:solidFill>
                <a:srgbClr val="7030A0"/>
              </a:solidFill>
            </a:ln>
          </cx:spPr>
          <cx:dataLabels>
            <cx:visibility seriesName="0" categoryName="0" value="1"/>
          </cx:dataLabels>
          <cx:dataId val="0"/>
          <cx:layoutPr>
            <cx:visibility meanLine="0" meanMarker="1" nonoutliers="0" outliers="1"/>
            <cx:statistics quartileMethod="exclusive"/>
          </cx:layoutPr>
        </cx:series>
        <cx:series layoutId="boxWhisker" uniqueId="{F5A921A1-11EA-452C-9148-EA37DA55F065}">
          <cx:tx>
            <cx:txData>
              <cx:f>'[Research Data.xlsx]Sheet2'!$I$11</cx:f>
              <cx:v>Pre-Test (Male)</cx:v>
            </cx:txData>
          </cx:tx>
          <cx:spPr>
            <a:solidFill>
              <a:srgbClr val="0070C0"/>
            </a:solidFill>
            <a:ln>
              <a:solidFill>
                <a:srgbClr val="0070C0"/>
              </a:solidFill>
            </a:ln>
          </cx:spPr>
          <cx:dataLabels>
            <cx:visibility seriesName="0" categoryName="0" value="1"/>
          </cx:dataLabels>
          <cx:dataId val="1"/>
          <cx:layoutPr>
            <cx:visibility meanLine="0" meanMarker="1" nonoutliers="0" outliers="1"/>
            <cx:statistics quartileMethod="exclusive"/>
          </cx:layoutPr>
        </cx:series>
        <cx:series layoutId="boxWhisker" uniqueId="{8296D209-1A31-4E8C-A455-7B08DAD461A5}">
          <cx:tx>
            <cx:txData>
              <cx:f>'[Research Data.xlsx]Sheet2'!$J$11</cx:f>
              <cx:v>Post-Test (Female)</cx:v>
            </cx:txData>
          </cx:tx>
          <cx:spPr>
            <a:solidFill>
              <a:srgbClr val="FF0066"/>
            </a:solidFill>
            <a:ln>
              <a:solidFill>
                <a:srgbClr val="FF0066"/>
              </a:solidFill>
            </a:ln>
          </cx:spPr>
          <cx:dataLabels>
            <cx:visibility seriesName="0" categoryName="0" value="1"/>
          </cx:dataLabels>
          <cx:dataId val="2"/>
          <cx:layoutPr>
            <cx:visibility meanLine="0" meanMarker="1" nonoutliers="0" outliers="1"/>
            <cx:statistics quartileMethod="exclusive"/>
          </cx:layoutPr>
        </cx:series>
        <cx:series layoutId="boxWhisker" uniqueId="{847E5D1F-7838-4A85-8CB7-7E41171194C6}">
          <cx:tx>
            <cx:txData>
              <cx:f>'[Research Data.xlsx]Sheet2'!$K$11</cx:f>
              <cx:v>Post Test (Male)</cx:v>
            </cx:txData>
          </cx:tx>
          <cx:spPr>
            <a:solidFill>
              <a:srgbClr val="00B0F0"/>
            </a:solidFill>
            <a:ln>
              <a:solidFill>
                <a:srgbClr val="00B0F0"/>
              </a:solidFill>
            </a:ln>
          </cx:spPr>
          <cx:dataLabels>
            <cx:visibility seriesName="0" categoryName="0" value="1"/>
          </cx:dataLabels>
          <cx:dataId val="3"/>
          <cx:layoutPr>
            <cx:visibility meanLine="0" meanMarker="1" nonoutliers="0" outliers="1"/>
            <cx:statistics quartileMethod="exclusive"/>
          </cx:layoutPr>
        </cx:series>
      </cx:plotAreaRegion>
      <cx:axis id="0">
        <cx:catScaling gapWidth="1"/>
        <cx:title>
          <cx:tx>
            <cx:txData>
              <cx:v>Class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Class </a:t>
              </a:r>
            </a:p>
          </cx:txPr>
        </cx:title>
        <cx:tickLabels/>
      </cx:axis>
      <cx:axis id="1">
        <cx:valScaling/>
        <cx:title>
          <cx:tx>
            <cx:txData>
              <cx:v>%</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a:t>
              </a:r>
            </a:p>
          </cx:txPr>
        </cx:title>
        <cx:majorGridlines/>
        <cx:tickLabels/>
      </cx:axis>
    </cx:plotArea>
    <cx:legend pos="t"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74">
  <cs:axisTitle>
    <cs:lnRef idx="0"/>
    <cs:fillRef idx="0"/>
    <cs:effectRef idx="0"/>
    <cs:fontRef idx="minor">
      <a:schemeClr val="tx1">
        <a:lumMod val="65000"/>
        <a:lumOff val="35000"/>
      </a:schemeClr>
    </cs:fontRef>
    <cs:defRPr sz="9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75000"/>
        <a:lumOff val="25000"/>
      </a:schemeClr>
    </cs:fontRef>
    <cs:defRPr sz="900"/>
  </cs:dataLabel>
  <cs:dataLabelCallout>
    <cs:lnRef idx="0"/>
    <cs:fillRef idx="0"/>
    <cs:effectRef idx="0"/>
    <cs:fontRef idx="minor">
      <a:schemeClr val="lt1">
        <a:lumMod val="65000"/>
        <a:lumOff val="35000"/>
      </a:schemeClr>
    </cs:fontRef>
    <cs:spPr>
      <a:solidFill>
        <a:schemeClr val="dk1">
          <a:lumMod val="15000"/>
          <a:lumOff val="8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solidFill>
      <a:ln>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lumMod val="60000"/>
        </a:schemeClr>
      </a:solidFill>
    </cs:spPr>
  </cs:dataPointMarker>
  <cs:dataPointMarkerLayout symbol="circle" size="8"/>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2857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25400" cap="flat" cmpd="sng" algn="ctr">
        <a:solidFill>
          <a:schemeClr val="tx1">
            <a:lumMod val="65000"/>
            <a:lumOff val="35000"/>
          </a:schemeClr>
        </a:solidFill>
        <a:round/>
      </a:ln>
    </cs:spPr>
  </cs:hiLoLine>
  <cs:leaderLine>
    <cs:lnRef idx="0"/>
    <cs:fillRef idx="0"/>
    <cs:effectRef idx="0"/>
    <cs:fontRef idx="minor">
      <a:schemeClr val="dk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ajor">
      <a:schemeClr val="tx1">
        <a:lumMod val="65000"/>
        <a:lumOff val="35000"/>
      </a:schemeClr>
    </cs:fontRef>
    <cs:defRPr sz="200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28575">
        <a:solidFill>
          <a:schemeClr val="tx1">
            <a:lumMod val="50000"/>
            <a:lumOff val="50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Chr18</b:Tag>
    <b:SourceType>Book</b:SourceType>
    <b:Guid>{D98E9D9B-D98A-4140-A4A6-6AA28E0D1002}</b:Guid>
    <b:Author>
      <b:Author>
        <b:NameList>
          <b:Person>
            <b:Last>Atherton</b:Last>
            <b:First>Chris</b:First>
          </b:Person>
        </b:NameList>
      </b:Author>
    </b:Author>
    <b:Title>Assessment: Evidence-based Teaching for Enquiring Teachers</b:Title>
    <b:Year>2018</b:Year>
    <b:City>St. Albans</b:City>
    <b:Publisher>Critical Publishing</b:Publisher>
    <b:RefOrder>1</b:RefOrder>
  </b:Source>
  <b:Source>
    <b:Tag>Bla10</b:Tag>
    <b:SourceType>ArticleInAPeriodical</b:SourceType>
    <b:Guid>{7CFA591C-5851-4D03-9129-A84AC9000565}</b:Guid>
    <b:Title>Inside the Black Box: raising standards through classroom assessment</b:Title>
    <b:Year>2010</b:Year>
    <b:PeriodicalTitle>Kappan Classic</b:PeriodicalTitle>
    <b:Month>September</b:Month>
    <b:Pages>81-90</b:Pages>
    <b:Author>
      <b:Author>
        <b:NameList>
          <b:Person>
            <b:Last>Black</b:Last>
            <b:First>Paul</b:First>
          </b:Person>
          <b:Person>
            <b:Last>Wiliam</b:Last>
            <b:First>Dylan</b:First>
          </b:Person>
        </b:NameList>
      </b:Author>
    </b:Author>
    <b:RefOrder>2</b:RefOrder>
  </b:Source>
  <b:Source>
    <b:Tag>How03</b:Tag>
    <b:SourceType>Book</b:SourceType>
    <b:Guid>{BBBA69A6-F0C8-4DCC-AAE7-DB2D95F61B9E}</b:Guid>
    <b:Title>Marking and Assessment</b:Title>
    <b:Year>2003</b:Year>
    <b:Publisher>Continuum</b:Publisher>
    <b:City>London and New York</b:City>
    <b:Author>
      <b:Author>
        <b:NameList>
          <b:Person>
            <b:Last>Jones</b:Last>
            <b:First>Sonia</b:First>
          </b:Person>
          <b:Person>
            <b:Last>Tanner</b:Last>
            <b:First>Howard</b:First>
          </b:Person>
        </b:NameList>
      </b:Author>
    </b:Author>
    <b:RefOrder>3</b:RefOrder>
  </b:Source>
  <b:Source>
    <b:Tag>Shi05</b:Tag>
    <b:SourceType>Book</b:SourceType>
    <b:Guid>{B543F73A-59BC-4A7E-B18D-48E2EEAECEFE}</b:Guid>
    <b:Author>
      <b:Author>
        <b:NameList>
          <b:Person>
            <b:Last>Clarke</b:Last>
            <b:First>Shirley</b:First>
          </b:Person>
        </b:NameList>
      </b:Author>
    </b:Author>
    <b:Title>Formative Assessment in the Secondary School</b:Title>
    <b:Year>2005</b:Year>
    <b:City>Oxford</b:City>
    <b:Publisher>Hodder Murray</b:Publisher>
    <b:RefOrder>6</b:RefOrder>
  </b:Source>
  <b:Source>
    <b:Tag>Gra03</b:Tag>
    <b:SourceType>Book</b:SourceType>
    <b:Guid>{6D5ED2BE-5CC2-4205-8552-226657771E59}</b:Guid>
    <b:Title>Lesson Planning</b:Title>
    <b:Year>2003</b:Year>
    <b:Author>
      <b:Author>
        <b:NameList>
          <b:Person>
            <b:Last>Butt</b:Last>
            <b:First>Graham</b:First>
          </b:Person>
        </b:NameList>
      </b:Author>
    </b:Author>
    <b:City>London</b:City>
    <b:Publisher>Continuum</b:Publisher>
    <b:RefOrder>24</b:RefOrder>
  </b:Source>
  <b:Source>
    <b:Tag>Jea13</b:Tag>
    <b:SourceType>Book</b:SourceType>
    <b:Guid>{B2F5F7D7-6078-4E75-99E1-3964E6DC2D2E}</b:Guid>
    <b:Author>
      <b:Author>
        <b:NameList>
          <b:Person>
            <b:Last>McNiff</b:Last>
            <b:First>Jean</b:First>
          </b:Person>
        </b:NameList>
      </b:Author>
    </b:Author>
    <b:Title>Action Research: Principles and Practice</b:Title>
    <b:Year>2013</b:Year>
    <b:City>London and New York</b:City>
    <b:Publisher>Routledge</b:Publisher>
    <b:Edition>Third</b:Edition>
    <b:RefOrder>7</b:RefOrder>
  </b:Source>
  <b:Source>
    <b:Tag>Mer09</b:Tag>
    <b:SourceType>Book</b:SourceType>
    <b:Guid>{659C4A12-195A-4BC0-A2F9-558DCA357F09}</b:Guid>
    <b:Title>Action Research: Teachers as Researchers in the Classroom</b:Title>
    <b:Year>2009</b:Year>
    <b:City>Los Angeles; London; New Delhi; Singapore</b:City>
    <b:Publisher>Sage</b:Publisher>
    <b:Edition>Second</b:Edition>
    <b:Author>
      <b:Author>
        <b:NameList>
          <b:Person>
            <b:Last>Mertler</b:Last>
            <b:Middle>A.</b:Middle>
            <b:First>Craig</b:First>
          </b:Person>
        </b:NameList>
      </b:Author>
    </b:Author>
    <b:RefOrder>8</b:RefOrder>
  </b:Source>
  <b:Source>
    <b:Tag>Dav15</b:Tag>
    <b:SourceType>Book</b:SourceType>
    <b:Guid>{2F4FB957-8B39-4020-A1E1-C16991BE3EC8}</b:Guid>
    <b:Author>
      <b:Author>
        <b:NameList>
          <b:Person>
            <b:Last>Spendlove</b:Last>
            <b:First>David</b:First>
          </b:Person>
        </b:NameList>
      </b:Author>
    </b:Author>
    <b:Title>100 Ideas for Secondary Teachers: Assessment for Learning</b:Title>
    <b:Year>2015</b:Year>
    <b:City>London and New York</b:City>
    <b:Publisher>Bloomsbury</b:Publisher>
    <b:RefOrder>9</b:RefOrder>
  </b:Source>
  <b:Source>
    <b:Tag>JSt18</b:Tag>
    <b:SourceType>InternetSite</b:SourceType>
    <b:Guid>{545176D8-B3AE-4E8F-BECE-5880A12F34B6}</b:Guid>
    <b:Author>
      <b:Author>
        <b:NameList>
          <b:Person>
            <b:Last>Steele</b:Last>
            <b:First>J.</b:First>
          </b:Person>
        </b:NameList>
      </b:Author>
    </b:Author>
    <b:Title>Darton College</b:Title>
    <b:Year>2018</b:Year>
    <b:YearAccessed>2019</b:YearAccessed>
    <b:MonthAccessed>February</b:MonthAccessed>
    <b:DayAccessed>28</b:DayAccessed>
    <b:URL>http://dartoncollege.co.uk/blog/reflecting-on-exit-tickets/</b:URL>
    <b:RefOrder>11</b:RefOrder>
  </b:Source>
  <b:Source>
    <b:Tag>She18</b:Tag>
    <b:SourceType>InternetSite</b:SourceType>
    <b:Guid>{60F6AB1D-ACC4-492B-8FCE-40DEC9D897E8}</b:Guid>
    <b:Title>SecEd</b:Title>
    <b:Year>2018</b:Year>
    <b:Author>
      <b:Author>
        <b:NameList>
          <b:Person>
            <b:Last>Sherwood</b:Last>
            <b:First>Jemma</b:First>
          </b:Person>
        </b:NameList>
      </b:Author>
    </b:Author>
    <b:PeriodicalTitle>SecEd</b:PeriodicalTitle>
    <b:YearAccessed>2019</b:YearAccessed>
    <b:MonthAccessed>February</b:MonthAccessed>
    <b:DayAccessed>28</b:DayAccessed>
    <b:URL>http://www.sec-ed.co.uk/best-practice/new-approaches-to-student-feedback/</b:URL>
    <b:RefOrder>10</b:RefOrder>
  </b:Source>
  <b:Source>
    <b:Tag>SaS19</b:Tag>
    <b:SourceType>InternetSite</b:SourceType>
    <b:Guid>{86A66EBF-D246-437D-B70D-E72BC7586EDF}</b:Guid>
    <b:Author>
      <b:Author>
        <b:NameList>
          <b:Person>
            <b:Last>Mills</b:Last>
            <b:First>Sara</b:First>
          </b:Person>
        </b:NameList>
      </b:Author>
    </b:Author>
    <b:Title>Study.com</b:Title>
    <b:YearAccessed>2019</b:YearAccessed>
    <b:MonthAccessed>February</b:MonthAccessed>
    <b:DayAccessed>28</b:DayAccessed>
    <b:URL>https://study.com/academy/lesson/3-2-1-exit-slip-strategy.html</b:URL>
    <b:RefOrder>12</b:RefOrder>
  </b:Source>
  <b:Source>
    <b:Tag>Wil19</b:Tag>
    <b:SourceType>InternetSite</b:SourceType>
    <b:Guid>{0DA2F929-C19D-4D18-ABB9-CECFBC8086B2}</b:Guid>
    <b:Title>Welsh Assembly: Plenary 08/01/2019</b:Title>
    <b:Year>2019</b:Year>
    <b:City>Cardiff</b:City>
    <b:Publisher>Welsh Assembly Government</b:Publisher>
    <b:Author>
      <b:Author>
        <b:NameList>
          <b:Person>
            <b:Last>Williams</b:Last>
            <b:First>Kirsty</b:First>
          </b:Person>
        </b:NameList>
      </b:Author>
    </b:Author>
    <b:YearAccessed>2019</b:YearAccessed>
    <b:MonthAccessed>01</b:MonthAccessed>
    <b:DayAccessed>14</b:DayAccessed>
    <b:URL> http://record.assembly.wales/Plenary/5409#A47585</b:URL>
    <b:RefOrder>16</b:RefOrder>
  </b:Source>
  <b:Source>
    <b:Tag>Dou15</b:Tag>
    <b:SourceType>Book</b:SourceType>
    <b:Guid>{2D1D96BF-868D-462C-A697-884E18868E49}</b:Guid>
    <b:Title>Teach Like a Champion 2.0</b:Title>
    <b:Year>2015</b:Year>
    <b:Author>
      <b:Author>
        <b:NameList>
          <b:Person>
            <b:Last>Lemov</b:Last>
            <b:First>Doug</b:First>
          </b:Person>
        </b:NameList>
      </b:Author>
    </b:Author>
    <b:City>San Francisco</b:City>
    <b:Publisher>Jossey-Bass</b:Publisher>
    <b:RefOrder>13</b:RefOrder>
  </b:Source>
  <b:Source>
    <b:Tag>Har16</b:Tag>
    <b:SourceType>InternetSite</b:SourceType>
    <b:Guid>{91F08375-A096-425C-BAAF-1B66A9D5DF2D}</b:Guid>
    <b:Title>Improving Teaching</b:Title>
    <b:Year>2016</b:Year>
    <b:Author>
      <b:Author>
        <b:NameList>
          <b:Person>
            <b:Last>Fletcher-Wood</b:Last>
            <b:First>Harry</b:First>
          </b:Person>
        </b:NameList>
      </b:Author>
    </b:Author>
    <b:YearAccessed>2019</b:YearAccessed>
    <b:MonthAccessed>February</b:MonthAccessed>
    <b:DayAccessed>28</b:DayAccessed>
    <b:URL>https://improvingteaching.co.uk/2016/04/24/exit-tickets-assess-plan/</b:URL>
    <b:RefOrder>14</b:RefOrder>
  </b:Source>
  <b:Source>
    <b:Tag>Gra15</b:Tag>
    <b:SourceType>Report</b:SourceType>
    <b:Guid>{662DDCEC-61FC-4CBB-8A6D-9508A809FFC9}</b:Guid>
    <b:Title>Successful Futures</b:Title>
    <b:Year>2015</b:Year>
    <b:Publisher>Welsh Assembly Government</b:Publisher>
    <b:Author>
      <b:Author>
        <b:NameList>
          <b:Person>
            <b:Last>Donaldson</b:Last>
            <b:First>Graham</b:First>
          </b:Person>
        </b:NameList>
      </b:Author>
    </b:Author>
    <b:RefOrder>15</b:RefOrder>
  </b:Source>
  <b:Source>
    <b:Tag>EST17</b:Tag>
    <b:SourceType>Report</b:SourceType>
    <b:Guid>{76F63818-C061-4F30-AA0F-F6BDCD61357F}</b:Guid>
    <b:Author>
      <b:Author>
        <b:Corporate>ESTYN</b:Corporate>
      </b:Author>
    </b:Author>
    <b:Title>A Report on - School</b:Title>
    <b:Year>2017</b:Year>
    <b:Publisher>ESTYN</b:Publisher>
    <b:RefOrder>17</b:RefOrder>
  </b:Source>
  <b:Source>
    <b:Tag>Bur09</b:Tag>
    <b:SourceType>Book</b:SourceType>
    <b:Guid>{AE062671-06FF-4F10-A962-B297CC773E7B}</b:Guid>
    <b:Title>Key Issues for Education Researchers</b:Title>
    <b:Year>2009</b:Year>
    <b:Publisher>SAGE</b:Publisher>
    <b:City>London, California, New Delhi, Singapore</b:City>
    <b:Author>
      <b:Author>
        <b:NameList>
          <b:Person>
            <b:Last>Burton</b:Last>
            <b:First>Diana</b:First>
          </b:Person>
          <b:Person>
            <b:Last>Bartlett</b:Last>
            <b:First>Steve</b:First>
          </b:Person>
        </b:NameList>
      </b:Author>
    </b:Author>
    <b:RefOrder>18</b:RefOrder>
  </b:Source>
  <b:Source>
    <b:Tag>For17</b:Tag>
    <b:SourceType>JournalArticle</b:SourceType>
    <b:Guid>{B10B8612-92ED-493F-9659-6F5143EEF69D}</b:Guid>
    <b:Author>
      <b:Author>
        <b:NameList>
          <b:Person>
            <b:Last>Fordham</b:Last>
            <b:First>Michael</b:First>
          </b:Person>
        </b:NameList>
      </b:Author>
    </b:Author>
    <b:Title>Thinking Makes it so: cognative psycology and history teaching</b:Title>
    <b:Year>2017</b:Year>
    <b:JournalName>Teaching History</b:JournalName>
    <b:Pages>37-42</b:Pages>
    <b:Issue>166</b:Issue>
    <b:RefOrder>4</b:RefOrder>
  </b:Source>
  <b:Source>
    <b:Tag>cla14</b:Tag>
    <b:SourceType>InternetSite</b:SourceType>
    <b:Guid>{FCA50B17-ED55-4FFB-B704-2ECCE4242B1E}</b:Guid>
    <b:Title>classteaching.wordpress.com</b:Title>
    <b:Year>2014</b:Year>
    <b:YearAccessed>2019</b:YearAccessed>
    <b:MonthAccessed>03</b:MonthAccessed>
    <b:DayAccessed>28</b:DayAccessed>
    <b:URL>https://classteaching.wordpress.com/2014/06/12/spacing-and-interleaving/</b:URL>
    <b:RefOrder>5</b:RefOrder>
  </b:Source>
  <b:Source>
    <b:Tag>Rus16</b:Tag>
    <b:SourceType>Book</b:SourceType>
    <b:Guid>{2B4DEAAC-CEF4-4AE2-8737-8C0F63AA2AC7}</b:Guid>
    <b:Title>A History Teaching Toolbox</b:Title>
    <b:Year>2016</b:Year>
    <b:Author>
      <b:Author>
        <b:NameList>
          <b:Person>
            <b:Last>Tarr</b:Last>
            <b:First>Russel</b:First>
          </b:Person>
        </b:NameList>
      </b:Author>
    </b:Author>
    <b:RefOrder>20</b:RefOrder>
  </b:Source>
  <b:Source>
    <b:Tag>Pop16</b:Tag>
    <b:SourceType>JournalArticle</b:SourceType>
    <b:Guid>{000E9758-CCB9-4C17-AD72-C6AFA211AD91}</b:Guid>
    <b:Title>How the time of day affects productivity:evidence from school schedules</b:Title>
    <b:Year>2016</b:Year>
    <b:JournalName>The Review of Economics and Statistics</b:JournalName>
    <b:Pages>1-11</b:Pages>
    <b:Volume>XCVIII</b:Volume>
    <b:Issue>1</b:Issue>
    <b:Author>
      <b:Author>
        <b:NameList>
          <b:Person>
            <b:Last>Pope</b:Last>
            <b:Middle>G.</b:Middle>
            <b:First>Nolan</b:First>
          </b:Person>
        </b:NameList>
      </b:Author>
    </b:Author>
    <b:RefOrder>21</b:RefOrder>
  </b:Source>
  <b:Source>
    <b:Tag>Mar19</b:Tag>
    <b:SourceType>InternetSite</b:SourceType>
    <b:Guid>{820673B2-37B2-49CF-A15A-2A83B58F1AA0}</b:Guid>
    <b:Title>Chicago Center for Teaching</b:Title>
    <b:Author>
      <b:Author>
        <b:NameList>
          <b:Person>
            <b:Last>Caldwell</b:Last>
            <b:First>Mary</b:First>
          </b:Person>
        </b:NameList>
      </b:Author>
    </b:Author>
    <b:YearAccessed>2019</b:YearAccessed>
    <b:MonthAccessed>March</b:MonthAccessed>
    <b:DayAccessed>28</b:DayAccessed>
    <b:URL>https://teaching.uchicago.edu/resources/teaching-guides/how-students-learn/</b:URL>
    <b:RefOrder>19</b:RefOrder>
  </b:Source>
  <b:Source>
    <b:Tag>Coe14</b:Tag>
    <b:SourceType>Report</b:SourceType>
    <b:Guid>{8E9F1586-D840-48EF-853F-BD2E20C9D203}</b:Guid>
    <b:Title>What Makes Great Teaching? Review of the Underpinning Research</b:Title>
    <b:Year>2014</b:Year>
    <b:Publisher>The Sutton Trust</b:Publisher>
    <b:Author>
      <b:Author>
        <b:NameList>
          <b:Person>
            <b:Last>Coe</b:Last>
            <b:First>Robert</b:First>
          </b:Person>
          <b:Person>
            <b:Last>Aloisi</b:Last>
            <b:First>Cesare</b:First>
          </b:Person>
          <b:Person>
            <b:Last>Higgins</b:Last>
            <b:First>Steve</b:First>
          </b:Person>
          <b:Person>
            <b:Last>Major</b:Last>
            <b:Middle>Elliot</b:Middle>
            <b:First>Lee</b:First>
          </b:Person>
        </b:NameList>
      </b:Author>
    </b:Author>
    <b:RefOrder>22</b:RefOrder>
  </b:Source>
  <b:Source>
    <b:Tag>Muj18</b:Tag>
    <b:SourceType>BookSection</b:SourceType>
    <b:Guid>{C4E95654-3D61-4211-B686-21F884907FC6}</b:Guid>
    <b:Title>Theories of Learning and Inteligence</b:Title>
    <b:Year>2018</b:Year>
    <b:Publisher>Sage</b:Publisher>
    <b:City>London; California; New Delhi; Singapore</b:City>
    <b:Author>
      <b:Author>
        <b:NameList>
          <b:Person>
            <b:Last>Mujis</b:Last>
            <b:First>Daniel</b:First>
          </b:Person>
        </b:NameList>
      </b:Author>
      <b:Editor>
        <b:NameList>
          <b:Person>
            <b:Last>Mujis</b:Last>
            <b:First>Daniel</b:First>
          </b:Person>
          <b:Person>
            <b:Last>Reynolds</b:Last>
            <b:First>David</b:First>
          </b:Person>
        </b:NameList>
      </b:Editor>
    </b:Author>
    <b:BookTitle>Effective Teaching: Evidence and Practice</b:BookTitle>
    <b:Pages>15-35</b:Pages>
    <b:RefOrder>23</b:RefOrder>
  </b:Source>
</b:Sources>
</file>

<file path=customXml/itemProps1.xml><?xml version="1.0" encoding="utf-8"?>
<ds:datastoreItem xmlns:ds="http://schemas.openxmlformats.org/officeDocument/2006/customXml" ds:itemID="{B054B1BD-2E97-47B4-BDA5-2CECCDCB1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2035</TotalTime>
  <Pages>28</Pages>
  <Words>7679</Words>
  <Characters>43776</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Howe (1800194)</dc:creator>
  <cp:keywords/>
  <dc:description/>
  <cp:lastModifiedBy>Neil Howe (1800194)</cp:lastModifiedBy>
  <cp:revision>497</cp:revision>
  <cp:lastPrinted>2019-03-28T12:04:00Z</cp:lastPrinted>
  <dcterms:created xsi:type="dcterms:W3CDTF">2019-02-26T06:51:00Z</dcterms:created>
  <dcterms:modified xsi:type="dcterms:W3CDTF">2019-05-11T19:23:00Z</dcterms:modified>
</cp:coreProperties>
</file>