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867C9" w14:textId="77777777" w:rsidR="00452BD0" w:rsidRPr="00DA5A78" w:rsidRDefault="00452BD0" w:rsidP="00DA5A78">
      <w:pPr>
        <w:pStyle w:val="Heading1"/>
        <w:spacing w:line="360" w:lineRule="auto"/>
        <w:rPr>
          <w:rFonts w:cs="Arial"/>
          <w:b w:val="0"/>
          <w:bCs w:val="0"/>
          <w:color w:val="000000" w:themeColor="text1"/>
          <w:szCs w:val="22"/>
        </w:rPr>
      </w:pPr>
      <w:bookmarkStart w:id="0" w:name="_Toc214602282"/>
      <w:r w:rsidRPr="00DA5A78">
        <w:rPr>
          <w:rStyle w:val="Strong"/>
          <w:rFonts w:eastAsiaTheme="majorEastAsia" w:cs="Arial"/>
          <w:b/>
          <w:bCs/>
          <w:color w:val="000000" w:themeColor="text1"/>
          <w:szCs w:val="22"/>
        </w:rPr>
        <w:t>Chapter 4: Findings and Discussion</w:t>
      </w:r>
      <w:bookmarkEnd w:id="0"/>
    </w:p>
    <w:p w14:paraId="561250AD" w14:textId="77777777" w:rsidR="00452BD0" w:rsidRPr="00DA5A78" w:rsidRDefault="00452BD0" w:rsidP="00DA5A78">
      <w:pPr>
        <w:pStyle w:val="Heading1"/>
        <w:spacing w:line="360" w:lineRule="auto"/>
        <w:rPr>
          <w:rFonts w:cs="Arial"/>
          <w:b w:val="0"/>
          <w:bCs w:val="0"/>
          <w:color w:val="000000" w:themeColor="text1"/>
          <w:szCs w:val="22"/>
        </w:rPr>
      </w:pPr>
      <w:bookmarkStart w:id="1" w:name="_Toc214602283"/>
      <w:r w:rsidRPr="00DA5A78">
        <w:rPr>
          <w:rStyle w:val="Strong"/>
          <w:rFonts w:eastAsiaTheme="majorEastAsia" w:cs="Arial"/>
          <w:b/>
          <w:bCs/>
          <w:color w:val="000000" w:themeColor="text1"/>
          <w:szCs w:val="22"/>
        </w:rPr>
        <w:t>4.1 Introduction</w:t>
      </w:r>
      <w:bookmarkEnd w:id="1"/>
    </w:p>
    <w:p w14:paraId="04B87C9A" w14:textId="3ACBEE4D" w:rsidR="00452BD0" w:rsidRPr="001F4CA2" w:rsidRDefault="001F4CA2" w:rsidP="00DA5A78">
      <w:pPr>
        <w:spacing w:before="100" w:beforeAutospacing="1" w:after="100" w:afterAutospacing="1" w:line="360" w:lineRule="auto"/>
        <w:rPr>
          <w:rFonts w:cs="Arial"/>
          <w:color w:val="000000" w:themeColor="text1"/>
          <w:szCs w:val="22"/>
        </w:rPr>
      </w:pPr>
      <w:r w:rsidRPr="001F4CA2">
        <w:rPr>
          <w:rFonts w:cs="Arial"/>
          <w:color w:val="000000" w:themeColor="text1"/>
          <w:szCs w:val="22"/>
        </w:rPr>
        <w:t>This chapter discusses and critically evaluates the findings from the systematic literature review examining the relationship between low-income status, substance abuse, and untreated mental health issues in England. This chapter aims to synthesise trends discovered in thirty high-quality sources, including ten primary references from peer-reviewed journals, government publications, and policy papers.</w:t>
      </w:r>
      <w:r w:rsidRPr="001F4CA2">
        <w:rPr>
          <w:rFonts w:cs="Arial"/>
          <w:color w:val="000000" w:themeColor="text1"/>
          <w:szCs w:val="22"/>
        </w:rPr>
        <w:t xml:space="preserve"> </w:t>
      </w:r>
      <w:r w:rsidR="00452BD0" w:rsidRPr="001F4CA2">
        <w:rPr>
          <w:rFonts w:cs="Arial"/>
          <w:color w:val="000000" w:themeColor="text1"/>
          <w:szCs w:val="22"/>
        </w:rPr>
        <w:t>The data were thematically analysed using Braun and Clark's (2006) six-step approach, which enabled the identification of key themes grounded in both quantitative and qualitative evidence. The chapter expands upon the patterns observed in the literature and links these to the theoretical frameworks of </w:t>
      </w:r>
      <w:r w:rsidR="00452BD0" w:rsidRPr="001F4CA2">
        <w:rPr>
          <w:rFonts w:eastAsiaTheme="majorEastAsia" w:cs="Arial"/>
          <w:color w:val="000000" w:themeColor="text1"/>
          <w:szCs w:val="22"/>
        </w:rPr>
        <w:t>social determinants of health (Marmot, 2020</w:t>
      </w:r>
      <w:r w:rsidR="00452BD0" w:rsidRPr="001F4CA2">
        <w:rPr>
          <w:rFonts w:cs="Arial"/>
          <w:color w:val="000000" w:themeColor="text1"/>
          <w:szCs w:val="22"/>
        </w:rPr>
        <w:t>), the </w:t>
      </w:r>
      <w:r w:rsidR="00452BD0" w:rsidRPr="001F4CA2">
        <w:rPr>
          <w:rFonts w:eastAsiaTheme="majorEastAsia" w:cs="Arial"/>
          <w:color w:val="000000" w:themeColor="text1"/>
          <w:szCs w:val="22"/>
        </w:rPr>
        <w:t>biopsychosocial model (Engel, 1977),</w:t>
      </w:r>
      <w:r w:rsidR="00452BD0" w:rsidRPr="001F4CA2">
        <w:rPr>
          <w:rFonts w:cs="Arial"/>
          <w:color w:val="000000" w:themeColor="text1"/>
          <w:szCs w:val="22"/>
        </w:rPr>
        <w:t> and </w:t>
      </w:r>
      <w:r w:rsidR="00452BD0" w:rsidRPr="001F4CA2">
        <w:rPr>
          <w:rFonts w:eastAsiaTheme="majorEastAsia" w:cs="Arial"/>
          <w:color w:val="000000" w:themeColor="text1"/>
          <w:szCs w:val="22"/>
        </w:rPr>
        <w:t>dual diagnosis theory (NICE, 2022).</w:t>
      </w:r>
    </w:p>
    <w:p w14:paraId="3490DAFD"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Five central themes emerged from the analysis:</w:t>
      </w:r>
    </w:p>
    <w:p w14:paraId="342DFAD8"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1. Low-Income Status and Substance Misuse</w:t>
      </w:r>
    </w:p>
    <w:p w14:paraId="62FD0FA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2. Untreated mental health disorders and dual diagnoses</w:t>
      </w:r>
    </w:p>
    <w:p w14:paraId="214D613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3. Barriers to Access and Service Inequality</w:t>
      </w:r>
    </w:p>
    <w:p w14:paraId="3096562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4. Policy, Legislation, and Public Health Frameworks</w:t>
      </w:r>
    </w:p>
    <w:p w14:paraId="1273658B"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5. The Impact of COVID-19 on Health Inequalities</w:t>
      </w:r>
    </w:p>
    <w:p w14:paraId="700B3D6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Each theme is examined through the lenses of definition, background, data, theoretical relevance, and policy context. These findings reveal the complexities of economic deprivation, mental health, and substance misuse within England’s health system and illustrate how systemic inequality continues to shape outcomes.</w:t>
      </w:r>
    </w:p>
    <w:p w14:paraId="7A3F127F" w14:textId="77777777" w:rsidR="00452BD0" w:rsidRPr="00DA5A78" w:rsidRDefault="00452BD0" w:rsidP="00DA5A78">
      <w:pPr>
        <w:spacing w:line="360" w:lineRule="auto"/>
        <w:rPr>
          <w:rFonts w:cs="Arial"/>
          <w:color w:val="000000" w:themeColor="text1"/>
          <w:szCs w:val="22"/>
        </w:rPr>
      </w:pPr>
    </w:p>
    <w:p w14:paraId="60B58500" w14:textId="77777777" w:rsidR="00452BD0" w:rsidRPr="00DA5A78" w:rsidRDefault="00452BD0" w:rsidP="00DA5A78">
      <w:pPr>
        <w:spacing w:line="360" w:lineRule="auto"/>
        <w:rPr>
          <w:rFonts w:cs="Arial"/>
          <w:color w:val="000000" w:themeColor="text1"/>
          <w:szCs w:val="22"/>
        </w:rPr>
      </w:pPr>
    </w:p>
    <w:p w14:paraId="2EBC3C60" w14:textId="77777777" w:rsidR="00452BD0" w:rsidRPr="00DA5A78" w:rsidRDefault="00452BD0" w:rsidP="00DA5A78">
      <w:pPr>
        <w:spacing w:line="360" w:lineRule="auto"/>
        <w:rPr>
          <w:rFonts w:cs="Arial"/>
          <w:color w:val="000000" w:themeColor="text1"/>
          <w:szCs w:val="22"/>
        </w:rPr>
      </w:pPr>
    </w:p>
    <w:p w14:paraId="0664ED85" w14:textId="77777777" w:rsidR="00452BD0" w:rsidRPr="00DA5A78" w:rsidRDefault="00452BD0" w:rsidP="00DA5A78">
      <w:pPr>
        <w:spacing w:line="360" w:lineRule="auto"/>
        <w:rPr>
          <w:rFonts w:cs="Arial"/>
          <w:color w:val="000000" w:themeColor="text1"/>
          <w:szCs w:val="22"/>
        </w:rPr>
      </w:pPr>
    </w:p>
    <w:p w14:paraId="68F8B518" w14:textId="77777777" w:rsidR="00452BD0" w:rsidRPr="00DA5A78" w:rsidRDefault="00452BD0" w:rsidP="00DA5A78">
      <w:pPr>
        <w:spacing w:line="360" w:lineRule="auto"/>
        <w:rPr>
          <w:rFonts w:cs="Arial"/>
          <w:color w:val="000000" w:themeColor="text1"/>
          <w:szCs w:val="22"/>
        </w:rPr>
      </w:pPr>
    </w:p>
    <w:p w14:paraId="28485940" w14:textId="77777777" w:rsidR="00452BD0" w:rsidRPr="00DA5A78" w:rsidRDefault="00452BD0" w:rsidP="00DA5A78">
      <w:pPr>
        <w:spacing w:line="360" w:lineRule="auto"/>
        <w:rPr>
          <w:rFonts w:cs="Arial"/>
          <w:color w:val="000000" w:themeColor="text1"/>
          <w:szCs w:val="22"/>
        </w:rPr>
      </w:pPr>
    </w:p>
    <w:p w14:paraId="7A94A591" w14:textId="77777777" w:rsidR="00452BD0" w:rsidRPr="00DA5A78" w:rsidRDefault="00452BD0" w:rsidP="00DA5A78">
      <w:pPr>
        <w:pStyle w:val="Heading1"/>
        <w:spacing w:line="360" w:lineRule="auto"/>
        <w:rPr>
          <w:rFonts w:cs="Arial"/>
          <w:color w:val="000000" w:themeColor="text1"/>
          <w:szCs w:val="22"/>
        </w:rPr>
      </w:pPr>
      <w:bookmarkStart w:id="2" w:name="_Toc214602284"/>
      <w:r w:rsidRPr="00DA5A78">
        <w:rPr>
          <w:rFonts w:cs="Arial"/>
          <w:color w:val="000000" w:themeColor="text1"/>
          <w:szCs w:val="22"/>
        </w:rPr>
        <w:lastRenderedPageBreak/>
        <w:t>4.2 Theme 1: Low-Income Status and Substance Misuse in England</w:t>
      </w:r>
      <w:bookmarkEnd w:id="2"/>
    </w:p>
    <w:p w14:paraId="33A0AA28" w14:textId="4CD46BE2" w:rsidR="00452BD0" w:rsidRPr="00DA5A78" w:rsidRDefault="00452BD0" w:rsidP="00DA5A78">
      <w:pPr>
        <w:pStyle w:val="Heading1"/>
        <w:spacing w:line="360" w:lineRule="auto"/>
        <w:rPr>
          <w:rFonts w:cs="Arial"/>
          <w:color w:val="000000" w:themeColor="text1"/>
          <w:szCs w:val="22"/>
        </w:rPr>
      </w:pPr>
      <w:bookmarkStart w:id="3" w:name="_Toc214602285"/>
      <w:r w:rsidRPr="00DA5A78">
        <w:rPr>
          <w:rFonts w:cs="Arial"/>
          <w:color w:val="000000" w:themeColor="text1"/>
          <w:szCs w:val="22"/>
        </w:rPr>
        <w:t xml:space="preserve">1.Definition </w:t>
      </w:r>
      <w:bookmarkEnd w:id="3"/>
      <w:r w:rsidR="00DA5A78" w:rsidRPr="00DA5A78">
        <w:rPr>
          <w:rFonts w:cs="Arial"/>
          <w:color w:val="000000" w:themeColor="text1"/>
          <w:szCs w:val="22"/>
        </w:rPr>
        <w:t>and Scope</w:t>
      </w:r>
    </w:p>
    <w:p w14:paraId="35AC8B63" w14:textId="755F8065" w:rsidR="00452BD0" w:rsidRPr="00DA5A78" w:rsidRDefault="00AC3D75" w:rsidP="00DA5A78">
      <w:pPr>
        <w:spacing w:before="100" w:beforeAutospacing="1" w:after="100" w:afterAutospacing="1" w:line="360" w:lineRule="auto"/>
        <w:rPr>
          <w:rFonts w:cs="Arial"/>
          <w:color w:val="000000" w:themeColor="text1"/>
          <w:szCs w:val="22"/>
        </w:rPr>
      </w:pPr>
      <w:r w:rsidRPr="00AC3D75">
        <w:rPr>
          <w:rFonts w:cs="Arial"/>
          <w:color w:val="000000" w:themeColor="text1"/>
          <w:szCs w:val="22"/>
        </w:rPr>
        <w:t>The Joseph Rowntree Foundation (2023) defines individuals and households as low-income if their earnings fall below the national median. This, in turn, might make it difficult for them to afford necessities like housing, healthcare, and education.</w:t>
      </w:r>
      <w:r w:rsidR="00452BD0" w:rsidRPr="00DA5A78">
        <w:rPr>
          <w:rFonts w:cs="Arial"/>
          <w:color w:val="000000" w:themeColor="text1"/>
          <w:szCs w:val="22"/>
        </w:rPr>
        <w:t xml:space="preserve"> Within the context of this dissertation, “substance misuse” includes harmful or hazardous use of drugs or alcohol that leads to social, psychological, or physical harm (Public Health England, 2021). This theme explores how poverty and economic disadvantage contribute to substance misuse patterns in England, setting the foundation for understanding wider health inequalities.</w:t>
      </w:r>
    </w:p>
    <w:p w14:paraId="376C1A0D" w14:textId="0D6FE277" w:rsidR="00452BD0" w:rsidRPr="00DA5A78" w:rsidRDefault="00452BD0" w:rsidP="00DA5A78">
      <w:pPr>
        <w:pStyle w:val="Heading1"/>
        <w:spacing w:line="360" w:lineRule="auto"/>
        <w:rPr>
          <w:rFonts w:cs="Arial"/>
          <w:color w:val="000000" w:themeColor="text1"/>
          <w:szCs w:val="22"/>
        </w:rPr>
      </w:pPr>
      <w:bookmarkStart w:id="4" w:name="_Toc214602286"/>
      <w:r w:rsidRPr="00DA5A78">
        <w:rPr>
          <w:rFonts w:cs="Arial"/>
          <w:color w:val="000000" w:themeColor="text1"/>
          <w:szCs w:val="22"/>
        </w:rPr>
        <w:t xml:space="preserve">2.Background </w:t>
      </w:r>
      <w:bookmarkEnd w:id="4"/>
    </w:p>
    <w:p w14:paraId="49302A55" w14:textId="63469488" w:rsidR="00452BD0" w:rsidRPr="00DA5A78" w:rsidRDefault="00AC3D75" w:rsidP="00DA5A78">
      <w:pPr>
        <w:spacing w:before="100" w:beforeAutospacing="1" w:after="100" w:afterAutospacing="1" w:line="360" w:lineRule="auto"/>
        <w:rPr>
          <w:rFonts w:cs="Arial"/>
          <w:color w:val="000000" w:themeColor="text1"/>
          <w:szCs w:val="22"/>
        </w:rPr>
      </w:pPr>
      <w:r w:rsidRPr="00AC3D75">
        <w:rPr>
          <w:rFonts w:cs="Arial"/>
          <w:color w:val="000000" w:themeColor="text1"/>
          <w:szCs w:val="22"/>
        </w:rPr>
        <w:t>A strong correlation has been shown between low income and drug misuse.</w:t>
      </w:r>
      <w:r>
        <w:rPr>
          <w:rFonts w:cs="Arial"/>
          <w:color w:val="000000" w:themeColor="text1"/>
          <w:szCs w:val="22"/>
        </w:rPr>
        <w:t xml:space="preserve"> </w:t>
      </w:r>
      <w:r w:rsidR="00452BD0" w:rsidRPr="00DA5A78">
        <w:rPr>
          <w:rFonts w:cs="Arial"/>
          <w:color w:val="000000" w:themeColor="text1"/>
          <w:szCs w:val="22"/>
        </w:rPr>
        <w:t xml:space="preserve">Historical data shows that </w:t>
      </w:r>
      <w:proofErr w:type="gramStart"/>
      <w:r w:rsidR="00452BD0" w:rsidRPr="00DA5A78">
        <w:rPr>
          <w:rFonts w:cs="Arial"/>
          <w:color w:val="000000" w:themeColor="text1"/>
          <w:szCs w:val="22"/>
        </w:rPr>
        <w:t>economically disadvantaged</w:t>
      </w:r>
      <w:proofErr w:type="gramEnd"/>
      <w:r w:rsidR="00452BD0" w:rsidRPr="00DA5A78">
        <w:rPr>
          <w:rFonts w:cs="Arial"/>
          <w:color w:val="000000" w:themeColor="text1"/>
          <w:szCs w:val="22"/>
        </w:rPr>
        <w:t xml:space="preserve"> communities have higher substance use and harm rates (Black, 2021). Since 2010, austerity, youth centres closures, addiction service cuts, and rising living costs have exacerbated these vulnerabilities (Marmot, 2020). </w:t>
      </w:r>
      <w:r w:rsidRPr="00AC3D75">
        <w:rPr>
          <w:rFonts w:cs="Arial"/>
          <w:color w:val="000000" w:themeColor="text1"/>
          <w:szCs w:val="22"/>
        </w:rPr>
        <w:t>Studies indicate that substance use serves as a coping strategy and reflects social marginalisation (</w:t>
      </w:r>
      <w:proofErr w:type="spellStart"/>
      <w:r w:rsidRPr="00AC3D75">
        <w:rPr>
          <w:rFonts w:cs="Arial"/>
          <w:color w:val="000000" w:themeColor="text1"/>
          <w:szCs w:val="22"/>
        </w:rPr>
        <w:t>Karamanos</w:t>
      </w:r>
      <w:proofErr w:type="spellEnd"/>
      <w:r w:rsidRPr="00AC3D75">
        <w:rPr>
          <w:rFonts w:cs="Arial"/>
          <w:color w:val="000000" w:themeColor="text1"/>
          <w:szCs w:val="22"/>
        </w:rPr>
        <w:t xml:space="preserve"> et al., 2022). </w:t>
      </w:r>
      <w:r w:rsidR="00452BD0" w:rsidRPr="00DA5A78">
        <w:rPr>
          <w:rFonts w:cs="Arial"/>
          <w:color w:val="000000" w:themeColor="text1"/>
          <w:szCs w:val="22"/>
        </w:rPr>
        <w:t>Chronic stress, job insecurity, and housing instability increase misuse risk in low-income areas (JRF, 2023). These patterns show how poverty fuels drug use, which compounds financial hardship.</w:t>
      </w:r>
    </w:p>
    <w:p w14:paraId="57D4CEE7" w14:textId="77777777" w:rsidR="00452BD0" w:rsidRPr="00DA5A78" w:rsidRDefault="00452BD0" w:rsidP="00DA5A78">
      <w:pPr>
        <w:spacing w:line="360" w:lineRule="auto"/>
        <w:rPr>
          <w:rFonts w:cs="Arial"/>
          <w:color w:val="000000" w:themeColor="text1"/>
          <w:szCs w:val="22"/>
        </w:rPr>
      </w:pPr>
    </w:p>
    <w:p w14:paraId="1A124D76"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Key Statistics 2023</w:t>
      </w:r>
    </w:p>
    <w:p w14:paraId="4B325DAA" w14:textId="77777777" w:rsidR="00452BD0" w:rsidRPr="00DA5A78" w:rsidRDefault="00452BD0" w:rsidP="00DA5A78">
      <w:pPr>
        <w:numPr>
          <w:ilvl w:val="0"/>
          <w:numId w:val="33"/>
        </w:numPr>
        <w:spacing w:before="100" w:beforeAutospacing="1" w:after="100" w:afterAutospacing="1" w:line="360" w:lineRule="auto"/>
        <w:rPr>
          <w:rFonts w:cs="Arial"/>
          <w:color w:val="000000" w:themeColor="text1"/>
          <w:szCs w:val="22"/>
        </w:rPr>
      </w:pPr>
      <w:r w:rsidRPr="00DA5A78">
        <w:rPr>
          <w:rFonts w:cs="Arial"/>
          <w:color w:val="000000" w:themeColor="text1"/>
          <w:szCs w:val="22"/>
        </w:rPr>
        <w:t>People living in England’s most deprived areas are five times more likely to die from drug misuse than those in affluent regions (ONS, 2023).</w:t>
      </w:r>
    </w:p>
    <w:p w14:paraId="66402CA1" w14:textId="77777777" w:rsidR="00452BD0" w:rsidRPr="00DA5A78" w:rsidRDefault="00452BD0" w:rsidP="00DA5A78">
      <w:pPr>
        <w:numPr>
          <w:ilvl w:val="0"/>
          <w:numId w:val="33"/>
        </w:numPr>
        <w:spacing w:before="100" w:beforeAutospacing="1" w:after="100" w:afterAutospacing="1" w:line="360" w:lineRule="auto"/>
        <w:rPr>
          <w:rFonts w:cs="Arial"/>
          <w:color w:val="000000" w:themeColor="text1"/>
          <w:szCs w:val="22"/>
        </w:rPr>
      </w:pPr>
      <w:r w:rsidRPr="00DA5A78">
        <w:rPr>
          <w:rFonts w:cs="Arial"/>
          <w:color w:val="000000" w:themeColor="text1"/>
          <w:szCs w:val="22"/>
        </w:rPr>
        <w:t>64% of adults in treatment for substance misuse report being unemployed or economically inactive (NHS Digital, 2023).</w:t>
      </w:r>
    </w:p>
    <w:p w14:paraId="46FD0F94" w14:textId="77777777" w:rsidR="00452BD0" w:rsidRPr="00DA5A78" w:rsidRDefault="00452BD0" w:rsidP="00DA5A78">
      <w:pPr>
        <w:numPr>
          <w:ilvl w:val="0"/>
          <w:numId w:val="33"/>
        </w:numPr>
        <w:spacing w:before="100" w:beforeAutospacing="1" w:after="100" w:afterAutospacing="1" w:line="360" w:lineRule="auto"/>
        <w:rPr>
          <w:rFonts w:cs="Arial"/>
          <w:color w:val="000000" w:themeColor="text1"/>
          <w:szCs w:val="22"/>
        </w:rPr>
      </w:pPr>
      <w:r w:rsidRPr="00DA5A78">
        <w:rPr>
          <w:rFonts w:cs="Arial"/>
          <w:color w:val="000000" w:themeColor="text1"/>
          <w:szCs w:val="22"/>
        </w:rPr>
        <w:t>Drug-related deaths reached 4,907 in 2022, the highest number since records began (ONS, 2023).</w:t>
      </w:r>
    </w:p>
    <w:p w14:paraId="754B7A9A" w14:textId="77777777" w:rsidR="00452BD0" w:rsidRPr="00DA5A78" w:rsidRDefault="00452BD0" w:rsidP="00DA5A78">
      <w:pPr>
        <w:spacing w:line="360" w:lineRule="auto"/>
        <w:rPr>
          <w:rFonts w:cs="Arial"/>
          <w:color w:val="000000" w:themeColor="text1"/>
          <w:szCs w:val="22"/>
        </w:rPr>
      </w:pPr>
    </w:p>
    <w:p w14:paraId="6BAB5DFA" w14:textId="77777777" w:rsidR="00452BD0" w:rsidRPr="00DA5A78" w:rsidRDefault="00452BD0" w:rsidP="00DA5A78">
      <w:pPr>
        <w:spacing w:line="360" w:lineRule="auto"/>
        <w:rPr>
          <w:rFonts w:cs="Arial"/>
          <w:color w:val="000000" w:themeColor="text1"/>
          <w:szCs w:val="22"/>
        </w:rPr>
      </w:pPr>
    </w:p>
    <w:p w14:paraId="28413FBA" w14:textId="77777777" w:rsidR="00452BD0" w:rsidRPr="00DA5A78" w:rsidRDefault="00452BD0" w:rsidP="00DA5A78">
      <w:pPr>
        <w:spacing w:line="360" w:lineRule="auto"/>
        <w:rPr>
          <w:rFonts w:cs="Arial"/>
          <w:color w:val="000000" w:themeColor="text1"/>
          <w:szCs w:val="22"/>
        </w:rPr>
      </w:pPr>
    </w:p>
    <w:p w14:paraId="6A367871" w14:textId="77777777" w:rsidR="00452BD0" w:rsidRPr="00DA5A78" w:rsidRDefault="00452BD0" w:rsidP="00DA5A78">
      <w:pPr>
        <w:spacing w:line="360" w:lineRule="auto"/>
        <w:rPr>
          <w:rFonts w:cs="Arial"/>
          <w:color w:val="000000" w:themeColor="text1"/>
          <w:szCs w:val="22"/>
        </w:rPr>
      </w:pPr>
    </w:p>
    <w:p w14:paraId="46B777E5" w14:textId="77777777" w:rsidR="00452BD0" w:rsidRPr="00DA5A78" w:rsidRDefault="00452BD0" w:rsidP="00DA5A78">
      <w:pPr>
        <w:spacing w:line="360" w:lineRule="auto"/>
        <w:rPr>
          <w:rFonts w:cs="Arial"/>
          <w:color w:val="000000" w:themeColor="text1"/>
          <w:szCs w:val="22"/>
        </w:rPr>
      </w:pPr>
    </w:p>
    <w:p w14:paraId="077F54CD" w14:textId="77777777" w:rsidR="00452BD0" w:rsidRPr="00DA5A78" w:rsidRDefault="00452BD0" w:rsidP="00DA5A78">
      <w:pPr>
        <w:pStyle w:val="Heading1"/>
        <w:spacing w:line="360" w:lineRule="auto"/>
        <w:rPr>
          <w:rFonts w:cs="Arial"/>
          <w:color w:val="000000" w:themeColor="text1"/>
          <w:szCs w:val="22"/>
        </w:rPr>
      </w:pPr>
      <w:bookmarkStart w:id="5" w:name="_Toc214602287"/>
      <w:r w:rsidRPr="00DA5A78">
        <w:rPr>
          <w:rFonts w:cs="Arial"/>
          <w:color w:val="000000" w:themeColor="text1"/>
          <w:szCs w:val="22"/>
        </w:rPr>
        <w:lastRenderedPageBreak/>
        <w:t>3.Relevance to Research Question</w:t>
      </w:r>
      <w:bookmarkEnd w:id="5"/>
    </w:p>
    <w:p w14:paraId="3AE4F053"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directly supports the dissertation’s central question: Is there a correlation between low-income status and higher rates of substance misuse in England, and how does this intersect with levels of untreated mental health disorders?</w:t>
      </w:r>
      <w:r w:rsidRPr="00DA5A78">
        <w:rPr>
          <w:rFonts w:cs="Arial"/>
          <w:i/>
          <w:iCs/>
          <w:color w:val="000000" w:themeColor="text1"/>
          <w:szCs w:val="22"/>
        </w:rPr>
        <w:t xml:space="preserve"> </w:t>
      </w:r>
      <w:r w:rsidRPr="00DA5A78">
        <w:rPr>
          <w:rFonts w:cs="Arial"/>
          <w:color w:val="000000" w:themeColor="text1"/>
          <w:szCs w:val="22"/>
        </w:rPr>
        <w:t>By establishing the socioeconomic gradient of drug misuse, this section provides a foundation for analysing how income inequalities intersect with access to mental health services, as explored in later themes. Poverty not only increases vulnerability to addiction but also limits access to timely support, thereby entrenching the issue (Marmot, 2020; Pierce et al., 2020).</w:t>
      </w:r>
    </w:p>
    <w:p w14:paraId="7BE46E4D" w14:textId="77777777" w:rsidR="00452BD0" w:rsidRPr="00DA5A78" w:rsidRDefault="00452BD0" w:rsidP="00DA5A78">
      <w:pPr>
        <w:pStyle w:val="Heading1"/>
        <w:spacing w:line="360" w:lineRule="auto"/>
        <w:rPr>
          <w:rFonts w:cs="Arial"/>
          <w:color w:val="000000" w:themeColor="text1"/>
          <w:szCs w:val="22"/>
        </w:rPr>
      </w:pPr>
      <w:bookmarkStart w:id="6" w:name="_Toc214602288"/>
      <w:r w:rsidRPr="00DA5A78">
        <w:rPr>
          <w:rFonts w:cs="Arial"/>
          <w:color w:val="000000" w:themeColor="text1"/>
          <w:szCs w:val="22"/>
        </w:rPr>
        <w:t>4.Data and Statistics</w:t>
      </w:r>
      <w:bookmarkEnd w:id="6"/>
    </w:p>
    <w:p w14:paraId="05686B2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Recent government data continues to show strong geographical and economic disparities. According to NHS Digital (2023), 53% of individuals entering drug treatment services in England reside in the lowest income quintile. These figures correlate closely with unemployment and housing instability, reflecting how deprivation drives vulnerability. ONS (2023) further reports that the </w:t>
      </w:r>
      <w:proofErr w:type="gramStart"/>
      <w:r w:rsidRPr="00DA5A78">
        <w:rPr>
          <w:rFonts w:cs="Arial"/>
          <w:color w:val="000000" w:themeColor="text1"/>
          <w:szCs w:val="22"/>
        </w:rPr>
        <w:t>North East</w:t>
      </w:r>
      <w:proofErr w:type="gramEnd"/>
      <w:r w:rsidRPr="00DA5A78">
        <w:rPr>
          <w:rFonts w:cs="Arial"/>
          <w:color w:val="000000" w:themeColor="text1"/>
          <w:szCs w:val="22"/>
        </w:rPr>
        <w:t xml:space="preserve"> consistently records the highest rates of drug misuse deaths, over 104 deaths per million people compared to 27 per million in London, highlighting how structural inequality manifests regionally.</w:t>
      </w:r>
    </w:p>
    <w:p w14:paraId="11E25483"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br/>
        <w:t xml:space="preserve">The Marmot Review (2020): 10 Years </w:t>
      </w:r>
      <w:proofErr w:type="gramStart"/>
      <w:r w:rsidRPr="00DA5A78">
        <w:rPr>
          <w:rFonts w:cs="Arial"/>
          <w:color w:val="000000" w:themeColor="text1"/>
          <w:szCs w:val="22"/>
        </w:rPr>
        <w:t>The</w:t>
      </w:r>
      <w:proofErr w:type="gramEnd"/>
      <w:r w:rsidRPr="00DA5A78">
        <w:rPr>
          <w:rFonts w:cs="Arial"/>
          <w:color w:val="000000" w:themeColor="text1"/>
          <w:szCs w:val="22"/>
        </w:rPr>
        <w:t xml:space="preserve"> Marmot Review concluded that austerity policies and cuts to local authority funding disproportionately harmed lower-income communities, thereby increasing health inequalities. It calls for a “whole-system approach” addressing poverty, employment, and education as root causes of poor health outcomes.</w:t>
      </w:r>
    </w:p>
    <w:p w14:paraId="32D0EDAC" w14:textId="77777777" w:rsidR="00452BD0" w:rsidRPr="00DA5A78" w:rsidRDefault="00452BD0" w:rsidP="00DA5A78">
      <w:pPr>
        <w:spacing w:line="360" w:lineRule="auto"/>
        <w:rPr>
          <w:rFonts w:cs="Arial"/>
          <w:color w:val="000000" w:themeColor="text1"/>
          <w:szCs w:val="22"/>
        </w:rPr>
      </w:pPr>
    </w:p>
    <w:p w14:paraId="143AAF49" w14:textId="77777777" w:rsidR="00452BD0" w:rsidRPr="00DA5A78" w:rsidRDefault="00452BD0" w:rsidP="00DA5A78">
      <w:pPr>
        <w:pStyle w:val="Heading1"/>
        <w:spacing w:line="360" w:lineRule="auto"/>
        <w:rPr>
          <w:rFonts w:cs="Arial"/>
          <w:color w:val="000000" w:themeColor="text1"/>
          <w:szCs w:val="22"/>
        </w:rPr>
      </w:pPr>
      <w:bookmarkStart w:id="7" w:name="_Toc214602289"/>
      <w:r w:rsidRPr="00DA5A78">
        <w:rPr>
          <w:rFonts w:cs="Arial"/>
          <w:color w:val="000000" w:themeColor="text1"/>
          <w:szCs w:val="22"/>
        </w:rPr>
        <w:t>5.Theories, Policy, and Legislation</w:t>
      </w:r>
      <w:bookmarkEnd w:id="7"/>
    </w:p>
    <w:p w14:paraId="2A634828"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8" w:name="_Toc214602290"/>
      <w:r w:rsidRPr="00DA5A78">
        <w:rPr>
          <w:rFonts w:cs="Arial"/>
          <w:color w:val="000000" w:themeColor="text1"/>
          <w:szCs w:val="22"/>
        </w:rPr>
        <w:t xml:space="preserve">The Social Determinants of Health framework (Marmot, 2005; WHO, 2022) provides a theoretical lens to explain how income, employment, and environment influence substance misuse. It argues that socioeconomic conditions shape health outcomes long before individual choices come into play. Complementary theories, including structural violence (Farmer, 2004), underscore the ways in which economic and political systems sustain disadvantage and restrict access to support. Within England, the UK Drug Strategy (Home Office, 2021) and the Public Health Outcomes Framework both recognise poverty as a key </w:t>
      </w:r>
      <w:r w:rsidRPr="00DA5A78">
        <w:rPr>
          <w:rFonts w:cs="Arial"/>
          <w:color w:val="000000" w:themeColor="text1"/>
          <w:szCs w:val="22"/>
        </w:rPr>
        <w:lastRenderedPageBreak/>
        <w:t>determinant but have been criticised for underfunding community-based prevention programmes (Black, 2021).</w:t>
      </w:r>
    </w:p>
    <w:p w14:paraId="3DD3E8B2" w14:textId="77777777"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6.Examples from Articles</w:t>
      </w:r>
      <w:bookmarkEnd w:id="8"/>
    </w:p>
    <w:p w14:paraId="0592B70E" w14:textId="7FC7260E" w:rsidR="00452BD0" w:rsidRPr="00DA5A78" w:rsidRDefault="00BE5951" w:rsidP="00DA5A78">
      <w:pPr>
        <w:spacing w:before="100" w:beforeAutospacing="1" w:after="100" w:afterAutospacing="1" w:line="360" w:lineRule="auto"/>
        <w:rPr>
          <w:rFonts w:cs="Arial"/>
          <w:color w:val="000000" w:themeColor="text1"/>
          <w:szCs w:val="22"/>
        </w:rPr>
      </w:pPr>
      <w:r w:rsidRPr="00BE5951">
        <w:rPr>
          <w:rFonts w:cs="Arial"/>
          <w:color w:val="000000" w:themeColor="text1"/>
          <w:szCs w:val="22"/>
        </w:rPr>
        <w:t>Molina and Whittaker (2022) discovered that adults with adverse childhood experiences (ACEs) and poor socioeconomic position exhibited a higher propensity for developing co-occurring substance use and trauma-related illnesses.</w:t>
      </w:r>
      <w:r w:rsidR="00452BD0" w:rsidRPr="00DA5A78">
        <w:rPr>
          <w:rFonts w:cs="Arial"/>
          <w:color w:val="000000" w:themeColor="text1"/>
          <w:szCs w:val="22"/>
        </w:rPr>
        <w:t xml:space="preserve"> Similarly, </w:t>
      </w:r>
      <w:proofErr w:type="spellStart"/>
      <w:r w:rsidR="00452BD0" w:rsidRPr="00DA5A78">
        <w:rPr>
          <w:rFonts w:cs="Arial"/>
          <w:color w:val="000000" w:themeColor="text1"/>
          <w:szCs w:val="22"/>
        </w:rPr>
        <w:t>Karamanos</w:t>
      </w:r>
      <w:proofErr w:type="spellEnd"/>
      <w:r w:rsidR="00452BD0" w:rsidRPr="00DA5A78">
        <w:rPr>
          <w:rFonts w:cs="Arial"/>
          <w:color w:val="000000" w:themeColor="text1"/>
          <w:szCs w:val="22"/>
        </w:rPr>
        <w:t xml:space="preserve"> et al. (2022) identified socioeconomic position and ethnicity as moderators in adolescent drug use, with deprivation amplifying risk. Research by Mind (2022) and Pierce et al. (2020) demonstrates that individuals in lower income brackets are not only more prone to substance misuse but also face delays in receiving mental health care, reinforcing a dual cycle of neglect and dependency.</w:t>
      </w:r>
    </w:p>
    <w:p w14:paraId="68854503" w14:textId="77777777" w:rsidR="00452BD0" w:rsidRPr="00DA5A78" w:rsidRDefault="00452BD0" w:rsidP="00DA5A78">
      <w:pPr>
        <w:pStyle w:val="Heading1"/>
        <w:spacing w:line="360" w:lineRule="auto"/>
        <w:rPr>
          <w:rFonts w:cs="Arial"/>
          <w:color w:val="000000" w:themeColor="text1"/>
          <w:szCs w:val="22"/>
        </w:rPr>
      </w:pPr>
      <w:bookmarkStart w:id="9" w:name="_Toc214602291"/>
      <w:r w:rsidRPr="00DA5A78">
        <w:rPr>
          <w:rFonts w:cs="Arial"/>
          <w:color w:val="000000" w:themeColor="text1"/>
          <w:szCs w:val="22"/>
        </w:rPr>
        <w:t>7.Connections to Other Themes</w:t>
      </w:r>
      <w:bookmarkEnd w:id="9"/>
    </w:p>
    <w:p w14:paraId="5BB5756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connects directly to the next, which focuses on untreated mental health disorders. Low-income individuals often face limited access to mental health services, leading to self-medication and dependency on substances. The interplay between financial stress and emotional distress forms a key intersection explored further in Theme 2. Furthermore, this discussion links the policy failures and funding inequalities to Theme 4, which critically evaluates legislative frameworks.</w:t>
      </w:r>
    </w:p>
    <w:p w14:paraId="5B64FCA7" w14:textId="77777777" w:rsidR="00452BD0" w:rsidRPr="00DA5A78" w:rsidRDefault="00452BD0" w:rsidP="00DA5A78">
      <w:pPr>
        <w:spacing w:line="360" w:lineRule="auto"/>
        <w:rPr>
          <w:rFonts w:cs="Arial"/>
          <w:color w:val="000000" w:themeColor="text1"/>
          <w:szCs w:val="22"/>
        </w:rPr>
      </w:pPr>
    </w:p>
    <w:p w14:paraId="4C3D7A85" w14:textId="77777777" w:rsidR="00452BD0" w:rsidRPr="00DA5A78" w:rsidRDefault="00452BD0" w:rsidP="00DA5A78">
      <w:pPr>
        <w:spacing w:line="360" w:lineRule="auto"/>
        <w:rPr>
          <w:rFonts w:cs="Arial"/>
          <w:color w:val="000000" w:themeColor="text1"/>
          <w:szCs w:val="22"/>
        </w:rPr>
      </w:pPr>
    </w:p>
    <w:p w14:paraId="6D9210B6" w14:textId="77777777" w:rsidR="00452BD0" w:rsidRPr="00DA5A78" w:rsidRDefault="00452BD0" w:rsidP="00DA5A78">
      <w:pPr>
        <w:spacing w:line="360" w:lineRule="auto"/>
        <w:rPr>
          <w:rFonts w:cs="Arial"/>
          <w:color w:val="000000" w:themeColor="text1"/>
          <w:szCs w:val="22"/>
        </w:rPr>
      </w:pPr>
    </w:p>
    <w:p w14:paraId="17981280" w14:textId="77777777" w:rsidR="00452BD0" w:rsidRPr="00DA5A78" w:rsidRDefault="00452BD0" w:rsidP="00DA5A78">
      <w:pPr>
        <w:spacing w:line="360" w:lineRule="auto"/>
        <w:rPr>
          <w:rFonts w:cs="Arial"/>
          <w:color w:val="000000" w:themeColor="text1"/>
          <w:szCs w:val="22"/>
        </w:rPr>
      </w:pPr>
    </w:p>
    <w:p w14:paraId="400A800F" w14:textId="77777777" w:rsidR="00452BD0" w:rsidRPr="00DA5A78" w:rsidRDefault="00452BD0" w:rsidP="00DA5A78">
      <w:pPr>
        <w:spacing w:line="360" w:lineRule="auto"/>
        <w:rPr>
          <w:rFonts w:cs="Arial"/>
          <w:color w:val="000000" w:themeColor="text1"/>
          <w:szCs w:val="22"/>
        </w:rPr>
      </w:pPr>
    </w:p>
    <w:p w14:paraId="6DDF84D5" w14:textId="77777777" w:rsidR="00452BD0" w:rsidRPr="00DA5A78" w:rsidRDefault="00452BD0" w:rsidP="00DA5A78">
      <w:pPr>
        <w:spacing w:line="360" w:lineRule="auto"/>
        <w:rPr>
          <w:rFonts w:cs="Arial"/>
          <w:color w:val="000000" w:themeColor="text1"/>
          <w:szCs w:val="22"/>
        </w:rPr>
      </w:pPr>
    </w:p>
    <w:p w14:paraId="32F7C0DD" w14:textId="77777777" w:rsidR="00452BD0" w:rsidRPr="00DA5A78" w:rsidRDefault="00452BD0" w:rsidP="00DA5A78">
      <w:pPr>
        <w:spacing w:line="360" w:lineRule="auto"/>
        <w:rPr>
          <w:rFonts w:cs="Arial"/>
          <w:color w:val="000000" w:themeColor="text1"/>
          <w:szCs w:val="22"/>
        </w:rPr>
      </w:pPr>
    </w:p>
    <w:p w14:paraId="65AE9DE6" w14:textId="77777777" w:rsidR="00452BD0" w:rsidRPr="00DA5A78" w:rsidRDefault="00452BD0" w:rsidP="00DA5A78">
      <w:pPr>
        <w:spacing w:line="360" w:lineRule="auto"/>
        <w:rPr>
          <w:rFonts w:cs="Arial"/>
          <w:color w:val="000000" w:themeColor="text1"/>
          <w:szCs w:val="22"/>
        </w:rPr>
      </w:pPr>
    </w:p>
    <w:p w14:paraId="76EC628F" w14:textId="77777777" w:rsidR="00452BD0" w:rsidRPr="00DA5A78" w:rsidRDefault="00452BD0" w:rsidP="00DA5A78">
      <w:pPr>
        <w:spacing w:line="360" w:lineRule="auto"/>
        <w:rPr>
          <w:rFonts w:cs="Arial"/>
          <w:color w:val="000000" w:themeColor="text1"/>
          <w:szCs w:val="22"/>
        </w:rPr>
      </w:pPr>
    </w:p>
    <w:p w14:paraId="658DF844" w14:textId="77777777" w:rsidR="00452BD0" w:rsidRPr="00DA5A78" w:rsidRDefault="00452BD0" w:rsidP="00DA5A78">
      <w:pPr>
        <w:spacing w:line="360" w:lineRule="auto"/>
        <w:rPr>
          <w:rFonts w:cs="Arial"/>
          <w:color w:val="000000" w:themeColor="text1"/>
          <w:szCs w:val="22"/>
        </w:rPr>
      </w:pPr>
    </w:p>
    <w:p w14:paraId="127A2D56" w14:textId="77777777" w:rsidR="00452BD0" w:rsidRPr="00DA5A78" w:rsidRDefault="00452BD0" w:rsidP="00DA5A78">
      <w:pPr>
        <w:spacing w:line="360" w:lineRule="auto"/>
        <w:rPr>
          <w:rFonts w:cs="Arial"/>
          <w:color w:val="000000" w:themeColor="text1"/>
          <w:szCs w:val="22"/>
        </w:rPr>
      </w:pPr>
    </w:p>
    <w:p w14:paraId="7429ED8B" w14:textId="77777777" w:rsidR="00452BD0" w:rsidRPr="00DA5A78" w:rsidRDefault="00452BD0" w:rsidP="00DA5A78">
      <w:pPr>
        <w:spacing w:line="360" w:lineRule="auto"/>
        <w:rPr>
          <w:rFonts w:cs="Arial"/>
          <w:color w:val="000000" w:themeColor="text1"/>
          <w:szCs w:val="22"/>
        </w:rPr>
      </w:pPr>
    </w:p>
    <w:p w14:paraId="078ADB45" w14:textId="77777777" w:rsidR="00452BD0" w:rsidRPr="00DA5A78" w:rsidRDefault="00452BD0" w:rsidP="00DA5A78">
      <w:pPr>
        <w:spacing w:line="360" w:lineRule="auto"/>
        <w:rPr>
          <w:rFonts w:cs="Arial"/>
          <w:color w:val="000000" w:themeColor="text1"/>
          <w:szCs w:val="22"/>
        </w:rPr>
      </w:pPr>
    </w:p>
    <w:p w14:paraId="750A9D96" w14:textId="77777777" w:rsidR="00452BD0" w:rsidRPr="00DA5A78" w:rsidRDefault="00452BD0" w:rsidP="00DA5A78">
      <w:pPr>
        <w:spacing w:line="360" w:lineRule="auto"/>
        <w:rPr>
          <w:rFonts w:cs="Arial"/>
          <w:color w:val="000000" w:themeColor="text1"/>
          <w:szCs w:val="22"/>
        </w:rPr>
      </w:pPr>
    </w:p>
    <w:p w14:paraId="334C742F" w14:textId="77777777" w:rsidR="00452BD0" w:rsidRPr="00DA5A78" w:rsidRDefault="00452BD0" w:rsidP="00DA5A78">
      <w:pPr>
        <w:spacing w:line="360" w:lineRule="auto"/>
        <w:rPr>
          <w:rFonts w:cs="Arial"/>
          <w:color w:val="000000" w:themeColor="text1"/>
          <w:szCs w:val="22"/>
        </w:rPr>
      </w:pPr>
    </w:p>
    <w:p w14:paraId="1712101C" w14:textId="77777777" w:rsidR="00452BD0" w:rsidRPr="00DA5A78" w:rsidRDefault="00452BD0" w:rsidP="00DA5A78">
      <w:pPr>
        <w:spacing w:line="360" w:lineRule="auto"/>
        <w:rPr>
          <w:rFonts w:cs="Arial"/>
          <w:color w:val="000000" w:themeColor="text1"/>
          <w:szCs w:val="22"/>
        </w:rPr>
      </w:pPr>
    </w:p>
    <w:p w14:paraId="2B00BE44" w14:textId="77777777" w:rsidR="00452BD0" w:rsidRPr="00DA5A78" w:rsidRDefault="00452BD0" w:rsidP="00DA5A78">
      <w:pPr>
        <w:spacing w:line="360" w:lineRule="auto"/>
        <w:rPr>
          <w:rFonts w:cs="Arial"/>
          <w:color w:val="000000" w:themeColor="text1"/>
          <w:szCs w:val="22"/>
        </w:rPr>
      </w:pPr>
    </w:p>
    <w:p w14:paraId="5690041A" w14:textId="77777777" w:rsidR="00452BD0" w:rsidRPr="00DA5A78" w:rsidRDefault="00452BD0" w:rsidP="00DA5A78">
      <w:pPr>
        <w:spacing w:line="360" w:lineRule="auto"/>
        <w:rPr>
          <w:rFonts w:cs="Arial"/>
          <w:color w:val="000000" w:themeColor="text1"/>
          <w:szCs w:val="22"/>
        </w:rPr>
      </w:pPr>
    </w:p>
    <w:p w14:paraId="6DFA4BA2" w14:textId="77777777" w:rsidR="00452BD0" w:rsidRPr="00DA5A78" w:rsidRDefault="00452BD0" w:rsidP="00DA5A78">
      <w:pPr>
        <w:spacing w:line="360" w:lineRule="auto"/>
        <w:rPr>
          <w:rFonts w:cs="Arial"/>
          <w:color w:val="000000" w:themeColor="text1"/>
          <w:szCs w:val="22"/>
        </w:rPr>
      </w:pPr>
    </w:p>
    <w:p w14:paraId="36347F29" w14:textId="77777777" w:rsidR="00452BD0" w:rsidRPr="00DA5A78" w:rsidRDefault="00452BD0" w:rsidP="00DA5A78">
      <w:pPr>
        <w:pStyle w:val="Heading1"/>
        <w:spacing w:line="360" w:lineRule="auto"/>
        <w:rPr>
          <w:rFonts w:cs="Arial"/>
          <w:color w:val="000000" w:themeColor="text1"/>
          <w:szCs w:val="22"/>
        </w:rPr>
      </w:pPr>
      <w:bookmarkStart w:id="10" w:name="_Toc214602292"/>
      <w:r w:rsidRPr="00DA5A78">
        <w:rPr>
          <w:rFonts w:cs="Arial"/>
          <w:color w:val="000000" w:themeColor="text1"/>
          <w:szCs w:val="22"/>
        </w:rPr>
        <w:t>4.3 Theme 2: Untreated Mental Health Disorders and Dual Diagnosis</w:t>
      </w:r>
      <w:bookmarkEnd w:id="10"/>
    </w:p>
    <w:p w14:paraId="16FF24BC" w14:textId="77777777" w:rsidR="00452BD0" w:rsidRPr="00DA5A78" w:rsidRDefault="00452BD0" w:rsidP="00DA5A78">
      <w:pPr>
        <w:pStyle w:val="Heading1"/>
        <w:spacing w:line="360" w:lineRule="auto"/>
        <w:rPr>
          <w:rFonts w:cs="Arial"/>
          <w:color w:val="000000" w:themeColor="text1"/>
          <w:szCs w:val="22"/>
        </w:rPr>
      </w:pPr>
      <w:bookmarkStart w:id="11" w:name="_Toc214602293"/>
      <w:r w:rsidRPr="00DA5A78">
        <w:rPr>
          <w:rFonts w:cs="Arial"/>
          <w:color w:val="000000" w:themeColor="text1"/>
          <w:szCs w:val="22"/>
        </w:rPr>
        <w:t>1.Definition and Scope</w:t>
      </w:r>
      <w:bookmarkEnd w:id="11"/>
    </w:p>
    <w:p w14:paraId="4F0EA3D4" w14:textId="77777777" w:rsidR="004E7798" w:rsidRPr="004E7798" w:rsidRDefault="004E7798" w:rsidP="004E7798">
      <w:pPr>
        <w:spacing w:before="100" w:beforeAutospacing="1" w:after="100" w:afterAutospacing="1" w:line="360" w:lineRule="auto"/>
        <w:rPr>
          <w:rFonts w:cs="Arial"/>
          <w:color w:val="000000"/>
          <w:szCs w:val="22"/>
        </w:rPr>
      </w:pPr>
      <w:bookmarkStart w:id="12" w:name="_Toc214602294"/>
      <w:r w:rsidRPr="004E7798">
        <w:rPr>
          <w:rFonts w:cs="Arial"/>
          <w:color w:val="000000"/>
          <w:szCs w:val="22"/>
        </w:rPr>
        <w:t>In this study, untreated mental health illnesses denote psychological conditions, including anxiety, sadness, and post-traumatic stress disorder (PTSD), that are either undiagnosed or insufficiently addressed (Mind, 2022). 'Dual diagnosis' refers to the simultaneous presence of a mental health condition and a drug use disorder in an individual (Molina &amp; Whittaker, 2022). This overlap frequently leads to more severe consequences, such as increased relapse rates, social marginalisation, and diminished involvement with treatment programmes (Public Health England, 2021).</w:t>
      </w:r>
    </w:p>
    <w:p w14:paraId="5252611C" w14:textId="77777777"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2.Background</w:t>
      </w:r>
      <w:bookmarkEnd w:id="12"/>
      <w:r w:rsidRPr="00DA5A78">
        <w:rPr>
          <w:rFonts w:cs="Arial"/>
          <w:color w:val="000000" w:themeColor="text1"/>
          <w:szCs w:val="22"/>
        </w:rPr>
        <w:t xml:space="preserve"> </w:t>
      </w:r>
    </w:p>
    <w:p w14:paraId="4313B10E" w14:textId="77777777" w:rsidR="004E7798" w:rsidRPr="004E7798" w:rsidRDefault="004E7798" w:rsidP="004E7798">
      <w:pPr>
        <w:spacing w:before="100" w:beforeAutospacing="1" w:after="100" w:afterAutospacing="1" w:line="360" w:lineRule="auto"/>
        <w:rPr>
          <w:rFonts w:cs="Arial"/>
          <w:color w:val="000000"/>
          <w:szCs w:val="22"/>
        </w:rPr>
      </w:pPr>
      <w:r w:rsidRPr="004E7798">
        <w:rPr>
          <w:rFonts w:cs="Arial"/>
          <w:color w:val="000000"/>
          <w:szCs w:val="22"/>
        </w:rPr>
        <w:t>The correlation between substance usage and mental health issues is acknowledged as bidirectional: mental illness may precipitate substance abuse as a coping strategy, whereas sustained substance use can exacerbate or induce mental health symptoms (Pierce et al., 2020). Historically, services addressing these illnesses have functioned in isolation, resulting in fragmented care. Research indicates that approximately one-third of individuals who engage in drug use concurrently experience a mental health disorder (NHS Digital, 2023). The absence of cohesive support channels is especially pronounced in disadvantaged communities, where stigma, insufficient financing, and prolonged waiting periods further restrict access to assistance (Black, 2021; Marmot, 2020).</w:t>
      </w:r>
    </w:p>
    <w:p w14:paraId="4BD323F1" w14:textId="77777777" w:rsidR="00452BD0" w:rsidRPr="00DA5A78" w:rsidRDefault="00452BD0" w:rsidP="00DA5A78">
      <w:pPr>
        <w:spacing w:line="360" w:lineRule="auto"/>
        <w:rPr>
          <w:rFonts w:cs="Arial"/>
          <w:color w:val="000000" w:themeColor="text1"/>
          <w:szCs w:val="22"/>
        </w:rPr>
      </w:pPr>
    </w:p>
    <w:p w14:paraId="7E16B44E"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Key Statistics 2023</w:t>
      </w:r>
    </w:p>
    <w:p w14:paraId="481019C8" w14:textId="77777777" w:rsidR="00452BD0" w:rsidRPr="00DA5A78" w:rsidRDefault="00452BD0" w:rsidP="00DA5A78">
      <w:pPr>
        <w:numPr>
          <w:ilvl w:val="0"/>
          <w:numId w:val="34"/>
        </w:numPr>
        <w:spacing w:before="100" w:beforeAutospacing="1" w:after="100" w:afterAutospacing="1" w:line="360" w:lineRule="auto"/>
        <w:rPr>
          <w:rFonts w:cs="Arial"/>
          <w:color w:val="000000" w:themeColor="text1"/>
          <w:szCs w:val="22"/>
        </w:rPr>
      </w:pPr>
      <w:r w:rsidRPr="00DA5A78">
        <w:rPr>
          <w:rFonts w:cs="Arial"/>
          <w:color w:val="000000" w:themeColor="text1"/>
          <w:szCs w:val="22"/>
        </w:rPr>
        <w:t>Around 60% of individuals in addiction treatment report symptoms of anxiety or depression (NHS Digital, 2023).</w:t>
      </w:r>
    </w:p>
    <w:p w14:paraId="2CB9FAD4" w14:textId="77777777" w:rsidR="00452BD0" w:rsidRPr="00DA5A78" w:rsidRDefault="00452BD0" w:rsidP="00DA5A78">
      <w:pPr>
        <w:numPr>
          <w:ilvl w:val="0"/>
          <w:numId w:val="34"/>
        </w:numPr>
        <w:spacing w:before="100" w:beforeAutospacing="1" w:after="100" w:afterAutospacing="1" w:line="360" w:lineRule="auto"/>
        <w:rPr>
          <w:rFonts w:cs="Arial"/>
          <w:color w:val="000000" w:themeColor="text1"/>
          <w:szCs w:val="22"/>
        </w:rPr>
      </w:pPr>
      <w:r w:rsidRPr="00DA5A78">
        <w:rPr>
          <w:rFonts w:cs="Arial"/>
          <w:color w:val="000000" w:themeColor="text1"/>
          <w:szCs w:val="22"/>
        </w:rPr>
        <w:t>Only 37% of people with co-occurring substance misuse and mental health problems receive integrated care (Public Health England, 2021).</w:t>
      </w:r>
    </w:p>
    <w:p w14:paraId="75D86371" w14:textId="77777777" w:rsidR="00452BD0" w:rsidRPr="00DA5A78" w:rsidRDefault="00452BD0" w:rsidP="00DA5A78">
      <w:pPr>
        <w:numPr>
          <w:ilvl w:val="0"/>
          <w:numId w:val="34"/>
        </w:numPr>
        <w:spacing w:before="100" w:beforeAutospacing="1" w:after="100" w:afterAutospacing="1" w:line="360" w:lineRule="auto"/>
        <w:rPr>
          <w:rFonts w:cs="Arial"/>
          <w:color w:val="000000" w:themeColor="text1"/>
          <w:szCs w:val="22"/>
        </w:rPr>
      </w:pPr>
      <w:r w:rsidRPr="00DA5A78">
        <w:rPr>
          <w:rFonts w:cs="Arial"/>
          <w:color w:val="000000" w:themeColor="text1"/>
          <w:szCs w:val="22"/>
        </w:rPr>
        <w:t>People in the lowest income bracket are twice as likely to experience chronic psychological distress (ONS, 2023).</w:t>
      </w:r>
    </w:p>
    <w:p w14:paraId="096BCA62"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073FCD79" w14:textId="77777777" w:rsidR="00452BD0" w:rsidRPr="00DA5A78" w:rsidRDefault="00452BD0" w:rsidP="00DA5A78">
      <w:pPr>
        <w:spacing w:line="360" w:lineRule="auto"/>
        <w:rPr>
          <w:rFonts w:cs="Arial"/>
          <w:color w:val="000000" w:themeColor="text1"/>
          <w:szCs w:val="22"/>
        </w:rPr>
      </w:pPr>
    </w:p>
    <w:p w14:paraId="35BA5374" w14:textId="77777777" w:rsidR="00452BD0" w:rsidRPr="00DA5A78" w:rsidRDefault="00452BD0" w:rsidP="00DA5A78">
      <w:pPr>
        <w:spacing w:line="360" w:lineRule="auto"/>
        <w:rPr>
          <w:rFonts w:cs="Arial"/>
          <w:color w:val="000000" w:themeColor="text1"/>
          <w:szCs w:val="22"/>
        </w:rPr>
      </w:pPr>
    </w:p>
    <w:p w14:paraId="48206155" w14:textId="77777777" w:rsidR="00452BD0" w:rsidRPr="00DA5A78" w:rsidRDefault="00452BD0" w:rsidP="00DA5A78">
      <w:pPr>
        <w:spacing w:line="360" w:lineRule="auto"/>
        <w:rPr>
          <w:rFonts w:cs="Arial"/>
          <w:color w:val="000000" w:themeColor="text1"/>
          <w:szCs w:val="22"/>
        </w:rPr>
      </w:pPr>
    </w:p>
    <w:p w14:paraId="1D42CBB4" w14:textId="77777777" w:rsidR="00452BD0" w:rsidRPr="00DA5A78" w:rsidRDefault="00452BD0" w:rsidP="00DA5A78">
      <w:pPr>
        <w:pStyle w:val="Heading1"/>
        <w:spacing w:line="360" w:lineRule="auto"/>
        <w:rPr>
          <w:rFonts w:cs="Arial"/>
          <w:color w:val="000000" w:themeColor="text1"/>
          <w:szCs w:val="22"/>
        </w:rPr>
      </w:pPr>
      <w:bookmarkStart w:id="13" w:name="_Toc214602295"/>
      <w:r w:rsidRPr="00DA5A78">
        <w:rPr>
          <w:rFonts w:cs="Arial"/>
          <w:color w:val="000000" w:themeColor="text1"/>
          <w:szCs w:val="22"/>
        </w:rPr>
        <w:t>3. Relevance to Research Question</w:t>
      </w:r>
      <w:bookmarkEnd w:id="13"/>
    </w:p>
    <w:p w14:paraId="268D795B"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deepens the central inquiry by examining how untreated mental health disorders intersect with low-income status and substance misuse in England. It explains why individuals experiencing poverty are at greater risk: limited mental health support leads many to self-medicate with alcohol or drugs, further worsening financial instability (</w:t>
      </w:r>
      <w:proofErr w:type="spellStart"/>
      <w:r w:rsidRPr="00DA5A78">
        <w:rPr>
          <w:rFonts w:cs="Arial"/>
          <w:color w:val="000000" w:themeColor="text1"/>
          <w:szCs w:val="22"/>
        </w:rPr>
        <w:t>Karamanos</w:t>
      </w:r>
      <w:proofErr w:type="spellEnd"/>
      <w:r w:rsidRPr="00DA5A78">
        <w:rPr>
          <w:rFonts w:cs="Arial"/>
          <w:color w:val="000000" w:themeColor="text1"/>
          <w:szCs w:val="22"/>
        </w:rPr>
        <w:t xml:space="preserve"> et al., 2022). Understanding this dual dynamic is crucial for designing equitable interventions that target both mental and social determinants simultaneously.</w:t>
      </w:r>
    </w:p>
    <w:p w14:paraId="1C755E0B" w14:textId="77777777" w:rsidR="00452BD0" w:rsidRPr="00DA5A78" w:rsidRDefault="00452BD0" w:rsidP="00DA5A78">
      <w:pPr>
        <w:pStyle w:val="Heading1"/>
        <w:spacing w:line="360" w:lineRule="auto"/>
        <w:rPr>
          <w:rFonts w:cs="Arial"/>
          <w:color w:val="000000" w:themeColor="text1"/>
          <w:szCs w:val="22"/>
        </w:rPr>
      </w:pPr>
      <w:bookmarkStart w:id="14" w:name="_Toc214602296"/>
      <w:r w:rsidRPr="00DA5A78">
        <w:rPr>
          <w:rFonts w:cs="Arial"/>
          <w:color w:val="000000" w:themeColor="text1"/>
          <w:szCs w:val="22"/>
        </w:rPr>
        <w:t>4. Data and Statistics</w:t>
      </w:r>
      <w:bookmarkEnd w:id="14"/>
    </w:p>
    <w:p w14:paraId="5DA5987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A 2023 NHS Digital report found that co-occurring mental health and substance use disorders were most prevalent among unemployed adults aged 25 - 44. The Adult Psychiatric Morbidity Survey (APMS, 2022) revealed that over 70% of people with substance dependency reported experiencing at least one common mental disorder, compared with 17% in the general population. These data illustrate how untreated mental illness amplifies vulnerability, especially when compounded by socioeconomic hardship.</w:t>
      </w:r>
    </w:p>
    <w:p w14:paraId="34D82B6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br/>
        <w:t>The NHS Long Term Plan (2019) pledged to expand integrated mental health and addiction services, emphasising “no wrong door” access for dual-diagnosis patients. However, recent evaluations show progress has been slow, particularly in deprived local authorities where workforce shortages persist (NHS England, 2023).</w:t>
      </w:r>
    </w:p>
    <w:p w14:paraId="64071F5B" w14:textId="77777777" w:rsidR="00452BD0" w:rsidRPr="00DA5A78" w:rsidRDefault="00452BD0" w:rsidP="00DA5A78">
      <w:pPr>
        <w:spacing w:line="360" w:lineRule="auto"/>
        <w:rPr>
          <w:rFonts w:cs="Arial"/>
          <w:color w:val="000000" w:themeColor="text1"/>
          <w:szCs w:val="22"/>
        </w:rPr>
      </w:pPr>
    </w:p>
    <w:p w14:paraId="004AE4B1" w14:textId="77777777" w:rsidR="00452BD0" w:rsidRPr="00DA5A78" w:rsidRDefault="00452BD0" w:rsidP="00DA5A78">
      <w:pPr>
        <w:pStyle w:val="Heading1"/>
        <w:spacing w:line="360" w:lineRule="auto"/>
        <w:rPr>
          <w:rFonts w:cs="Arial"/>
          <w:color w:val="000000" w:themeColor="text1"/>
          <w:szCs w:val="22"/>
        </w:rPr>
      </w:pPr>
      <w:bookmarkStart w:id="15" w:name="_Toc214602297"/>
      <w:r w:rsidRPr="00DA5A78">
        <w:rPr>
          <w:rFonts w:cs="Arial"/>
          <w:color w:val="000000" w:themeColor="text1"/>
          <w:szCs w:val="22"/>
        </w:rPr>
        <w:t>5. Theories, Policy, and Legislation</w:t>
      </w:r>
      <w:bookmarkEnd w:id="15"/>
    </w:p>
    <w:p w14:paraId="54340CBA"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16" w:name="_Toc214602298"/>
      <w:r w:rsidRPr="00DA5A78">
        <w:rPr>
          <w:rFonts w:cs="Arial"/>
          <w:color w:val="000000" w:themeColor="text1"/>
          <w:szCs w:val="22"/>
        </w:rPr>
        <w:t xml:space="preserve">The biopsychosocial model (Engel, 1977) provides a useful framework for understanding dual diagnosis, integrating biological, psychological, and social dimensions of illness. It aligns with the Social Determinants of Health framework (Marmot, 2005), suggesting that external factors such as income and environment influence both mental and physical wellbeing. Additionally, trauma theory (Herman, 1992) explains how unresolved trauma, </w:t>
      </w:r>
      <w:r w:rsidRPr="00DA5A78">
        <w:rPr>
          <w:rFonts w:cs="Arial"/>
          <w:color w:val="000000" w:themeColor="text1"/>
          <w:szCs w:val="22"/>
        </w:rPr>
        <w:lastRenderedPageBreak/>
        <w:t>often linked to poverty and instability, can trigger both mental distress and substance use as maladaptive coping.</w:t>
      </w:r>
    </w:p>
    <w:p w14:paraId="6BD91EC6"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Policy-wise, England’s Drug Strategy (2021–2026) and the Community Mental Health Framework (2021) emphasise that patients require integrated care. Nevertheless, studies such as Mind (2022) reveal that implementation remains inconsistent, with local commissioning gaps particularly evident in low-income boroughs.</w:t>
      </w:r>
    </w:p>
    <w:p w14:paraId="037E8D0A" w14:textId="77777777"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6. Examples from Articles</w:t>
      </w:r>
      <w:bookmarkEnd w:id="16"/>
    </w:p>
    <w:p w14:paraId="28F57CE5" w14:textId="32CFE931"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Molina and Whittaker (2022) demonstrated that adults with ACEs who lacked access to trauma-informed therapy were more likely to relapse into substance misuse. </w:t>
      </w:r>
      <w:r w:rsidR="004E7798" w:rsidRPr="004E7798">
        <w:rPr>
          <w:rFonts w:cs="Arial"/>
          <w:color w:val="000000" w:themeColor="text1"/>
          <w:szCs w:val="22"/>
        </w:rPr>
        <w:t>Pierce et al. (2020) discovered that stress associated with COVID-19 intensified pre-existing mental health inequities, disproportionately impacting individuals in poverty.</w:t>
      </w:r>
      <w:r w:rsidRPr="00DA5A78">
        <w:rPr>
          <w:rFonts w:cs="Arial"/>
          <w:color w:val="000000" w:themeColor="text1"/>
          <w:szCs w:val="22"/>
        </w:rPr>
        <w:t xml:space="preserve"> Similarly, Black (2021) highlighted systemic under-investment in dual-diagnosis services, resulting in fragmented treatment and poorer outcomes for vulnerable populations.</w:t>
      </w:r>
    </w:p>
    <w:p w14:paraId="6CC522DF" w14:textId="77777777" w:rsidR="00452BD0" w:rsidRPr="00DA5A78" w:rsidRDefault="00452BD0" w:rsidP="00DA5A78">
      <w:pPr>
        <w:pStyle w:val="Heading1"/>
        <w:spacing w:line="360" w:lineRule="auto"/>
        <w:rPr>
          <w:rFonts w:cs="Arial"/>
          <w:color w:val="000000" w:themeColor="text1"/>
          <w:szCs w:val="22"/>
        </w:rPr>
      </w:pPr>
      <w:bookmarkStart w:id="17" w:name="_Toc214602299"/>
      <w:r w:rsidRPr="00DA5A78">
        <w:rPr>
          <w:rFonts w:cs="Arial"/>
          <w:color w:val="000000" w:themeColor="text1"/>
          <w:szCs w:val="22"/>
        </w:rPr>
        <w:t>7. Connections to Other Themes</w:t>
      </w:r>
      <w:bookmarkEnd w:id="17"/>
    </w:p>
    <w:p w14:paraId="61D7C25D"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links back to Theme 1, where financial deprivation was shown to increase psychosocial stress and risk of substance misuse. The overlap between economic stress and mental distress underscores a vicious cycle: poverty limits access to therapy, while untreated illness reduces employability. It also connects forward to Theme 3, which examines how systemic barriers such as funding cuts and regional inequalities prevent access to integrated treatment.</w:t>
      </w:r>
    </w:p>
    <w:p w14:paraId="2D4865A5" w14:textId="77777777" w:rsidR="00452BD0" w:rsidRPr="00DA5A78" w:rsidRDefault="00452BD0" w:rsidP="00DA5A78">
      <w:pPr>
        <w:spacing w:line="360" w:lineRule="auto"/>
        <w:rPr>
          <w:rFonts w:cs="Arial"/>
          <w:color w:val="000000" w:themeColor="text1"/>
          <w:szCs w:val="22"/>
        </w:rPr>
      </w:pPr>
    </w:p>
    <w:p w14:paraId="4D702815" w14:textId="77777777" w:rsidR="00452BD0" w:rsidRPr="00DA5A78" w:rsidRDefault="00452BD0" w:rsidP="00DA5A78">
      <w:pPr>
        <w:spacing w:beforeAutospacing="1" w:afterAutospacing="1" w:line="360" w:lineRule="auto"/>
        <w:rPr>
          <w:rFonts w:cs="Arial"/>
          <w:color w:val="000000" w:themeColor="text1"/>
          <w:szCs w:val="22"/>
        </w:rPr>
      </w:pPr>
    </w:p>
    <w:p w14:paraId="62BE8FDC" w14:textId="77777777" w:rsidR="00452BD0" w:rsidRPr="00DA5A78" w:rsidRDefault="00452BD0" w:rsidP="00DA5A78">
      <w:pPr>
        <w:spacing w:beforeAutospacing="1" w:afterAutospacing="1" w:line="360" w:lineRule="auto"/>
        <w:rPr>
          <w:rFonts w:cs="Arial"/>
          <w:color w:val="000000" w:themeColor="text1"/>
          <w:szCs w:val="22"/>
        </w:rPr>
      </w:pPr>
    </w:p>
    <w:p w14:paraId="43A1C9C8" w14:textId="77777777" w:rsidR="00452BD0" w:rsidRPr="00DA5A78" w:rsidRDefault="00452BD0" w:rsidP="00DA5A78">
      <w:pPr>
        <w:spacing w:beforeAutospacing="1" w:afterAutospacing="1" w:line="360" w:lineRule="auto"/>
        <w:rPr>
          <w:rFonts w:cs="Arial"/>
          <w:color w:val="000000" w:themeColor="text1"/>
          <w:szCs w:val="22"/>
        </w:rPr>
      </w:pPr>
    </w:p>
    <w:p w14:paraId="30C6D5D9" w14:textId="77777777" w:rsidR="00452BD0" w:rsidRPr="00DA5A78" w:rsidRDefault="00452BD0" w:rsidP="00DA5A78">
      <w:pPr>
        <w:spacing w:beforeAutospacing="1" w:afterAutospacing="1" w:line="360" w:lineRule="auto"/>
        <w:rPr>
          <w:rFonts w:cs="Arial"/>
          <w:color w:val="000000" w:themeColor="text1"/>
          <w:szCs w:val="22"/>
        </w:rPr>
      </w:pPr>
    </w:p>
    <w:p w14:paraId="5706B7A7" w14:textId="77777777" w:rsidR="00452BD0" w:rsidRPr="00DA5A78" w:rsidRDefault="00452BD0" w:rsidP="00DA5A78">
      <w:pPr>
        <w:spacing w:beforeAutospacing="1" w:afterAutospacing="1" w:line="360" w:lineRule="auto"/>
        <w:rPr>
          <w:rFonts w:cs="Arial"/>
          <w:color w:val="000000" w:themeColor="text1"/>
          <w:szCs w:val="22"/>
        </w:rPr>
      </w:pPr>
    </w:p>
    <w:p w14:paraId="37C068FF" w14:textId="77777777" w:rsidR="00452BD0" w:rsidRPr="00DA5A78" w:rsidRDefault="00452BD0" w:rsidP="00DA5A78">
      <w:pPr>
        <w:spacing w:beforeAutospacing="1" w:afterAutospacing="1" w:line="360" w:lineRule="auto"/>
        <w:rPr>
          <w:rFonts w:cs="Arial"/>
          <w:color w:val="000000" w:themeColor="text1"/>
          <w:szCs w:val="22"/>
        </w:rPr>
      </w:pPr>
    </w:p>
    <w:p w14:paraId="48307947" w14:textId="19DD8D05" w:rsidR="00452BD0" w:rsidRDefault="00452BD0" w:rsidP="00DA5A78">
      <w:pPr>
        <w:spacing w:beforeAutospacing="1" w:afterAutospacing="1" w:line="360" w:lineRule="auto"/>
        <w:rPr>
          <w:rFonts w:cs="Arial"/>
          <w:color w:val="000000" w:themeColor="text1"/>
          <w:szCs w:val="22"/>
        </w:rPr>
      </w:pPr>
    </w:p>
    <w:p w14:paraId="6377CB76" w14:textId="77777777" w:rsidR="00DA5A78" w:rsidRPr="00DA5A78" w:rsidRDefault="00DA5A78" w:rsidP="00DA5A78">
      <w:pPr>
        <w:spacing w:beforeAutospacing="1" w:afterAutospacing="1" w:line="360" w:lineRule="auto"/>
        <w:rPr>
          <w:rFonts w:cs="Arial"/>
          <w:color w:val="000000" w:themeColor="text1"/>
          <w:szCs w:val="22"/>
        </w:rPr>
      </w:pPr>
    </w:p>
    <w:p w14:paraId="06A96DD7" w14:textId="77777777" w:rsidR="00452BD0" w:rsidRPr="00DA5A78" w:rsidRDefault="00452BD0" w:rsidP="00DA5A78">
      <w:pPr>
        <w:pStyle w:val="Heading1"/>
        <w:spacing w:line="360" w:lineRule="auto"/>
        <w:rPr>
          <w:rFonts w:cs="Arial"/>
          <w:color w:val="000000" w:themeColor="text1"/>
          <w:szCs w:val="22"/>
        </w:rPr>
      </w:pPr>
      <w:bookmarkStart w:id="18" w:name="_Toc214602300"/>
      <w:r w:rsidRPr="00DA5A78">
        <w:rPr>
          <w:rFonts w:cs="Arial"/>
          <w:color w:val="000000" w:themeColor="text1"/>
          <w:szCs w:val="22"/>
        </w:rPr>
        <w:t xml:space="preserve">4.4 </w:t>
      </w:r>
      <w:r w:rsidRPr="00DA5A78">
        <w:rPr>
          <w:rFonts w:eastAsiaTheme="majorEastAsia" w:cs="Arial"/>
          <w:color w:val="000000" w:themeColor="text1"/>
          <w:szCs w:val="22"/>
        </w:rPr>
        <w:t>Theme 3: Socioeconomic Barriers to Treatment Access</w:t>
      </w:r>
      <w:bookmarkEnd w:id="18"/>
    </w:p>
    <w:p w14:paraId="2CE78ACD" w14:textId="77777777" w:rsidR="00452BD0" w:rsidRPr="00DA5A78" w:rsidRDefault="00452BD0" w:rsidP="00DA5A78">
      <w:pPr>
        <w:pStyle w:val="Heading1"/>
        <w:spacing w:line="360" w:lineRule="auto"/>
        <w:rPr>
          <w:rFonts w:cs="Arial"/>
          <w:color w:val="000000" w:themeColor="text1"/>
          <w:szCs w:val="22"/>
        </w:rPr>
      </w:pPr>
      <w:bookmarkStart w:id="19" w:name="_Toc214602301"/>
      <w:r w:rsidRPr="00DA5A78">
        <w:rPr>
          <w:rFonts w:cs="Arial"/>
          <w:color w:val="000000" w:themeColor="text1"/>
          <w:szCs w:val="22"/>
        </w:rPr>
        <w:t>1. Definition and Scope</w:t>
      </w:r>
      <w:bookmarkEnd w:id="19"/>
    </w:p>
    <w:p w14:paraId="49C4AF11"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20" w:name="_Toc214602302"/>
      <w:r w:rsidRPr="00DA5A78">
        <w:rPr>
          <w:rFonts w:cs="Arial"/>
          <w:color w:val="000000" w:themeColor="text1"/>
          <w:szCs w:val="22"/>
        </w:rPr>
        <w:t>Socioeconomic barriers refer to obstacles that prevent individuals, particularly those from low-income backgrounds, from accessing healthcare or treatment services. These barriers include financial hardship, digital exclusion, transportation expenses, social stigma, and long waiting times (NHS Digital, 2023). In the context of this research, such barriers play a central role in determining who receives timely help for substance misuse and mental health problems and who remains excluded from care.</w:t>
      </w:r>
    </w:p>
    <w:p w14:paraId="197CFBCA" w14:textId="0C3B8E1A"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 xml:space="preserve">2. Background </w:t>
      </w:r>
      <w:bookmarkEnd w:id="20"/>
    </w:p>
    <w:p w14:paraId="6AD43B56"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Health inequalities in England have deepened in the past decade due to austerity and the restructuring of public services (Marmot, 2020). Local authorities have reduced their funding by over 40% since 2013, affecting many addiction and mental health treatment programmes (Black, 2021). Consequently, the reduction or centralisation of services in deprived areas has made them less accessible for those without transportation or digital means (Mind, 2022). The introduction of remote consultations during the pandemic also widened the digital divide; while improving access for some, it excluded others who lacked internet access or stable housing (NHS England, 2023).</w:t>
      </w:r>
    </w:p>
    <w:p w14:paraId="6AF552F7" w14:textId="77777777" w:rsidR="00452BD0" w:rsidRPr="00DA5A78" w:rsidRDefault="00452BD0" w:rsidP="00DA5A78">
      <w:pPr>
        <w:spacing w:line="360" w:lineRule="auto"/>
        <w:rPr>
          <w:rFonts w:cs="Arial"/>
          <w:color w:val="000000" w:themeColor="text1"/>
          <w:szCs w:val="22"/>
        </w:rPr>
      </w:pPr>
    </w:p>
    <w:p w14:paraId="607CD05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Key Statistics 2023</w:t>
      </w:r>
    </w:p>
    <w:p w14:paraId="2F51176F" w14:textId="77777777" w:rsidR="00452BD0" w:rsidRPr="00DA5A78" w:rsidRDefault="00452BD0" w:rsidP="00DA5A78">
      <w:pPr>
        <w:numPr>
          <w:ilvl w:val="0"/>
          <w:numId w:val="35"/>
        </w:numPr>
        <w:spacing w:before="100" w:beforeAutospacing="1" w:after="100" w:afterAutospacing="1" w:line="360" w:lineRule="auto"/>
        <w:rPr>
          <w:rFonts w:cs="Arial"/>
          <w:color w:val="000000" w:themeColor="text1"/>
          <w:szCs w:val="22"/>
        </w:rPr>
      </w:pPr>
      <w:r w:rsidRPr="00DA5A78">
        <w:rPr>
          <w:rFonts w:cs="Arial"/>
          <w:color w:val="000000" w:themeColor="text1"/>
          <w:szCs w:val="22"/>
        </w:rPr>
        <w:t>Funding for drug and alcohol treatment services in England fell by 26% between 2013 and 2020 (Black, 2021).</w:t>
      </w:r>
    </w:p>
    <w:p w14:paraId="54FCCCE6" w14:textId="77777777" w:rsidR="00452BD0" w:rsidRPr="00DA5A78" w:rsidRDefault="00452BD0" w:rsidP="00DA5A78">
      <w:pPr>
        <w:numPr>
          <w:ilvl w:val="0"/>
          <w:numId w:val="35"/>
        </w:numPr>
        <w:spacing w:before="100" w:beforeAutospacing="1" w:after="100" w:afterAutospacing="1" w:line="360" w:lineRule="auto"/>
        <w:rPr>
          <w:rFonts w:cs="Arial"/>
          <w:color w:val="000000" w:themeColor="text1"/>
          <w:szCs w:val="22"/>
        </w:rPr>
      </w:pPr>
      <w:r w:rsidRPr="00DA5A78">
        <w:rPr>
          <w:rFonts w:cs="Arial"/>
          <w:color w:val="000000" w:themeColor="text1"/>
          <w:szCs w:val="22"/>
        </w:rPr>
        <w:t>Over one in three individuals seeking support report difficulty attending appointments due to travel costs (Mind, 2022).</w:t>
      </w:r>
    </w:p>
    <w:p w14:paraId="014D69A7" w14:textId="77777777" w:rsidR="00452BD0" w:rsidRPr="00DA5A78" w:rsidRDefault="00452BD0" w:rsidP="00DA5A78">
      <w:pPr>
        <w:numPr>
          <w:ilvl w:val="0"/>
          <w:numId w:val="35"/>
        </w:numPr>
        <w:spacing w:before="100" w:beforeAutospacing="1" w:after="100" w:afterAutospacing="1" w:line="360" w:lineRule="auto"/>
        <w:rPr>
          <w:rFonts w:cs="Arial"/>
          <w:color w:val="000000" w:themeColor="text1"/>
          <w:szCs w:val="22"/>
        </w:rPr>
      </w:pPr>
      <w:r w:rsidRPr="00DA5A78">
        <w:rPr>
          <w:rFonts w:cs="Arial"/>
          <w:color w:val="000000" w:themeColor="text1"/>
          <w:szCs w:val="22"/>
        </w:rPr>
        <w:t>Nearly 50% of low-income households lack reliable internet access or digital literacy (ONS, 2023).</w:t>
      </w:r>
    </w:p>
    <w:p w14:paraId="11DAD3D5" w14:textId="77777777" w:rsidR="00452BD0" w:rsidRPr="00DA5A78" w:rsidRDefault="00452BD0" w:rsidP="00DA5A78">
      <w:pPr>
        <w:spacing w:line="360" w:lineRule="auto"/>
        <w:rPr>
          <w:rFonts w:cs="Arial"/>
          <w:color w:val="000000" w:themeColor="text1"/>
          <w:szCs w:val="22"/>
        </w:rPr>
      </w:pPr>
    </w:p>
    <w:p w14:paraId="12FD53A5" w14:textId="77777777" w:rsidR="00452BD0" w:rsidRPr="00DA5A78" w:rsidRDefault="00452BD0" w:rsidP="00DA5A78">
      <w:pPr>
        <w:pStyle w:val="Heading1"/>
        <w:spacing w:line="360" w:lineRule="auto"/>
        <w:rPr>
          <w:rFonts w:cs="Arial"/>
          <w:color w:val="000000" w:themeColor="text1"/>
          <w:szCs w:val="22"/>
        </w:rPr>
      </w:pPr>
      <w:bookmarkStart w:id="21" w:name="_Toc214602303"/>
      <w:r w:rsidRPr="00DA5A78">
        <w:rPr>
          <w:rFonts w:cs="Arial"/>
          <w:color w:val="000000" w:themeColor="text1"/>
          <w:szCs w:val="22"/>
        </w:rPr>
        <w:lastRenderedPageBreak/>
        <w:t>3. Relevance to Research Question</w:t>
      </w:r>
      <w:bookmarkEnd w:id="21"/>
    </w:p>
    <w:p w14:paraId="64FD6CDA" w14:textId="67D8CC56"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This theme directly addresses the question of how socioeconomic disadvantage intersects with substance misuse and untreated mental health disorders. Even when individuals recognise their need for support, barriers like transport costs, inflexible service hours, and waiting lists can prevent engagement (Marmot, 2020). These constraints lead to underdiagnosis and under-treatment of mental health conditions, increasing reliance on substances as a coping mechanism. </w:t>
      </w:r>
      <w:r w:rsidR="00261A1D" w:rsidRPr="00261A1D">
        <w:rPr>
          <w:rFonts w:cs="Arial"/>
          <w:color w:val="000000" w:themeColor="text1"/>
          <w:szCs w:val="22"/>
        </w:rPr>
        <w:t>In essence, the social determinants of health</w:t>
      </w:r>
      <w:r w:rsidR="00261A1D">
        <w:rPr>
          <w:rFonts w:cs="Arial"/>
          <w:color w:val="000000" w:themeColor="text1"/>
          <w:szCs w:val="22"/>
        </w:rPr>
        <w:t>-</w:t>
      </w:r>
      <w:r w:rsidR="00261A1D" w:rsidRPr="00261A1D">
        <w:rPr>
          <w:rFonts w:cs="Arial"/>
          <w:color w:val="000000" w:themeColor="text1"/>
          <w:szCs w:val="22"/>
        </w:rPr>
        <w:t>such as income, employment, and housing</w:t>
      </w:r>
      <w:r w:rsidR="00261A1D">
        <w:rPr>
          <w:rFonts w:cs="Arial"/>
          <w:color w:val="000000" w:themeColor="text1"/>
          <w:szCs w:val="22"/>
        </w:rPr>
        <w:t xml:space="preserve"> </w:t>
      </w:r>
      <w:r w:rsidR="00261A1D" w:rsidRPr="00261A1D">
        <w:rPr>
          <w:rFonts w:cs="Arial"/>
          <w:color w:val="000000" w:themeColor="text1"/>
          <w:szCs w:val="22"/>
        </w:rPr>
        <w:t>serve as gatekeepers to recovery.</w:t>
      </w:r>
    </w:p>
    <w:p w14:paraId="6945D467" w14:textId="77777777" w:rsidR="00452BD0" w:rsidRPr="00DA5A78" w:rsidRDefault="00452BD0" w:rsidP="00DA5A78">
      <w:pPr>
        <w:pStyle w:val="Heading1"/>
        <w:spacing w:line="360" w:lineRule="auto"/>
        <w:rPr>
          <w:rFonts w:cs="Arial"/>
          <w:color w:val="000000" w:themeColor="text1"/>
          <w:szCs w:val="22"/>
        </w:rPr>
      </w:pPr>
      <w:bookmarkStart w:id="22" w:name="_Toc214602304"/>
      <w:r w:rsidRPr="00DA5A78">
        <w:rPr>
          <w:rFonts w:cs="Arial"/>
          <w:color w:val="000000" w:themeColor="text1"/>
          <w:szCs w:val="22"/>
        </w:rPr>
        <w:t>4. Data and Statistics</w:t>
      </w:r>
      <w:bookmarkEnd w:id="22"/>
    </w:p>
    <w:p w14:paraId="36F25679"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NHS Digital (2023) reports that 45% of adults who discontinued substance misuse treatment cited logistical or financial barriers. The Adult Substance Misuse Treatment Statistics (PHE, 2021) show that completion rates are significantly lower in deprived areas (38%) than in affluent ones (59%). In addition, ONS (2023) data reveal that unemployment and insecure housing correlate strongly with treatment drop-out rates. These findings underline how socioeconomic disadvantage undermines both engagement and outcomes.</w:t>
      </w:r>
    </w:p>
    <w:p w14:paraId="09EC3EBF" w14:textId="77777777" w:rsidR="00452BD0" w:rsidRPr="00DA5A78" w:rsidRDefault="00452BD0" w:rsidP="00DA5A78">
      <w:pPr>
        <w:spacing w:line="360" w:lineRule="auto"/>
        <w:rPr>
          <w:rFonts w:cs="Arial"/>
          <w:color w:val="000000" w:themeColor="text1"/>
          <w:szCs w:val="22"/>
        </w:rPr>
      </w:pPr>
    </w:p>
    <w:p w14:paraId="472FD03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From Harm to Hope (UK Drug Strategy 2021–2026)</w:t>
      </w:r>
      <w:r w:rsidRPr="00DA5A78">
        <w:rPr>
          <w:rFonts w:cs="Arial"/>
          <w:color w:val="000000" w:themeColor="text1"/>
          <w:szCs w:val="22"/>
        </w:rPr>
        <w:br/>
        <w:t>This national strategy aims to rebuild treatment capacity through funding increases of £780 million over three years (Home Office, 2021). However, analyses by the Institute for Fiscal Studies (2023) and the Health Foundation (2023) suggest that much of this funding only reverses previous cuts rather than expanding capacity. Local authorities continue to face high caseloads and workforce shortages, especially in deprived regions.</w:t>
      </w:r>
    </w:p>
    <w:p w14:paraId="1054D6D5" w14:textId="77777777" w:rsidR="00452BD0" w:rsidRPr="00DA5A78" w:rsidRDefault="00452BD0" w:rsidP="00DA5A78">
      <w:pPr>
        <w:spacing w:line="360" w:lineRule="auto"/>
        <w:rPr>
          <w:rFonts w:cs="Arial"/>
          <w:color w:val="000000" w:themeColor="text1"/>
          <w:szCs w:val="22"/>
        </w:rPr>
      </w:pPr>
    </w:p>
    <w:p w14:paraId="21C269F8" w14:textId="77777777" w:rsidR="00452BD0" w:rsidRPr="00DA5A78" w:rsidRDefault="00452BD0" w:rsidP="00DA5A78">
      <w:pPr>
        <w:pStyle w:val="Heading1"/>
        <w:spacing w:line="360" w:lineRule="auto"/>
        <w:rPr>
          <w:rFonts w:cs="Arial"/>
          <w:color w:val="000000" w:themeColor="text1"/>
          <w:szCs w:val="22"/>
        </w:rPr>
      </w:pPr>
      <w:bookmarkStart w:id="23" w:name="_Toc214602305"/>
      <w:r w:rsidRPr="00DA5A78">
        <w:rPr>
          <w:rFonts w:cs="Arial"/>
          <w:color w:val="000000" w:themeColor="text1"/>
          <w:szCs w:val="22"/>
        </w:rPr>
        <w:t>5. Theories, Policy, and Legislation</w:t>
      </w:r>
      <w:bookmarkEnd w:id="23"/>
    </w:p>
    <w:p w14:paraId="3A681899"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social gradient in health theory (Marmot, 2005) emphasises that health outcomes worsen step-by-step with each decline in socioeconomic status. Applying this theory here shows how individuals in low-income areas face cumulative disadvantage: they are more likely to experience stressors such as unemployment and housing instability and less likely to access consistent healthcare. In addition, the Access to Care Framework (Gulliford et al., 2002) highlights that access is multidimensional, encompassing not only availability and affordability but also cultural acceptability and appropriateness.</w:t>
      </w:r>
      <w:r w:rsidRPr="00DA5A78">
        <w:rPr>
          <w:rFonts w:cs="Arial"/>
          <w:color w:val="000000" w:themeColor="text1"/>
          <w:szCs w:val="22"/>
        </w:rPr>
        <w:br/>
      </w:r>
      <w:r w:rsidRPr="00DA5A78">
        <w:rPr>
          <w:rFonts w:cs="Arial"/>
          <w:color w:val="000000" w:themeColor="text1"/>
          <w:szCs w:val="22"/>
        </w:rPr>
        <w:lastRenderedPageBreak/>
        <w:t>Policies like the Care Act 2014 and NHS Constitution (2021) enshrine equal access as a principle, yet disparities remain stark, reflecting the gap between statutory rights and practical realities.</w:t>
      </w:r>
    </w:p>
    <w:p w14:paraId="468486B0"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652FF75C"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7C317410" w14:textId="77777777" w:rsidR="00452BD0" w:rsidRPr="00DA5A78" w:rsidRDefault="00452BD0" w:rsidP="00DA5A78">
      <w:pPr>
        <w:pStyle w:val="Heading1"/>
        <w:spacing w:line="360" w:lineRule="auto"/>
        <w:rPr>
          <w:rFonts w:cs="Arial"/>
          <w:color w:val="000000" w:themeColor="text1"/>
          <w:szCs w:val="22"/>
        </w:rPr>
      </w:pPr>
      <w:bookmarkStart w:id="24" w:name="_Toc214602306"/>
      <w:r w:rsidRPr="00DA5A78">
        <w:rPr>
          <w:rFonts w:cs="Arial"/>
          <w:color w:val="000000" w:themeColor="text1"/>
          <w:szCs w:val="22"/>
        </w:rPr>
        <w:t>6. Examples from Articles</w:t>
      </w:r>
      <w:bookmarkEnd w:id="24"/>
    </w:p>
    <w:p w14:paraId="103E7C6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Black (2021) documented that fragmented commissioning systems create postcode lotteries, where access to addiction services depends heavily on local budgets. Mind (2022) reported that financial hardship and stigma discouraged individuals from seeking help, with many feeling that services were “not for people like me.” Similarly, Molina and Whittaker (2022) found that individuals with dual diagnoses often encountered exclusion from mental health services until substance misuse was first addressed, perpetuating cycles of delay and relapse. The Health Foundation (2023) identified workforce burnout and high staff turnover as additional barriers in low-funded areas, further straining access.</w:t>
      </w:r>
    </w:p>
    <w:p w14:paraId="483664BD" w14:textId="77777777" w:rsidR="00452BD0" w:rsidRPr="00DA5A78" w:rsidRDefault="00452BD0" w:rsidP="00DA5A78">
      <w:pPr>
        <w:pStyle w:val="Heading1"/>
        <w:spacing w:line="360" w:lineRule="auto"/>
        <w:rPr>
          <w:rFonts w:cs="Arial"/>
          <w:color w:val="000000" w:themeColor="text1"/>
          <w:szCs w:val="22"/>
        </w:rPr>
      </w:pPr>
      <w:bookmarkStart w:id="25" w:name="_Toc214602307"/>
      <w:r w:rsidRPr="00DA5A78">
        <w:rPr>
          <w:rFonts w:cs="Arial"/>
          <w:color w:val="000000" w:themeColor="text1"/>
          <w:szCs w:val="22"/>
        </w:rPr>
        <w:t>7. Connections to Other Themes</w:t>
      </w:r>
      <w:bookmarkEnd w:id="25"/>
    </w:p>
    <w:p w14:paraId="69C375C8"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reinforces findings from Themes 1 and 2, showing that low-income status and untreated mental health conditions are closely intertwined with poor access to services. It also prepares the ground for Theme 4, which examines the broader policy and legislative frameworks shaping these barriers. The inequities described here are not accidental; they are the cumulative results of policy decisions that prioritise cost-saving over prevention and support.</w:t>
      </w:r>
    </w:p>
    <w:p w14:paraId="0A8A72AB" w14:textId="77777777" w:rsidR="00452BD0" w:rsidRPr="00DA5A78" w:rsidRDefault="00452BD0" w:rsidP="00DA5A78">
      <w:pPr>
        <w:spacing w:line="360" w:lineRule="auto"/>
        <w:rPr>
          <w:rFonts w:cs="Arial"/>
          <w:color w:val="000000" w:themeColor="text1"/>
          <w:szCs w:val="22"/>
        </w:rPr>
      </w:pPr>
    </w:p>
    <w:p w14:paraId="7C5DCB01" w14:textId="77777777" w:rsidR="00452BD0" w:rsidRPr="00DA5A78" w:rsidRDefault="00452BD0" w:rsidP="00DA5A78">
      <w:pPr>
        <w:spacing w:beforeAutospacing="1" w:afterAutospacing="1" w:line="360" w:lineRule="auto"/>
        <w:rPr>
          <w:rFonts w:cs="Arial"/>
          <w:color w:val="000000" w:themeColor="text1"/>
          <w:szCs w:val="22"/>
        </w:rPr>
      </w:pPr>
    </w:p>
    <w:p w14:paraId="3541F11B" w14:textId="77777777" w:rsidR="00452BD0" w:rsidRPr="00DA5A78" w:rsidRDefault="00452BD0" w:rsidP="00DA5A78">
      <w:pPr>
        <w:spacing w:beforeAutospacing="1" w:afterAutospacing="1" w:line="360" w:lineRule="auto"/>
        <w:rPr>
          <w:rFonts w:cs="Arial"/>
          <w:color w:val="000000" w:themeColor="text1"/>
          <w:szCs w:val="22"/>
        </w:rPr>
      </w:pPr>
    </w:p>
    <w:p w14:paraId="3DCB6982" w14:textId="77777777" w:rsidR="00452BD0" w:rsidRPr="00DA5A78" w:rsidRDefault="00452BD0" w:rsidP="00DA5A78">
      <w:pPr>
        <w:spacing w:beforeAutospacing="1" w:afterAutospacing="1" w:line="360" w:lineRule="auto"/>
        <w:rPr>
          <w:rFonts w:cs="Arial"/>
          <w:color w:val="000000" w:themeColor="text1"/>
          <w:szCs w:val="22"/>
        </w:rPr>
      </w:pPr>
    </w:p>
    <w:p w14:paraId="3F9B6BC1" w14:textId="77777777" w:rsidR="00452BD0" w:rsidRPr="00DA5A78" w:rsidRDefault="00452BD0" w:rsidP="00DA5A78">
      <w:pPr>
        <w:spacing w:beforeAutospacing="1" w:afterAutospacing="1" w:line="360" w:lineRule="auto"/>
        <w:rPr>
          <w:rFonts w:cs="Arial"/>
          <w:color w:val="000000" w:themeColor="text1"/>
          <w:szCs w:val="22"/>
        </w:rPr>
      </w:pPr>
    </w:p>
    <w:p w14:paraId="4881A88C" w14:textId="77777777" w:rsidR="00452BD0" w:rsidRPr="00DA5A78" w:rsidRDefault="00452BD0" w:rsidP="00DA5A78">
      <w:pPr>
        <w:spacing w:line="360" w:lineRule="auto"/>
        <w:rPr>
          <w:rFonts w:cs="Arial"/>
          <w:color w:val="000000" w:themeColor="text1"/>
          <w:szCs w:val="22"/>
        </w:rPr>
      </w:pPr>
    </w:p>
    <w:p w14:paraId="312BF01B" w14:textId="77777777" w:rsidR="00452BD0" w:rsidRPr="00DA5A78" w:rsidRDefault="00452BD0" w:rsidP="00DA5A78">
      <w:pPr>
        <w:spacing w:line="360" w:lineRule="auto"/>
        <w:rPr>
          <w:rFonts w:cs="Arial"/>
          <w:color w:val="000000" w:themeColor="text1"/>
          <w:szCs w:val="22"/>
        </w:rPr>
      </w:pPr>
    </w:p>
    <w:p w14:paraId="7DA70F33" w14:textId="77777777" w:rsidR="00452BD0" w:rsidRPr="00DA5A78" w:rsidRDefault="00452BD0" w:rsidP="00DA5A78">
      <w:pPr>
        <w:spacing w:line="360" w:lineRule="auto"/>
        <w:rPr>
          <w:rFonts w:cs="Arial"/>
          <w:color w:val="000000" w:themeColor="text1"/>
          <w:szCs w:val="22"/>
        </w:rPr>
      </w:pPr>
    </w:p>
    <w:p w14:paraId="0CFF1E1A" w14:textId="77777777" w:rsidR="00452BD0" w:rsidRPr="00DA5A78" w:rsidRDefault="00452BD0" w:rsidP="00DA5A78">
      <w:pPr>
        <w:spacing w:line="360" w:lineRule="auto"/>
        <w:rPr>
          <w:rFonts w:cs="Arial"/>
          <w:color w:val="000000" w:themeColor="text1"/>
          <w:szCs w:val="22"/>
        </w:rPr>
      </w:pPr>
    </w:p>
    <w:p w14:paraId="3232879D" w14:textId="77777777" w:rsidR="00452BD0" w:rsidRPr="00DA5A78" w:rsidRDefault="00452BD0" w:rsidP="00DA5A78">
      <w:pPr>
        <w:spacing w:line="360" w:lineRule="auto"/>
        <w:rPr>
          <w:rFonts w:cs="Arial"/>
          <w:color w:val="000000" w:themeColor="text1"/>
          <w:szCs w:val="22"/>
        </w:rPr>
      </w:pPr>
    </w:p>
    <w:p w14:paraId="57896667" w14:textId="77777777" w:rsidR="00452BD0" w:rsidRPr="00DA5A78" w:rsidRDefault="00452BD0" w:rsidP="00DA5A78">
      <w:pPr>
        <w:spacing w:line="360" w:lineRule="auto"/>
        <w:rPr>
          <w:rFonts w:cs="Arial"/>
          <w:color w:val="000000" w:themeColor="text1"/>
          <w:szCs w:val="22"/>
        </w:rPr>
      </w:pPr>
    </w:p>
    <w:p w14:paraId="4D2A6B7D" w14:textId="77777777" w:rsidR="00452BD0" w:rsidRPr="00DA5A78" w:rsidRDefault="00452BD0" w:rsidP="00DA5A78">
      <w:pPr>
        <w:spacing w:line="360" w:lineRule="auto"/>
        <w:rPr>
          <w:rFonts w:cs="Arial"/>
          <w:color w:val="000000" w:themeColor="text1"/>
          <w:szCs w:val="22"/>
        </w:rPr>
      </w:pPr>
    </w:p>
    <w:p w14:paraId="6F6A6DBA" w14:textId="77777777" w:rsidR="00452BD0" w:rsidRPr="00DA5A78" w:rsidRDefault="00452BD0" w:rsidP="00DA5A78">
      <w:pPr>
        <w:pStyle w:val="Heading1"/>
        <w:spacing w:line="360" w:lineRule="auto"/>
        <w:rPr>
          <w:rFonts w:cs="Arial"/>
          <w:color w:val="000000" w:themeColor="text1"/>
          <w:szCs w:val="22"/>
        </w:rPr>
      </w:pPr>
      <w:bookmarkStart w:id="26" w:name="_Toc214602308"/>
      <w:r w:rsidRPr="00DA5A78">
        <w:rPr>
          <w:rFonts w:cs="Arial"/>
          <w:color w:val="000000" w:themeColor="text1"/>
          <w:szCs w:val="22"/>
        </w:rPr>
        <w:t>4.5 Theme 4: The Role of Policy, Legislation, and Social Determinants</w:t>
      </w:r>
      <w:bookmarkEnd w:id="26"/>
    </w:p>
    <w:p w14:paraId="6100782C" w14:textId="77777777" w:rsidR="00452BD0" w:rsidRPr="00DA5A78" w:rsidRDefault="00452BD0" w:rsidP="00DA5A78">
      <w:pPr>
        <w:pStyle w:val="Heading1"/>
        <w:spacing w:line="360" w:lineRule="auto"/>
        <w:rPr>
          <w:rFonts w:cs="Arial"/>
          <w:color w:val="000000" w:themeColor="text1"/>
          <w:szCs w:val="22"/>
        </w:rPr>
      </w:pPr>
      <w:bookmarkStart w:id="27" w:name="_Toc214602309"/>
      <w:r w:rsidRPr="00DA5A78">
        <w:rPr>
          <w:rFonts w:cs="Arial"/>
          <w:color w:val="000000" w:themeColor="text1"/>
          <w:szCs w:val="22"/>
        </w:rPr>
        <w:t>1. Definition and Scope</w:t>
      </w:r>
      <w:bookmarkEnd w:id="27"/>
    </w:p>
    <w:p w14:paraId="6A0F16B5"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28" w:name="_Toc214602310"/>
      <w:r w:rsidRPr="00DA5A78">
        <w:rPr>
          <w:rFonts w:cs="Arial"/>
          <w:color w:val="000000" w:themeColor="text1"/>
          <w:szCs w:val="22"/>
        </w:rPr>
        <w:t>Policy and legislation form the framework within which substance misuse and mental health services operate. In this theme, "policy" refers to government strategies, public health plans, and local authority directives that shape funding and service delivery.  Legislation refers to laws and statutory frameworks such as the Misuse of Drugs Act (1971), the Mental Health Act (1983, amended 2007), and the Care Act (2014), which define how substance misuse and mental health issues are managed. These interact closely with the social determinants of the health conditions in which people are born, live, and work, which directly influence health behaviours and access to treatment (Marmot, 2005; WHO, 2022).</w:t>
      </w:r>
    </w:p>
    <w:p w14:paraId="5FE71F14" w14:textId="63C73C7B"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 xml:space="preserve">2. Background </w:t>
      </w:r>
      <w:bookmarkEnd w:id="28"/>
    </w:p>
    <w:p w14:paraId="40A02FBC"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Over the last two decades, UK drug policy has evolved from a largely criminal justice focus to a public health approach, though tensions remain. Early strategies such as the Tackling Drugs Strategy (Home Office, 1998) prioritised law enforcement over harm reduction. More recent initiatives, including From Harm to Hope (Home Office, 2021), have shifted towards prevention, treatment, and recovery. However, austerity-era budget cuts since 2010 significantly weakened local public health infrastructure, leading to uneven service provision (Black, 2021).</w:t>
      </w:r>
      <w:r w:rsidRPr="00DA5A78">
        <w:rPr>
          <w:rFonts w:cs="Arial"/>
          <w:color w:val="000000" w:themeColor="text1"/>
          <w:szCs w:val="22"/>
        </w:rPr>
        <w:br/>
        <w:t>The Marmot Reviews (2010; 2020) have consistently shown that policies affecting housing, employment, and education directly impact substance misuse outcomes, as these social factors create the stressors that lead to harmful coping behaviours.</w:t>
      </w:r>
    </w:p>
    <w:p w14:paraId="5C542798" w14:textId="4329034E" w:rsidR="00452BD0" w:rsidRDefault="00452BD0" w:rsidP="00DA5A78">
      <w:pPr>
        <w:spacing w:line="360" w:lineRule="auto"/>
        <w:rPr>
          <w:rFonts w:cs="Arial"/>
          <w:color w:val="000000" w:themeColor="text1"/>
          <w:szCs w:val="22"/>
        </w:rPr>
      </w:pPr>
    </w:p>
    <w:p w14:paraId="1770ABF8" w14:textId="1BBDE5E3" w:rsidR="00DA5A78" w:rsidRDefault="00DA5A78" w:rsidP="00DA5A78">
      <w:pPr>
        <w:spacing w:line="360" w:lineRule="auto"/>
        <w:rPr>
          <w:rFonts w:cs="Arial"/>
          <w:color w:val="000000" w:themeColor="text1"/>
          <w:szCs w:val="22"/>
        </w:rPr>
      </w:pPr>
    </w:p>
    <w:p w14:paraId="5F28F47A" w14:textId="6E814F88" w:rsidR="00B64796" w:rsidRDefault="00B64796" w:rsidP="00DA5A78">
      <w:pPr>
        <w:spacing w:line="360" w:lineRule="auto"/>
        <w:rPr>
          <w:rFonts w:cs="Arial"/>
          <w:color w:val="000000" w:themeColor="text1"/>
          <w:szCs w:val="22"/>
        </w:rPr>
      </w:pPr>
    </w:p>
    <w:p w14:paraId="71D50146" w14:textId="139ED7CA" w:rsidR="00B64796" w:rsidRDefault="00B64796" w:rsidP="00DA5A78">
      <w:pPr>
        <w:spacing w:line="360" w:lineRule="auto"/>
        <w:rPr>
          <w:rFonts w:cs="Arial"/>
          <w:color w:val="000000" w:themeColor="text1"/>
          <w:szCs w:val="22"/>
        </w:rPr>
      </w:pPr>
    </w:p>
    <w:p w14:paraId="4FC90F83" w14:textId="6F64F818" w:rsidR="00B64796" w:rsidRDefault="00B64796" w:rsidP="00DA5A78">
      <w:pPr>
        <w:spacing w:line="360" w:lineRule="auto"/>
        <w:rPr>
          <w:rFonts w:cs="Arial"/>
          <w:color w:val="000000" w:themeColor="text1"/>
          <w:szCs w:val="22"/>
        </w:rPr>
      </w:pPr>
    </w:p>
    <w:p w14:paraId="0F8E92F4" w14:textId="77777777" w:rsidR="00B64796" w:rsidRPr="00DA5A78" w:rsidRDefault="00B64796" w:rsidP="00DA5A78">
      <w:pPr>
        <w:spacing w:line="360" w:lineRule="auto"/>
        <w:rPr>
          <w:rFonts w:cs="Arial"/>
          <w:color w:val="000000" w:themeColor="text1"/>
          <w:szCs w:val="22"/>
        </w:rPr>
      </w:pPr>
    </w:p>
    <w:p w14:paraId="237FEC6E"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lastRenderedPageBreak/>
        <w:t>Key Statistics and Policy Trends</w:t>
      </w:r>
    </w:p>
    <w:p w14:paraId="7D9DF540" w14:textId="77777777" w:rsidR="00452BD0" w:rsidRPr="00DA5A78" w:rsidRDefault="00452BD0" w:rsidP="00DA5A78">
      <w:pPr>
        <w:numPr>
          <w:ilvl w:val="0"/>
          <w:numId w:val="36"/>
        </w:numPr>
        <w:spacing w:before="100" w:beforeAutospacing="1" w:after="100" w:afterAutospacing="1" w:line="360" w:lineRule="auto"/>
        <w:rPr>
          <w:rFonts w:cs="Arial"/>
          <w:color w:val="000000" w:themeColor="text1"/>
          <w:szCs w:val="22"/>
        </w:rPr>
      </w:pPr>
      <w:r w:rsidRPr="00DA5A78">
        <w:rPr>
          <w:rFonts w:cs="Arial"/>
          <w:color w:val="000000" w:themeColor="text1"/>
          <w:szCs w:val="22"/>
        </w:rPr>
        <w:t>Public Health England (PHE, 2021) reported that only 57% of people with a substance use disorder are in treatment.</w:t>
      </w:r>
    </w:p>
    <w:p w14:paraId="2FD6886B" w14:textId="77777777" w:rsidR="00452BD0" w:rsidRPr="00DA5A78" w:rsidRDefault="00452BD0" w:rsidP="00DA5A78">
      <w:pPr>
        <w:numPr>
          <w:ilvl w:val="0"/>
          <w:numId w:val="36"/>
        </w:numPr>
        <w:spacing w:before="100" w:beforeAutospacing="1" w:after="100" w:afterAutospacing="1" w:line="360" w:lineRule="auto"/>
        <w:rPr>
          <w:rFonts w:cs="Arial"/>
          <w:color w:val="000000" w:themeColor="text1"/>
          <w:szCs w:val="22"/>
        </w:rPr>
      </w:pPr>
      <w:r w:rsidRPr="00DA5A78">
        <w:rPr>
          <w:rFonts w:cs="Arial"/>
          <w:color w:val="000000" w:themeColor="text1"/>
          <w:szCs w:val="22"/>
        </w:rPr>
        <w:t>Between 2010 and 2020, funding for addiction services fell by £162 million in real terms (Health Foundation, 2023).</w:t>
      </w:r>
    </w:p>
    <w:p w14:paraId="543C4790" w14:textId="3D4C9966" w:rsidR="00452BD0" w:rsidRPr="00DA5A78" w:rsidRDefault="00452BD0" w:rsidP="00DA5A78">
      <w:pPr>
        <w:numPr>
          <w:ilvl w:val="0"/>
          <w:numId w:val="36"/>
        </w:numPr>
        <w:spacing w:before="100" w:beforeAutospacing="1" w:after="100" w:afterAutospacing="1" w:line="360" w:lineRule="auto"/>
        <w:rPr>
          <w:rFonts w:cs="Arial"/>
          <w:color w:val="000000" w:themeColor="text1"/>
          <w:szCs w:val="22"/>
        </w:rPr>
      </w:pPr>
      <w:r w:rsidRPr="00DA5A78">
        <w:rPr>
          <w:rFonts w:cs="Arial"/>
          <w:color w:val="000000" w:themeColor="text1"/>
          <w:szCs w:val="22"/>
        </w:rPr>
        <w:t>The Home Office (2021) announced £780 million in new investment, but analysis suggests this largely restores previous cuts rather than expanding new services (Institute for Fiscal Studies, 2023).</w:t>
      </w:r>
    </w:p>
    <w:p w14:paraId="27923F39" w14:textId="77777777" w:rsidR="00452BD0" w:rsidRPr="00DA5A78" w:rsidRDefault="00452BD0" w:rsidP="00DA5A78">
      <w:pPr>
        <w:spacing w:line="360" w:lineRule="auto"/>
        <w:rPr>
          <w:rFonts w:cs="Arial"/>
          <w:color w:val="000000" w:themeColor="text1"/>
          <w:szCs w:val="22"/>
        </w:rPr>
      </w:pPr>
    </w:p>
    <w:p w14:paraId="3090345E" w14:textId="77777777" w:rsidR="00452BD0" w:rsidRPr="00DA5A78" w:rsidRDefault="00452BD0" w:rsidP="00DA5A78">
      <w:pPr>
        <w:pStyle w:val="Heading1"/>
        <w:spacing w:line="360" w:lineRule="auto"/>
        <w:rPr>
          <w:rFonts w:cs="Arial"/>
          <w:color w:val="000000" w:themeColor="text1"/>
          <w:szCs w:val="22"/>
        </w:rPr>
      </w:pPr>
      <w:bookmarkStart w:id="29" w:name="_Toc214602311"/>
      <w:r w:rsidRPr="00DA5A78">
        <w:rPr>
          <w:rFonts w:cs="Arial"/>
          <w:color w:val="000000" w:themeColor="text1"/>
          <w:szCs w:val="22"/>
        </w:rPr>
        <w:t>3. Relevance to Research Question</w:t>
      </w:r>
      <w:bookmarkEnd w:id="29"/>
    </w:p>
    <w:p w14:paraId="2735B8A4"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30" w:name="_Toc214602312"/>
      <w:r w:rsidRPr="00DA5A78">
        <w:rPr>
          <w:rFonts w:cs="Arial"/>
          <w:color w:val="000000" w:themeColor="text1"/>
          <w:szCs w:val="22"/>
        </w:rPr>
        <w:t>Policy and legislation determine the scope of care available to low-income populations and thus shape the relationship between poverty, substance misuse, and untreated mental health. When funding cuts reduce community programmes, those most dependent on public services suffer the greatest harm (Marmot, 2020). Moreover, policies that separate drug and mental health services, rather than integrate them, perpetuate cycles of exclusion (Mind, 2022). Evaluating these frameworks helps explain why the correlation between deprivation and substance misuse remains persistent in England.</w:t>
      </w:r>
    </w:p>
    <w:p w14:paraId="52F931C9" w14:textId="77777777"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4. Theories, Policy, and Legislation</w:t>
      </w:r>
      <w:bookmarkEnd w:id="30"/>
    </w:p>
    <w:p w14:paraId="3CF7CD6D"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Social Determinants of Health framework (Marmot, 2005; WHO, 2022) underpins this theme. It argues that inequities in income, housing, education, and social capital drive health inequalities. Political and economic decisions shape these structural factors, a phenomenon Farmer (2004) refers to as 'structural violence'. Applying these theories highlights how austerity policies and the shift to local authority commissioning created systemic barriers, disproportionately affecting deprived areas (Black, 2021).</w:t>
      </w:r>
      <w:r w:rsidRPr="00DA5A78">
        <w:rPr>
          <w:rFonts w:cs="Arial"/>
          <w:color w:val="000000" w:themeColor="text1"/>
          <w:szCs w:val="22"/>
        </w:rPr>
        <w:br/>
        <w:t>The Care Act (2014) aimed to strengthen equality in social care access but has been criticised for inadequate enforcement. Similarly, the Drug Strategy (2021–2026) focuses on recovery and employment outcomes, yet lacks mechanisms for sustainable prevention (Home Office, 2021). The Public Health Outcomes Framework (2022) calls for joined-up local partnerships, but progress has been uneven due to fragmented governance and resource disparities.</w:t>
      </w:r>
    </w:p>
    <w:p w14:paraId="0990AD89"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w:t>
      </w:r>
    </w:p>
    <w:p w14:paraId="3B3D1A80" w14:textId="77777777" w:rsidR="006109E6" w:rsidRPr="006109E6" w:rsidRDefault="00452BD0" w:rsidP="006109E6">
      <w:pPr>
        <w:pStyle w:val="NormalWeb"/>
        <w:spacing w:line="360" w:lineRule="auto"/>
        <w:rPr>
          <w:rFonts w:ascii="Arial" w:hAnsi="Arial" w:cs="Arial"/>
          <w:color w:val="000000"/>
          <w:szCs w:val="22"/>
        </w:rPr>
      </w:pPr>
      <w:r w:rsidRPr="006109E6">
        <w:rPr>
          <w:rFonts w:ascii="Arial" w:hAnsi="Arial" w:cs="Arial"/>
          <w:color w:val="000000" w:themeColor="text1"/>
          <w:szCs w:val="22"/>
        </w:rPr>
        <w:lastRenderedPageBreak/>
        <w:t>Public Health Reorganisation 2021</w:t>
      </w:r>
      <w:r w:rsidRPr="006109E6">
        <w:rPr>
          <w:rFonts w:ascii="Arial" w:hAnsi="Arial" w:cs="Arial"/>
          <w:color w:val="000000" w:themeColor="text1"/>
          <w:szCs w:val="22"/>
        </w:rPr>
        <w:br/>
      </w:r>
      <w:r w:rsidR="006109E6" w:rsidRPr="006109E6">
        <w:rPr>
          <w:rFonts w:ascii="Arial" w:hAnsi="Arial" w:cs="Arial"/>
          <w:color w:val="000000"/>
          <w:szCs w:val="22"/>
        </w:rPr>
        <w:t>Following the replacement of Public Health England by the UK Health Security Agency (UKHSA) and the Office for Health Improvement and Disparities (OHID), apprehensions emerged regarding a diminished emphasis on inequalities. Analysts from the King’s Fund (2022) contend that this restructure diminished local accountability, resulting in councils being inadequately equipped to properly tackle addiction and mental health challenges.</w:t>
      </w:r>
    </w:p>
    <w:p w14:paraId="4B079D60" w14:textId="322E7FF6"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w:t>
      </w:r>
    </w:p>
    <w:p w14:paraId="7E2D5393"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w:t>
      </w:r>
    </w:p>
    <w:p w14:paraId="2BEC173B" w14:textId="77777777" w:rsidR="00452BD0" w:rsidRPr="00DA5A78" w:rsidRDefault="00452BD0" w:rsidP="00DA5A78">
      <w:pPr>
        <w:spacing w:line="360" w:lineRule="auto"/>
        <w:rPr>
          <w:rFonts w:cs="Arial"/>
          <w:color w:val="000000" w:themeColor="text1"/>
          <w:szCs w:val="22"/>
        </w:rPr>
      </w:pPr>
    </w:p>
    <w:p w14:paraId="1B43EA68" w14:textId="77777777" w:rsidR="00452BD0" w:rsidRPr="00DA5A78" w:rsidRDefault="00452BD0" w:rsidP="00DA5A78">
      <w:pPr>
        <w:spacing w:line="360" w:lineRule="auto"/>
        <w:rPr>
          <w:rFonts w:cs="Arial"/>
          <w:color w:val="000000" w:themeColor="text1"/>
          <w:szCs w:val="22"/>
        </w:rPr>
      </w:pPr>
    </w:p>
    <w:p w14:paraId="1784658F" w14:textId="77777777" w:rsidR="00452BD0" w:rsidRPr="00DA5A78" w:rsidRDefault="00452BD0" w:rsidP="00DA5A78">
      <w:pPr>
        <w:pStyle w:val="Heading1"/>
        <w:spacing w:line="360" w:lineRule="auto"/>
        <w:rPr>
          <w:rFonts w:cs="Arial"/>
          <w:color w:val="000000" w:themeColor="text1"/>
          <w:szCs w:val="22"/>
        </w:rPr>
      </w:pPr>
      <w:bookmarkStart w:id="31" w:name="_Toc214602313"/>
      <w:r w:rsidRPr="00DA5A78">
        <w:rPr>
          <w:rFonts w:cs="Arial"/>
          <w:color w:val="000000" w:themeColor="text1"/>
          <w:szCs w:val="22"/>
        </w:rPr>
        <w:t>5. Examples from Articles</w:t>
      </w:r>
      <w:bookmarkEnd w:id="31"/>
    </w:p>
    <w:p w14:paraId="4D38E741"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32" w:name="_Toc214602314"/>
      <w:r w:rsidRPr="00DA5A78">
        <w:rPr>
          <w:rFonts w:cs="Arial"/>
          <w:color w:val="000000" w:themeColor="text1"/>
          <w:szCs w:val="22"/>
        </w:rPr>
        <w:t>Black (2021) concluded that inconsistent funding and lack of workforce investment undermined national drug policy reforms. Marmot (2020) argued that government policies had "failed to prioritise fairness," leading to wider health gaps. Mind (2022) said that differences between local authorities meant that some areas had full integration of mental health and substance abuse services, while others didn't even have basic coordination.</w:t>
      </w:r>
      <w:r w:rsidRPr="00DA5A78">
        <w:rPr>
          <w:rFonts w:cs="Arial"/>
          <w:color w:val="000000" w:themeColor="text1"/>
          <w:szCs w:val="22"/>
        </w:rPr>
        <w:br/>
        <w:t xml:space="preserve">International comparisons support these findings: WHO (2022) highlights </w:t>
      </w:r>
      <w:proofErr w:type="gramStart"/>
      <w:r w:rsidRPr="00DA5A78">
        <w:rPr>
          <w:rFonts w:cs="Arial"/>
          <w:color w:val="000000" w:themeColor="text1"/>
          <w:szCs w:val="22"/>
        </w:rPr>
        <w:t>that countries</w:t>
      </w:r>
      <w:proofErr w:type="gramEnd"/>
      <w:r w:rsidRPr="00DA5A78">
        <w:rPr>
          <w:rFonts w:cs="Arial"/>
          <w:color w:val="000000" w:themeColor="text1"/>
          <w:szCs w:val="22"/>
        </w:rPr>
        <w:t xml:space="preserve"> with strong welfare safety nets, such as Norway and Finland, report lower substance misuse-related mortality than the UK, reinforcing the role of social policy in shaping outcomes.</w:t>
      </w:r>
    </w:p>
    <w:p w14:paraId="1B0C8D52" w14:textId="77777777"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6. Connections to Other Themes</w:t>
      </w:r>
      <w:bookmarkEnd w:id="32"/>
    </w:p>
    <w:p w14:paraId="4B963B0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ties directly to Theme 3, which examined access barriers shaped by socioeconomic inequality. Policy frameworks either reinforce or mitigate these barriers. It also connects to Theme 5, which explores how the COVID-19 pandemic further exposed the fragility of England’s health and social systems. Together, these themes highlight that substance misuse and untreated mental illness are not isolated problems but products of broader social and political contexts.</w:t>
      </w:r>
    </w:p>
    <w:p w14:paraId="5D649819" w14:textId="77777777" w:rsidR="00452BD0" w:rsidRPr="00DA5A78" w:rsidRDefault="00452BD0" w:rsidP="00DA5A78">
      <w:pPr>
        <w:spacing w:line="360" w:lineRule="auto"/>
        <w:rPr>
          <w:rFonts w:cs="Arial"/>
          <w:color w:val="000000" w:themeColor="text1"/>
          <w:szCs w:val="22"/>
        </w:rPr>
      </w:pPr>
    </w:p>
    <w:p w14:paraId="772BD544" w14:textId="77777777" w:rsidR="00452BD0" w:rsidRPr="00DA5A78" w:rsidRDefault="00452BD0" w:rsidP="00DA5A78">
      <w:pPr>
        <w:spacing w:beforeAutospacing="1" w:afterAutospacing="1" w:line="360" w:lineRule="auto"/>
        <w:rPr>
          <w:rFonts w:cs="Arial"/>
          <w:color w:val="000000" w:themeColor="text1"/>
          <w:szCs w:val="22"/>
        </w:rPr>
      </w:pPr>
    </w:p>
    <w:p w14:paraId="698E524E" w14:textId="77777777" w:rsidR="00452BD0" w:rsidRPr="00DA5A78" w:rsidRDefault="00452BD0" w:rsidP="00DA5A78">
      <w:pPr>
        <w:spacing w:beforeAutospacing="1" w:afterAutospacing="1" w:line="360" w:lineRule="auto"/>
        <w:rPr>
          <w:rFonts w:cs="Arial"/>
          <w:color w:val="000000" w:themeColor="text1"/>
          <w:szCs w:val="22"/>
        </w:rPr>
      </w:pPr>
    </w:p>
    <w:p w14:paraId="13F85920" w14:textId="77777777" w:rsidR="00452BD0" w:rsidRPr="00DA5A78" w:rsidRDefault="00452BD0" w:rsidP="00DA5A78">
      <w:pPr>
        <w:spacing w:beforeAutospacing="1" w:afterAutospacing="1" w:line="360" w:lineRule="auto"/>
        <w:rPr>
          <w:rFonts w:cs="Arial"/>
          <w:color w:val="000000" w:themeColor="text1"/>
          <w:szCs w:val="22"/>
        </w:rPr>
      </w:pPr>
    </w:p>
    <w:p w14:paraId="397FCB7C" w14:textId="77777777" w:rsidR="00452BD0" w:rsidRPr="00DA5A78" w:rsidRDefault="00452BD0" w:rsidP="00DA5A78">
      <w:pPr>
        <w:pStyle w:val="Heading1"/>
        <w:spacing w:line="360" w:lineRule="auto"/>
        <w:rPr>
          <w:rFonts w:cs="Arial"/>
          <w:color w:val="000000" w:themeColor="text1"/>
          <w:szCs w:val="22"/>
        </w:rPr>
      </w:pPr>
      <w:bookmarkStart w:id="33" w:name="_Toc214602315"/>
      <w:r w:rsidRPr="00DA5A78">
        <w:rPr>
          <w:rFonts w:cs="Arial"/>
          <w:color w:val="000000" w:themeColor="text1"/>
          <w:szCs w:val="22"/>
        </w:rPr>
        <w:t>4.6 Theme 5: The Impact of COVID-19 on Substance Misuse and Mental Health Inequalities</w:t>
      </w:r>
      <w:bookmarkEnd w:id="33"/>
    </w:p>
    <w:p w14:paraId="76AE29FD" w14:textId="77777777" w:rsidR="00452BD0" w:rsidRPr="00DA5A78" w:rsidRDefault="00452BD0" w:rsidP="00DA5A78">
      <w:pPr>
        <w:pStyle w:val="Heading1"/>
        <w:spacing w:line="360" w:lineRule="auto"/>
        <w:rPr>
          <w:rFonts w:cs="Arial"/>
          <w:color w:val="000000" w:themeColor="text1"/>
          <w:szCs w:val="22"/>
        </w:rPr>
      </w:pPr>
      <w:bookmarkStart w:id="34" w:name="_Toc214602316"/>
      <w:r w:rsidRPr="00DA5A78">
        <w:rPr>
          <w:rFonts w:cs="Arial"/>
          <w:color w:val="000000" w:themeColor="text1"/>
          <w:szCs w:val="22"/>
        </w:rPr>
        <w:t>1. Definition and Scope</w:t>
      </w:r>
      <w:bookmarkEnd w:id="34"/>
    </w:p>
    <w:p w14:paraId="128DB5DD"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The COVID-19 pandemic refers to the global health crisis that began in early 2020, which profoundly disrupted social, economic, and healthcare systems. In the context of this study, it represents both a magnifier and an accelerator of existing inequalities. The pandemic not only raised levels of anxiety, depression, and trauma but also exacerbated disparities in service access for individuals already impacted by substance misuse (Pierce et al., 2020; </w:t>
      </w:r>
      <w:proofErr w:type="spellStart"/>
      <w:r w:rsidRPr="00DA5A78">
        <w:rPr>
          <w:rFonts w:cs="Arial"/>
          <w:color w:val="000000" w:themeColor="text1"/>
          <w:szCs w:val="22"/>
        </w:rPr>
        <w:t>Kwong</w:t>
      </w:r>
      <w:proofErr w:type="spellEnd"/>
      <w:r w:rsidRPr="00DA5A78">
        <w:rPr>
          <w:rFonts w:cs="Arial"/>
          <w:color w:val="000000" w:themeColor="text1"/>
          <w:szCs w:val="22"/>
        </w:rPr>
        <w:t xml:space="preserve"> et al., 2020). Lockdowns, social isolation, and unemployment collectively deepened stress and dependency, particularly among low-income populations in England (Mind, 2022).</w:t>
      </w:r>
    </w:p>
    <w:p w14:paraId="6186A8F0"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060BEE3C" w14:textId="77777777" w:rsidR="00452BD0" w:rsidRPr="00DA5A78" w:rsidRDefault="00452BD0" w:rsidP="00DA5A78">
      <w:pPr>
        <w:pStyle w:val="Heading1"/>
        <w:spacing w:line="360" w:lineRule="auto"/>
        <w:rPr>
          <w:rFonts w:cs="Arial"/>
          <w:color w:val="000000" w:themeColor="text1"/>
          <w:szCs w:val="22"/>
        </w:rPr>
      </w:pPr>
      <w:bookmarkStart w:id="35" w:name="_Toc214602317"/>
      <w:r w:rsidRPr="00DA5A78">
        <w:rPr>
          <w:rFonts w:cs="Arial"/>
          <w:color w:val="000000" w:themeColor="text1"/>
          <w:szCs w:val="22"/>
        </w:rPr>
        <w:t>2. Background Information</w:t>
      </w:r>
      <w:bookmarkEnd w:id="35"/>
    </w:p>
    <w:p w14:paraId="12BF2E9E"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Before COVID-19, England already faced a decade of health inequality growth (Marmot, 2020). When the pandemic struck, it further exposed systemic vulnerabilities in mental health and addiction services. Social distancing measures forced the closing of in-person recovery groups, community outreach programmes, and day centres. These services were vital lifelines for people with substance misuse problems (Public Health England, 2021). For many, this disruption led to relapse or increased dependence on substances as coping mechanisms for isolation and anxiety.</w:t>
      </w:r>
      <w:r w:rsidRPr="00DA5A78">
        <w:rPr>
          <w:rFonts w:cs="Arial"/>
          <w:color w:val="000000" w:themeColor="text1"/>
          <w:szCs w:val="22"/>
        </w:rPr>
        <w:br/>
        <w:t>At the same time, the pandemic’s economic consequences, such as job loss and income insecurity, disproportionately affected people in deprived communities, who were already at higher risk of both addiction and untreated mental illness (Pierce et al., 2020; ONS, 2022).</w:t>
      </w:r>
    </w:p>
    <w:p w14:paraId="4B6C2D6D" w14:textId="77777777" w:rsidR="00452BD0" w:rsidRPr="00DA5A78" w:rsidRDefault="00452BD0" w:rsidP="00DA5A78">
      <w:pPr>
        <w:spacing w:line="360" w:lineRule="auto"/>
        <w:rPr>
          <w:rFonts w:cs="Arial"/>
          <w:color w:val="000000" w:themeColor="text1"/>
          <w:szCs w:val="22"/>
        </w:rPr>
      </w:pPr>
    </w:p>
    <w:p w14:paraId="10179A1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Key Statistics 2022–2023</w:t>
      </w:r>
    </w:p>
    <w:p w14:paraId="748063D6" w14:textId="77777777" w:rsidR="00452BD0" w:rsidRPr="00DA5A78" w:rsidRDefault="00452BD0" w:rsidP="00DA5A78">
      <w:pPr>
        <w:numPr>
          <w:ilvl w:val="0"/>
          <w:numId w:val="37"/>
        </w:numPr>
        <w:spacing w:before="100" w:beforeAutospacing="1" w:after="100" w:afterAutospacing="1" w:line="360" w:lineRule="auto"/>
        <w:rPr>
          <w:rFonts w:cs="Arial"/>
          <w:color w:val="000000" w:themeColor="text1"/>
          <w:szCs w:val="22"/>
        </w:rPr>
      </w:pPr>
      <w:r w:rsidRPr="00DA5A78">
        <w:rPr>
          <w:rFonts w:cs="Arial"/>
          <w:color w:val="000000" w:themeColor="text1"/>
          <w:szCs w:val="22"/>
        </w:rPr>
        <w:t>During the first year of the pandemic, alcohol-specific deaths increased by 20%, reaching the highest rate since records began (ONS, 2022).</w:t>
      </w:r>
    </w:p>
    <w:p w14:paraId="7C82FB01" w14:textId="77777777" w:rsidR="00452BD0" w:rsidRPr="00DA5A78" w:rsidRDefault="00452BD0" w:rsidP="00DA5A78">
      <w:pPr>
        <w:numPr>
          <w:ilvl w:val="0"/>
          <w:numId w:val="37"/>
        </w:numPr>
        <w:spacing w:before="100" w:beforeAutospacing="1" w:after="100" w:afterAutospacing="1" w:line="360" w:lineRule="auto"/>
        <w:rPr>
          <w:rFonts w:cs="Arial"/>
          <w:color w:val="000000" w:themeColor="text1"/>
          <w:szCs w:val="22"/>
        </w:rPr>
      </w:pPr>
      <w:r w:rsidRPr="00DA5A78">
        <w:rPr>
          <w:rFonts w:cs="Arial"/>
          <w:color w:val="000000" w:themeColor="text1"/>
          <w:szCs w:val="22"/>
        </w:rPr>
        <w:t>Mental health referrals to NHS Talking Therapies rose by 31% between 2020 and 2022 (NHS Digital, 2023).</w:t>
      </w:r>
    </w:p>
    <w:p w14:paraId="47E455B7" w14:textId="77777777" w:rsidR="00452BD0" w:rsidRPr="00DA5A78" w:rsidRDefault="00452BD0" w:rsidP="00DA5A78">
      <w:pPr>
        <w:numPr>
          <w:ilvl w:val="0"/>
          <w:numId w:val="37"/>
        </w:numPr>
        <w:spacing w:before="100" w:beforeAutospacing="1" w:after="100" w:afterAutospacing="1" w:line="360" w:lineRule="auto"/>
        <w:rPr>
          <w:rFonts w:cs="Arial"/>
          <w:color w:val="000000" w:themeColor="text1"/>
          <w:szCs w:val="22"/>
        </w:rPr>
      </w:pPr>
      <w:r w:rsidRPr="00DA5A78">
        <w:rPr>
          <w:rFonts w:cs="Arial"/>
          <w:color w:val="000000" w:themeColor="text1"/>
          <w:szCs w:val="22"/>
        </w:rPr>
        <w:lastRenderedPageBreak/>
        <w:t>People in the most deprived areas were twice as likely to experience pandemic-related job loss or income reduction (JRF, 2023).</w:t>
      </w:r>
    </w:p>
    <w:p w14:paraId="1DB92D2B" w14:textId="77777777" w:rsidR="00452BD0" w:rsidRPr="00DA5A78" w:rsidRDefault="00452BD0" w:rsidP="00DA5A78">
      <w:pPr>
        <w:numPr>
          <w:ilvl w:val="0"/>
          <w:numId w:val="37"/>
        </w:numPr>
        <w:spacing w:before="100" w:beforeAutospacing="1" w:after="100" w:afterAutospacing="1" w:line="360" w:lineRule="auto"/>
        <w:rPr>
          <w:rFonts w:cs="Arial"/>
          <w:color w:val="000000" w:themeColor="text1"/>
          <w:szCs w:val="22"/>
        </w:rPr>
      </w:pPr>
      <w:r w:rsidRPr="00DA5A78">
        <w:rPr>
          <w:rFonts w:cs="Arial"/>
          <w:color w:val="000000" w:themeColor="text1"/>
          <w:szCs w:val="22"/>
        </w:rPr>
        <w:t>A Mind (2022) survey found 65% of respondents with existing mental health conditions reported worsening symptoms due to reduced service access.</w:t>
      </w:r>
    </w:p>
    <w:p w14:paraId="64067C5F" w14:textId="77777777" w:rsidR="00452BD0" w:rsidRPr="00DA5A78" w:rsidRDefault="00452BD0" w:rsidP="00DA5A78">
      <w:pPr>
        <w:pStyle w:val="Heading1"/>
        <w:spacing w:line="360" w:lineRule="auto"/>
        <w:rPr>
          <w:rFonts w:cs="Arial"/>
          <w:color w:val="000000" w:themeColor="text1"/>
          <w:szCs w:val="22"/>
        </w:rPr>
      </w:pPr>
      <w:bookmarkStart w:id="36" w:name="_Toc214602318"/>
      <w:r w:rsidRPr="00DA5A78">
        <w:rPr>
          <w:rFonts w:cs="Arial"/>
          <w:color w:val="000000" w:themeColor="text1"/>
          <w:szCs w:val="22"/>
        </w:rPr>
        <w:t>3. Relevance to Research Question</w:t>
      </w:r>
      <w:bookmarkEnd w:id="36"/>
    </w:p>
    <w:p w14:paraId="67DE39BA"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is central to the dissertation’s question, as it demonstrates how external crises amplify the connection between poverty, substance misuse, and untreated mental health conditions. COVID-19 did not create these inequalities; it exposed and intensified them. The loss of community contact, limited access to treatment, and increased social stress deepened the cycle of disadvantage, particularly in low-income regions (</w:t>
      </w:r>
      <w:proofErr w:type="spellStart"/>
      <w:r w:rsidRPr="00DA5A78">
        <w:rPr>
          <w:rFonts w:cs="Arial"/>
          <w:color w:val="000000" w:themeColor="text1"/>
          <w:szCs w:val="22"/>
        </w:rPr>
        <w:t>Kwong</w:t>
      </w:r>
      <w:proofErr w:type="spellEnd"/>
      <w:r w:rsidRPr="00DA5A78">
        <w:rPr>
          <w:rFonts w:cs="Arial"/>
          <w:color w:val="000000" w:themeColor="text1"/>
          <w:szCs w:val="22"/>
        </w:rPr>
        <w:t xml:space="preserve"> et al., 2020). By analysing this period, the research highlights how structural inequities, rather than individual behaviours, largely determine health outcomes.</w:t>
      </w:r>
    </w:p>
    <w:p w14:paraId="53598004"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2B91056D" w14:textId="77777777" w:rsidR="00452BD0" w:rsidRPr="00DA5A78" w:rsidRDefault="00452BD0" w:rsidP="00DA5A78">
      <w:pPr>
        <w:pStyle w:val="Heading1"/>
        <w:spacing w:line="360" w:lineRule="auto"/>
        <w:rPr>
          <w:rFonts w:cs="Arial"/>
          <w:color w:val="000000" w:themeColor="text1"/>
          <w:szCs w:val="22"/>
        </w:rPr>
      </w:pPr>
      <w:bookmarkStart w:id="37" w:name="_Toc214602319"/>
      <w:r w:rsidRPr="00DA5A78">
        <w:rPr>
          <w:rFonts w:cs="Arial"/>
          <w:color w:val="000000" w:themeColor="text1"/>
          <w:szCs w:val="22"/>
        </w:rPr>
        <w:t>4. Data and Statistics</w:t>
      </w:r>
      <w:bookmarkEnd w:id="37"/>
    </w:p>
    <w:p w14:paraId="7589F69E"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According to NHS Digital (2023), over 60% of local treatment services reported a decline in client engagement during the lockdowns, mainly due to technology barriers and mental health deterioration. ONS (2022) data revealed that individuals reporting high psychological distress doubled from 10% to 20% between 2019 and 2021. During lockdowns, alcohol sales in supermarkets went up by 24%, which suggests that people drank more at home (Public Health England, 2021).</w:t>
      </w:r>
      <w:r w:rsidRPr="00DA5A78">
        <w:rPr>
          <w:rFonts w:cs="Arial"/>
          <w:color w:val="000000" w:themeColor="text1"/>
          <w:szCs w:val="22"/>
        </w:rPr>
        <w:br/>
        <w:t>These findings underline that the pandemic not only heightened immediate risks but also created long-term effects, such as increased treatment demand and chronic mental distress among vulnerable groups.</w:t>
      </w:r>
    </w:p>
    <w:p w14:paraId="48C70B4D"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w:t>
      </w:r>
    </w:p>
    <w:p w14:paraId="17096536"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COVID-19 Mental Health and Wellbeing Recovery Action Plan (2021)</w:t>
      </w:r>
      <w:r w:rsidRPr="00DA5A78">
        <w:rPr>
          <w:rFonts w:cs="Arial"/>
          <w:color w:val="000000" w:themeColor="text1"/>
          <w:szCs w:val="22"/>
        </w:rPr>
        <w:br/>
        <w:t>The UK government’s recovery action plan (Department of Health and Social Care, 2021) sought to rebuild services, by prioritising early intervention and digital therapy expansion. However, the Centre for Mental Health (2022) found that funding and workforce shortages prevented equitable delivery. Local authorities in deprived regions struggled to meet increased demand, while digital-only models excluded those without internet access.</w:t>
      </w:r>
    </w:p>
    <w:p w14:paraId="5E7C9318"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6C23EEAF"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3988B027"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4BDA9651" w14:textId="77777777" w:rsidR="00452BD0" w:rsidRPr="00DA5A78" w:rsidRDefault="00452BD0" w:rsidP="00DA5A78">
      <w:pPr>
        <w:spacing w:line="360" w:lineRule="auto"/>
        <w:rPr>
          <w:rFonts w:cs="Arial"/>
          <w:color w:val="000000" w:themeColor="text1"/>
          <w:szCs w:val="22"/>
        </w:rPr>
      </w:pPr>
    </w:p>
    <w:p w14:paraId="1BC58C93" w14:textId="77777777" w:rsidR="00452BD0" w:rsidRPr="00DA5A78" w:rsidRDefault="00452BD0" w:rsidP="00DA5A78">
      <w:pPr>
        <w:pStyle w:val="Heading1"/>
        <w:spacing w:line="360" w:lineRule="auto"/>
        <w:rPr>
          <w:rFonts w:cs="Arial"/>
          <w:color w:val="000000" w:themeColor="text1"/>
          <w:szCs w:val="22"/>
        </w:rPr>
      </w:pPr>
      <w:bookmarkStart w:id="38" w:name="_Toc214602320"/>
      <w:r w:rsidRPr="00DA5A78">
        <w:rPr>
          <w:rFonts w:cs="Arial"/>
          <w:color w:val="000000" w:themeColor="text1"/>
          <w:szCs w:val="22"/>
        </w:rPr>
        <w:t>5. Theories, Policy, and Legislation</w:t>
      </w:r>
      <w:bookmarkEnd w:id="38"/>
    </w:p>
    <w:p w14:paraId="04AEB38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Resilience Theory (Rutter, 2012) offers insight into how individuals respond differently to crisis. It suggests that social and economic resources, not just personal traits, determine one’s capacity to adapt. Applying this framework shows why low-income communities, already deprived of safety nets, suffered disproportionately during COVID-19.</w:t>
      </w:r>
      <w:r w:rsidRPr="00DA5A78">
        <w:rPr>
          <w:rFonts w:cs="Arial"/>
          <w:color w:val="000000" w:themeColor="text1"/>
          <w:szCs w:val="22"/>
        </w:rPr>
        <w:br/>
        <w:t>The Social Determinants of Health model (Marmot, 2005; WHO, 2022) also applies here, as the pandemic magnified pre-existing inequalities in housing, income, and access to care. The Coronavirus Act 2020 made it easier for councils to cut back on non-urgent services, which the Equality and Human Rights Commission (2021) said made inequality worse.</w:t>
      </w:r>
    </w:p>
    <w:p w14:paraId="3D291602"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6C3E22C4"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26C8A374" w14:textId="77777777" w:rsidR="00452BD0" w:rsidRPr="00DA5A78" w:rsidRDefault="00452BD0" w:rsidP="00DA5A78">
      <w:pPr>
        <w:pStyle w:val="Heading1"/>
        <w:spacing w:line="360" w:lineRule="auto"/>
        <w:rPr>
          <w:rFonts w:cs="Arial"/>
          <w:color w:val="000000" w:themeColor="text1"/>
          <w:szCs w:val="22"/>
        </w:rPr>
      </w:pPr>
      <w:bookmarkStart w:id="39" w:name="_Toc214602321"/>
      <w:r w:rsidRPr="00DA5A78">
        <w:rPr>
          <w:rFonts w:cs="Arial"/>
          <w:color w:val="000000" w:themeColor="text1"/>
          <w:szCs w:val="22"/>
        </w:rPr>
        <w:t>6. Examples from Articles</w:t>
      </w:r>
      <w:bookmarkEnd w:id="39"/>
    </w:p>
    <w:p w14:paraId="7A33627E" w14:textId="77777777" w:rsidR="00452BD0" w:rsidRPr="00DA5A78" w:rsidRDefault="00452BD0" w:rsidP="00DA5A78">
      <w:pPr>
        <w:spacing w:before="100" w:beforeAutospacing="1" w:after="100" w:afterAutospacing="1" w:line="360" w:lineRule="auto"/>
        <w:rPr>
          <w:rFonts w:cs="Arial"/>
          <w:color w:val="000000" w:themeColor="text1"/>
          <w:szCs w:val="22"/>
        </w:rPr>
      </w:pPr>
      <w:bookmarkStart w:id="40" w:name="_Toc214602322"/>
      <w:r w:rsidRPr="00DA5A78">
        <w:rPr>
          <w:rFonts w:cs="Arial"/>
          <w:color w:val="000000" w:themeColor="text1"/>
          <w:szCs w:val="22"/>
        </w:rPr>
        <w:t xml:space="preserve">Pierce et al. (2020) conducted one of the largest longitudinal surveys in the UK, finding sharp rises in anxiety and depression, particularly among low-income adults and women. </w:t>
      </w:r>
      <w:proofErr w:type="spellStart"/>
      <w:r w:rsidRPr="00DA5A78">
        <w:rPr>
          <w:rFonts w:cs="Arial"/>
          <w:color w:val="000000" w:themeColor="text1"/>
          <w:szCs w:val="22"/>
        </w:rPr>
        <w:t>Kwong</w:t>
      </w:r>
      <w:proofErr w:type="spellEnd"/>
      <w:r w:rsidRPr="00DA5A78">
        <w:rPr>
          <w:rFonts w:cs="Arial"/>
          <w:color w:val="000000" w:themeColor="text1"/>
          <w:szCs w:val="22"/>
        </w:rPr>
        <w:t xml:space="preserve"> et al. (2020) demonstrated analogous trends in two extensive population cohorts, indicating enduring mental distress even </w:t>
      </w:r>
      <w:proofErr w:type="gramStart"/>
      <w:r w:rsidRPr="00DA5A78">
        <w:rPr>
          <w:rFonts w:cs="Arial"/>
          <w:color w:val="000000" w:themeColor="text1"/>
          <w:szCs w:val="22"/>
        </w:rPr>
        <w:t>subsequent to</w:t>
      </w:r>
      <w:proofErr w:type="gramEnd"/>
      <w:r w:rsidRPr="00DA5A78">
        <w:rPr>
          <w:rFonts w:cs="Arial"/>
          <w:color w:val="000000" w:themeColor="text1"/>
          <w:szCs w:val="22"/>
        </w:rPr>
        <w:t xml:space="preserve"> the cessation of lockdowns. Mind (2022) reported that many people with substance misuse issues lost contact with support workers, with some turning to self-medication. The Health Foundation (2023) also found that mental health service backlogs increased wait times for psychological therapy by up to six months, particularly in deprived boroughs.</w:t>
      </w:r>
    </w:p>
    <w:p w14:paraId="2056754F" w14:textId="77777777" w:rsidR="00452BD0" w:rsidRPr="00DA5A78" w:rsidRDefault="00452BD0" w:rsidP="00DA5A78">
      <w:pPr>
        <w:pStyle w:val="Heading1"/>
        <w:spacing w:line="360" w:lineRule="auto"/>
        <w:rPr>
          <w:rFonts w:cs="Arial"/>
          <w:color w:val="000000" w:themeColor="text1"/>
          <w:szCs w:val="22"/>
        </w:rPr>
      </w:pPr>
      <w:r w:rsidRPr="00DA5A78">
        <w:rPr>
          <w:rFonts w:cs="Arial"/>
          <w:color w:val="000000" w:themeColor="text1"/>
          <w:szCs w:val="22"/>
        </w:rPr>
        <w:t>7. Connections to Other Themes</w:t>
      </w:r>
      <w:bookmarkEnd w:id="40"/>
    </w:p>
    <w:p w14:paraId="7018BF83" w14:textId="6BA85336" w:rsidR="00452BD0" w:rsidRPr="00DA5A78" w:rsidRDefault="00452BD0" w:rsidP="00B64796">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theme links closely to Theme 2, as the rise in untreated mental health disorders during the pandemic directly influenced substance misuse rates. It also connects to Theme 3, where service accessibility barriers were discussed; these worsened under lockdown conditions. Finally, it feeds into Theme 4, illustrating how policy responses to crises must prioritise equity and preparedness to prevent widening inequality in future emergencies.</w:t>
      </w:r>
    </w:p>
    <w:p w14:paraId="0077FBCE" w14:textId="77777777" w:rsidR="00452BD0" w:rsidRPr="00DA5A78" w:rsidRDefault="00452BD0" w:rsidP="00DA5A78">
      <w:pPr>
        <w:pStyle w:val="Heading1"/>
        <w:spacing w:line="360" w:lineRule="auto"/>
        <w:rPr>
          <w:rFonts w:cs="Arial"/>
          <w:color w:val="000000" w:themeColor="text1"/>
          <w:szCs w:val="22"/>
        </w:rPr>
      </w:pPr>
      <w:bookmarkStart w:id="41" w:name="_Toc214602323"/>
      <w:r w:rsidRPr="00DA5A78">
        <w:rPr>
          <w:rStyle w:val="Strong"/>
          <w:rFonts w:cs="Arial"/>
          <w:b/>
          <w:bCs/>
          <w:color w:val="000000" w:themeColor="text1"/>
          <w:szCs w:val="22"/>
        </w:rPr>
        <w:lastRenderedPageBreak/>
        <w:t xml:space="preserve">4.7 </w:t>
      </w:r>
      <w:r w:rsidRPr="00DA5A78">
        <w:rPr>
          <w:rStyle w:val="Strong"/>
          <w:rFonts w:eastAsiaTheme="majorEastAsia" w:cs="Arial"/>
          <w:color w:val="000000" w:themeColor="text1"/>
          <w:szCs w:val="22"/>
        </w:rPr>
        <w:t>Chapter Conclusion</w:t>
      </w:r>
      <w:bookmarkEnd w:id="41"/>
    </w:p>
    <w:p w14:paraId="1603C10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chapter examined five interconnected themes that show how low income, substance abuse, and untreated mental health disorders intersect in England. Each theme has demonstrated that social and economic systems are the root cause of these health issues.</w:t>
      </w:r>
    </w:p>
    <w:p w14:paraId="29106C4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Theme 1 demonstrates that poverty causes and results in substance misuse. Addiction is more likely in low-income communities due to chronic stress, unemployment, and housing instability. Theme 2 reveals how untreated mental health disorders, like depression, anxiety, and trauma, worsen substance abuse and perpetuate distress. Theme 3 explored socioeconomic barriers to treatment, such as cost, transportation, digital exclusion, and long wait times. These obstacles keep help from reaching those who need it most. Theme 4 evaluated policy and legislation, revealing that England's drug strategy has shifted to a public health approach, but underfunding and fragmented systems hinder progress. Theme 5 showed how the COVID-19 pandemic worsened inequalities, leading to higher rates of mental distress and substance abuse and decreased access to care.</w:t>
      </w:r>
    </w:p>
    <w:p w14:paraId="7615C89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All themes revealed inequality as the primary cause of substance abuse and untreated mental health issues. Individual interventions will be ineffective without addressing poverty, unstable housing, and underfunded services, according to the evidence.</w:t>
      </w:r>
    </w:p>
    <w:p w14:paraId="3CBE7D8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Integration and trauma-informed care are crucial conclusions. Systems that treat mental health and addiction separately fail individuals with dual diagnoses, as the literature repeatedly demonstrates (Mind, 2022; Molina &amp; Whittaker, 2022). The NHS Long Term Plan (2019) and From Harm to Hope (2021–2026) recommend integrating these services to reduce duplication and improve recovery.</w:t>
      </w:r>
    </w:p>
    <w:p w14:paraId="72E171C9"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Policymakers should invest, plan, and collaborate across sectors to achieve health equity, according to the research. Education, employment, housing, and community support should be public health priorities, not external ones.</w:t>
      </w:r>
    </w:p>
    <w:p w14:paraId="4DD7278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In Chapter 5, findings will inform evidence-based recommendations for public health policy and practice. It will combine these themes into prevention, accessibility, and social support strategies to reduce health inequalities in England.</w:t>
      </w:r>
    </w:p>
    <w:p w14:paraId="52134087" w14:textId="77777777" w:rsidR="00452BD0" w:rsidRPr="00DA5A78" w:rsidRDefault="00452BD0" w:rsidP="00DA5A78">
      <w:pPr>
        <w:spacing w:before="100" w:beforeAutospacing="1" w:after="100" w:afterAutospacing="1" w:line="360" w:lineRule="auto"/>
        <w:rPr>
          <w:rFonts w:cs="Arial"/>
          <w:color w:val="000000" w:themeColor="text1"/>
          <w:szCs w:val="22"/>
        </w:rPr>
      </w:pPr>
    </w:p>
    <w:p w14:paraId="479F4B84" w14:textId="77777777" w:rsidR="00452BD0" w:rsidRPr="00DA5A78" w:rsidRDefault="00452BD0" w:rsidP="00DA5A78">
      <w:pPr>
        <w:spacing w:line="360" w:lineRule="auto"/>
        <w:rPr>
          <w:rFonts w:cs="Arial"/>
          <w:color w:val="000000" w:themeColor="text1"/>
          <w:szCs w:val="22"/>
        </w:rPr>
      </w:pPr>
    </w:p>
    <w:p w14:paraId="4520E3F0" w14:textId="77777777" w:rsidR="00452BD0" w:rsidRPr="00DA5A78" w:rsidRDefault="00452BD0" w:rsidP="00DA5A78">
      <w:pPr>
        <w:spacing w:line="360" w:lineRule="auto"/>
        <w:rPr>
          <w:rFonts w:cs="Arial"/>
          <w:color w:val="000000" w:themeColor="text1"/>
          <w:szCs w:val="22"/>
        </w:rPr>
      </w:pPr>
    </w:p>
    <w:p w14:paraId="19D557FD" w14:textId="77777777" w:rsidR="00452BD0" w:rsidRPr="00B64796" w:rsidRDefault="00452BD0" w:rsidP="00DA5A78">
      <w:pPr>
        <w:pStyle w:val="Heading1"/>
        <w:spacing w:line="360" w:lineRule="auto"/>
        <w:rPr>
          <w:rFonts w:cs="Arial"/>
          <w:b w:val="0"/>
          <w:bCs w:val="0"/>
          <w:color w:val="000000" w:themeColor="text1"/>
          <w:szCs w:val="22"/>
        </w:rPr>
      </w:pPr>
      <w:bookmarkStart w:id="42" w:name="_Toc214602324"/>
      <w:r w:rsidRPr="00B64796">
        <w:rPr>
          <w:rStyle w:val="Strong"/>
          <w:rFonts w:eastAsiaTheme="majorEastAsia" w:cs="Arial"/>
          <w:b/>
          <w:bCs/>
          <w:color w:val="000000" w:themeColor="text1"/>
          <w:szCs w:val="22"/>
        </w:rPr>
        <w:lastRenderedPageBreak/>
        <w:t>Chapter 5: Conclusions and Recommendations</w:t>
      </w:r>
      <w:bookmarkEnd w:id="42"/>
      <w:r w:rsidRPr="00B64796">
        <w:rPr>
          <w:rStyle w:val="Strong"/>
          <w:rFonts w:eastAsiaTheme="majorEastAsia" w:cs="Arial"/>
          <w:b/>
          <w:bCs/>
          <w:color w:val="000000" w:themeColor="text1"/>
          <w:szCs w:val="22"/>
        </w:rPr>
        <w:t xml:space="preserve"> </w:t>
      </w:r>
    </w:p>
    <w:p w14:paraId="289D4AAC" w14:textId="77777777" w:rsidR="00452BD0" w:rsidRPr="00B64796" w:rsidRDefault="00452BD0" w:rsidP="00DA5A78">
      <w:pPr>
        <w:pStyle w:val="Heading1"/>
        <w:spacing w:line="360" w:lineRule="auto"/>
        <w:rPr>
          <w:rFonts w:cs="Arial"/>
          <w:b w:val="0"/>
          <w:bCs w:val="0"/>
          <w:color w:val="000000" w:themeColor="text1"/>
          <w:szCs w:val="22"/>
        </w:rPr>
      </w:pPr>
      <w:bookmarkStart w:id="43" w:name="_Toc214602325"/>
      <w:r w:rsidRPr="00B64796">
        <w:rPr>
          <w:rStyle w:val="Strong"/>
          <w:rFonts w:eastAsiaTheme="majorEastAsia" w:cs="Arial"/>
          <w:b/>
          <w:bCs/>
          <w:color w:val="000000" w:themeColor="text1"/>
          <w:szCs w:val="22"/>
        </w:rPr>
        <w:t>5.1 Introduction</w:t>
      </w:r>
      <w:bookmarkEnd w:id="43"/>
    </w:p>
    <w:p w14:paraId="35466015"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final chapter brings together everything explored throughout the dissertation. It reflects on what the research has revealed about the complex link between </w:t>
      </w:r>
      <w:r w:rsidRPr="00DA5A78">
        <w:rPr>
          <w:rFonts w:eastAsiaTheme="majorEastAsia" w:cs="Arial"/>
          <w:color w:val="000000" w:themeColor="text1"/>
          <w:szCs w:val="22"/>
        </w:rPr>
        <w:t>low-income status, substance misuse, and untreated mental health disorders in England and</w:t>
      </w:r>
      <w:r w:rsidRPr="00DA5A78">
        <w:rPr>
          <w:rFonts w:cs="Arial"/>
          <w:color w:val="000000" w:themeColor="text1"/>
          <w:szCs w:val="22"/>
        </w:rPr>
        <w:t> considers what these findings mean for policy, practice, and future research.</w:t>
      </w:r>
    </w:p>
    <w:p w14:paraId="67E0D6ED"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chapter begins by summarising the main conclusions drawn from the five thematic areas identified in Chapter 4. It then discusses their theoretical and practical implications before presenting a set of </w:t>
      </w:r>
      <w:r w:rsidRPr="00DA5A78">
        <w:rPr>
          <w:rFonts w:eastAsiaTheme="majorEastAsia" w:cs="Arial"/>
          <w:color w:val="000000" w:themeColor="text1"/>
          <w:szCs w:val="22"/>
        </w:rPr>
        <w:t>evidence-based recommendations</w:t>
      </w:r>
      <w:r w:rsidRPr="00DA5A78">
        <w:rPr>
          <w:rFonts w:cs="Arial"/>
          <w:color w:val="000000" w:themeColor="text1"/>
          <w:szCs w:val="22"/>
        </w:rPr>
        <w:t>. The chapter closes with reflections on the research process and the study’s limitations.</w:t>
      </w:r>
    </w:p>
    <w:p w14:paraId="37A21F0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Ultimately, this work reinforces a simple truth: </w:t>
      </w:r>
      <w:r w:rsidRPr="00DA5A78">
        <w:rPr>
          <w:rFonts w:eastAsiaTheme="majorEastAsia" w:cs="Arial"/>
          <w:color w:val="000000" w:themeColor="text1"/>
          <w:szCs w:val="22"/>
        </w:rPr>
        <w:t>addiction and poor mental health are not isolated personal struggles; they are deeply social issues, shaped by poverty, inequality, and systems that too often fail the people who need them most.</w:t>
      </w:r>
    </w:p>
    <w:p w14:paraId="618C728E" w14:textId="77777777" w:rsidR="00452BD0" w:rsidRPr="00DA5A78" w:rsidRDefault="00452BD0" w:rsidP="00DA5A78">
      <w:pPr>
        <w:spacing w:line="360" w:lineRule="auto"/>
        <w:rPr>
          <w:rFonts w:cs="Arial"/>
          <w:color w:val="000000" w:themeColor="text1"/>
          <w:szCs w:val="22"/>
        </w:rPr>
      </w:pPr>
    </w:p>
    <w:p w14:paraId="6413A1D4" w14:textId="77777777" w:rsidR="00452BD0" w:rsidRPr="00DA5A78" w:rsidRDefault="00452BD0" w:rsidP="00DA5A78">
      <w:pPr>
        <w:pStyle w:val="Heading1"/>
        <w:spacing w:line="360" w:lineRule="auto"/>
        <w:rPr>
          <w:rFonts w:cs="Arial"/>
          <w:color w:val="000000" w:themeColor="text1"/>
          <w:szCs w:val="22"/>
        </w:rPr>
      </w:pPr>
      <w:bookmarkStart w:id="44" w:name="_Toc214602326"/>
      <w:r w:rsidRPr="00DA5A78">
        <w:rPr>
          <w:rStyle w:val="Strong"/>
          <w:rFonts w:eastAsiaTheme="majorEastAsia" w:cs="Arial"/>
          <w:color w:val="000000" w:themeColor="text1"/>
          <w:szCs w:val="22"/>
        </w:rPr>
        <w:t>5.2 Summary of Key Findings</w:t>
      </w:r>
      <w:bookmarkEnd w:id="44"/>
    </w:p>
    <w:p w14:paraId="60341F99"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thematic analysis from Chapter 4 produced a clear picture of how inequality shapes substance misuse and mental health outcomes in England.</w:t>
      </w:r>
    </w:p>
    <w:p w14:paraId="4AAD2BC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5.2.1 Low-Income Status and Substance Misuse</w:t>
      </w:r>
    </w:p>
    <w:p w14:paraId="7074C95B"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People on lower incomes face </w:t>
      </w:r>
      <w:r w:rsidRPr="00DA5A78">
        <w:rPr>
          <w:rFonts w:eastAsiaTheme="majorEastAsia" w:cs="Arial"/>
          <w:color w:val="000000" w:themeColor="text1"/>
          <w:szCs w:val="22"/>
        </w:rPr>
        <w:t>much higher risks of substance misuse and drug-related death</w:t>
      </w:r>
      <w:r w:rsidRPr="00DA5A78">
        <w:rPr>
          <w:rFonts w:cs="Arial"/>
          <w:color w:val="000000" w:themeColor="text1"/>
          <w:szCs w:val="22"/>
        </w:rPr>
        <w:t> (ONS, 2023). Poverty drives stress, hopelessness, and social exclusion, all of which make substance use more likely. At the same time, addiction deepens economic instability, trapping people in a self-reinforcing cycle (Marmot, 2020; Black, 2021). Stable housing, employment, and community support emerge as protective factors, but these are precisely what deprived communities often lack.</w:t>
      </w:r>
    </w:p>
    <w:p w14:paraId="4B5D890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5.2.2 Mental Health Disorders That Aren't Treated and Dual Diagnosis</w:t>
      </w:r>
    </w:p>
    <w:p w14:paraId="5E5E3A17"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A significant discovery reveals that mental health and substance misuse frequently coexist</w:t>
      </w:r>
      <w:r w:rsidRPr="00DA5A78">
        <w:rPr>
          <w:rFonts w:eastAsiaTheme="majorEastAsia" w:cs="Arial"/>
          <w:b/>
          <w:bCs/>
          <w:color w:val="000000" w:themeColor="text1"/>
          <w:szCs w:val="22"/>
        </w:rPr>
        <w:t>.</w:t>
      </w:r>
      <w:r w:rsidRPr="00DA5A78">
        <w:rPr>
          <w:rFonts w:cs="Arial"/>
          <w:color w:val="000000" w:themeColor="text1"/>
          <w:szCs w:val="22"/>
        </w:rPr>
        <w:t xml:space="preserve"> Anxiety, depression, and trauma are widespread among people who use substances, and many turn to drugs or alcohol as coping mechanisms when professional </w:t>
      </w:r>
      <w:r w:rsidRPr="00DA5A78">
        <w:rPr>
          <w:rFonts w:cs="Arial"/>
          <w:color w:val="000000" w:themeColor="text1"/>
          <w:szCs w:val="22"/>
        </w:rPr>
        <w:lastRenderedPageBreak/>
        <w:t>help is unavailable (Mind, 2022; Molina &amp; Whittaker, 2022). Despite strong policy guidance (NICE, 2022), mental health and addiction services often operate in silos, leaving those with dual diagnoses unsupported.</w:t>
      </w:r>
    </w:p>
    <w:p w14:paraId="5FE763D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5.2.3 Barriers to Access and Service Inequality</w:t>
      </w:r>
    </w:p>
    <w:p w14:paraId="4AED0C23"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Many people can't gain access to services even when they are available. Poverty, stigma, transport expenses, and waiting times create invisible barriers that stop those most in need from getting help. This situation reflects the </w:t>
      </w:r>
      <w:r w:rsidRPr="00DA5A78">
        <w:rPr>
          <w:rFonts w:eastAsiaTheme="majorEastAsia" w:cs="Arial"/>
          <w:color w:val="000000" w:themeColor="text1"/>
          <w:szCs w:val="22"/>
        </w:rPr>
        <w:t>Inverse Care Law</w:t>
      </w:r>
      <w:r w:rsidRPr="00DA5A78">
        <w:rPr>
          <w:rFonts w:cs="Arial"/>
          <w:color w:val="000000" w:themeColor="text1"/>
          <w:szCs w:val="22"/>
        </w:rPr>
        <w:t> (Hart, 1971): people in the greatest need of healthcare often have the least access. Funding cuts and postcode inequalities mean that treatment quality still depends too heavily on where a person lives (PHE, 2021; NHS Digital, 2023).</w:t>
      </w:r>
    </w:p>
    <w:p w14:paraId="02F771EF"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5.2.4 Policy, Legislation, and Public Health Frameworks</w:t>
      </w:r>
    </w:p>
    <w:p w14:paraId="69DAA1C8"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Policy awareness of these problems has grown. The </w:t>
      </w:r>
      <w:r w:rsidRPr="00DA5A78">
        <w:rPr>
          <w:rFonts w:eastAsiaTheme="majorEastAsia" w:cs="Arial"/>
          <w:color w:val="000000" w:themeColor="text1"/>
          <w:szCs w:val="22"/>
        </w:rPr>
        <w:t>Dame Carol Black Review (2021)</w:t>
      </w:r>
      <w:r w:rsidRPr="00DA5A78">
        <w:rPr>
          <w:rFonts w:cs="Arial"/>
          <w:color w:val="000000" w:themeColor="text1"/>
          <w:szCs w:val="22"/>
        </w:rPr>
        <w:t> and the </w:t>
      </w:r>
      <w:r w:rsidRPr="00DA5A78">
        <w:rPr>
          <w:rFonts w:eastAsiaTheme="majorEastAsia" w:cs="Arial"/>
          <w:color w:val="000000" w:themeColor="text1"/>
          <w:szCs w:val="22"/>
        </w:rPr>
        <w:t>UK Drug Strategy (2021)</w:t>
      </w:r>
      <w:r w:rsidRPr="00DA5A78">
        <w:rPr>
          <w:rFonts w:cs="Arial"/>
          <w:color w:val="000000" w:themeColor="text1"/>
          <w:szCs w:val="22"/>
        </w:rPr>
        <w:t> represent real steps forward, yet implementation and funding remain inconsistent. Policies often focus on enforcement rather than prevention. Without addressing the deeper social inequalities that drive addiction, the same cycles will continue (Marmot, 2020; WHO, 2022).</w:t>
      </w:r>
    </w:p>
    <w:p w14:paraId="037D6C33"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5.2.5 The Impact of COVID-19 on Health Inequalities</w:t>
      </w:r>
    </w:p>
    <w:p w14:paraId="7DAC9247"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COVID-19 magnified these issues. Lockdowns increased loneliness, unemployment, and housing insecurity, while access to support services declined. People already struggling with mental health or addiction suffered most (Pierce et al., 2020; </w:t>
      </w:r>
      <w:proofErr w:type="spellStart"/>
      <w:r w:rsidRPr="00DA5A78">
        <w:rPr>
          <w:rFonts w:cs="Arial"/>
          <w:color w:val="000000" w:themeColor="text1"/>
          <w:szCs w:val="22"/>
        </w:rPr>
        <w:t>Kwong</w:t>
      </w:r>
      <w:proofErr w:type="spellEnd"/>
      <w:r w:rsidRPr="00DA5A78">
        <w:rPr>
          <w:rFonts w:cs="Arial"/>
          <w:color w:val="000000" w:themeColor="text1"/>
          <w:szCs w:val="22"/>
        </w:rPr>
        <w:t xml:space="preserve"> et al., 2020). The pandemic didn’t create inequality; it exposed it.</w:t>
      </w:r>
    </w:p>
    <w:p w14:paraId="60749F0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In summary:</w:t>
      </w:r>
      <w:r w:rsidRPr="00DA5A78">
        <w:rPr>
          <w:rFonts w:cs="Arial"/>
          <w:color w:val="000000" w:themeColor="text1"/>
          <w:szCs w:val="22"/>
        </w:rPr>
        <w:br/>
        <w:t>Substance misuse and untreated mental illness in England are symptoms of deeper social and economic problems. Without addressing these root causes, progress will remain limited.</w:t>
      </w:r>
    </w:p>
    <w:p w14:paraId="7504FB3F" w14:textId="338D1DC7" w:rsidR="00452BD0" w:rsidRDefault="00452BD0" w:rsidP="00DA5A78">
      <w:pPr>
        <w:spacing w:line="360" w:lineRule="auto"/>
        <w:rPr>
          <w:rFonts w:cs="Arial"/>
          <w:color w:val="000000" w:themeColor="text1"/>
          <w:szCs w:val="22"/>
        </w:rPr>
      </w:pPr>
    </w:p>
    <w:p w14:paraId="47BC2925" w14:textId="18833FB8" w:rsidR="00B64796" w:rsidRDefault="00B64796" w:rsidP="00DA5A78">
      <w:pPr>
        <w:spacing w:line="360" w:lineRule="auto"/>
        <w:rPr>
          <w:rFonts w:cs="Arial"/>
          <w:color w:val="000000" w:themeColor="text1"/>
          <w:szCs w:val="22"/>
        </w:rPr>
      </w:pPr>
    </w:p>
    <w:p w14:paraId="7E30300F" w14:textId="7CD04C73" w:rsidR="00B64796" w:rsidRDefault="00B64796" w:rsidP="00DA5A78">
      <w:pPr>
        <w:spacing w:line="360" w:lineRule="auto"/>
        <w:rPr>
          <w:rFonts w:cs="Arial"/>
          <w:color w:val="000000" w:themeColor="text1"/>
          <w:szCs w:val="22"/>
        </w:rPr>
      </w:pPr>
    </w:p>
    <w:p w14:paraId="5E11BFDA" w14:textId="2D6D141B" w:rsidR="00B64796" w:rsidRDefault="00B64796" w:rsidP="00DA5A78">
      <w:pPr>
        <w:spacing w:line="360" w:lineRule="auto"/>
        <w:rPr>
          <w:rFonts w:cs="Arial"/>
          <w:color w:val="000000" w:themeColor="text1"/>
          <w:szCs w:val="22"/>
        </w:rPr>
      </w:pPr>
    </w:p>
    <w:p w14:paraId="4CA90B00" w14:textId="54EA98E9" w:rsidR="00B64796" w:rsidRDefault="00B64796" w:rsidP="00DA5A78">
      <w:pPr>
        <w:spacing w:line="360" w:lineRule="auto"/>
        <w:rPr>
          <w:rFonts w:cs="Arial"/>
          <w:color w:val="000000" w:themeColor="text1"/>
          <w:szCs w:val="22"/>
        </w:rPr>
      </w:pPr>
    </w:p>
    <w:p w14:paraId="46F9034D" w14:textId="77777777" w:rsidR="00B64796" w:rsidRPr="00DA5A78" w:rsidRDefault="00B64796" w:rsidP="00DA5A78">
      <w:pPr>
        <w:spacing w:line="360" w:lineRule="auto"/>
        <w:rPr>
          <w:rFonts w:cs="Arial"/>
          <w:color w:val="000000" w:themeColor="text1"/>
          <w:szCs w:val="22"/>
        </w:rPr>
      </w:pPr>
    </w:p>
    <w:p w14:paraId="5B2792D3" w14:textId="77777777" w:rsidR="00452BD0" w:rsidRPr="00DA5A78" w:rsidRDefault="00452BD0" w:rsidP="00DA5A78">
      <w:pPr>
        <w:pStyle w:val="Heading1"/>
        <w:spacing w:line="360" w:lineRule="auto"/>
        <w:rPr>
          <w:rFonts w:cs="Arial"/>
          <w:color w:val="000000" w:themeColor="text1"/>
          <w:szCs w:val="22"/>
        </w:rPr>
      </w:pPr>
      <w:bookmarkStart w:id="45" w:name="_Toc214602327"/>
      <w:r w:rsidRPr="00DA5A78">
        <w:rPr>
          <w:rStyle w:val="Strong"/>
          <w:rFonts w:eastAsiaTheme="majorEastAsia" w:cs="Arial"/>
          <w:b/>
          <w:bCs/>
          <w:color w:val="000000" w:themeColor="text1"/>
          <w:szCs w:val="22"/>
        </w:rPr>
        <w:lastRenderedPageBreak/>
        <w:t>5.3 Theoretical and Practical Implications</w:t>
      </w:r>
      <w:bookmarkEnd w:id="45"/>
    </w:p>
    <w:p w14:paraId="18389B1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5.3.1 Theoretical Implications</w:t>
      </w:r>
    </w:p>
    <w:p w14:paraId="4EA1C307"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research reinforces several established theories. </w:t>
      </w:r>
      <w:r w:rsidRPr="00DA5A78">
        <w:rPr>
          <w:rFonts w:eastAsiaTheme="majorEastAsia" w:cs="Arial"/>
          <w:color w:val="000000" w:themeColor="text1"/>
          <w:szCs w:val="22"/>
        </w:rPr>
        <w:t>Marmot’s (2020)</w:t>
      </w:r>
      <w:r w:rsidRPr="00DA5A78">
        <w:rPr>
          <w:rFonts w:cs="Arial"/>
          <w:color w:val="000000" w:themeColor="text1"/>
          <w:szCs w:val="22"/>
        </w:rPr>
        <w:t> concept of the social gradient in health repeatedly shows that people with fewer resources experience worse outcomes in every measure of wellbeing. The </w:t>
      </w:r>
      <w:r w:rsidRPr="00DA5A78">
        <w:rPr>
          <w:rFonts w:eastAsiaTheme="majorEastAsia" w:cs="Arial"/>
          <w:color w:val="000000" w:themeColor="text1"/>
          <w:szCs w:val="22"/>
        </w:rPr>
        <w:t>biopsychosocial model (Engel, 1977)</w:t>
      </w:r>
      <w:r w:rsidRPr="00DA5A78">
        <w:rPr>
          <w:rFonts w:cs="Arial"/>
          <w:color w:val="000000" w:themeColor="text1"/>
          <w:szCs w:val="22"/>
        </w:rPr>
        <w:t> also proved relevant, illustrating how biological vulnerabilities, psychological stress, and social disadvantage combine to shape health. Finally, </w:t>
      </w:r>
      <w:r w:rsidRPr="00DA5A78">
        <w:rPr>
          <w:rFonts w:eastAsiaTheme="majorEastAsia" w:cs="Arial"/>
          <w:color w:val="000000" w:themeColor="text1"/>
          <w:szCs w:val="22"/>
        </w:rPr>
        <w:t>NICE’s (2022)</w:t>
      </w:r>
      <w:r w:rsidRPr="00DA5A78">
        <w:rPr>
          <w:rFonts w:cs="Arial"/>
          <w:color w:val="000000" w:themeColor="text1"/>
          <w:szCs w:val="22"/>
        </w:rPr>
        <w:t> dual diagnosis framework confirms that fragmented care is ineffective; coordinated, holistic support is essential.</w:t>
      </w:r>
    </w:p>
    <w:p w14:paraId="2EC3B3F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Together, these frameworks underline an important idea: </w:t>
      </w:r>
      <w:r w:rsidRPr="00DA5A78">
        <w:rPr>
          <w:rFonts w:eastAsiaTheme="majorEastAsia" w:cs="Arial"/>
          <w:color w:val="000000" w:themeColor="text1"/>
          <w:szCs w:val="22"/>
        </w:rPr>
        <w:t>addiction and mental illness are not moral failings; they are predictable responses to unequal social conditions.</w:t>
      </w:r>
    </w:p>
    <w:p w14:paraId="24DAFA9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5.3.2 Practical Implications</w:t>
      </w:r>
    </w:p>
    <w:p w14:paraId="7FCB7A98"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findings have strong practical relevance for public health. England’s system must move from </w:t>
      </w:r>
      <w:r w:rsidRPr="00DA5A78">
        <w:rPr>
          <w:rFonts w:eastAsiaTheme="majorEastAsia" w:cs="Arial"/>
          <w:color w:val="000000" w:themeColor="text1"/>
          <w:szCs w:val="22"/>
        </w:rPr>
        <w:t>reactive to preventive</w:t>
      </w:r>
      <w:r w:rsidRPr="00DA5A78">
        <w:rPr>
          <w:rFonts w:cs="Arial"/>
          <w:color w:val="000000" w:themeColor="text1"/>
          <w:szCs w:val="22"/>
        </w:rPr>
        <w:t>, focusing less on punishment and more on social protection. Economic inequality should be treated as a public health priority. Mental health and addiction teams need to work together more often, and they need to do so with the help of shared budgets and data-sharing systems.</w:t>
      </w:r>
    </w:p>
    <w:p w14:paraId="3C2B04F7"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In practice, this means redesigning services around people, not processes, and building empathy, cultural understanding, and trauma awareness into every stage of care (Molina &amp; Whittaker, 2022). These are not just policy aspirations; they are moral imperatives for a fairer and healthier society.</w:t>
      </w:r>
    </w:p>
    <w:p w14:paraId="596A595C" w14:textId="549F8C79" w:rsidR="00452BD0" w:rsidRDefault="00452BD0" w:rsidP="00DA5A78">
      <w:pPr>
        <w:spacing w:line="360" w:lineRule="auto"/>
        <w:rPr>
          <w:rFonts w:cs="Arial"/>
          <w:color w:val="000000" w:themeColor="text1"/>
          <w:szCs w:val="22"/>
        </w:rPr>
      </w:pPr>
    </w:p>
    <w:p w14:paraId="07DCE284" w14:textId="77777777" w:rsidR="00B64796" w:rsidRPr="00DA5A78" w:rsidRDefault="00B64796" w:rsidP="00DA5A78">
      <w:pPr>
        <w:spacing w:line="360" w:lineRule="auto"/>
        <w:rPr>
          <w:rFonts w:cs="Arial"/>
          <w:color w:val="000000" w:themeColor="text1"/>
          <w:szCs w:val="22"/>
        </w:rPr>
      </w:pPr>
    </w:p>
    <w:p w14:paraId="5FF31242" w14:textId="77777777" w:rsidR="00452BD0" w:rsidRPr="00DA5A78" w:rsidRDefault="00452BD0" w:rsidP="00DA5A78">
      <w:pPr>
        <w:pStyle w:val="Heading1"/>
        <w:spacing w:line="360" w:lineRule="auto"/>
        <w:rPr>
          <w:rFonts w:cs="Arial"/>
          <w:color w:val="000000" w:themeColor="text1"/>
          <w:szCs w:val="22"/>
        </w:rPr>
      </w:pPr>
      <w:bookmarkStart w:id="46" w:name="_Toc214602328"/>
      <w:r w:rsidRPr="00DA5A78">
        <w:rPr>
          <w:rStyle w:val="Strong"/>
          <w:rFonts w:eastAsiaTheme="majorEastAsia" w:cs="Arial"/>
          <w:b/>
          <w:bCs/>
          <w:color w:val="000000" w:themeColor="text1"/>
          <w:szCs w:val="22"/>
        </w:rPr>
        <w:t>5.4 Recommendations</w:t>
      </w:r>
      <w:bookmarkEnd w:id="46"/>
    </w:p>
    <w:p w14:paraId="0B106724" w14:textId="4AD99F94" w:rsidR="00452BD0" w:rsidRDefault="00452BD0" w:rsidP="00DA5A78">
      <w:pPr>
        <w:spacing w:before="100" w:beforeAutospacing="1" w:after="100" w:afterAutospacing="1" w:line="360" w:lineRule="auto"/>
        <w:rPr>
          <w:rFonts w:eastAsiaTheme="majorEastAsia" w:cs="Arial"/>
          <w:color w:val="000000" w:themeColor="text1"/>
          <w:szCs w:val="22"/>
        </w:rPr>
      </w:pPr>
      <w:r w:rsidRPr="00DA5A78">
        <w:rPr>
          <w:rFonts w:cs="Arial"/>
          <w:color w:val="000000" w:themeColor="text1"/>
          <w:szCs w:val="22"/>
        </w:rPr>
        <w:t>Drawing from these findings, the following recommendations are divided into three levels: </w:t>
      </w:r>
      <w:r w:rsidRPr="00DA5A78">
        <w:rPr>
          <w:rFonts w:eastAsiaTheme="majorEastAsia" w:cs="Arial"/>
          <w:color w:val="000000" w:themeColor="text1"/>
          <w:szCs w:val="22"/>
        </w:rPr>
        <w:t>policy, service</w:t>
      </w:r>
      <w:r w:rsidRPr="00DA5A78">
        <w:rPr>
          <w:rFonts w:cs="Arial"/>
          <w:color w:val="000000" w:themeColor="text1"/>
          <w:szCs w:val="22"/>
        </w:rPr>
        <w:t>, and </w:t>
      </w:r>
      <w:r w:rsidRPr="00DA5A78">
        <w:rPr>
          <w:rFonts w:eastAsiaTheme="majorEastAsia" w:cs="Arial"/>
          <w:color w:val="000000" w:themeColor="text1"/>
          <w:szCs w:val="22"/>
        </w:rPr>
        <w:t>research.</w:t>
      </w:r>
    </w:p>
    <w:p w14:paraId="19CBDE04" w14:textId="25676D25" w:rsidR="00B64796" w:rsidRDefault="00B64796" w:rsidP="00DA5A78">
      <w:pPr>
        <w:spacing w:before="100" w:beforeAutospacing="1" w:after="100" w:afterAutospacing="1" w:line="360" w:lineRule="auto"/>
        <w:rPr>
          <w:rFonts w:eastAsiaTheme="majorEastAsia" w:cs="Arial"/>
          <w:color w:val="000000" w:themeColor="text1"/>
          <w:szCs w:val="22"/>
        </w:rPr>
      </w:pPr>
    </w:p>
    <w:p w14:paraId="0BD2F8D0" w14:textId="37A00B45" w:rsidR="00B64796" w:rsidRDefault="00B64796" w:rsidP="00DA5A78">
      <w:pPr>
        <w:spacing w:before="100" w:beforeAutospacing="1" w:after="100" w:afterAutospacing="1" w:line="360" w:lineRule="auto"/>
        <w:rPr>
          <w:rFonts w:eastAsiaTheme="majorEastAsia" w:cs="Arial"/>
          <w:color w:val="000000" w:themeColor="text1"/>
          <w:szCs w:val="22"/>
        </w:rPr>
      </w:pPr>
    </w:p>
    <w:p w14:paraId="11DD2964" w14:textId="77777777" w:rsidR="00B64796" w:rsidRPr="00DA5A78" w:rsidRDefault="00B64796" w:rsidP="00DA5A78">
      <w:pPr>
        <w:spacing w:before="100" w:beforeAutospacing="1" w:after="100" w:afterAutospacing="1" w:line="360" w:lineRule="auto"/>
        <w:rPr>
          <w:rFonts w:cs="Arial"/>
          <w:color w:val="000000" w:themeColor="text1"/>
          <w:szCs w:val="22"/>
        </w:rPr>
      </w:pPr>
    </w:p>
    <w:p w14:paraId="0F51788B"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lastRenderedPageBreak/>
        <w:t>5.4.1 Policy-Level Recommendations</w:t>
      </w:r>
    </w:p>
    <w:p w14:paraId="438A2345" w14:textId="73060678"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1.</w:t>
      </w:r>
      <w:r w:rsidR="00DA5A78">
        <w:rPr>
          <w:rFonts w:cs="Arial"/>
          <w:color w:val="000000" w:themeColor="text1"/>
          <w:szCs w:val="22"/>
        </w:rPr>
        <w:t xml:space="preserve"> </w:t>
      </w:r>
      <w:r w:rsidRPr="00DA5A78">
        <w:rPr>
          <w:rFonts w:eastAsiaTheme="majorEastAsia" w:cs="Arial"/>
          <w:color w:val="000000" w:themeColor="text1"/>
          <w:szCs w:val="22"/>
        </w:rPr>
        <w:t>Tackle Poverty as a Public Health Issue</w:t>
      </w:r>
      <w:r w:rsidRPr="00DA5A78">
        <w:rPr>
          <w:rFonts w:cs="Arial"/>
          <w:color w:val="000000" w:themeColor="text1"/>
          <w:szCs w:val="22"/>
        </w:rPr>
        <w:br/>
        <w:t>Poverty is the strongest predictor of substance misuse. Government policy must address wages, housing, and social security as health interventions (Marmot, 2020). Expanding access to affordable housing, childcare, and employment support would reduce stressors that contribute to addiction.</w:t>
      </w:r>
    </w:p>
    <w:p w14:paraId="2577DF7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2. </w:t>
      </w:r>
      <w:r w:rsidRPr="00DA5A78">
        <w:rPr>
          <w:rFonts w:eastAsiaTheme="majorEastAsia" w:cs="Arial"/>
          <w:color w:val="000000" w:themeColor="text1"/>
          <w:szCs w:val="22"/>
        </w:rPr>
        <w:t>Create an Integrated National Strategy for Dual Diagnosis</w:t>
      </w:r>
      <w:r w:rsidRPr="00DA5A78">
        <w:rPr>
          <w:rFonts w:cs="Arial"/>
          <w:color w:val="000000" w:themeColor="text1"/>
          <w:szCs w:val="22"/>
        </w:rPr>
        <w:br/>
        <w:t>National leadership should ensure that mental health and substance misuse services operate under a unified strategy (NICE, 2022). Shared care plans and joint funding models between NHS trusts and local authorities could prevent people from falling through service gaps.</w:t>
      </w:r>
    </w:p>
    <w:p w14:paraId="02C3AF9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3. </w:t>
      </w:r>
      <w:r w:rsidRPr="00DA5A78">
        <w:rPr>
          <w:rFonts w:eastAsiaTheme="majorEastAsia" w:cs="Arial"/>
          <w:color w:val="000000" w:themeColor="text1"/>
          <w:szCs w:val="22"/>
        </w:rPr>
        <w:t>Reform Drug Policy Toward Prevention and Harm Reduction</w:t>
      </w:r>
      <w:r w:rsidRPr="00DA5A78">
        <w:rPr>
          <w:rFonts w:cs="Arial"/>
          <w:color w:val="000000" w:themeColor="text1"/>
          <w:szCs w:val="22"/>
        </w:rPr>
        <w:br/>
        <w:t>Rebalance the UK Drug Strategy (2021) to prioritise prevention, harm reduction, and recovery over criminalisation. Research has demonstrated that community-based rehabilitation and social reintegration programmes effectively mitigate long-term harm (Black, 2021).</w:t>
      </w:r>
    </w:p>
    <w:p w14:paraId="327E07F9" w14:textId="6C899434" w:rsidR="00DA5A78" w:rsidRPr="00DA5A78" w:rsidRDefault="00452BD0" w:rsidP="00B64796">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4. </w:t>
      </w:r>
      <w:r w:rsidRPr="00DA5A78">
        <w:rPr>
          <w:rFonts w:eastAsiaTheme="majorEastAsia" w:cs="Arial"/>
          <w:color w:val="000000" w:themeColor="text1"/>
          <w:szCs w:val="22"/>
        </w:rPr>
        <w:t>Invest in Post-Pandemic Recovery and Resilience</w:t>
      </w:r>
      <w:r w:rsidRPr="00DA5A78">
        <w:rPr>
          <w:rFonts w:cs="Arial"/>
          <w:color w:val="000000" w:themeColor="text1"/>
          <w:szCs w:val="22"/>
        </w:rPr>
        <w:br/>
        <w:t>The mental health crisis triggered by COVID-19 needs sustained investment. Policies should prioritise the most affected groups: low-income families, young adults, and minority communities (Pierce et al., 2020).</w:t>
      </w:r>
    </w:p>
    <w:p w14:paraId="39880169"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5.4.2 Service-Level Recommendations</w:t>
      </w:r>
    </w:p>
    <w:p w14:paraId="31AAF6A8"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1. </w:t>
      </w:r>
      <w:r w:rsidRPr="00DA5A78">
        <w:rPr>
          <w:rFonts w:eastAsiaTheme="majorEastAsia" w:cs="Arial"/>
          <w:color w:val="000000" w:themeColor="text1"/>
          <w:szCs w:val="22"/>
        </w:rPr>
        <w:t>Expand Access to Community-Based Services</w:t>
      </w:r>
      <w:r w:rsidRPr="00DA5A78">
        <w:rPr>
          <w:rFonts w:cs="Arial"/>
          <w:b/>
          <w:bCs/>
          <w:color w:val="000000" w:themeColor="text1"/>
          <w:szCs w:val="22"/>
        </w:rPr>
        <w:br/>
      </w:r>
      <w:r w:rsidRPr="00DA5A78">
        <w:rPr>
          <w:rFonts w:cs="Arial"/>
          <w:color w:val="000000" w:themeColor="text1"/>
          <w:szCs w:val="22"/>
        </w:rPr>
        <w:t>Local treatment centres and outreach programmes should be strengthened, especially in deprived areas. Services must be low-threshold, flexible, and co-designed with community input.</w:t>
      </w:r>
    </w:p>
    <w:p w14:paraId="06C558E3"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2. </w:t>
      </w:r>
      <w:r w:rsidRPr="00DA5A78">
        <w:rPr>
          <w:rFonts w:eastAsiaTheme="majorEastAsia" w:cs="Arial"/>
          <w:color w:val="000000" w:themeColor="text1"/>
          <w:szCs w:val="22"/>
        </w:rPr>
        <w:t>Embed Trauma-Informed and Culturally Sensitive Care</w:t>
      </w:r>
      <w:r w:rsidRPr="00DA5A78">
        <w:rPr>
          <w:rFonts w:cs="Arial"/>
          <w:color w:val="000000" w:themeColor="text1"/>
          <w:szCs w:val="22"/>
        </w:rPr>
        <w:br/>
        <w:t>All staff should be trained to understand trauma and its impact on addiction (Molina &amp; Whittaker, 2022). Services must also reflect cultural diversity and be inclusive of minority and migrant groups.</w:t>
      </w:r>
    </w:p>
    <w:p w14:paraId="5BEFA56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xml:space="preserve">3. </w:t>
      </w:r>
      <w:r w:rsidRPr="00DA5A78">
        <w:rPr>
          <w:rFonts w:eastAsiaTheme="majorEastAsia" w:cs="Arial"/>
          <w:color w:val="000000" w:themeColor="text1"/>
          <w:szCs w:val="22"/>
        </w:rPr>
        <w:t>Reduce Stigma Through Education and Advocacy</w:t>
      </w:r>
      <w:r w:rsidRPr="00DA5A78">
        <w:rPr>
          <w:rFonts w:cs="Arial"/>
          <w:b/>
          <w:bCs/>
          <w:color w:val="000000" w:themeColor="text1"/>
          <w:szCs w:val="22"/>
        </w:rPr>
        <w:br/>
      </w:r>
      <w:r w:rsidRPr="00DA5A78">
        <w:rPr>
          <w:rFonts w:cs="Arial"/>
          <w:color w:val="000000" w:themeColor="text1"/>
          <w:szCs w:val="22"/>
        </w:rPr>
        <w:t xml:space="preserve">National campaigns can shift public perception, showing that addiction is a health condition, </w:t>
      </w:r>
      <w:r w:rsidRPr="00DA5A78">
        <w:rPr>
          <w:rFonts w:cs="Arial"/>
          <w:color w:val="000000" w:themeColor="text1"/>
          <w:szCs w:val="22"/>
        </w:rPr>
        <w:lastRenderedPageBreak/>
        <w:t>not a failure of willpower. Peer mentors and lived-experience advocates can play vital roles in service design and delivery (Mind, 2022).</w:t>
      </w:r>
    </w:p>
    <w:p w14:paraId="13A83476"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4. Support and maintain the workforce.</w:t>
      </w:r>
      <w:r w:rsidRPr="00DA5A78">
        <w:rPr>
          <w:rFonts w:cs="Arial"/>
          <w:color w:val="000000" w:themeColor="text1"/>
          <w:szCs w:val="22"/>
        </w:rPr>
        <w:br/>
        <w:t>Frontline workers need proper training, fair pay, and manageable caseloads. Integrated multidisciplinary teams should combine mental health, addiction, and social care expertise to offer holistic support.</w:t>
      </w:r>
    </w:p>
    <w:p w14:paraId="36F14B84" w14:textId="77777777" w:rsidR="00452BD0" w:rsidRPr="00DA5A78" w:rsidRDefault="00452BD0" w:rsidP="00DA5A78">
      <w:pPr>
        <w:spacing w:line="360" w:lineRule="auto"/>
        <w:rPr>
          <w:rFonts w:cs="Arial"/>
          <w:color w:val="000000" w:themeColor="text1"/>
          <w:szCs w:val="22"/>
        </w:rPr>
      </w:pPr>
    </w:p>
    <w:p w14:paraId="61EAC6B7" w14:textId="2AE504ED" w:rsidR="00452BD0" w:rsidRPr="00DA5A78" w:rsidRDefault="00452BD0" w:rsidP="00DA5A78">
      <w:pPr>
        <w:pStyle w:val="Heading4"/>
        <w:numPr>
          <w:ilvl w:val="2"/>
          <w:numId w:val="48"/>
        </w:numPr>
        <w:spacing w:line="360" w:lineRule="auto"/>
        <w:rPr>
          <w:rFonts w:ascii="Arial" w:hAnsi="Arial" w:cs="Arial"/>
          <w:i w:val="0"/>
          <w:iCs w:val="0"/>
          <w:color w:val="000000" w:themeColor="text1"/>
          <w:szCs w:val="22"/>
        </w:rPr>
      </w:pPr>
      <w:r w:rsidRPr="00DA5A78">
        <w:rPr>
          <w:rStyle w:val="Strong"/>
          <w:rFonts w:ascii="Arial" w:hAnsi="Arial" w:cs="Arial"/>
          <w:b w:val="0"/>
          <w:bCs w:val="0"/>
          <w:i w:val="0"/>
          <w:iCs w:val="0"/>
          <w:color w:val="000000" w:themeColor="text1"/>
          <w:szCs w:val="22"/>
        </w:rPr>
        <w:t>Research-Level Recommendations</w:t>
      </w:r>
    </w:p>
    <w:p w14:paraId="06D64A6D" w14:textId="2C24876E" w:rsidR="00452BD0" w:rsidRPr="00DA5A78" w:rsidRDefault="00452BD0" w:rsidP="00DA5A78">
      <w:pPr>
        <w:pStyle w:val="NormalWeb"/>
        <w:numPr>
          <w:ilvl w:val="0"/>
          <w:numId w:val="47"/>
        </w:numPr>
        <w:spacing w:line="360" w:lineRule="auto"/>
        <w:rPr>
          <w:rFonts w:ascii="Arial" w:hAnsi="Arial" w:cs="Arial"/>
          <w:color w:val="000000" w:themeColor="text1"/>
          <w:szCs w:val="22"/>
        </w:rPr>
      </w:pPr>
      <w:r w:rsidRPr="00DA5A78">
        <w:rPr>
          <w:rStyle w:val="Strong"/>
          <w:rFonts w:ascii="Arial" w:eastAsiaTheme="majorEastAsia" w:hAnsi="Arial" w:cs="Arial"/>
          <w:b w:val="0"/>
          <w:bCs w:val="0"/>
          <w:color w:val="000000" w:themeColor="text1"/>
          <w:szCs w:val="22"/>
        </w:rPr>
        <w:t>Long-Term Studies on Inequality and Addiction</w:t>
      </w:r>
      <w:r w:rsidRPr="00DA5A78">
        <w:rPr>
          <w:rFonts w:ascii="Arial" w:hAnsi="Arial" w:cs="Arial"/>
          <w:color w:val="000000" w:themeColor="text1"/>
          <w:szCs w:val="22"/>
        </w:rPr>
        <w:br/>
        <w:t>Future research should explore how economic policies affect health outcomes over time, using longitudinal data to reveal causal patterns (Aveyard, 2019).</w:t>
      </w:r>
    </w:p>
    <w:p w14:paraId="65F1F94F" w14:textId="354174E6" w:rsidR="00452BD0" w:rsidRPr="00DA5A78" w:rsidRDefault="00452BD0" w:rsidP="00DA5A78">
      <w:pPr>
        <w:pStyle w:val="NormalWeb"/>
        <w:numPr>
          <w:ilvl w:val="0"/>
          <w:numId w:val="47"/>
        </w:numPr>
        <w:spacing w:line="360" w:lineRule="auto"/>
        <w:rPr>
          <w:rFonts w:ascii="Arial" w:hAnsi="Arial" w:cs="Arial"/>
          <w:color w:val="000000" w:themeColor="text1"/>
          <w:szCs w:val="22"/>
        </w:rPr>
      </w:pPr>
      <w:r w:rsidRPr="00DA5A78">
        <w:rPr>
          <w:rStyle w:val="Strong"/>
          <w:rFonts w:ascii="Arial" w:eastAsiaTheme="majorEastAsia" w:hAnsi="Arial" w:cs="Arial"/>
          <w:b w:val="0"/>
          <w:bCs w:val="0"/>
          <w:color w:val="000000" w:themeColor="text1"/>
          <w:szCs w:val="22"/>
        </w:rPr>
        <w:t>Evaluate Integrated Care Models</w:t>
      </w:r>
      <w:r w:rsidRPr="00DA5A78">
        <w:rPr>
          <w:rFonts w:ascii="Arial" w:hAnsi="Arial" w:cs="Arial"/>
          <w:b/>
          <w:bCs/>
          <w:color w:val="000000" w:themeColor="text1"/>
          <w:szCs w:val="22"/>
        </w:rPr>
        <w:br/>
      </w:r>
      <w:r w:rsidRPr="00DA5A78">
        <w:rPr>
          <w:rFonts w:ascii="Arial" w:hAnsi="Arial" w:cs="Arial"/>
          <w:color w:val="000000" w:themeColor="text1"/>
          <w:szCs w:val="22"/>
        </w:rPr>
        <w:t>Comparative studies should measure how joint service delivery improves outcomes for people with dual diagnoses (NICE, 2022).</w:t>
      </w:r>
    </w:p>
    <w:p w14:paraId="0EF63101" w14:textId="77777777" w:rsidR="00452BD0" w:rsidRPr="00DA5A78" w:rsidRDefault="00452BD0" w:rsidP="00DA5A78">
      <w:pPr>
        <w:pStyle w:val="NormalWeb"/>
        <w:numPr>
          <w:ilvl w:val="0"/>
          <w:numId w:val="47"/>
        </w:numPr>
        <w:spacing w:line="360" w:lineRule="auto"/>
        <w:rPr>
          <w:rFonts w:ascii="Arial" w:hAnsi="Arial" w:cs="Arial"/>
          <w:color w:val="000000" w:themeColor="text1"/>
          <w:szCs w:val="22"/>
        </w:rPr>
      </w:pPr>
      <w:r w:rsidRPr="00DA5A78">
        <w:rPr>
          <w:rStyle w:val="Strong"/>
          <w:rFonts w:ascii="Arial" w:eastAsiaTheme="majorEastAsia" w:hAnsi="Arial" w:cs="Arial"/>
          <w:b w:val="0"/>
          <w:bCs w:val="0"/>
          <w:color w:val="000000" w:themeColor="text1"/>
          <w:szCs w:val="22"/>
        </w:rPr>
        <w:t>Investigate Regional and Demographic Variations</w:t>
      </w:r>
      <w:r w:rsidRPr="00DA5A78">
        <w:rPr>
          <w:rFonts w:ascii="Arial" w:hAnsi="Arial" w:cs="Arial"/>
          <w:color w:val="000000" w:themeColor="text1"/>
          <w:szCs w:val="22"/>
        </w:rPr>
        <w:br/>
        <w:t>More research is needed on gender, ethnicity, and regional inequalities in substance misuse. This will support equitable distribution of resources (ONS, 2023).</w:t>
      </w:r>
    </w:p>
    <w:p w14:paraId="15C2BD05" w14:textId="4B23073A" w:rsidR="00452BD0" w:rsidRPr="00DA5A78" w:rsidRDefault="00452BD0" w:rsidP="00DA5A78">
      <w:pPr>
        <w:pStyle w:val="NormalWeb"/>
        <w:numPr>
          <w:ilvl w:val="0"/>
          <w:numId w:val="47"/>
        </w:numPr>
        <w:spacing w:line="360" w:lineRule="auto"/>
        <w:rPr>
          <w:rFonts w:ascii="Arial" w:hAnsi="Arial" w:cs="Arial"/>
          <w:color w:val="000000" w:themeColor="text1"/>
          <w:szCs w:val="22"/>
        </w:rPr>
      </w:pPr>
      <w:r w:rsidRPr="00DA5A78">
        <w:rPr>
          <w:rStyle w:val="Strong"/>
          <w:rFonts w:ascii="Arial" w:eastAsiaTheme="majorEastAsia" w:hAnsi="Arial" w:cs="Arial"/>
          <w:b w:val="0"/>
          <w:bCs w:val="0"/>
          <w:color w:val="000000" w:themeColor="text1"/>
          <w:szCs w:val="22"/>
        </w:rPr>
        <w:t>Explore Digital Health Innovation</w:t>
      </w:r>
      <w:r w:rsidRPr="00DA5A78">
        <w:rPr>
          <w:rFonts w:ascii="Arial" w:hAnsi="Arial" w:cs="Arial"/>
          <w:b/>
          <w:bCs/>
          <w:color w:val="000000" w:themeColor="text1"/>
          <w:szCs w:val="22"/>
        </w:rPr>
        <w:br/>
      </w:r>
      <w:r w:rsidRPr="00DA5A78">
        <w:rPr>
          <w:rFonts w:ascii="Arial" w:hAnsi="Arial" w:cs="Arial"/>
          <w:color w:val="000000" w:themeColor="text1"/>
          <w:szCs w:val="22"/>
        </w:rPr>
        <w:t>Remote and online treatment models can improve access for those in rural or under-resourced areas, but digital exclusion must be addressed.</w:t>
      </w:r>
    </w:p>
    <w:p w14:paraId="6ADA317F" w14:textId="77777777" w:rsidR="00452BD0" w:rsidRPr="00DA5A78" w:rsidRDefault="00452BD0" w:rsidP="00DA5A78">
      <w:pPr>
        <w:spacing w:line="360" w:lineRule="auto"/>
        <w:rPr>
          <w:rFonts w:cs="Arial"/>
          <w:color w:val="000000" w:themeColor="text1"/>
          <w:szCs w:val="22"/>
        </w:rPr>
      </w:pPr>
    </w:p>
    <w:p w14:paraId="4FA9B651" w14:textId="77777777" w:rsidR="00452BD0" w:rsidRPr="00DA5A78" w:rsidRDefault="00452BD0" w:rsidP="00DA5A78">
      <w:pPr>
        <w:pStyle w:val="Heading1"/>
        <w:spacing w:line="360" w:lineRule="auto"/>
        <w:rPr>
          <w:rFonts w:cs="Arial"/>
          <w:color w:val="000000" w:themeColor="text1"/>
          <w:szCs w:val="22"/>
        </w:rPr>
      </w:pPr>
      <w:bookmarkStart w:id="47" w:name="_Toc214602329"/>
      <w:r w:rsidRPr="00DA5A78">
        <w:rPr>
          <w:rStyle w:val="Strong"/>
          <w:rFonts w:eastAsiaTheme="majorEastAsia" w:cs="Arial"/>
          <w:b/>
          <w:bCs/>
          <w:color w:val="000000" w:themeColor="text1"/>
          <w:szCs w:val="22"/>
        </w:rPr>
        <w:t>5.5 Reflection on the Research Process</w:t>
      </w:r>
      <w:bookmarkEnd w:id="47"/>
    </w:p>
    <w:p w14:paraId="3CC431E5" w14:textId="0FCEA595"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Carrying out this project has been both intellectually challenging and personally meaningful. By using a </w:t>
      </w:r>
      <w:r w:rsidRPr="00DA5A78">
        <w:rPr>
          <w:rFonts w:eastAsiaTheme="majorEastAsia" w:cs="Arial"/>
          <w:color w:val="000000" w:themeColor="text1"/>
          <w:szCs w:val="22"/>
        </w:rPr>
        <w:t>desk-based, literature-based approach</w:t>
      </w:r>
      <w:r w:rsidRPr="00DA5A78">
        <w:rPr>
          <w:rFonts w:cs="Arial"/>
          <w:color w:val="000000" w:themeColor="text1"/>
          <w:szCs w:val="22"/>
        </w:rPr>
        <w:t>, the study drew together a broad range of perspectives to understand a deeply complex social issue. Following </w:t>
      </w:r>
      <w:r w:rsidRPr="00DA5A78">
        <w:rPr>
          <w:rFonts w:eastAsiaTheme="majorEastAsia" w:cs="Arial"/>
          <w:color w:val="000000" w:themeColor="text1"/>
          <w:szCs w:val="22"/>
        </w:rPr>
        <w:t>Aveyard’s (20</w:t>
      </w:r>
      <w:r w:rsidR="00B64796">
        <w:rPr>
          <w:rFonts w:eastAsiaTheme="majorEastAsia" w:cs="Arial"/>
          <w:color w:val="000000" w:themeColor="text1"/>
          <w:szCs w:val="22"/>
        </w:rPr>
        <w:t>23</w:t>
      </w:r>
      <w:r w:rsidRPr="00DA5A78">
        <w:rPr>
          <w:rFonts w:eastAsiaTheme="majorEastAsia" w:cs="Arial"/>
          <w:color w:val="000000" w:themeColor="text1"/>
          <w:szCs w:val="22"/>
        </w:rPr>
        <w:t>)</w:t>
      </w:r>
      <w:r w:rsidRPr="00DA5A78">
        <w:rPr>
          <w:rFonts w:cs="Arial"/>
          <w:color w:val="000000" w:themeColor="text1"/>
          <w:szCs w:val="22"/>
        </w:rPr>
        <w:t> systematic review process ensured that every stage from search strategy to critical appraisal was transparent and replicable.</w:t>
      </w:r>
    </w:p>
    <w:p w14:paraId="4DBAEA51"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Using </w:t>
      </w:r>
      <w:r w:rsidRPr="00DA5A78">
        <w:rPr>
          <w:rFonts w:eastAsiaTheme="majorEastAsia" w:cs="Arial"/>
          <w:color w:val="000000" w:themeColor="text1"/>
          <w:szCs w:val="22"/>
        </w:rPr>
        <w:t>Braun and Clarke’s (2006)</w:t>
      </w:r>
      <w:r w:rsidRPr="00DA5A78">
        <w:rPr>
          <w:rFonts w:cs="Arial"/>
          <w:color w:val="000000" w:themeColor="text1"/>
          <w:szCs w:val="22"/>
        </w:rPr>
        <w:t> thematic analysis gave structure and depth to the interpretation of sources, while </w:t>
      </w:r>
      <w:r w:rsidRPr="00DA5A78">
        <w:rPr>
          <w:rFonts w:eastAsiaTheme="majorEastAsia" w:cs="Arial"/>
          <w:color w:val="000000" w:themeColor="text1"/>
          <w:szCs w:val="22"/>
        </w:rPr>
        <w:t>Cottrell’s (2017)</w:t>
      </w:r>
      <w:r w:rsidRPr="00DA5A78">
        <w:rPr>
          <w:rFonts w:cs="Arial"/>
          <w:color w:val="000000" w:themeColor="text1"/>
          <w:szCs w:val="22"/>
        </w:rPr>
        <w:t> guidance on critical thinking encouraged reflection and careful questioning of assumptions. These combined frameworks helped transform a large body of secondary data into a coherent, evidence-driven argument.</w:t>
      </w:r>
    </w:p>
    <w:p w14:paraId="57CA10B4" w14:textId="05B2F2C4" w:rsidR="00452BD0" w:rsidRPr="00DA5A78" w:rsidRDefault="00452BD0" w:rsidP="00B64796">
      <w:pPr>
        <w:spacing w:before="100" w:beforeAutospacing="1" w:after="100" w:afterAutospacing="1" w:line="360" w:lineRule="auto"/>
        <w:rPr>
          <w:rFonts w:cs="Arial"/>
          <w:color w:val="000000" w:themeColor="text1"/>
          <w:szCs w:val="22"/>
        </w:rPr>
      </w:pPr>
      <w:r w:rsidRPr="00DA5A78">
        <w:rPr>
          <w:rFonts w:cs="Arial"/>
          <w:color w:val="000000" w:themeColor="text1"/>
          <w:szCs w:val="22"/>
        </w:rPr>
        <w:lastRenderedPageBreak/>
        <w:t>Working with literature on addiction and poverty also required emotional sensitivity. Many studies reveal human suffering behind the statistics. Recognising these realities reminded me that behind every dataset are people, families, communities, and individuals who deserve compassion, as well as support. This awareness shaped how I interpreted findings and reinforced the importance of ethical, respectful research practice.</w:t>
      </w:r>
    </w:p>
    <w:p w14:paraId="7DEFA087" w14:textId="77777777" w:rsidR="00452BD0" w:rsidRPr="00DA5A78" w:rsidRDefault="00452BD0" w:rsidP="00DA5A78">
      <w:pPr>
        <w:spacing w:line="360" w:lineRule="auto"/>
        <w:rPr>
          <w:rFonts w:cs="Arial"/>
          <w:color w:val="000000" w:themeColor="text1"/>
          <w:szCs w:val="22"/>
        </w:rPr>
      </w:pPr>
    </w:p>
    <w:p w14:paraId="6CEE64C2" w14:textId="77777777" w:rsidR="00452BD0" w:rsidRPr="00DA5A78" w:rsidRDefault="00452BD0" w:rsidP="00DA5A78">
      <w:pPr>
        <w:pStyle w:val="Heading1"/>
        <w:spacing w:line="360" w:lineRule="auto"/>
        <w:rPr>
          <w:rFonts w:cs="Arial"/>
          <w:color w:val="000000" w:themeColor="text1"/>
          <w:szCs w:val="22"/>
        </w:rPr>
      </w:pPr>
      <w:bookmarkStart w:id="48" w:name="_Toc214602330"/>
      <w:r w:rsidRPr="00DA5A78">
        <w:rPr>
          <w:rStyle w:val="Strong"/>
          <w:rFonts w:eastAsiaTheme="majorEastAsia" w:cs="Arial"/>
          <w:b/>
          <w:bCs/>
          <w:color w:val="000000" w:themeColor="text1"/>
          <w:szCs w:val="22"/>
        </w:rPr>
        <w:t>5.6 Study Limitations</w:t>
      </w:r>
      <w:bookmarkEnd w:id="48"/>
    </w:p>
    <w:p w14:paraId="109C614A" w14:textId="77777777" w:rsidR="00452BD0" w:rsidRPr="00DA5A78" w:rsidRDefault="00452BD0" w:rsidP="00DA5A78">
      <w:pPr>
        <w:pStyle w:val="NormalWeb"/>
        <w:spacing w:line="360" w:lineRule="auto"/>
        <w:rPr>
          <w:rFonts w:ascii="Arial" w:hAnsi="Arial" w:cs="Arial"/>
          <w:color w:val="000000" w:themeColor="text1"/>
          <w:szCs w:val="22"/>
        </w:rPr>
      </w:pPr>
      <w:r w:rsidRPr="00DA5A78">
        <w:rPr>
          <w:rFonts w:ascii="Arial" w:hAnsi="Arial" w:cs="Arial"/>
          <w:color w:val="000000" w:themeColor="text1"/>
          <w:szCs w:val="22"/>
        </w:rPr>
        <w:t>While the study offers valuable insights, some limitations remain.</w:t>
      </w:r>
    </w:p>
    <w:p w14:paraId="5A4CFC45" w14:textId="77777777" w:rsidR="00452BD0" w:rsidRPr="00DA5A78" w:rsidRDefault="00452BD0" w:rsidP="00DA5A78">
      <w:pPr>
        <w:pStyle w:val="NormalWeb"/>
        <w:numPr>
          <w:ilvl w:val="0"/>
          <w:numId w:val="41"/>
        </w:numPr>
        <w:spacing w:line="360" w:lineRule="auto"/>
        <w:rPr>
          <w:rFonts w:ascii="Arial" w:hAnsi="Arial" w:cs="Arial"/>
          <w:color w:val="000000" w:themeColor="text1"/>
          <w:szCs w:val="22"/>
        </w:rPr>
      </w:pPr>
      <w:r w:rsidRPr="00DA5A78">
        <w:rPr>
          <w:rStyle w:val="Strong"/>
          <w:rFonts w:ascii="Arial" w:eastAsiaTheme="majorEastAsia" w:hAnsi="Arial" w:cs="Arial"/>
          <w:color w:val="000000" w:themeColor="text1"/>
          <w:szCs w:val="22"/>
        </w:rPr>
        <w:t>Dependence on Secondary Data:</w:t>
      </w:r>
      <w:r w:rsidRPr="00DA5A78">
        <w:rPr>
          <w:rStyle w:val="apple-converted-space"/>
          <w:rFonts w:ascii="Arial" w:hAnsi="Arial" w:cs="Arial"/>
          <w:color w:val="000000" w:themeColor="text1"/>
          <w:szCs w:val="22"/>
        </w:rPr>
        <w:t> </w:t>
      </w:r>
      <w:r w:rsidRPr="00DA5A78">
        <w:rPr>
          <w:rFonts w:ascii="Arial" w:hAnsi="Arial" w:cs="Arial"/>
          <w:color w:val="000000" w:themeColor="text1"/>
          <w:szCs w:val="22"/>
        </w:rPr>
        <w:t>Without primary data collection, individual voices could not be captured directly. Future research could involve interviews with service users to gain richer, lived perspectives.</w:t>
      </w:r>
    </w:p>
    <w:p w14:paraId="5676B93C" w14:textId="77777777" w:rsidR="00452BD0" w:rsidRPr="00DA5A78" w:rsidRDefault="00452BD0" w:rsidP="00DA5A78">
      <w:pPr>
        <w:pStyle w:val="NormalWeb"/>
        <w:numPr>
          <w:ilvl w:val="0"/>
          <w:numId w:val="41"/>
        </w:numPr>
        <w:spacing w:line="360" w:lineRule="auto"/>
        <w:rPr>
          <w:rFonts w:ascii="Arial" w:hAnsi="Arial" w:cs="Arial"/>
          <w:color w:val="000000" w:themeColor="text1"/>
          <w:szCs w:val="22"/>
        </w:rPr>
      </w:pPr>
      <w:r w:rsidRPr="00DA5A78">
        <w:rPr>
          <w:rStyle w:val="Strong"/>
          <w:rFonts w:ascii="Arial" w:eastAsiaTheme="majorEastAsia" w:hAnsi="Arial" w:cs="Arial"/>
          <w:color w:val="000000" w:themeColor="text1"/>
          <w:szCs w:val="22"/>
        </w:rPr>
        <w:t>Geographical Focus:</w:t>
      </w:r>
      <w:r w:rsidRPr="00DA5A78">
        <w:rPr>
          <w:rStyle w:val="apple-converted-space"/>
          <w:rFonts w:ascii="Arial" w:hAnsi="Arial" w:cs="Arial"/>
          <w:color w:val="000000" w:themeColor="text1"/>
          <w:szCs w:val="22"/>
        </w:rPr>
        <w:t> </w:t>
      </w:r>
      <w:r w:rsidRPr="00DA5A78">
        <w:rPr>
          <w:rFonts w:ascii="Arial" w:hAnsi="Arial" w:cs="Arial"/>
          <w:color w:val="000000" w:themeColor="text1"/>
          <w:szCs w:val="22"/>
        </w:rPr>
        <w:t>The study focused on England; results may differ in Scotland, Wales, or Northern Ireland due to variations in health policy.</w:t>
      </w:r>
    </w:p>
    <w:p w14:paraId="23AD084B" w14:textId="77777777" w:rsidR="00452BD0" w:rsidRPr="00DA5A78" w:rsidRDefault="00452BD0" w:rsidP="00DA5A78">
      <w:pPr>
        <w:pStyle w:val="NormalWeb"/>
        <w:numPr>
          <w:ilvl w:val="0"/>
          <w:numId w:val="41"/>
        </w:numPr>
        <w:spacing w:line="360" w:lineRule="auto"/>
        <w:rPr>
          <w:rFonts w:ascii="Arial" w:hAnsi="Arial" w:cs="Arial"/>
          <w:color w:val="000000" w:themeColor="text1"/>
          <w:szCs w:val="22"/>
        </w:rPr>
      </w:pPr>
      <w:r w:rsidRPr="00DA5A78">
        <w:rPr>
          <w:rStyle w:val="Strong"/>
          <w:rFonts w:ascii="Arial" w:eastAsiaTheme="majorEastAsia" w:hAnsi="Arial" w:cs="Arial"/>
          <w:color w:val="000000" w:themeColor="text1"/>
          <w:szCs w:val="22"/>
        </w:rPr>
        <w:t>Inconsistent Data Quality:</w:t>
      </w:r>
      <w:r w:rsidRPr="00DA5A78">
        <w:rPr>
          <w:rStyle w:val="apple-converted-space"/>
          <w:rFonts w:ascii="Arial" w:hAnsi="Arial" w:cs="Arial"/>
          <w:color w:val="000000" w:themeColor="text1"/>
          <w:szCs w:val="22"/>
        </w:rPr>
        <w:t> </w:t>
      </w:r>
      <w:r w:rsidRPr="00DA5A78">
        <w:rPr>
          <w:rFonts w:ascii="Arial" w:hAnsi="Arial" w:cs="Arial"/>
          <w:color w:val="000000" w:themeColor="text1"/>
          <w:szCs w:val="22"/>
        </w:rPr>
        <w:t>Different studies used different definitions and measures, making direct comparison difficult.</w:t>
      </w:r>
    </w:p>
    <w:p w14:paraId="4023E263" w14:textId="77777777" w:rsidR="00452BD0" w:rsidRPr="00DA5A78" w:rsidRDefault="00452BD0" w:rsidP="00DA5A78">
      <w:pPr>
        <w:pStyle w:val="NormalWeb"/>
        <w:numPr>
          <w:ilvl w:val="0"/>
          <w:numId w:val="41"/>
        </w:numPr>
        <w:spacing w:line="360" w:lineRule="auto"/>
        <w:rPr>
          <w:rFonts w:ascii="Arial" w:hAnsi="Arial" w:cs="Arial"/>
          <w:color w:val="000000" w:themeColor="text1"/>
          <w:szCs w:val="22"/>
        </w:rPr>
      </w:pPr>
      <w:r w:rsidRPr="00DA5A78">
        <w:rPr>
          <w:rStyle w:val="Strong"/>
          <w:rFonts w:ascii="Arial" w:eastAsiaTheme="majorEastAsia" w:hAnsi="Arial" w:cs="Arial"/>
          <w:color w:val="000000" w:themeColor="text1"/>
          <w:szCs w:val="22"/>
        </w:rPr>
        <w:t>Time Constraints:</w:t>
      </w:r>
      <w:r w:rsidRPr="00DA5A78">
        <w:rPr>
          <w:rStyle w:val="apple-converted-space"/>
          <w:rFonts w:ascii="Arial" w:hAnsi="Arial" w:cs="Arial"/>
          <w:color w:val="000000" w:themeColor="text1"/>
          <w:szCs w:val="22"/>
        </w:rPr>
        <w:t> </w:t>
      </w:r>
      <w:r w:rsidRPr="00DA5A78">
        <w:rPr>
          <w:rFonts w:ascii="Arial" w:hAnsi="Arial" w:cs="Arial"/>
          <w:color w:val="000000" w:themeColor="text1"/>
          <w:szCs w:val="22"/>
        </w:rPr>
        <w:t>The 12-week timeframe limited the exploration of emerging areas such as gender-specific addiction or youth vulnerability.</w:t>
      </w:r>
    </w:p>
    <w:p w14:paraId="3BB0D232" w14:textId="77777777" w:rsidR="00452BD0" w:rsidRPr="00DA5A78" w:rsidRDefault="00452BD0" w:rsidP="00DA5A78">
      <w:pPr>
        <w:pStyle w:val="NormalWeb"/>
        <w:spacing w:line="360" w:lineRule="auto"/>
        <w:rPr>
          <w:rFonts w:ascii="Arial" w:hAnsi="Arial" w:cs="Arial"/>
          <w:color w:val="000000" w:themeColor="text1"/>
          <w:szCs w:val="22"/>
        </w:rPr>
      </w:pPr>
      <w:r w:rsidRPr="00DA5A78">
        <w:rPr>
          <w:rFonts w:ascii="Arial" w:hAnsi="Arial" w:cs="Arial"/>
          <w:color w:val="000000" w:themeColor="text1"/>
          <w:szCs w:val="22"/>
        </w:rPr>
        <w:t>Despite these limits, the systematic design and transparent analysis enhance the study’s credibility and ensure its findings remain relevant for academic and policy audiences.</w:t>
      </w:r>
    </w:p>
    <w:p w14:paraId="097CA707" w14:textId="77777777" w:rsidR="00452BD0" w:rsidRPr="00DA5A78" w:rsidRDefault="00452BD0" w:rsidP="00DA5A78">
      <w:pPr>
        <w:pStyle w:val="Heading1"/>
        <w:spacing w:line="360" w:lineRule="auto"/>
        <w:rPr>
          <w:rFonts w:cs="Arial"/>
          <w:color w:val="000000" w:themeColor="text1"/>
          <w:szCs w:val="22"/>
        </w:rPr>
      </w:pPr>
      <w:bookmarkStart w:id="49" w:name="_Toc214602331"/>
      <w:r w:rsidRPr="00DA5A78">
        <w:rPr>
          <w:rStyle w:val="Strong"/>
          <w:rFonts w:eastAsiaTheme="majorEastAsia" w:cs="Arial"/>
          <w:b/>
          <w:bCs/>
          <w:color w:val="000000" w:themeColor="text1"/>
          <w:szCs w:val="22"/>
        </w:rPr>
        <w:t>5.7 Chapter Conclusion</w:t>
      </w:r>
      <w:bookmarkEnd w:id="49"/>
    </w:p>
    <w:p w14:paraId="0E206960"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This dissertation concludes that </w:t>
      </w:r>
      <w:r w:rsidRPr="00DA5A78">
        <w:rPr>
          <w:rFonts w:eastAsiaTheme="majorEastAsia" w:cs="Arial"/>
          <w:color w:val="000000" w:themeColor="text1"/>
          <w:szCs w:val="22"/>
        </w:rPr>
        <w:t>poverty and inequality are the strongest determinants of substance misuse and untreated mental health disorders in England.</w:t>
      </w:r>
      <w:r w:rsidRPr="00DA5A78">
        <w:rPr>
          <w:rFonts w:cs="Arial"/>
          <w:color w:val="000000" w:themeColor="text1"/>
          <w:szCs w:val="22"/>
        </w:rPr>
        <w:t> These are not personal weaknesses; they are predictable outcomes of social systems that leave people behind.</w:t>
      </w:r>
    </w:p>
    <w:p w14:paraId="0C773356"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Breaking this cycle requires courage and compassion:</w:t>
      </w:r>
    </w:p>
    <w:p w14:paraId="53F92B34" w14:textId="77777777" w:rsidR="00452BD0" w:rsidRPr="00DA5A78" w:rsidRDefault="00452BD0" w:rsidP="00DA5A78">
      <w:pPr>
        <w:pStyle w:val="ListParagraph"/>
        <w:numPr>
          <w:ilvl w:val="0"/>
          <w:numId w:val="46"/>
        </w:numPr>
        <w:spacing w:before="100" w:beforeAutospacing="1" w:after="100" w:afterAutospacing="1" w:line="360" w:lineRule="auto"/>
        <w:rPr>
          <w:rFonts w:cs="Arial"/>
          <w:color w:val="000000" w:themeColor="text1"/>
          <w:szCs w:val="22"/>
        </w:rPr>
      </w:pPr>
      <w:r w:rsidRPr="00DA5A78">
        <w:rPr>
          <w:rFonts w:cs="Arial"/>
          <w:color w:val="000000" w:themeColor="text1"/>
          <w:szCs w:val="22"/>
        </w:rPr>
        <w:t>Recognising that poverty is a public health issue.</w:t>
      </w:r>
    </w:p>
    <w:p w14:paraId="18FB563D" w14:textId="77777777" w:rsidR="00452BD0" w:rsidRPr="00DA5A78" w:rsidRDefault="00452BD0" w:rsidP="00DA5A78">
      <w:pPr>
        <w:pStyle w:val="ListParagraph"/>
        <w:numPr>
          <w:ilvl w:val="0"/>
          <w:numId w:val="46"/>
        </w:numPr>
        <w:spacing w:before="100" w:beforeAutospacing="1" w:after="100" w:afterAutospacing="1" w:line="360" w:lineRule="auto"/>
        <w:rPr>
          <w:rFonts w:cs="Arial"/>
          <w:color w:val="000000" w:themeColor="text1"/>
          <w:szCs w:val="22"/>
        </w:rPr>
      </w:pPr>
      <w:r w:rsidRPr="00DA5A78">
        <w:rPr>
          <w:rFonts w:cs="Arial"/>
          <w:color w:val="000000" w:themeColor="text1"/>
          <w:szCs w:val="22"/>
        </w:rPr>
        <w:t>Embedding trauma-informed, integrated care into every service.</w:t>
      </w:r>
    </w:p>
    <w:p w14:paraId="7D282EA9" w14:textId="77777777" w:rsidR="00452BD0" w:rsidRPr="00DA5A78" w:rsidRDefault="00452BD0" w:rsidP="00DA5A78">
      <w:pPr>
        <w:pStyle w:val="ListParagraph"/>
        <w:numPr>
          <w:ilvl w:val="0"/>
          <w:numId w:val="46"/>
        </w:numPr>
        <w:spacing w:before="100" w:beforeAutospacing="1" w:after="100" w:afterAutospacing="1" w:line="360" w:lineRule="auto"/>
        <w:rPr>
          <w:rFonts w:cs="Arial"/>
          <w:color w:val="000000" w:themeColor="text1"/>
          <w:szCs w:val="22"/>
        </w:rPr>
      </w:pPr>
      <w:r w:rsidRPr="00DA5A78">
        <w:rPr>
          <w:rFonts w:cs="Arial"/>
          <w:color w:val="000000" w:themeColor="text1"/>
          <w:szCs w:val="22"/>
        </w:rPr>
        <w:t>Invest in people and communities, not just programmes.</w:t>
      </w:r>
    </w:p>
    <w:p w14:paraId="0992F4B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The evidence indicates that meaningful progress depends on collaboration between policymakers, healthcare providers, and the public. Echoing </w:t>
      </w:r>
      <w:r w:rsidRPr="00DA5A78">
        <w:rPr>
          <w:rFonts w:eastAsiaTheme="majorEastAsia" w:cs="Arial"/>
          <w:color w:val="000000" w:themeColor="text1"/>
          <w:szCs w:val="22"/>
        </w:rPr>
        <w:t>Marmot (2020)</w:t>
      </w:r>
      <w:r w:rsidRPr="00DA5A78">
        <w:rPr>
          <w:rFonts w:cs="Arial"/>
          <w:color w:val="000000" w:themeColor="text1"/>
          <w:szCs w:val="22"/>
        </w:rPr>
        <w:t> and </w:t>
      </w:r>
      <w:r w:rsidRPr="00DA5A78">
        <w:rPr>
          <w:rFonts w:eastAsiaTheme="majorEastAsia" w:cs="Arial"/>
          <w:color w:val="000000" w:themeColor="text1"/>
          <w:szCs w:val="22"/>
        </w:rPr>
        <w:t xml:space="preserve">Black </w:t>
      </w:r>
      <w:r w:rsidRPr="00DA5A78">
        <w:rPr>
          <w:rFonts w:eastAsiaTheme="majorEastAsia" w:cs="Arial"/>
          <w:color w:val="000000" w:themeColor="text1"/>
          <w:szCs w:val="22"/>
        </w:rPr>
        <w:lastRenderedPageBreak/>
        <w:t>(2021)</w:t>
      </w:r>
      <w:r w:rsidRPr="00DA5A78">
        <w:rPr>
          <w:rFonts w:cs="Arial"/>
          <w:color w:val="000000" w:themeColor="text1"/>
          <w:szCs w:val="22"/>
        </w:rPr>
        <w:t>, building a fairer society means ensuring that health equity is at the heart of every decision.</w:t>
      </w:r>
    </w:p>
    <w:p w14:paraId="65C20855"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eastAsiaTheme="majorEastAsia" w:cs="Arial"/>
          <w:b/>
          <w:bCs/>
          <w:color w:val="000000" w:themeColor="text1"/>
          <w:szCs w:val="22"/>
        </w:rPr>
        <w:t>Final Reflection:</w:t>
      </w:r>
      <w:r w:rsidRPr="00DA5A78">
        <w:rPr>
          <w:rFonts w:cs="Arial"/>
          <w:color w:val="000000" w:themeColor="text1"/>
          <w:szCs w:val="22"/>
        </w:rPr>
        <w:br/>
        <w:t>This research began as an academic project, but it became a human story about resilience, injustice, and hope. The findings call not only for reform but for empathy: to see addiction and mental distress as conditions that thrive in inequality and to respond with fairness, inclusion, and understanding.</w:t>
      </w:r>
    </w:p>
    <w:p w14:paraId="5FC6A382"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w:t>
      </w:r>
    </w:p>
    <w:p w14:paraId="627B8B04" w14:textId="77777777" w:rsidR="00452BD0" w:rsidRPr="00DA5A78" w:rsidRDefault="00452BD0" w:rsidP="00DA5A78">
      <w:pPr>
        <w:spacing w:before="100" w:beforeAutospacing="1" w:after="100" w:afterAutospacing="1" w:line="360" w:lineRule="auto"/>
        <w:rPr>
          <w:rFonts w:cs="Arial"/>
          <w:color w:val="000000" w:themeColor="text1"/>
          <w:szCs w:val="22"/>
        </w:rPr>
      </w:pPr>
      <w:r w:rsidRPr="00DA5A78">
        <w:rPr>
          <w:rFonts w:cs="Arial"/>
          <w:color w:val="000000" w:themeColor="text1"/>
          <w:szCs w:val="22"/>
        </w:rPr>
        <w:t> </w:t>
      </w:r>
    </w:p>
    <w:p w14:paraId="3890FBA9" w14:textId="77777777" w:rsidR="00452BD0" w:rsidRPr="00DA5A78" w:rsidRDefault="00452BD0" w:rsidP="00DA5A78">
      <w:pPr>
        <w:spacing w:line="360" w:lineRule="auto"/>
        <w:rPr>
          <w:rFonts w:cs="Arial"/>
          <w:color w:val="000000" w:themeColor="text1"/>
          <w:szCs w:val="22"/>
        </w:rPr>
      </w:pPr>
    </w:p>
    <w:p w14:paraId="2D1348C1" w14:textId="77777777" w:rsidR="00452BD0" w:rsidRPr="00DA5A78" w:rsidRDefault="00452BD0" w:rsidP="00DA5A78">
      <w:pPr>
        <w:spacing w:line="360" w:lineRule="auto"/>
        <w:rPr>
          <w:rFonts w:cs="Arial"/>
          <w:color w:val="000000" w:themeColor="text1"/>
          <w:szCs w:val="22"/>
        </w:rPr>
      </w:pPr>
    </w:p>
    <w:p w14:paraId="57DADD18" w14:textId="77777777" w:rsidR="00452BD0" w:rsidRPr="00DA5A78" w:rsidRDefault="00452BD0" w:rsidP="00DA5A78">
      <w:pPr>
        <w:spacing w:line="360" w:lineRule="auto"/>
        <w:rPr>
          <w:rFonts w:cs="Arial"/>
          <w:color w:val="000000" w:themeColor="text1"/>
          <w:szCs w:val="22"/>
        </w:rPr>
      </w:pPr>
    </w:p>
    <w:p w14:paraId="0260B86A" w14:textId="77777777" w:rsidR="00452BD0" w:rsidRPr="00DA5A78" w:rsidRDefault="00452BD0" w:rsidP="00DA5A78">
      <w:pPr>
        <w:spacing w:line="360" w:lineRule="auto"/>
        <w:rPr>
          <w:rFonts w:cs="Arial"/>
          <w:color w:val="000000" w:themeColor="text1"/>
          <w:szCs w:val="22"/>
        </w:rPr>
      </w:pPr>
    </w:p>
    <w:p w14:paraId="538F740D" w14:textId="77777777" w:rsidR="00452BD0" w:rsidRPr="00DA5A78" w:rsidRDefault="00452BD0" w:rsidP="00DA5A78">
      <w:pPr>
        <w:spacing w:line="360" w:lineRule="auto"/>
        <w:rPr>
          <w:rFonts w:cs="Arial"/>
          <w:color w:val="000000" w:themeColor="text1"/>
          <w:szCs w:val="22"/>
        </w:rPr>
      </w:pPr>
    </w:p>
    <w:p w14:paraId="416403BF" w14:textId="77777777" w:rsidR="00452BD0" w:rsidRPr="00DA5A78" w:rsidRDefault="00452BD0" w:rsidP="00DA5A78">
      <w:pPr>
        <w:spacing w:line="360" w:lineRule="auto"/>
        <w:rPr>
          <w:rFonts w:cs="Arial"/>
          <w:color w:val="000000" w:themeColor="text1"/>
          <w:szCs w:val="22"/>
        </w:rPr>
      </w:pPr>
    </w:p>
    <w:p w14:paraId="34F08BE2" w14:textId="77777777" w:rsidR="00452BD0" w:rsidRPr="00DA5A78" w:rsidRDefault="00452BD0" w:rsidP="00DA5A78">
      <w:pPr>
        <w:spacing w:line="360" w:lineRule="auto"/>
        <w:rPr>
          <w:rFonts w:cs="Arial"/>
          <w:color w:val="000000" w:themeColor="text1"/>
          <w:szCs w:val="22"/>
        </w:rPr>
      </w:pPr>
    </w:p>
    <w:p w14:paraId="0B331A3F" w14:textId="3D17EE11" w:rsidR="00452BD0" w:rsidRDefault="00452BD0" w:rsidP="00DA5A78">
      <w:pPr>
        <w:spacing w:line="360" w:lineRule="auto"/>
        <w:rPr>
          <w:rFonts w:cs="Arial"/>
          <w:color w:val="000000" w:themeColor="text1"/>
          <w:szCs w:val="22"/>
        </w:rPr>
      </w:pPr>
    </w:p>
    <w:p w14:paraId="5A14EA1A" w14:textId="6F65BECF" w:rsidR="00B64796" w:rsidRDefault="00B64796" w:rsidP="00DA5A78">
      <w:pPr>
        <w:spacing w:line="360" w:lineRule="auto"/>
        <w:rPr>
          <w:rFonts w:cs="Arial"/>
          <w:color w:val="000000" w:themeColor="text1"/>
          <w:szCs w:val="22"/>
        </w:rPr>
      </w:pPr>
    </w:p>
    <w:p w14:paraId="2D560376" w14:textId="57CF8DDF" w:rsidR="00B64796" w:rsidRDefault="00B64796" w:rsidP="00DA5A78">
      <w:pPr>
        <w:spacing w:line="360" w:lineRule="auto"/>
        <w:rPr>
          <w:rFonts w:cs="Arial"/>
          <w:color w:val="000000" w:themeColor="text1"/>
          <w:szCs w:val="22"/>
        </w:rPr>
      </w:pPr>
    </w:p>
    <w:p w14:paraId="50829334" w14:textId="3C562103" w:rsidR="00B64796" w:rsidRDefault="00B64796" w:rsidP="00DA5A78">
      <w:pPr>
        <w:spacing w:line="360" w:lineRule="auto"/>
        <w:rPr>
          <w:rFonts w:cs="Arial"/>
          <w:color w:val="000000" w:themeColor="text1"/>
          <w:szCs w:val="22"/>
        </w:rPr>
      </w:pPr>
    </w:p>
    <w:p w14:paraId="4F3D31E0" w14:textId="79AF4AA5" w:rsidR="00B64796" w:rsidRDefault="00B64796" w:rsidP="00DA5A78">
      <w:pPr>
        <w:spacing w:line="360" w:lineRule="auto"/>
        <w:rPr>
          <w:rFonts w:cs="Arial"/>
          <w:color w:val="000000" w:themeColor="text1"/>
          <w:szCs w:val="22"/>
        </w:rPr>
      </w:pPr>
    </w:p>
    <w:p w14:paraId="54CF87D6" w14:textId="389B0C29" w:rsidR="00B64796" w:rsidRDefault="00B64796" w:rsidP="00DA5A78">
      <w:pPr>
        <w:spacing w:line="360" w:lineRule="auto"/>
        <w:rPr>
          <w:rFonts w:cs="Arial"/>
          <w:color w:val="000000" w:themeColor="text1"/>
          <w:szCs w:val="22"/>
        </w:rPr>
      </w:pPr>
    </w:p>
    <w:p w14:paraId="2F2E5E8E" w14:textId="20EE4960" w:rsidR="00B64796" w:rsidRDefault="00B64796" w:rsidP="00DA5A78">
      <w:pPr>
        <w:spacing w:line="360" w:lineRule="auto"/>
        <w:rPr>
          <w:rFonts w:cs="Arial"/>
          <w:color w:val="000000" w:themeColor="text1"/>
          <w:szCs w:val="22"/>
        </w:rPr>
      </w:pPr>
    </w:p>
    <w:p w14:paraId="7081AEE8" w14:textId="3A1FDB9D" w:rsidR="00B64796" w:rsidRDefault="00B64796" w:rsidP="00DA5A78">
      <w:pPr>
        <w:spacing w:line="360" w:lineRule="auto"/>
        <w:rPr>
          <w:rFonts w:cs="Arial"/>
          <w:color w:val="000000" w:themeColor="text1"/>
          <w:szCs w:val="22"/>
        </w:rPr>
      </w:pPr>
    </w:p>
    <w:p w14:paraId="7338EE13" w14:textId="6A123926" w:rsidR="00B64796" w:rsidRDefault="00B64796" w:rsidP="00DA5A78">
      <w:pPr>
        <w:spacing w:line="360" w:lineRule="auto"/>
        <w:rPr>
          <w:rFonts w:cs="Arial"/>
          <w:color w:val="000000" w:themeColor="text1"/>
          <w:szCs w:val="22"/>
        </w:rPr>
      </w:pPr>
    </w:p>
    <w:p w14:paraId="58275686" w14:textId="782F25D9" w:rsidR="00B64796" w:rsidRDefault="00B64796" w:rsidP="00DA5A78">
      <w:pPr>
        <w:spacing w:line="360" w:lineRule="auto"/>
        <w:rPr>
          <w:rFonts w:cs="Arial"/>
          <w:color w:val="000000" w:themeColor="text1"/>
          <w:szCs w:val="22"/>
        </w:rPr>
      </w:pPr>
    </w:p>
    <w:p w14:paraId="43CBE780" w14:textId="007CE21C" w:rsidR="00B64796" w:rsidRDefault="00B64796" w:rsidP="00DA5A78">
      <w:pPr>
        <w:spacing w:line="360" w:lineRule="auto"/>
        <w:rPr>
          <w:rFonts w:cs="Arial"/>
          <w:color w:val="000000" w:themeColor="text1"/>
          <w:szCs w:val="22"/>
        </w:rPr>
      </w:pPr>
    </w:p>
    <w:p w14:paraId="51FB0006" w14:textId="253CB455" w:rsidR="00B64796" w:rsidRDefault="00B64796" w:rsidP="00DA5A78">
      <w:pPr>
        <w:spacing w:line="360" w:lineRule="auto"/>
        <w:rPr>
          <w:rFonts w:cs="Arial"/>
          <w:color w:val="000000" w:themeColor="text1"/>
          <w:szCs w:val="22"/>
        </w:rPr>
      </w:pPr>
    </w:p>
    <w:p w14:paraId="24DEF121" w14:textId="1B4CF7E4" w:rsidR="00B64796" w:rsidRDefault="00B64796" w:rsidP="00DA5A78">
      <w:pPr>
        <w:spacing w:line="360" w:lineRule="auto"/>
        <w:rPr>
          <w:rFonts w:cs="Arial"/>
          <w:color w:val="000000" w:themeColor="text1"/>
          <w:szCs w:val="22"/>
        </w:rPr>
      </w:pPr>
    </w:p>
    <w:p w14:paraId="72CEAAAF" w14:textId="7D76F900" w:rsidR="005D3AB6" w:rsidRDefault="005D3AB6" w:rsidP="00DA5A78">
      <w:pPr>
        <w:spacing w:line="360" w:lineRule="auto"/>
        <w:rPr>
          <w:rFonts w:cs="Arial"/>
          <w:color w:val="000000" w:themeColor="text1"/>
          <w:szCs w:val="22"/>
        </w:rPr>
      </w:pPr>
    </w:p>
    <w:p w14:paraId="583B77E6" w14:textId="77777777" w:rsidR="005D3AB6" w:rsidRDefault="005D3AB6" w:rsidP="00DA5A78">
      <w:pPr>
        <w:spacing w:line="360" w:lineRule="auto"/>
        <w:rPr>
          <w:rFonts w:cs="Arial"/>
          <w:color w:val="000000" w:themeColor="text1"/>
          <w:szCs w:val="22"/>
        </w:rPr>
      </w:pPr>
    </w:p>
    <w:p w14:paraId="6C144D56" w14:textId="61E7C73D" w:rsidR="00B64796" w:rsidRDefault="00B64796" w:rsidP="00DA5A78">
      <w:pPr>
        <w:spacing w:line="360" w:lineRule="auto"/>
        <w:rPr>
          <w:rFonts w:cs="Arial"/>
          <w:color w:val="000000" w:themeColor="text1"/>
          <w:szCs w:val="22"/>
        </w:rPr>
      </w:pPr>
    </w:p>
    <w:p w14:paraId="13D357B0" w14:textId="77777777" w:rsidR="00B64796" w:rsidRPr="00DA5A78" w:rsidRDefault="00B64796" w:rsidP="00DA5A78">
      <w:pPr>
        <w:spacing w:line="360" w:lineRule="auto"/>
        <w:rPr>
          <w:rFonts w:cs="Arial"/>
          <w:color w:val="000000" w:themeColor="text1"/>
          <w:szCs w:val="22"/>
        </w:rPr>
      </w:pPr>
    </w:p>
    <w:p w14:paraId="74983ED8" w14:textId="77777777" w:rsidR="00B15D75" w:rsidRPr="00DA5A78" w:rsidRDefault="00B15D75" w:rsidP="00DA5A78">
      <w:pPr>
        <w:spacing w:line="360" w:lineRule="auto"/>
        <w:rPr>
          <w:rFonts w:cs="Arial"/>
          <w:color w:val="000000" w:themeColor="text1"/>
          <w:szCs w:val="22"/>
        </w:rPr>
      </w:pPr>
    </w:p>
    <w:p w14:paraId="602BA5A8" w14:textId="7C7398FA" w:rsidR="00B15D75" w:rsidRPr="00DA5A78" w:rsidRDefault="00B15D75" w:rsidP="00DA5A78">
      <w:pPr>
        <w:spacing w:before="100" w:beforeAutospacing="1" w:after="100" w:afterAutospacing="1" w:line="360" w:lineRule="auto"/>
        <w:rPr>
          <w:rFonts w:cs="Arial"/>
          <w:color w:val="000000" w:themeColor="text1"/>
          <w:szCs w:val="22"/>
        </w:rPr>
      </w:pPr>
    </w:p>
    <w:sectPr w:rsidR="00B15D75" w:rsidRPr="00DA5A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27107"/>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534AC"/>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A0F83"/>
    <w:multiLevelType w:val="multilevel"/>
    <w:tmpl w:val="8C9A9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A667C"/>
    <w:multiLevelType w:val="multilevel"/>
    <w:tmpl w:val="E0A6B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FE56E7"/>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C40400"/>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EF4DC0"/>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E6416"/>
    <w:multiLevelType w:val="hybridMultilevel"/>
    <w:tmpl w:val="F3D8582C"/>
    <w:lvl w:ilvl="0" w:tplc="FFB2E3AA">
      <w:start w:val="1"/>
      <w:numFmt w:val="decimal"/>
      <w:lvlText w:val="%1."/>
      <w:lvlJc w:val="left"/>
      <w:pPr>
        <w:ind w:left="720" w:hanging="360"/>
      </w:pPr>
      <w:rPr>
        <w:rFonts w:ascii="Arial" w:eastAsiaTheme="majorEastAsia"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E5BB8"/>
    <w:multiLevelType w:val="multilevel"/>
    <w:tmpl w:val="E3586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48E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2E0F8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7E4FC8"/>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6D2619"/>
    <w:multiLevelType w:val="multilevel"/>
    <w:tmpl w:val="B3323CD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CE56D0"/>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633E2"/>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0611E6"/>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3373E9"/>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351EE"/>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303238"/>
    <w:multiLevelType w:val="hybridMultilevel"/>
    <w:tmpl w:val="7B8AFE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4203008"/>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296C4F"/>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7F440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692A5C"/>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9A56B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3605BC"/>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F3236A"/>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0C617E"/>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7E74B9"/>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815776"/>
    <w:multiLevelType w:val="hybridMultilevel"/>
    <w:tmpl w:val="4224E41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C31167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013113"/>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F66223"/>
    <w:multiLevelType w:val="hybridMultilevel"/>
    <w:tmpl w:val="0DD8921C"/>
    <w:lvl w:ilvl="0" w:tplc="B24EEE88">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6342EE6"/>
    <w:multiLevelType w:val="hybridMultilevel"/>
    <w:tmpl w:val="C5F25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7B38B5"/>
    <w:multiLevelType w:val="multilevel"/>
    <w:tmpl w:val="48147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CA0332"/>
    <w:multiLevelType w:val="multilevel"/>
    <w:tmpl w:val="8BF6C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0E1C05"/>
    <w:multiLevelType w:val="multilevel"/>
    <w:tmpl w:val="3D766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67694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3F2F7A"/>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DF0514"/>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525A2E"/>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BF0C1D"/>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633B42"/>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421D80"/>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69162E"/>
    <w:multiLevelType w:val="multilevel"/>
    <w:tmpl w:val="35B6D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FB007F"/>
    <w:multiLevelType w:val="multilevel"/>
    <w:tmpl w:val="565EC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4C1DCB"/>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C75D2E"/>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DB5682"/>
    <w:multiLevelType w:val="multilevel"/>
    <w:tmpl w:val="05423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2542948">
    <w:abstractNumId w:val="20"/>
  </w:num>
  <w:num w:numId="2" w16cid:durableId="738675485">
    <w:abstractNumId w:val="21"/>
  </w:num>
  <w:num w:numId="3" w16cid:durableId="1517383159">
    <w:abstractNumId w:val="17"/>
  </w:num>
  <w:num w:numId="4" w16cid:durableId="1926306345">
    <w:abstractNumId w:val="9"/>
  </w:num>
  <w:num w:numId="5" w16cid:durableId="1399866073">
    <w:abstractNumId w:val="3"/>
  </w:num>
  <w:num w:numId="6" w16cid:durableId="855464835">
    <w:abstractNumId w:val="44"/>
  </w:num>
  <w:num w:numId="7" w16cid:durableId="174731346">
    <w:abstractNumId w:val="29"/>
  </w:num>
  <w:num w:numId="8" w16cid:durableId="1979335387">
    <w:abstractNumId w:val="11"/>
  </w:num>
  <w:num w:numId="9" w16cid:durableId="75635554">
    <w:abstractNumId w:val="4"/>
  </w:num>
  <w:num w:numId="10" w16cid:durableId="901059204">
    <w:abstractNumId w:val="13"/>
  </w:num>
  <w:num w:numId="11" w16cid:durableId="320088845">
    <w:abstractNumId w:val="37"/>
  </w:num>
  <w:num w:numId="12" w16cid:durableId="1207328625">
    <w:abstractNumId w:val="43"/>
  </w:num>
  <w:num w:numId="13" w16cid:durableId="1136534577">
    <w:abstractNumId w:val="39"/>
  </w:num>
  <w:num w:numId="14" w16cid:durableId="482159840">
    <w:abstractNumId w:val="36"/>
  </w:num>
  <w:num w:numId="15" w16cid:durableId="999236577">
    <w:abstractNumId w:val="19"/>
  </w:num>
  <w:num w:numId="16" w16cid:durableId="784347750">
    <w:abstractNumId w:val="46"/>
  </w:num>
  <w:num w:numId="17" w16cid:durableId="882407941">
    <w:abstractNumId w:val="22"/>
  </w:num>
  <w:num w:numId="18" w16cid:durableId="1912805969">
    <w:abstractNumId w:val="15"/>
  </w:num>
  <w:num w:numId="19" w16cid:durableId="1284648889">
    <w:abstractNumId w:val="33"/>
  </w:num>
  <w:num w:numId="20" w16cid:durableId="29765237">
    <w:abstractNumId w:val="41"/>
  </w:num>
  <w:num w:numId="21" w16cid:durableId="214246768">
    <w:abstractNumId w:val="0"/>
  </w:num>
  <w:num w:numId="22" w16cid:durableId="1641424903">
    <w:abstractNumId w:val="38"/>
  </w:num>
  <w:num w:numId="23" w16cid:durableId="1072316860">
    <w:abstractNumId w:val="26"/>
  </w:num>
  <w:num w:numId="24" w16cid:durableId="18361563">
    <w:abstractNumId w:val="27"/>
  </w:num>
  <w:num w:numId="25" w16cid:durableId="331371004">
    <w:abstractNumId w:val="5"/>
  </w:num>
  <w:num w:numId="26" w16cid:durableId="42599546">
    <w:abstractNumId w:val="6"/>
  </w:num>
  <w:num w:numId="27" w16cid:durableId="1702585076">
    <w:abstractNumId w:val="8"/>
  </w:num>
  <w:num w:numId="28" w16cid:durableId="1875846043">
    <w:abstractNumId w:val="23"/>
  </w:num>
  <w:num w:numId="29" w16cid:durableId="613287699">
    <w:abstractNumId w:val="10"/>
  </w:num>
  <w:num w:numId="30" w16cid:durableId="341709658">
    <w:abstractNumId w:val="1"/>
  </w:num>
  <w:num w:numId="31" w16cid:durableId="365060480">
    <w:abstractNumId w:val="14"/>
  </w:num>
  <w:num w:numId="32" w16cid:durableId="702512598">
    <w:abstractNumId w:val="45"/>
  </w:num>
  <w:num w:numId="33" w16cid:durableId="1053235738">
    <w:abstractNumId w:val="25"/>
  </w:num>
  <w:num w:numId="34" w16cid:durableId="2066642818">
    <w:abstractNumId w:val="40"/>
  </w:num>
  <w:num w:numId="35" w16cid:durableId="2056850493">
    <w:abstractNumId w:val="30"/>
  </w:num>
  <w:num w:numId="36" w16cid:durableId="1134060717">
    <w:abstractNumId w:val="24"/>
  </w:num>
  <w:num w:numId="37" w16cid:durableId="404913987">
    <w:abstractNumId w:val="47"/>
  </w:num>
  <w:num w:numId="38" w16cid:durableId="271405464">
    <w:abstractNumId w:val="2"/>
  </w:num>
  <w:num w:numId="39" w16cid:durableId="1933976230">
    <w:abstractNumId w:val="34"/>
  </w:num>
  <w:num w:numId="40" w16cid:durableId="2054306373">
    <w:abstractNumId w:val="35"/>
  </w:num>
  <w:num w:numId="41" w16cid:durableId="890578623">
    <w:abstractNumId w:val="16"/>
  </w:num>
  <w:num w:numId="42" w16cid:durableId="523717562">
    <w:abstractNumId w:val="42"/>
  </w:num>
  <w:num w:numId="43" w16cid:durableId="1570531781">
    <w:abstractNumId w:val="32"/>
  </w:num>
  <w:num w:numId="44" w16cid:durableId="1715764582">
    <w:abstractNumId w:val="31"/>
  </w:num>
  <w:num w:numId="45" w16cid:durableId="40830464">
    <w:abstractNumId w:val="18"/>
  </w:num>
  <w:num w:numId="46" w16cid:durableId="1654866509">
    <w:abstractNumId w:val="28"/>
  </w:num>
  <w:num w:numId="47" w16cid:durableId="1397314719">
    <w:abstractNumId w:val="7"/>
  </w:num>
  <w:num w:numId="48" w16cid:durableId="12651128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6ED"/>
    <w:rsid w:val="001F4CA2"/>
    <w:rsid w:val="002214F2"/>
    <w:rsid w:val="00261A1D"/>
    <w:rsid w:val="00452BD0"/>
    <w:rsid w:val="004E7798"/>
    <w:rsid w:val="005D3AB6"/>
    <w:rsid w:val="006109E6"/>
    <w:rsid w:val="006B16ED"/>
    <w:rsid w:val="00871A60"/>
    <w:rsid w:val="00AC3D75"/>
    <w:rsid w:val="00B15D75"/>
    <w:rsid w:val="00B64796"/>
    <w:rsid w:val="00BE5951"/>
    <w:rsid w:val="00DA5A78"/>
    <w:rsid w:val="00F25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DFD9D2"/>
  <w15:chartTrackingRefBased/>
  <w15:docId w15:val="{9F813C7C-9C9C-DB48-BCAC-D9D54BE6D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ED"/>
    <w:rPr>
      <w:rFonts w:ascii="Arial" w:eastAsia="Times New Roman" w:hAnsi="Arial" w:cs="Times New Roman"/>
      <w:sz w:val="22"/>
      <w:lang w:eastAsia="en-GB"/>
    </w:rPr>
  </w:style>
  <w:style w:type="paragraph" w:styleId="Heading1">
    <w:name w:val="heading 1"/>
    <w:basedOn w:val="Normal"/>
    <w:link w:val="Heading1Char"/>
    <w:uiPriority w:val="9"/>
    <w:qFormat/>
    <w:rsid w:val="006B16ED"/>
    <w:pPr>
      <w:spacing w:before="100" w:beforeAutospacing="1" w:after="100" w:afterAutospacing="1"/>
      <w:outlineLvl w:val="0"/>
    </w:pPr>
    <w:rPr>
      <w:b/>
      <w:bCs/>
      <w:kern w:val="36"/>
      <w:szCs w:val="48"/>
    </w:rPr>
  </w:style>
  <w:style w:type="paragraph" w:styleId="Heading2">
    <w:name w:val="heading 2"/>
    <w:basedOn w:val="Normal"/>
    <w:link w:val="Heading2Char"/>
    <w:uiPriority w:val="9"/>
    <w:qFormat/>
    <w:rsid w:val="00452BD0"/>
    <w:pPr>
      <w:spacing w:before="100" w:beforeAutospacing="1" w:after="100" w:afterAutospacing="1"/>
      <w:outlineLvl w:val="1"/>
    </w:pPr>
    <w:rPr>
      <w:rFonts w:ascii="Times New Roman" w:hAnsi="Times New Roman"/>
      <w:b/>
      <w:bCs/>
      <w:sz w:val="36"/>
      <w:szCs w:val="36"/>
    </w:rPr>
  </w:style>
  <w:style w:type="paragraph" w:styleId="Heading3">
    <w:name w:val="heading 3"/>
    <w:basedOn w:val="Normal"/>
    <w:link w:val="Heading3Char"/>
    <w:uiPriority w:val="9"/>
    <w:qFormat/>
    <w:rsid w:val="00452BD0"/>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uiPriority w:val="9"/>
    <w:semiHidden/>
    <w:unhideWhenUsed/>
    <w:qFormat/>
    <w:rsid w:val="00452BD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6ED"/>
    <w:rPr>
      <w:rFonts w:ascii="Arial" w:eastAsia="Times New Roman" w:hAnsi="Arial" w:cs="Times New Roman"/>
      <w:b/>
      <w:bCs/>
      <w:kern w:val="36"/>
      <w:sz w:val="22"/>
      <w:szCs w:val="48"/>
      <w:lang w:eastAsia="en-GB"/>
    </w:rPr>
  </w:style>
  <w:style w:type="paragraph" w:styleId="NormalWeb">
    <w:name w:val="Normal (Web)"/>
    <w:basedOn w:val="Normal"/>
    <w:uiPriority w:val="99"/>
    <w:unhideWhenUsed/>
    <w:rsid w:val="006B16ED"/>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uiPriority w:val="9"/>
    <w:semiHidden/>
    <w:rsid w:val="00452BD0"/>
    <w:rPr>
      <w:rFonts w:asciiTheme="majorHAnsi" w:eastAsiaTheme="majorEastAsia" w:hAnsiTheme="majorHAnsi" w:cstheme="majorBidi"/>
      <w:i/>
      <w:iCs/>
      <w:color w:val="2F5496" w:themeColor="accent1" w:themeShade="BF"/>
      <w:sz w:val="22"/>
      <w:lang w:eastAsia="en-GB"/>
    </w:rPr>
  </w:style>
  <w:style w:type="character" w:customStyle="1" w:styleId="Heading2Char">
    <w:name w:val="Heading 2 Char"/>
    <w:basedOn w:val="DefaultParagraphFont"/>
    <w:link w:val="Heading2"/>
    <w:uiPriority w:val="9"/>
    <w:rsid w:val="00452BD0"/>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52BD0"/>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452BD0"/>
  </w:style>
  <w:style w:type="character" w:styleId="Strong">
    <w:name w:val="Strong"/>
    <w:basedOn w:val="DefaultParagraphFont"/>
    <w:uiPriority w:val="22"/>
    <w:qFormat/>
    <w:rsid w:val="00452BD0"/>
    <w:rPr>
      <w:b/>
      <w:bCs/>
    </w:rPr>
  </w:style>
  <w:style w:type="character" w:styleId="Emphasis">
    <w:name w:val="Emphasis"/>
    <w:basedOn w:val="DefaultParagraphFont"/>
    <w:uiPriority w:val="20"/>
    <w:qFormat/>
    <w:rsid w:val="00452BD0"/>
    <w:rPr>
      <w:i/>
      <w:iCs/>
    </w:rPr>
  </w:style>
  <w:style w:type="character" w:styleId="Hyperlink">
    <w:name w:val="Hyperlink"/>
    <w:basedOn w:val="DefaultParagraphFont"/>
    <w:uiPriority w:val="99"/>
    <w:unhideWhenUsed/>
    <w:rsid w:val="00452BD0"/>
    <w:rPr>
      <w:color w:val="0000FF"/>
      <w:u w:val="single"/>
    </w:rPr>
  </w:style>
  <w:style w:type="table" w:styleId="TableGrid">
    <w:name w:val="Table Grid"/>
    <w:basedOn w:val="TableNormal"/>
    <w:uiPriority w:val="59"/>
    <w:rsid w:val="00452B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52BD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vgsua">
    <w:name w:val="cvgsua"/>
    <w:basedOn w:val="Normal"/>
    <w:rsid w:val="00452BD0"/>
    <w:pPr>
      <w:spacing w:before="100" w:beforeAutospacing="1" w:after="100" w:afterAutospacing="1"/>
    </w:pPr>
  </w:style>
  <w:style w:type="character" w:customStyle="1" w:styleId="agcmg">
    <w:name w:val="a_gcmg"/>
    <w:basedOn w:val="DefaultParagraphFont"/>
    <w:rsid w:val="00452BD0"/>
  </w:style>
  <w:style w:type="paragraph" w:styleId="NoSpacing">
    <w:name w:val="No Spacing"/>
    <w:link w:val="NoSpacingChar"/>
    <w:uiPriority w:val="1"/>
    <w:qFormat/>
    <w:rsid w:val="00452BD0"/>
    <w:rPr>
      <w:rFonts w:eastAsiaTheme="minorEastAsia"/>
      <w:sz w:val="22"/>
      <w:szCs w:val="22"/>
      <w:lang w:val="en-US" w:eastAsia="zh-CN"/>
    </w:rPr>
  </w:style>
  <w:style w:type="character" w:customStyle="1" w:styleId="NoSpacingChar">
    <w:name w:val="No Spacing Char"/>
    <w:basedOn w:val="DefaultParagraphFont"/>
    <w:link w:val="NoSpacing"/>
    <w:uiPriority w:val="1"/>
    <w:rsid w:val="00452BD0"/>
    <w:rPr>
      <w:rFonts w:eastAsiaTheme="minorEastAsia"/>
      <w:sz w:val="22"/>
      <w:szCs w:val="22"/>
      <w:lang w:val="en-US" w:eastAsia="zh-CN"/>
    </w:rPr>
  </w:style>
  <w:style w:type="paragraph" w:styleId="Footer">
    <w:name w:val="footer"/>
    <w:basedOn w:val="Normal"/>
    <w:link w:val="FooterChar"/>
    <w:uiPriority w:val="99"/>
    <w:unhideWhenUsed/>
    <w:rsid w:val="00452BD0"/>
    <w:pPr>
      <w:tabs>
        <w:tab w:val="center" w:pos="4513"/>
        <w:tab w:val="right" w:pos="9026"/>
      </w:tabs>
    </w:pPr>
  </w:style>
  <w:style w:type="character" w:customStyle="1" w:styleId="FooterChar">
    <w:name w:val="Footer Char"/>
    <w:basedOn w:val="DefaultParagraphFont"/>
    <w:link w:val="Footer"/>
    <w:uiPriority w:val="99"/>
    <w:rsid w:val="00452BD0"/>
    <w:rPr>
      <w:rFonts w:ascii="Arial" w:eastAsia="Times New Roman" w:hAnsi="Arial" w:cs="Times New Roman"/>
      <w:sz w:val="22"/>
      <w:lang w:eastAsia="en-GB"/>
    </w:rPr>
  </w:style>
  <w:style w:type="character" w:styleId="PageNumber">
    <w:name w:val="page number"/>
    <w:basedOn w:val="DefaultParagraphFont"/>
    <w:uiPriority w:val="99"/>
    <w:semiHidden/>
    <w:unhideWhenUsed/>
    <w:rsid w:val="00452BD0"/>
  </w:style>
  <w:style w:type="paragraph" w:customStyle="1" w:styleId="p1">
    <w:name w:val="p1"/>
    <w:basedOn w:val="Normal"/>
    <w:rsid w:val="00452BD0"/>
    <w:rPr>
      <w:rFonts w:ascii="Helvetica" w:hAnsi="Helvetica"/>
      <w:color w:val="000000"/>
      <w:sz w:val="23"/>
      <w:szCs w:val="23"/>
    </w:rPr>
  </w:style>
  <w:style w:type="paragraph" w:styleId="TOCHeading">
    <w:name w:val="TOC Heading"/>
    <w:basedOn w:val="Heading1"/>
    <w:next w:val="Normal"/>
    <w:uiPriority w:val="39"/>
    <w:unhideWhenUsed/>
    <w:qFormat/>
    <w:rsid w:val="00452BD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452BD0"/>
    <w:pPr>
      <w:spacing w:before="360" w:after="360"/>
    </w:pPr>
    <w:rPr>
      <w:rFonts w:asciiTheme="minorHAnsi" w:hAnsiTheme="minorHAnsi" w:cstheme="minorHAnsi"/>
      <w:b/>
      <w:bCs/>
      <w:caps/>
      <w:szCs w:val="22"/>
      <w:u w:val="single"/>
    </w:rPr>
  </w:style>
  <w:style w:type="paragraph" w:styleId="TOC2">
    <w:name w:val="toc 2"/>
    <w:basedOn w:val="Normal"/>
    <w:next w:val="Normal"/>
    <w:autoRedefine/>
    <w:uiPriority w:val="39"/>
    <w:unhideWhenUsed/>
    <w:rsid w:val="00452BD0"/>
    <w:rPr>
      <w:rFonts w:asciiTheme="minorHAnsi" w:hAnsiTheme="minorHAnsi" w:cstheme="minorHAnsi"/>
      <w:b/>
      <w:bCs/>
      <w:smallCaps/>
      <w:szCs w:val="22"/>
    </w:rPr>
  </w:style>
  <w:style w:type="paragraph" w:styleId="TOC3">
    <w:name w:val="toc 3"/>
    <w:basedOn w:val="Normal"/>
    <w:next w:val="Normal"/>
    <w:autoRedefine/>
    <w:uiPriority w:val="39"/>
    <w:unhideWhenUsed/>
    <w:rsid w:val="00452BD0"/>
    <w:rPr>
      <w:rFonts w:asciiTheme="minorHAnsi" w:hAnsiTheme="minorHAnsi" w:cstheme="minorHAnsi"/>
      <w:smallCaps/>
      <w:szCs w:val="22"/>
    </w:rPr>
  </w:style>
  <w:style w:type="paragraph" w:styleId="TOC4">
    <w:name w:val="toc 4"/>
    <w:basedOn w:val="Normal"/>
    <w:next w:val="Normal"/>
    <w:autoRedefine/>
    <w:uiPriority w:val="39"/>
    <w:unhideWhenUsed/>
    <w:rsid w:val="00452BD0"/>
    <w:rPr>
      <w:rFonts w:asciiTheme="minorHAnsi" w:hAnsiTheme="minorHAnsi" w:cstheme="minorHAnsi"/>
      <w:szCs w:val="22"/>
    </w:rPr>
  </w:style>
  <w:style w:type="paragraph" w:styleId="TOC5">
    <w:name w:val="toc 5"/>
    <w:basedOn w:val="Normal"/>
    <w:next w:val="Normal"/>
    <w:autoRedefine/>
    <w:uiPriority w:val="39"/>
    <w:unhideWhenUsed/>
    <w:rsid w:val="00452BD0"/>
    <w:rPr>
      <w:rFonts w:asciiTheme="minorHAnsi" w:hAnsiTheme="minorHAnsi" w:cstheme="minorHAnsi"/>
      <w:szCs w:val="22"/>
    </w:rPr>
  </w:style>
  <w:style w:type="paragraph" w:styleId="TOC6">
    <w:name w:val="toc 6"/>
    <w:basedOn w:val="Normal"/>
    <w:next w:val="Normal"/>
    <w:autoRedefine/>
    <w:uiPriority w:val="39"/>
    <w:unhideWhenUsed/>
    <w:rsid w:val="00452BD0"/>
    <w:rPr>
      <w:rFonts w:asciiTheme="minorHAnsi" w:hAnsiTheme="minorHAnsi" w:cstheme="minorHAnsi"/>
      <w:szCs w:val="22"/>
    </w:rPr>
  </w:style>
  <w:style w:type="paragraph" w:styleId="TOC7">
    <w:name w:val="toc 7"/>
    <w:basedOn w:val="Normal"/>
    <w:next w:val="Normal"/>
    <w:autoRedefine/>
    <w:uiPriority w:val="39"/>
    <w:unhideWhenUsed/>
    <w:rsid w:val="00452BD0"/>
    <w:rPr>
      <w:rFonts w:asciiTheme="minorHAnsi" w:hAnsiTheme="minorHAnsi" w:cstheme="minorHAnsi"/>
      <w:szCs w:val="22"/>
    </w:rPr>
  </w:style>
  <w:style w:type="paragraph" w:styleId="TOC8">
    <w:name w:val="toc 8"/>
    <w:basedOn w:val="Normal"/>
    <w:next w:val="Normal"/>
    <w:autoRedefine/>
    <w:uiPriority w:val="39"/>
    <w:unhideWhenUsed/>
    <w:rsid w:val="00452BD0"/>
    <w:rPr>
      <w:rFonts w:asciiTheme="minorHAnsi" w:hAnsiTheme="minorHAnsi" w:cstheme="minorHAnsi"/>
      <w:szCs w:val="22"/>
    </w:rPr>
  </w:style>
  <w:style w:type="paragraph" w:styleId="TOC9">
    <w:name w:val="toc 9"/>
    <w:basedOn w:val="Normal"/>
    <w:next w:val="Normal"/>
    <w:autoRedefine/>
    <w:uiPriority w:val="39"/>
    <w:unhideWhenUsed/>
    <w:rsid w:val="00452BD0"/>
    <w:rPr>
      <w:rFonts w:asciiTheme="minorHAnsi" w:hAnsiTheme="minorHAnsi" w:cstheme="minorHAnsi"/>
      <w:szCs w:val="22"/>
    </w:rPr>
  </w:style>
  <w:style w:type="character" w:styleId="UnresolvedMention">
    <w:name w:val="Unresolved Mention"/>
    <w:basedOn w:val="DefaultParagraphFont"/>
    <w:uiPriority w:val="99"/>
    <w:semiHidden/>
    <w:unhideWhenUsed/>
    <w:rsid w:val="00452BD0"/>
    <w:rPr>
      <w:color w:val="605E5C"/>
      <w:shd w:val="clear" w:color="auto" w:fill="E1DFDD"/>
    </w:rPr>
  </w:style>
  <w:style w:type="paragraph" w:styleId="Header">
    <w:name w:val="header"/>
    <w:basedOn w:val="Normal"/>
    <w:link w:val="HeaderChar"/>
    <w:uiPriority w:val="99"/>
    <w:unhideWhenUsed/>
    <w:rsid w:val="00452BD0"/>
    <w:pPr>
      <w:tabs>
        <w:tab w:val="center" w:pos="4513"/>
        <w:tab w:val="right" w:pos="9026"/>
      </w:tabs>
    </w:pPr>
  </w:style>
  <w:style w:type="character" w:customStyle="1" w:styleId="HeaderChar">
    <w:name w:val="Header Char"/>
    <w:basedOn w:val="DefaultParagraphFont"/>
    <w:link w:val="Header"/>
    <w:uiPriority w:val="99"/>
    <w:rsid w:val="00452BD0"/>
    <w:rPr>
      <w:rFonts w:ascii="Arial" w:eastAsia="Times New Roman" w:hAnsi="Arial" w:cs="Times New Roman"/>
      <w:sz w:val="22"/>
      <w:lang w:eastAsia="en-GB"/>
    </w:rPr>
  </w:style>
  <w:style w:type="paragraph" w:styleId="ListParagraph">
    <w:name w:val="List Paragraph"/>
    <w:basedOn w:val="Normal"/>
    <w:uiPriority w:val="34"/>
    <w:qFormat/>
    <w:rsid w:val="00452BD0"/>
    <w:pPr>
      <w:ind w:left="720"/>
      <w:contextualSpacing/>
    </w:pPr>
  </w:style>
  <w:style w:type="character" w:styleId="FollowedHyperlink">
    <w:name w:val="FollowedHyperlink"/>
    <w:basedOn w:val="DefaultParagraphFont"/>
    <w:uiPriority w:val="99"/>
    <w:semiHidden/>
    <w:unhideWhenUsed/>
    <w:rsid w:val="00452B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153319">
      <w:bodyDiv w:val="1"/>
      <w:marLeft w:val="0"/>
      <w:marRight w:val="0"/>
      <w:marTop w:val="0"/>
      <w:marBottom w:val="0"/>
      <w:divBdr>
        <w:top w:val="none" w:sz="0" w:space="0" w:color="auto"/>
        <w:left w:val="none" w:sz="0" w:space="0" w:color="auto"/>
        <w:bottom w:val="none" w:sz="0" w:space="0" w:color="auto"/>
        <w:right w:val="none" w:sz="0" w:space="0" w:color="auto"/>
      </w:divBdr>
    </w:div>
    <w:div w:id="1271275649">
      <w:bodyDiv w:val="1"/>
      <w:marLeft w:val="0"/>
      <w:marRight w:val="0"/>
      <w:marTop w:val="0"/>
      <w:marBottom w:val="0"/>
      <w:divBdr>
        <w:top w:val="none" w:sz="0" w:space="0" w:color="auto"/>
        <w:left w:val="none" w:sz="0" w:space="0" w:color="auto"/>
        <w:bottom w:val="none" w:sz="0" w:space="0" w:color="auto"/>
        <w:right w:val="none" w:sz="0" w:space="0" w:color="auto"/>
      </w:divBdr>
    </w:div>
    <w:div w:id="182184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25</Pages>
  <Words>6340</Words>
  <Characters>36138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Fawaz Yaslam (2113070)</dc:creator>
  <cp:keywords/>
  <dc:description/>
  <cp:lastModifiedBy>Fawaz Yaslam (2113070)</cp:lastModifiedBy>
  <cp:revision>7</cp:revision>
  <dcterms:created xsi:type="dcterms:W3CDTF">2025-11-21T10:54:00Z</dcterms:created>
  <dcterms:modified xsi:type="dcterms:W3CDTF">2025-11-21T23:41:00Z</dcterms:modified>
</cp:coreProperties>
</file>