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B9036C" w14:textId="77777777" w:rsidR="004E6B80" w:rsidRDefault="004E6B80" w:rsidP="00B54016">
      <w:pPr>
        <w:spacing w:line="360" w:lineRule="auto"/>
        <w:rPr>
          <w:rFonts w:cstheme="minorHAnsi"/>
          <w:color w:val="000000" w:themeColor="text1"/>
          <w:sz w:val="24"/>
          <w:szCs w:val="24"/>
        </w:rPr>
      </w:pPr>
    </w:p>
    <w:p w14:paraId="646BF3A1" w14:textId="77777777" w:rsidR="004E6B80" w:rsidRDefault="004E6B80" w:rsidP="00B54016">
      <w:pPr>
        <w:spacing w:line="360" w:lineRule="auto"/>
        <w:rPr>
          <w:rFonts w:cstheme="minorHAnsi"/>
          <w:color w:val="000000" w:themeColor="text1"/>
          <w:sz w:val="24"/>
          <w:szCs w:val="24"/>
        </w:rPr>
      </w:pPr>
    </w:p>
    <w:p w14:paraId="4CC2F1A7" w14:textId="77777777" w:rsidR="004E6B80" w:rsidRDefault="004E6B80" w:rsidP="004E6B80">
      <w:pPr>
        <w:pStyle w:val="paragraph"/>
        <w:spacing w:before="0" w:beforeAutospacing="0" w:after="0" w:afterAutospacing="0"/>
        <w:jc w:val="center"/>
        <w:textAlignment w:val="baseline"/>
        <w:rPr>
          <w:rFonts w:ascii="Segoe UI" w:hAnsi="Segoe UI" w:cs="Segoe UI"/>
          <w:sz w:val="18"/>
          <w:szCs w:val="18"/>
        </w:rPr>
      </w:pPr>
      <w:r>
        <w:rPr>
          <w:rStyle w:val="normaltextrun"/>
          <w:rFonts w:ascii="Calibri" w:hAnsi="Calibri" w:cs="Calibri"/>
          <w:sz w:val="52"/>
          <w:szCs w:val="52"/>
        </w:rPr>
        <w:t>Fostering Community Development:</w:t>
      </w:r>
      <w:r>
        <w:rPr>
          <w:rStyle w:val="eop"/>
          <w:rFonts w:ascii="Calibri" w:hAnsi="Calibri" w:cs="Calibri"/>
          <w:sz w:val="52"/>
          <w:szCs w:val="52"/>
        </w:rPr>
        <w:t> </w:t>
      </w:r>
    </w:p>
    <w:p w14:paraId="6DBD6D81" w14:textId="289D36DF" w:rsidR="004E6B80" w:rsidRDefault="004E6B80" w:rsidP="004E6B80">
      <w:pPr>
        <w:pStyle w:val="paragraph"/>
        <w:spacing w:before="0" w:beforeAutospacing="0" w:after="0" w:afterAutospacing="0"/>
        <w:jc w:val="center"/>
        <w:textAlignment w:val="baseline"/>
        <w:rPr>
          <w:rFonts w:ascii="Segoe UI" w:hAnsi="Segoe UI" w:cs="Segoe UI"/>
          <w:sz w:val="18"/>
          <w:szCs w:val="18"/>
        </w:rPr>
      </w:pPr>
      <w:r>
        <w:rPr>
          <w:rStyle w:val="normaltextrun"/>
          <w:rFonts w:ascii="Calibri" w:hAnsi="Calibri" w:cs="Calibri"/>
          <w:sz w:val="52"/>
          <w:szCs w:val="52"/>
        </w:rPr>
        <w:t xml:space="preserve"> A Critical Examination of Health Initiatives and Innovative Technologies in the Diverse Community of </w:t>
      </w:r>
      <w:r w:rsidR="00D53FAD">
        <w:rPr>
          <w:rStyle w:val="normaltextrun"/>
          <w:rFonts w:ascii="Calibri" w:hAnsi="Calibri" w:cs="Calibri"/>
          <w:sz w:val="52"/>
          <w:szCs w:val="52"/>
        </w:rPr>
        <w:t>Bettws</w:t>
      </w:r>
      <w:r>
        <w:rPr>
          <w:rStyle w:val="normaltextrun"/>
          <w:rFonts w:ascii="Calibri" w:hAnsi="Calibri" w:cs="Calibri"/>
          <w:sz w:val="52"/>
          <w:szCs w:val="52"/>
        </w:rPr>
        <w:t xml:space="preserve"> in Newport, South Wales</w:t>
      </w:r>
      <w:r>
        <w:rPr>
          <w:rStyle w:val="eop"/>
          <w:rFonts w:ascii="Calibri" w:hAnsi="Calibri" w:cs="Calibri"/>
          <w:sz w:val="52"/>
          <w:szCs w:val="52"/>
        </w:rPr>
        <w:t> </w:t>
      </w:r>
    </w:p>
    <w:p w14:paraId="171EE5E7" w14:textId="77777777" w:rsidR="004E6B80" w:rsidRDefault="004E6B80" w:rsidP="004E6B80">
      <w:pPr>
        <w:pStyle w:val="paragraph"/>
        <w:spacing w:before="0" w:beforeAutospacing="0" w:after="0" w:afterAutospacing="0"/>
        <w:jc w:val="center"/>
        <w:textAlignment w:val="baseline"/>
        <w:rPr>
          <w:rFonts w:ascii="Segoe UI" w:hAnsi="Segoe UI" w:cs="Segoe UI"/>
          <w:sz w:val="18"/>
          <w:szCs w:val="18"/>
        </w:rPr>
      </w:pPr>
      <w:r>
        <w:rPr>
          <w:rStyle w:val="eop"/>
          <w:rFonts w:ascii="Calibri" w:hAnsi="Calibri" w:cs="Calibri"/>
          <w:sz w:val="52"/>
          <w:szCs w:val="52"/>
        </w:rPr>
        <w:t> </w:t>
      </w:r>
    </w:p>
    <w:p w14:paraId="17668219" w14:textId="77777777" w:rsidR="004E6B80" w:rsidRDefault="004E6B80" w:rsidP="004E6B80">
      <w:pPr>
        <w:pStyle w:val="paragraph"/>
        <w:spacing w:before="0" w:beforeAutospacing="0" w:after="0" w:afterAutospacing="0"/>
        <w:jc w:val="center"/>
        <w:textAlignment w:val="baseline"/>
        <w:rPr>
          <w:rFonts w:ascii="Segoe UI" w:hAnsi="Segoe UI" w:cs="Segoe UI"/>
          <w:sz w:val="18"/>
          <w:szCs w:val="18"/>
        </w:rPr>
      </w:pPr>
      <w:r>
        <w:rPr>
          <w:rStyle w:val="normaltextrun"/>
          <w:rFonts w:ascii="Calibri" w:hAnsi="Calibri" w:cs="Calibri"/>
          <w:sz w:val="52"/>
          <w:szCs w:val="52"/>
        </w:rPr>
        <w:t>Corey Edwards</w:t>
      </w:r>
      <w:r>
        <w:rPr>
          <w:rStyle w:val="eop"/>
          <w:rFonts w:ascii="Calibri" w:hAnsi="Calibri" w:cs="Calibri"/>
          <w:sz w:val="52"/>
          <w:szCs w:val="52"/>
        </w:rPr>
        <w:t> </w:t>
      </w:r>
    </w:p>
    <w:p w14:paraId="5299AEE1" w14:textId="77777777" w:rsidR="004E6B80" w:rsidRDefault="004E6B80" w:rsidP="004E6B80">
      <w:pPr>
        <w:pStyle w:val="paragraph"/>
        <w:spacing w:before="0" w:beforeAutospacing="0" w:after="0" w:afterAutospacing="0"/>
        <w:jc w:val="center"/>
        <w:textAlignment w:val="baseline"/>
        <w:rPr>
          <w:rFonts w:ascii="Segoe UI" w:hAnsi="Segoe UI" w:cs="Segoe UI"/>
          <w:sz w:val="18"/>
          <w:szCs w:val="18"/>
        </w:rPr>
      </w:pPr>
      <w:r>
        <w:rPr>
          <w:rStyle w:val="normaltextrun"/>
          <w:rFonts w:ascii="Calibri" w:hAnsi="Calibri" w:cs="Calibri"/>
          <w:sz w:val="52"/>
          <w:szCs w:val="52"/>
        </w:rPr>
        <w:t>BMHP6022</w:t>
      </w:r>
      <w:r>
        <w:rPr>
          <w:rStyle w:val="eop"/>
          <w:rFonts w:ascii="Calibri" w:hAnsi="Calibri" w:cs="Calibri"/>
          <w:sz w:val="52"/>
          <w:szCs w:val="52"/>
        </w:rPr>
        <w:t> </w:t>
      </w:r>
    </w:p>
    <w:p w14:paraId="4D14E1F4" w14:textId="77777777" w:rsidR="004E6B80" w:rsidRDefault="004E6B80" w:rsidP="00B54016">
      <w:pPr>
        <w:spacing w:line="360" w:lineRule="auto"/>
        <w:rPr>
          <w:rFonts w:cstheme="minorHAnsi"/>
          <w:color w:val="000000" w:themeColor="text1"/>
          <w:sz w:val="24"/>
          <w:szCs w:val="24"/>
        </w:rPr>
      </w:pPr>
    </w:p>
    <w:p w14:paraId="220DF750" w14:textId="77777777" w:rsidR="004E6B80" w:rsidRDefault="004E6B80" w:rsidP="00B54016">
      <w:pPr>
        <w:spacing w:line="360" w:lineRule="auto"/>
        <w:rPr>
          <w:rFonts w:cstheme="minorHAnsi"/>
          <w:color w:val="000000" w:themeColor="text1"/>
          <w:sz w:val="24"/>
          <w:szCs w:val="24"/>
        </w:rPr>
      </w:pPr>
    </w:p>
    <w:p w14:paraId="747CA86E" w14:textId="77777777" w:rsidR="004E6B80" w:rsidRDefault="004E6B80" w:rsidP="00B54016">
      <w:pPr>
        <w:spacing w:line="360" w:lineRule="auto"/>
        <w:rPr>
          <w:rFonts w:cstheme="minorHAnsi"/>
          <w:color w:val="000000" w:themeColor="text1"/>
          <w:sz w:val="24"/>
          <w:szCs w:val="24"/>
        </w:rPr>
      </w:pPr>
    </w:p>
    <w:p w14:paraId="27AC5887" w14:textId="77777777" w:rsidR="004E6B80" w:rsidRDefault="004E6B80" w:rsidP="00B54016">
      <w:pPr>
        <w:spacing w:line="360" w:lineRule="auto"/>
        <w:rPr>
          <w:rFonts w:cstheme="minorHAnsi"/>
          <w:color w:val="000000" w:themeColor="text1"/>
          <w:sz w:val="24"/>
          <w:szCs w:val="24"/>
        </w:rPr>
      </w:pPr>
    </w:p>
    <w:p w14:paraId="6560C63A" w14:textId="77777777" w:rsidR="004E6B80" w:rsidRDefault="004E6B80" w:rsidP="00B54016">
      <w:pPr>
        <w:spacing w:line="360" w:lineRule="auto"/>
        <w:rPr>
          <w:rFonts w:cstheme="minorHAnsi"/>
          <w:color w:val="000000" w:themeColor="text1"/>
          <w:sz w:val="24"/>
          <w:szCs w:val="24"/>
        </w:rPr>
      </w:pPr>
    </w:p>
    <w:p w14:paraId="6CC7705D" w14:textId="77777777" w:rsidR="004E6B80" w:rsidRDefault="004E6B80" w:rsidP="00B54016">
      <w:pPr>
        <w:spacing w:line="360" w:lineRule="auto"/>
        <w:rPr>
          <w:rFonts w:cstheme="minorHAnsi"/>
          <w:color w:val="000000" w:themeColor="text1"/>
          <w:sz w:val="24"/>
          <w:szCs w:val="24"/>
        </w:rPr>
      </w:pPr>
    </w:p>
    <w:p w14:paraId="24B4B899" w14:textId="77777777" w:rsidR="004E6B80" w:rsidRDefault="004E6B80" w:rsidP="00B54016">
      <w:pPr>
        <w:spacing w:line="360" w:lineRule="auto"/>
        <w:rPr>
          <w:rFonts w:cstheme="minorHAnsi"/>
          <w:color w:val="000000" w:themeColor="text1"/>
          <w:sz w:val="24"/>
          <w:szCs w:val="24"/>
        </w:rPr>
      </w:pPr>
    </w:p>
    <w:p w14:paraId="48551298" w14:textId="77777777" w:rsidR="004E6B80" w:rsidRDefault="004E6B80" w:rsidP="00B54016">
      <w:pPr>
        <w:spacing w:line="360" w:lineRule="auto"/>
        <w:rPr>
          <w:rFonts w:cstheme="minorHAnsi"/>
          <w:color w:val="000000" w:themeColor="text1"/>
          <w:sz w:val="24"/>
          <w:szCs w:val="24"/>
        </w:rPr>
      </w:pPr>
    </w:p>
    <w:p w14:paraId="46A59F83" w14:textId="77777777" w:rsidR="004E6B80" w:rsidRDefault="004E6B80" w:rsidP="00B54016">
      <w:pPr>
        <w:spacing w:line="360" w:lineRule="auto"/>
        <w:rPr>
          <w:rFonts w:cstheme="minorHAnsi"/>
          <w:color w:val="000000" w:themeColor="text1"/>
          <w:sz w:val="24"/>
          <w:szCs w:val="24"/>
        </w:rPr>
      </w:pPr>
    </w:p>
    <w:p w14:paraId="264899C5" w14:textId="77777777" w:rsidR="004E6B80" w:rsidRDefault="004E6B80" w:rsidP="00B54016">
      <w:pPr>
        <w:spacing w:line="360" w:lineRule="auto"/>
        <w:rPr>
          <w:rFonts w:cstheme="minorHAnsi"/>
          <w:color w:val="000000" w:themeColor="text1"/>
          <w:sz w:val="24"/>
          <w:szCs w:val="24"/>
        </w:rPr>
      </w:pPr>
    </w:p>
    <w:p w14:paraId="0EA7B876" w14:textId="77777777" w:rsidR="004E6B80" w:rsidRDefault="004E6B80" w:rsidP="00B54016">
      <w:pPr>
        <w:spacing w:line="360" w:lineRule="auto"/>
        <w:rPr>
          <w:rFonts w:cstheme="minorHAnsi"/>
          <w:color w:val="000000" w:themeColor="text1"/>
          <w:sz w:val="24"/>
          <w:szCs w:val="24"/>
        </w:rPr>
      </w:pPr>
    </w:p>
    <w:p w14:paraId="16593B12" w14:textId="622641FE" w:rsidR="004E6B80" w:rsidRDefault="00D53FAD" w:rsidP="00D53FAD">
      <w:pPr>
        <w:spacing w:line="360" w:lineRule="auto"/>
        <w:jc w:val="right"/>
        <w:rPr>
          <w:rFonts w:cstheme="minorHAnsi"/>
          <w:color w:val="000000" w:themeColor="text1"/>
          <w:sz w:val="24"/>
          <w:szCs w:val="24"/>
        </w:rPr>
      </w:pPr>
      <w:r>
        <w:rPr>
          <w:rFonts w:cstheme="minorHAnsi"/>
          <w:color w:val="000000" w:themeColor="text1"/>
          <w:sz w:val="24"/>
          <w:szCs w:val="24"/>
        </w:rPr>
        <w:t>Laura Burniene 2115498</w:t>
      </w:r>
    </w:p>
    <w:p w14:paraId="72422A94" w14:textId="33AFEF98" w:rsidR="00B54016" w:rsidRDefault="00B54016" w:rsidP="00B54016">
      <w:pPr>
        <w:spacing w:line="360" w:lineRule="auto"/>
        <w:rPr>
          <w:rFonts w:cstheme="minorHAnsi"/>
          <w:color w:val="000000" w:themeColor="text1"/>
          <w:sz w:val="24"/>
          <w:szCs w:val="24"/>
        </w:rPr>
      </w:pPr>
      <w:r>
        <w:rPr>
          <w:rFonts w:cstheme="minorHAnsi"/>
          <w:color w:val="000000" w:themeColor="text1"/>
          <w:sz w:val="24"/>
          <w:szCs w:val="24"/>
        </w:rPr>
        <w:lastRenderedPageBreak/>
        <w:t>This Report will examine Community Health Assessment, Behavioural Change and Challenges, Primary Healthcare Services, Community Health Promotion, Mental Health Support, Community Engagement and Participation, Technology Integration, Collaboration with Local Organisations, Public Health Campaigns, Quality Improvement Measures, and finish with analysis, recommendations, and conclusion.</w:t>
      </w:r>
      <w:r>
        <w:t xml:space="preserve"> </w:t>
      </w:r>
      <w:r>
        <w:rPr>
          <w:rFonts w:cstheme="minorHAnsi"/>
          <w:color w:val="000000" w:themeColor="text1"/>
          <w:sz w:val="24"/>
          <w:szCs w:val="24"/>
        </w:rPr>
        <w:t>Most of the homes in the Bettws housing estate were constructed in the 1960s and share the same layout and style, every road in the estate has a river's name. 42.6% of the housing is rented from Newport City Council or nearby housing organisations like Charter Housing, while 51.8% of the housing is privately owned Newport City Council gave Newport City Homes, a housing association, ownership of their public housing in 2009 along with most of the land they held in the neighbourhood (BELC, 2023). The Office for National Statistics (ONS) estimates that 7,631 people live in Bettws as of mid-year 2015</w:t>
      </w:r>
      <w:r w:rsidR="00C1252C">
        <w:rPr>
          <w:rFonts w:cstheme="minorHAnsi"/>
          <w:color w:val="000000" w:themeColor="text1"/>
          <w:sz w:val="24"/>
          <w:szCs w:val="24"/>
        </w:rPr>
        <w:t>, t</w:t>
      </w:r>
      <w:r>
        <w:rPr>
          <w:rFonts w:cstheme="minorHAnsi"/>
          <w:color w:val="000000" w:themeColor="text1"/>
          <w:sz w:val="24"/>
          <w:szCs w:val="24"/>
        </w:rPr>
        <w:t>his represents 5.2% of Newport's total population of 147,769</w:t>
      </w:r>
      <w:r w:rsidR="00C1252C">
        <w:rPr>
          <w:rFonts w:cstheme="minorHAnsi"/>
          <w:color w:val="000000" w:themeColor="text1"/>
          <w:sz w:val="24"/>
          <w:szCs w:val="24"/>
        </w:rPr>
        <w:t>, i</w:t>
      </w:r>
      <w:r>
        <w:rPr>
          <w:rFonts w:cstheme="minorHAnsi"/>
          <w:color w:val="000000" w:themeColor="text1"/>
          <w:sz w:val="24"/>
          <w:szCs w:val="24"/>
        </w:rPr>
        <w:t>n 2011, there were 5.4% of non-white people living in Bettws and 94.6% of white people living there (Gov.uk, 2017). The proportion of non-white residents in Newport has been rising over time in 2009, 6.6% of the city's population was projected to be of a minority ethnic background, up from 4.8% in 2001 (</w:t>
      </w:r>
      <w:r w:rsidRPr="00B54016">
        <w:rPr>
          <w:rFonts w:cstheme="minorHAnsi"/>
          <w:color w:val="000000" w:themeColor="text1"/>
          <w:sz w:val="24"/>
          <w:szCs w:val="24"/>
        </w:rPr>
        <w:t>OFNS</w:t>
      </w:r>
      <w:r>
        <w:rPr>
          <w:rFonts w:cstheme="minorHAnsi"/>
          <w:color w:val="000000" w:themeColor="text1"/>
          <w:sz w:val="24"/>
          <w:szCs w:val="24"/>
        </w:rPr>
        <w:t>, 2023).</w:t>
      </w:r>
    </w:p>
    <w:p w14:paraId="6F685EE2" w14:textId="7BFEBDF7" w:rsidR="00B54016" w:rsidRDefault="00B54016" w:rsidP="00B54016">
      <w:pPr>
        <w:spacing w:line="360" w:lineRule="auto"/>
        <w:rPr>
          <w:rFonts w:cstheme="minorHAnsi"/>
          <w:color w:val="000000" w:themeColor="text1"/>
          <w:sz w:val="24"/>
          <w:szCs w:val="24"/>
        </w:rPr>
      </w:pPr>
      <w:r>
        <w:rPr>
          <w:rFonts w:cstheme="minorHAnsi"/>
          <w:color w:val="000000" w:themeColor="text1"/>
          <w:sz w:val="24"/>
          <w:szCs w:val="24"/>
        </w:rPr>
        <w:t>The percentage of children living in families with low incomes is higher than the Wales average (20.5%) in three of Bettws Ward's Small Areas (SOAs) with deprivation ranking in the top 10%, and in two of the ward's super output areas, the rates exceed 40%, which is double the Welsh average</w:t>
      </w:r>
      <w:r w:rsidR="00C1252C">
        <w:rPr>
          <w:rFonts w:cstheme="minorHAnsi"/>
          <w:color w:val="000000" w:themeColor="text1"/>
          <w:sz w:val="24"/>
          <w:szCs w:val="24"/>
        </w:rPr>
        <w:t xml:space="preserve"> (Gov.uk, 2023)</w:t>
      </w:r>
      <w:r>
        <w:rPr>
          <w:rFonts w:cstheme="minorHAnsi"/>
          <w:color w:val="000000" w:themeColor="text1"/>
          <w:sz w:val="24"/>
          <w:szCs w:val="24"/>
        </w:rPr>
        <w:t>. 40% of adults claim they lack qualifications, benefit claimant rates are double the Newport average, and foodbank referrals have been rising since the initial lockdown in March 2020 when many working people were placed on furlough (paying 80% of their salary) or laid off</w:t>
      </w:r>
      <w:r w:rsidR="00C1252C">
        <w:rPr>
          <w:rFonts w:cstheme="minorHAnsi"/>
          <w:color w:val="000000" w:themeColor="text1"/>
          <w:sz w:val="24"/>
          <w:szCs w:val="24"/>
        </w:rPr>
        <w:t xml:space="preserve"> (Gov.uk, 2021)</w:t>
      </w:r>
      <w:r>
        <w:rPr>
          <w:rFonts w:cstheme="minorHAnsi"/>
          <w:color w:val="000000" w:themeColor="text1"/>
          <w:sz w:val="24"/>
          <w:szCs w:val="24"/>
        </w:rPr>
        <w:t xml:space="preserve">. </w:t>
      </w:r>
      <w:r w:rsidR="00C1252C">
        <w:rPr>
          <w:rFonts w:cstheme="minorHAnsi"/>
          <w:color w:val="000000" w:themeColor="text1"/>
          <w:sz w:val="24"/>
          <w:szCs w:val="24"/>
        </w:rPr>
        <w:t xml:space="preserve">According to </w:t>
      </w:r>
      <w:r w:rsidR="00C1252C" w:rsidRPr="00C1252C">
        <w:rPr>
          <w:rFonts w:cstheme="minorHAnsi"/>
          <w:color w:val="000000" w:themeColor="text1"/>
          <w:sz w:val="24"/>
          <w:szCs w:val="24"/>
        </w:rPr>
        <w:t>Barton</w:t>
      </w:r>
      <w:r w:rsidR="00C1252C">
        <w:rPr>
          <w:rFonts w:cstheme="minorHAnsi"/>
          <w:color w:val="000000" w:themeColor="text1"/>
          <w:sz w:val="24"/>
          <w:szCs w:val="24"/>
        </w:rPr>
        <w:t xml:space="preserve"> and </w:t>
      </w:r>
      <w:r w:rsidR="00C1252C" w:rsidRPr="00C1252C">
        <w:rPr>
          <w:rFonts w:cstheme="minorHAnsi"/>
          <w:color w:val="000000" w:themeColor="text1"/>
          <w:sz w:val="24"/>
          <w:szCs w:val="24"/>
        </w:rPr>
        <w:t>Wilson</w:t>
      </w:r>
      <w:r w:rsidR="00C1252C">
        <w:rPr>
          <w:rFonts w:cstheme="minorHAnsi"/>
          <w:color w:val="000000" w:themeColor="text1"/>
          <w:sz w:val="24"/>
          <w:szCs w:val="24"/>
        </w:rPr>
        <w:t xml:space="preserve"> (2021), s</w:t>
      </w:r>
      <w:r>
        <w:rPr>
          <w:rFonts w:cstheme="minorHAnsi"/>
          <w:color w:val="000000" w:themeColor="text1"/>
          <w:sz w:val="24"/>
          <w:szCs w:val="24"/>
        </w:rPr>
        <w:t xml:space="preserve">ocial rent from housing organisations including Newport City Homes, United Welsh, and </w:t>
      </w:r>
      <w:proofErr w:type="spellStart"/>
      <w:r>
        <w:rPr>
          <w:rFonts w:cstheme="minorHAnsi"/>
          <w:color w:val="000000" w:themeColor="text1"/>
          <w:sz w:val="24"/>
          <w:szCs w:val="24"/>
        </w:rPr>
        <w:t>Pobl</w:t>
      </w:r>
      <w:proofErr w:type="spellEnd"/>
      <w:r>
        <w:rPr>
          <w:rFonts w:cstheme="minorHAnsi"/>
          <w:color w:val="000000" w:themeColor="text1"/>
          <w:sz w:val="24"/>
          <w:szCs w:val="24"/>
        </w:rPr>
        <w:t xml:space="preserve"> makes over 43% of the housing stock</w:t>
      </w:r>
      <w:r w:rsidR="00C1252C">
        <w:rPr>
          <w:rFonts w:cstheme="minorHAnsi"/>
          <w:color w:val="000000" w:themeColor="text1"/>
          <w:sz w:val="24"/>
          <w:szCs w:val="24"/>
        </w:rPr>
        <w:t>, m</w:t>
      </w:r>
      <w:r>
        <w:rPr>
          <w:rFonts w:cstheme="minorHAnsi"/>
          <w:color w:val="000000" w:themeColor="text1"/>
          <w:sz w:val="24"/>
          <w:szCs w:val="24"/>
        </w:rPr>
        <w:t>ore than 10% of respondents state that their health is poor or very poor, compared to 7% in Newport.</w:t>
      </w:r>
    </w:p>
    <w:p w14:paraId="05B2C1E2" w14:textId="77777777" w:rsidR="0087044B" w:rsidRDefault="00B54016" w:rsidP="00B54016">
      <w:pPr>
        <w:spacing w:line="360" w:lineRule="auto"/>
        <w:rPr>
          <w:rFonts w:cstheme="minorHAnsi"/>
          <w:color w:val="000000" w:themeColor="text1"/>
          <w:sz w:val="24"/>
          <w:szCs w:val="24"/>
        </w:rPr>
      </w:pPr>
      <w:r>
        <w:rPr>
          <w:rFonts w:cstheme="minorHAnsi"/>
          <w:color w:val="000000" w:themeColor="text1"/>
          <w:sz w:val="24"/>
          <w:szCs w:val="24"/>
        </w:rPr>
        <w:t>Collaborating with the community transport operator to guarantee that residents can access programmes and services</w:t>
      </w:r>
      <w:r w:rsidR="00C1252C">
        <w:rPr>
          <w:rFonts w:cstheme="minorHAnsi"/>
          <w:color w:val="000000" w:themeColor="text1"/>
          <w:sz w:val="24"/>
          <w:szCs w:val="24"/>
        </w:rPr>
        <w:t>,</w:t>
      </w:r>
      <w:r>
        <w:rPr>
          <w:rFonts w:cstheme="minorHAnsi"/>
          <w:color w:val="000000" w:themeColor="text1"/>
          <w:sz w:val="24"/>
          <w:szCs w:val="24"/>
        </w:rPr>
        <w:t xml:space="preserve"> </w:t>
      </w:r>
      <w:r w:rsidR="00C1252C">
        <w:rPr>
          <w:rFonts w:cstheme="minorHAnsi"/>
          <w:color w:val="000000" w:themeColor="text1"/>
          <w:sz w:val="24"/>
          <w:szCs w:val="24"/>
        </w:rPr>
        <w:t>c</w:t>
      </w:r>
      <w:r>
        <w:rPr>
          <w:rFonts w:cstheme="minorHAnsi"/>
          <w:color w:val="000000" w:themeColor="text1"/>
          <w:sz w:val="24"/>
          <w:szCs w:val="24"/>
        </w:rPr>
        <w:t xml:space="preserve">ommunicating with BCBC </w:t>
      </w:r>
      <w:proofErr w:type="gramStart"/>
      <w:r>
        <w:rPr>
          <w:rFonts w:cstheme="minorHAnsi"/>
          <w:color w:val="000000" w:themeColor="text1"/>
          <w:sz w:val="24"/>
          <w:szCs w:val="24"/>
        </w:rPr>
        <w:t>in order to</w:t>
      </w:r>
      <w:proofErr w:type="gramEnd"/>
      <w:r>
        <w:rPr>
          <w:rFonts w:cstheme="minorHAnsi"/>
          <w:color w:val="000000" w:themeColor="text1"/>
          <w:sz w:val="24"/>
          <w:szCs w:val="24"/>
        </w:rPr>
        <w:t xml:space="preserve"> suggest moving the bus route to a new stop at the closest mall</w:t>
      </w:r>
      <w:r w:rsidR="000E5F8E">
        <w:rPr>
          <w:rFonts w:cstheme="minorHAnsi"/>
          <w:color w:val="000000" w:themeColor="text1"/>
          <w:sz w:val="24"/>
          <w:szCs w:val="24"/>
        </w:rPr>
        <w:t xml:space="preserve"> (</w:t>
      </w:r>
      <w:proofErr w:type="spellStart"/>
      <w:r w:rsidR="000E5F8E" w:rsidRPr="000E5F8E">
        <w:rPr>
          <w:rFonts w:cstheme="minorHAnsi"/>
          <w:color w:val="000000" w:themeColor="text1"/>
          <w:sz w:val="24"/>
          <w:szCs w:val="24"/>
        </w:rPr>
        <w:t>Law.gov.wales</w:t>
      </w:r>
      <w:proofErr w:type="spellEnd"/>
      <w:r w:rsidR="000E5F8E">
        <w:rPr>
          <w:rFonts w:cstheme="minorHAnsi"/>
          <w:color w:val="000000" w:themeColor="text1"/>
          <w:sz w:val="24"/>
          <w:szCs w:val="24"/>
        </w:rPr>
        <w:t>, 2020).</w:t>
      </w:r>
      <w:r>
        <w:rPr>
          <w:rFonts w:cstheme="minorHAnsi"/>
          <w:color w:val="000000" w:themeColor="text1"/>
          <w:sz w:val="24"/>
          <w:szCs w:val="24"/>
        </w:rPr>
        <w:t xml:space="preserve"> </w:t>
      </w:r>
    </w:p>
    <w:p w14:paraId="17EA972F" w14:textId="77777777" w:rsidR="0087044B" w:rsidRDefault="0087044B" w:rsidP="00B54016">
      <w:pPr>
        <w:spacing w:line="360" w:lineRule="auto"/>
        <w:rPr>
          <w:rFonts w:cstheme="minorHAnsi"/>
          <w:color w:val="000000" w:themeColor="text1"/>
          <w:sz w:val="24"/>
          <w:szCs w:val="24"/>
        </w:rPr>
      </w:pPr>
    </w:p>
    <w:p w14:paraId="5838D51B" w14:textId="17544BBF" w:rsidR="0087044B" w:rsidRDefault="00B54016" w:rsidP="00B54016">
      <w:pPr>
        <w:spacing w:line="360" w:lineRule="auto"/>
        <w:rPr>
          <w:rFonts w:cstheme="minorHAnsi"/>
          <w:color w:val="000000" w:themeColor="text1"/>
          <w:sz w:val="24"/>
          <w:szCs w:val="24"/>
        </w:rPr>
      </w:pPr>
      <w:r>
        <w:rPr>
          <w:rFonts w:cstheme="minorHAnsi"/>
          <w:color w:val="000000" w:themeColor="text1"/>
          <w:sz w:val="24"/>
          <w:szCs w:val="24"/>
        </w:rPr>
        <w:t xml:space="preserve">Housing: </w:t>
      </w:r>
    </w:p>
    <w:p w14:paraId="051B9AA2" w14:textId="77777777" w:rsidR="0087044B" w:rsidRDefault="00B54016" w:rsidP="00B54016">
      <w:pPr>
        <w:spacing w:line="360" w:lineRule="auto"/>
        <w:rPr>
          <w:rFonts w:cstheme="minorHAnsi"/>
          <w:color w:val="000000" w:themeColor="text1"/>
          <w:sz w:val="24"/>
          <w:szCs w:val="24"/>
        </w:rPr>
      </w:pPr>
      <w:r>
        <w:rPr>
          <w:rFonts w:cstheme="minorHAnsi"/>
          <w:color w:val="000000" w:themeColor="text1"/>
          <w:sz w:val="24"/>
          <w:szCs w:val="24"/>
        </w:rPr>
        <w:t xml:space="preserve">Organising future neighbourhood developments in collaboration with the social landlord. </w:t>
      </w:r>
    </w:p>
    <w:p w14:paraId="1E3BB410" w14:textId="77777777" w:rsidR="0087044B" w:rsidRDefault="00B54016" w:rsidP="00B54016">
      <w:pPr>
        <w:spacing w:line="360" w:lineRule="auto"/>
        <w:rPr>
          <w:rFonts w:cstheme="minorHAnsi"/>
          <w:color w:val="000000" w:themeColor="text1"/>
          <w:sz w:val="24"/>
          <w:szCs w:val="24"/>
        </w:rPr>
      </w:pPr>
      <w:r>
        <w:rPr>
          <w:rFonts w:cstheme="minorHAnsi"/>
          <w:color w:val="000000" w:themeColor="text1"/>
          <w:sz w:val="24"/>
          <w:szCs w:val="24"/>
        </w:rPr>
        <w:t>Sport and Recreation:</w:t>
      </w:r>
    </w:p>
    <w:p w14:paraId="120CEC54" w14:textId="580A4D13" w:rsidR="00B54016" w:rsidRDefault="00B54016" w:rsidP="00B54016">
      <w:pPr>
        <w:spacing w:line="360" w:lineRule="auto"/>
        <w:rPr>
          <w:rFonts w:cstheme="minorHAnsi"/>
          <w:color w:val="000000" w:themeColor="text1"/>
          <w:sz w:val="24"/>
          <w:szCs w:val="24"/>
        </w:rPr>
      </w:pPr>
      <w:r>
        <w:rPr>
          <w:rFonts w:cstheme="minorHAnsi"/>
          <w:color w:val="000000" w:themeColor="text1"/>
          <w:sz w:val="24"/>
          <w:szCs w:val="24"/>
        </w:rPr>
        <w:t xml:space="preserve">collaborating with the recently opened primary school to create a sports hub on </w:t>
      </w:r>
      <w:r>
        <w:rPr>
          <w:rFonts w:cstheme="minorHAnsi"/>
          <w:color w:val="000000" w:themeColor="text1"/>
          <w:sz w:val="24"/>
          <w:szCs w:val="24"/>
        </w:rPr>
        <w:lastRenderedPageBreak/>
        <w:t>the premises that athletic organisations can use after school and renovating the community centre in collaboration with Awen the Cultural Trust</w:t>
      </w:r>
      <w:r w:rsidR="000E5F8E">
        <w:rPr>
          <w:rFonts w:cstheme="minorHAnsi"/>
          <w:color w:val="000000" w:themeColor="text1"/>
          <w:sz w:val="24"/>
          <w:szCs w:val="24"/>
        </w:rPr>
        <w:t xml:space="preserve"> (</w:t>
      </w:r>
      <w:proofErr w:type="spellStart"/>
      <w:r w:rsidR="000E5F8E" w:rsidRPr="000E5F8E">
        <w:rPr>
          <w:rFonts w:cstheme="minorHAnsi"/>
          <w:color w:val="000000" w:themeColor="text1"/>
          <w:sz w:val="24"/>
          <w:szCs w:val="24"/>
        </w:rPr>
        <w:t>Clutten</w:t>
      </w:r>
      <w:proofErr w:type="spellEnd"/>
      <w:r w:rsidR="000E5F8E">
        <w:rPr>
          <w:rFonts w:cstheme="minorHAnsi"/>
          <w:color w:val="000000" w:themeColor="text1"/>
          <w:sz w:val="24"/>
          <w:szCs w:val="24"/>
        </w:rPr>
        <w:t>, 2022)</w:t>
      </w:r>
      <w:r>
        <w:rPr>
          <w:rFonts w:cstheme="minorHAnsi"/>
          <w:color w:val="000000" w:themeColor="text1"/>
          <w:sz w:val="24"/>
          <w:szCs w:val="24"/>
        </w:rPr>
        <w:t>.</w:t>
      </w:r>
    </w:p>
    <w:p w14:paraId="14D31F78" w14:textId="1B764FB0" w:rsidR="00B54016" w:rsidRDefault="00B54016" w:rsidP="00B54016">
      <w:pPr>
        <w:spacing w:line="360" w:lineRule="auto"/>
        <w:rPr>
          <w:rFonts w:cstheme="minorHAnsi"/>
          <w:color w:val="000000" w:themeColor="text1"/>
          <w:sz w:val="24"/>
          <w:szCs w:val="24"/>
        </w:rPr>
      </w:pPr>
      <w:r>
        <w:rPr>
          <w:rFonts w:cstheme="minorHAnsi"/>
          <w:color w:val="000000" w:themeColor="text1"/>
          <w:sz w:val="24"/>
          <w:szCs w:val="24"/>
        </w:rPr>
        <w:t>General health is significantly influenced by elements including neighbourhood safety, work possibilities, and housing situations. In addition to posing obstacles to obtaining social services and healthcare, high rates of poverty, unemployment, and low educational attainment can also impede efforts to improve health. These socioeconomic determinants can be difficult to resolve</w:t>
      </w:r>
      <w:r w:rsidR="000E5F8E">
        <w:rPr>
          <w:rFonts w:cstheme="minorHAnsi"/>
          <w:color w:val="000000" w:themeColor="text1"/>
          <w:sz w:val="24"/>
          <w:szCs w:val="24"/>
        </w:rPr>
        <w:t>, p</w:t>
      </w:r>
      <w:r>
        <w:rPr>
          <w:rFonts w:cstheme="minorHAnsi"/>
          <w:color w:val="000000" w:themeColor="text1"/>
          <w:sz w:val="24"/>
          <w:szCs w:val="24"/>
        </w:rPr>
        <w:t>eople who are struggling financially could put their urgent necessities ahead of preventative healthcare</w:t>
      </w:r>
      <w:r w:rsidR="000E5F8E">
        <w:rPr>
          <w:rFonts w:cstheme="minorHAnsi"/>
          <w:color w:val="000000" w:themeColor="text1"/>
          <w:sz w:val="24"/>
          <w:szCs w:val="24"/>
        </w:rPr>
        <w:t xml:space="preserve"> (</w:t>
      </w:r>
      <w:r w:rsidR="000E5F8E" w:rsidRPr="000E5F8E">
        <w:rPr>
          <w:rFonts w:cstheme="minorHAnsi"/>
          <w:color w:val="000000" w:themeColor="text1"/>
          <w:sz w:val="24"/>
          <w:szCs w:val="24"/>
        </w:rPr>
        <w:t>Andermann</w:t>
      </w:r>
      <w:r w:rsidR="000E5F8E">
        <w:rPr>
          <w:rFonts w:cstheme="minorHAnsi"/>
          <w:color w:val="000000" w:themeColor="text1"/>
          <w:sz w:val="24"/>
          <w:szCs w:val="24"/>
        </w:rPr>
        <w:t>, 2016).</w:t>
      </w:r>
    </w:p>
    <w:p w14:paraId="026B06FB" w14:textId="63FC1AF8" w:rsidR="00B54016" w:rsidRDefault="000E5F8E" w:rsidP="00B54016">
      <w:pPr>
        <w:spacing w:line="360" w:lineRule="auto"/>
        <w:rPr>
          <w:rFonts w:cstheme="minorHAnsi"/>
          <w:color w:val="000000" w:themeColor="text1"/>
          <w:sz w:val="24"/>
          <w:szCs w:val="24"/>
        </w:rPr>
      </w:pPr>
      <w:r>
        <w:rPr>
          <w:rFonts w:cstheme="minorHAnsi"/>
          <w:color w:val="000000" w:themeColor="text1"/>
          <w:sz w:val="24"/>
          <w:szCs w:val="24"/>
        </w:rPr>
        <w:t>To</w:t>
      </w:r>
      <w:r w:rsidR="00B54016">
        <w:rPr>
          <w:rFonts w:cstheme="minorHAnsi"/>
          <w:color w:val="000000" w:themeColor="text1"/>
          <w:sz w:val="24"/>
          <w:szCs w:val="24"/>
        </w:rPr>
        <w:t xml:space="preserve"> effectively address behavioural change in Bettws, it is imperative to </w:t>
      </w:r>
      <w:r>
        <w:rPr>
          <w:rFonts w:cstheme="minorHAnsi"/>
          <w:color w:val="000000" w:themeColor="text1"/>
          <w:sz w:val="24"/>
          <w:szCs w:val="24"/>
        </w:rPr>
        <w:t>consider</w:t>
      </w:r>
      <w:r w:rsidR="00B54016">
        <w:rPr>
          <w:rFonts w:cstheme="minorHAnsi"/>
          <w:color w:val="000000" w:themeColor="text1"/>
          <w:sz w:val="24"/>
          <w:szCs w:val="24"/>
        </w:rPr>
        <w:t xml:space="preserve"> fundamental principles such as cultural competency, community participation, health literacy, empowerment, social networks, and influences. Putting these strategies into practice is essential to guarantee that interventions are respectful, effective, and responsive to the diverse needs of the community</w:t>
      </w:r>
      <w:r>
        <w:rPr>
          <w:rFonts w:cstheme="minorHAnsi"/>
          <w:color w:val="000000" w:themeColor="text1"/>
          <w:sz w:val="24"/>
          <w:szCs w:val="24"/>
        </w:rPr>
        <w:t xml:space="preserve"> (</w:t>
      </w:r>
      <w:r w:rsidRPr="000E5F8E">
        <w:rPr>
          <w:rFonts w:cstheme="minorHAnsi"/>
          <w:color w:val="000000" w:themeColor="text1"/>
          <w:sz w:val="24"/>
          <w:szCs w:val="24"/>
        </w:rPr>
        <w:t>Lie</w:t>
      </w:r>
      <w:r>
        <w:rPr>
          <w:rFonts w:cstheme="minorHAnsi"/>
          <w:color w:val="000000" w:themeColor="text1"/>
          <w:sz w:val="24"/>
          <w:szCs w:val="24"/>
        </w:rPr>
        <w:t xml:space="preserve"> et al., 2012)</w:t>
      </w:r>
      <w:r w:rsidR="00B54016">
        <w:rPr>
          <w:rFonts w:cstheme="minorHAnsi"/>
          <w:color w:val="000000" w:themeColor="text1"/>
          <w:sz w:val="24"/>
          <w:szCs w:val="24"/>
        </w:rPr>
        <w:t xml:space="preserve">. However, engaging </w:t>
      </w:r>
      <w:r>
        <w:rPr>
          <w:rFonts w:cstheme="minorHAnsi"/>
          <w:color w:val="000000" w:themeColor="text1"/>
          <w:sz w:val="24"/>
          <w:szCs w:val="24"/>
        </w:rPr>
        <w:t>a</w:t>
      </w:r>
      <w:r w:rsidR="00B54016">
        <w:rPr>
          <w:rFonts w:cstheme="minorHAnsi"/>
          <w:color w:val="000000" w:themeColor="text1"/>
          <w:sz w:val="24"/>
          <w:szCs w:val="24"/>
        </w:rPr>
        <w:t xml:space="preserve"> diverse community can be difficult because certain groups may be hard to reach or may have a history of mistrusting engagement efforts</w:t>
      </w:r>
      <w:r w:rsidR="004E6B80">
        <w:rPr>
          <w:rFonts w:cstheme="minorHAnsi"/>
          <w:color w:val="000000" w:themeColor="text1"/>
          <w:sz w:val="24"/>
          <w:szCs w:val="24"/>
        </w:rPr>
        <w:t xml:space="preserve"> </w:t>
      </w:r>
      <w:r w:rsidR="00A159FB">
        <w:rPr>
          <w:rFonts w:cstheme="minorHAnsi"/>
          <w:color w:val="000000" w:themeColor="text1"/>
          <w:sz w:val="24"/>
          <w:szCs w:val="24"/>
        </w:rPr>
        <w:t>(</w:t>
      </w:r>
      <w:r w:rsidR="00A159FB" w:rsidRPr="00A159FB">
        <w:rPr>
          <w:rFonts w:cstheme="minorHAnsi"/>
          <w:color w:val="000000" w:themeColor="text1"/>
          <w:sz w:val="24"/>
          <w:szCs w:val="24"/>
        </w:rPr>
        <w:t>Gopalkrishnan</w:t>
      </w:r>
      <w:r w:rsidR="00A159FB">
        <w:rPr>
          <w:rFonts w:cstheme="minorHAnsi"/>
          <w:color w:val="000000" w:themeColor="text1"/>
          <w:sz w:val="24"/>
          <w:szCs w:val="24"/>
        </w:rPr>
        <w:t>, 2019)</w:t>
      </w:r>
      <w:r w:rsidR="00B54016">
        <w:rPr>
          <w:rFonts w:cstheme="minorHAnsi"/>
          <w:color w:val="000000" w:themeColor="text1"/>
          <w:sz w:val="24"/>
          <w:szCs w:val="24"/>
        </w:rPr>
        <w:t>. Attempts to address problems like housing, education, and employment may be hampered by limited funds.</w:t>
      </w:r>
    </w:p>
    <w:p w14:paraId="64638586" w14:textId="7C2B0225" w:rsidR="00B54016" w:rsidRPr="00A159FB" w:rsidRDefault="00B54016" w:rsidP="00B54016">
      <w:pPr>
        <w:spacing w:line="360" w:lineRule="auto"/>
        <w:rPr>
          <w:rFonts w:cstheme="minorHAnsi"/>
          <w:color w:val="000000" w:themeColor="text1"/>
          <w:sz w:val="24"/>
          <w:szCs w:val="24"/>
        </w:rPr>
      </w:pPr>
      <w:r>
        <w:rPr>
          <w:rFonts w:cstheme="minorHAnsi"/>
          <w:color w:val="000000" w:themeColor="text1"/>
          <w:sz w:val="24"/>
          <w:szCs w:val="24"/>
        </w:rPr>
        <w:t xml:space="preserve">Between 2005–07 and 2011–13, the proportion of live births weighing less than 2,500g (per 1,000 live births) varied, but </w:t>
      </w:r>
      <w:proofErr w:type="gramStart"/>
      <w:r>
        <w:rPr>
          <w:rFonts w:cstheme="minorHAnsi"/>
          <w:color w:val="000000" w:themeColor="text1"/>
          <w:sz w:val="24"/>
          <w:szCs w:val="24"/>
        </w:rPr>
        <w:t>overall</w:t>
      </w:r>
      <w:proofErr w:type="gramEnd"/>
      <w:r>
        <w:rPr>
          <w:rFonts w:cstheme="minorHAnsi"/>
          <w:color w:val="000000" w:themeColor="text1"/>
          <w:sz w:val="24"/>
          <w:szCs w:val="24"/>
        </w:rPr>
        <w:t xml:space="preserve"> there was a decline from 91.8 to 79.6. Even though the averages for Newport and Wales have dropped, this is still higher.</w:t>
      </w:r>
      <w:r w:rsidR="00A159FB">
        <w:rPr>
          <w:rFonts w:cstheme="minorHAnsi"/>
          <w:color w:val="000000" w:themeColor="text1"/>
          <w:sz w:val="24"/>
          <w:szCs w:val="24"/>
        </w:rPr>
        <w:t xml:space="preserve"> </w:t>
      </w:r>
      <w:r>
        <w:rPr>
          <w:rFonts w:cstheme="minorHAnsi"/>
          <w:color w:val="000000" w:themeColor="text1"/>
          <w:sz w:val="24"/>
          <w:szCs w:val="24"/>
        </w:rPr>
        <w:t>Hospital admissions particularly related to alcohol increased from 540.1 to 700.6 (per 100,000 population) between 2005–08 and 2011–14. Throughout this time, this rate has continued to be higher above the averages for Newport and Wales.</w:t>
      </w:r>
      <w:r w:rsidR="00A159FB">
        <w:rPr>
          <w:rFonts w:cstheme="minorHAnsi"/>
          <w:color w:val="000000" w:themeColor="text1"/>
          <w:sz w:val="24"/>
          <w:szCs w:val="24"/>
        </w:rPr>
        <w:t xml:space="preserve"> </w:t>
      </w:r>
      <w:r>
        <w:rPr>
          <w:rFonts w:cstheme="minorHAnsi"/>
          <w:sz w:val="24"/>
          <w:szCs w:val="24"/>
        </w:rPr>
        <w:t xml:space="preserve">Between 2004–06 and 2012–14, hospital admissions for respiratory diseases (per 100,000 population) varied, but </w:t>
      </w:r>
      <w:proofErr w:type="gramStart"/>
      <w:r>
        <w:rPr>
          <w:rFonts w:cstheme="minorHAnsi"/>
          <w:sz w:val="24"/>
          <w:szCs w:val="24"/>
        </w:rPr>
        <w:t>overall</w:t>
      </w:r>
      <w:proofErr w:type="gramEnd"/>
      <w:r>
        <w:rPr>
          <w:rFonts w:cstheme="minorHAnsi"/>
          <w:sz w:val="24"/>
          <w:szCs w:val="24"/>
        </w:rPr>
        <w:t xml:space="preserve"> there was a minor decline from 1879.8 to 1813.4. In comparison, Wales's average has climbed while this rate has stayed higher</w:t>
      </w:r>
      <w:r w:rsidR="00A159FB">
        <w:rPr>
          <w:rFonts w:cstheme="minorHAnsi"/>
          <w:sz w:val="24"/>
          <w:szCs w:val="24"/>
        </w:rPr>
        <w:t xml:space="preserve"> (</w:t>
      </w:r>
      <w:r w:rsidR="00A159FB" w:rsidRPr="00A159FB">
        <w:rPr>
          <w:rFonts w:cstheme="minorHAnsi"/>
          <w:sz w:val="24"/>
          <w:szCs w:val="24"/>
        </w:rPr>
        <w:t>White</w:t>
      </w:r>
      <w:r w:rsidR="00A159FB">
        <w:rPr>
          <w:rFonts w:cstheme="minorHAnsi"/>
          <w:sz w:val="24"/>
          <w:szCs w:val="24"/>
        </w:rPr>
        <w:t>, 2009).</w:t>
      </w:r>
    </w:p>
    <w:p w14:paraId="6BC62A43" w14:textId="77777777" w:rsidR="0087044B" w:rsidRDefault="00B54016" w:rsidP="0087044B">
      <w:pPr>
        <w:spacing w:line="360" w:lineRule="auto"/>
        <w:rPr>
          <w:rFonts w:cstheme="minorHAnsi"/>
          <w:sz w:val="24"/>
          <w:szCs w:val="24"/>
        </w:rPr>
      </w:pPr>
      <w:r>
        <w:rPr>
          <w:rFonts w:cstheme="minorHAnsi"/>
          <w:sz w:val="24"/>
          <w:szCs w:val="24"/>
        </w:rPr>
        <w:t>The overall trend in cardiovascular disease-related deaths (per 100,000 population) has decreased from 513.3 to 460.2, although there have been fluctuations between 2004–05 and 2012–13</w:t>
      </w:r>
      <w:r w:rsidR="00D53FAD">
        <w:rPr>
          <w:rFonts w:cstheme="minorHAnsi"/>
          <w:sz w:val="24"/>
          <w:szCs w:val="24"/>
        </w:rPr>
        <w:t xml:space="preserve">. </w:t>
      </w:r>
      <w:r>
        <w:rPr>
          <w:rFonts w:cstheme="minorHAnsi"/>
          <w:sz w:val="24"/>
          <w:szCs w:val="24"/>
        </w:rPr>
        <w:t>The overall trend of cancer-related deaths (per 100,000 population) has decreased from 410.8 to 364.4, while there have been fluctuations between 2004–05 and 2012–</w:t>
      </w:r>
      <w:proofErr w:type="gramStart"/>
      <w:r>
        <w:rPr>
          <w:rFonts w:cstheme="minorHAnsi"/>
          <w:sz w:val="24"/>
          <w:szCs w:val="24"/>
        </w:rPr>
        <w:t>13</w:t>
      </w:r>
      <w:r w:rsidR="00D53FAD">
        <w:rPr>
          <w:rFonts w:cstheme="minorHAnsi"/>
          <w:sz w:val="24"/>
          <w:szCs w:val="24"/>
        </w:rPr>
        <w:t xml:space="preserve"> </w:t>
      </w:r>
      <w:r w:rsidR="00A159FB">
        <w:rPr>
          <w:rFonts w:cstheme="minorHAnsi"/>
          <w:sz w:val="24"/>
          <w:szCs w:val="24"/>
        </w:rPr>
        <w:t xml:space="preserve"> (</w:t>
      </w:r>
      <w:proofErr w:type="gramEnd"/>
      <w:r w:rsidR="00A159FB" w:rsidRPr="00A159FB">
        <w:rPr>
          <w:rFonts w:cstheme="minorHAnsi"/>
          <w:sz w:val="24"/>
          <w:szCs w:val="24"/>
        </w:rPr>
        <w:t>Bhatnagar</w:t>
      </w:r>
      <w:r w:rsidR="00A159FB">
        <w:rPr>
          <w:rFonts w:cstheme="minorHAnsi"/>
          <w:sz w:val="24"/>
          <w:szCs w:val="24"/>
        </w:rPr>
        <w:t xml:space="preserve"> et al., 2016).</w:t>
      </w:r>
    </w:p>
    <w:p w14:paraId="006EE55A" w14:textId="470339B5" w:rsidR="00B54016" w:rsidRPr="0087044B" w:rsidRDefault="0087044B" w:rsidP="0087044B">
      <w:pPr>
        <w:spacing w:line="360" w:lineRule="auto"/>
        <w:rPr>
          <w:rFonts w:cstheme="minorHAnsi"/>
          <w:b/>
          <w:bCs/>
          <w:sz w:val="24"/>
          <w:szCs w:val="24"/>
        </w:rPr>
      </w:pPr>
      <w:r w:rsidRPr="0087044B">
        <w:rPr>
          <w:rFonts w:cstheme="minorHAnsi"/>
          <w:b/>
          <w:bCs/>
          <w:sz w:val="24"/>
          <w:szCs w:val="24"/>
        </w:rPr>
        <w:t>Initiatives</w:t>
      </w:r>
      <w:bookmarkStart w:id="0" w:name="_Hlk153972756"/>
      <w:r w:rsidRPr="0087044B">
        <w:rPr>
          <w:rFonts w:cstheme="minorHAnsi"/>
          <w:b/>
          <w:bCs/>
          <w:sz w:val="24"/>
          <w:szCs w:val="24"/>
        </w:rPr>
        <w:t xml:space="preserve"> </w:t>
      </w:r>
      <w:r>
        <w:rPr>
          <w:rFonts w:cstheme="minorHAnsi"/>
          <w:b/>
          <w:bCs/>
          <w:sz w:val="24"/>
          <w:szCs w:val="24"/>
        </w:rPr>
        <w:t>involve</w:t>
      </w:r>
      <w:r w:rsidRPr="0087044B">
        <w:rPr>
          <w:rFonts w:cstheme="minorHAnsi"/>
          <w:b/>
          <w:bCs/>
          <w:sz w:val="24"/>
          <w:szCs w:val="24"/>
        </w:rPr>
        <w:t>:</w:t>
      </w:r>
    </w:p>
    <w:bookmarkEnd w:id="0"/>
    <w:p w14:paraId="65AEDF9E" w14:textId="5EB71D94" w:rsidR="00B54016" w:rsidRDefault="00B54016" w:rsidP="00B54016">
      <w:pPr>
        <w:spacing w:line="360" w:lineRule="auto"/>
        <w:rPr>
          <w:rFonts w:cstheme="minorHAnsi"/>
          <w:color w:val="000000" w:themeColor="text1"/>
          <w:sz w:val="24"/>
          <w:szCs w:val="24"/>
        </w:rPr>
      </w:pPr>
      <w:r>
        <w:rPr>
          <w:rFonts w:cstheme="minorHAnsi"/>
          <w:color w:val="000000" w:themeColor="text1"/>
          <w:sz w:val="24"/>
          <w:szCs w:val="24"/>
        </w:rPr>
        <w:t>The Health Board's Neighbourhood Care Network Integrated Medium Term Plan 2020–2023 acknowledges the need for clinical modernization considering the implementation of the new primary and community care model</w:t>
      </w:r>
      <w:r w:rsidR="002B35C1">
        <w:rPr>
          <w:rFonts w:cstheme="minorHAnsi"/>
          <w:color w:val="000000" w:themeColor="text1"/>
          <w:sz w:val="24"/>
          <w:szCs w:val="24"/>
        </w:rPr>
        <w:t xml:space="preserve"> (</w:t>
      </w:r>
      <w:proofErr w:type="spellStart"/>
      <w:r w:rsidR="002B35C1">
        <w:rPr>
          <w:rFonts w:cstheme="minorHAnsi"/>
          <w:color w:val="000000" w:themeColor="text1"/>
          <w:sz w:val="24"/>
          <w:szCs w:val="24"/>
        </w:rPr>
        <w:t>Gov.wales</w:t>
      </w:r>
      <w:proofErr w:type="spellEnd"/>
      <w:r w:rsidR="002B35C1">
        <w:rPr>
          <w:rFonts w:cstheme="minorHAnsi"/>
          <w:color w:val="000000" w:themeColor="text1"/>
          <w:sz w:val="24"/>
          <w:szCs w:val="24"/>
        </w:rPr>
        <w:t>, 2019)</w:t>
      </w:r>
      <w:r>
        <w:rPr>
          <w:rFonts w:cstheme="minorHAnsi"/>
          <w:color w:val="000000" w:themeColor="text1"/>
          <w:sz w:val="24"/>
          <w:szCs w:val="24"/>
        </w:rPr>
        <w:t>. As part of the Health Boards' approach to creating A Healthier Wales, the Clinical Futures Strategy lays out the strategic path for modernising clinical services. The main force for change in social and health services at the regional level will be the Regional Partnership Boards</w:t>
      </w:r>
      <w:r w:rsidR="002B35C1">
        <w:rPr>
          <w:rFonts w:cstheme="minorHAnsi"/>
          <w:color w:val="000000" w:themeColor="text1"/>
          <w:sz w:val="24"/>
          <w:szCs w:val="24"/>
        </w:rPr>
        <w:t xml:space="preserve"> (</w:t>
      </w:r>
      <w:proofErr w:type="spellStart"/>
      <w:r w:rsidR="002B35C1">
        <w:rPr>
          <w:rFonts w:cstheme="minorHAnsi"/>
          <w:color w:val="000000" w:themeColor="text1"/>
          <w:sz w:val="24"/>
          <w:szCs w:val="24"/>
        </w:rPr>
        <w:t>Gov.wales</w:t>
      </w:r>
      <w:proofErr w:type="spellEnd"/>
      <w:r w:rsidR="002B35C1">
        <w:rPr>
          <w:rFonts w:cstheme="minorHAnsi"/>
          <w:color w:val="000000" w:themeColor="text1"/>
          <w:sz w:val="24"/>
          <w:szCs w:val="24"/>
        </w:rPr>
        <w:t>, 2018b).</w:t>
      </w:r>
    </w:p>
    <w:p w14:paraId="00C58AFE" w14:textId="0FCDA171" w:rsidR="00B54016" w:rsidRDefault="00B54016" w:rsidP="00B54016">
      <w:pPr>
        <w:spacing w:line="360" w:lineRule="auto"/>
        <w:rPr>
          <w:rFonts w:cstheme="minorHAnsi"/>
          <w:color w:val="000000" w:themeColor="text1"/>
          <w:sz w:val="24"/>
          <w:szCs w:val="24"/>
        </w:rPr>
      </w:pPr>
      <w:r>
        <w:rPr>
          <w:rFonts w:cstheme="minorHAnsi"/>
          <w:color w:val="000000" w:themeColor="text1"/>
          <w:sz w:val="24"/>
          <w:szCs w:val="24"/>
        </w:rPr>
        <w:t>Starting in 2018, Clusters will keep creating examples of smooth local partnership functioning, collaborating closely with Regional Partnership Boards to advance innovative methods of operation that will be embraced throughout Wales. Following the Quadruple Aim and Design Principles, each Regional Partnership Board shall, starting in 2018, identify and advance a minimum of two models of integrated, community-based health and social care services</w:t>
      </w:r>
      <w:r w:rsidR="002B35C1">
        <w:rPr>
          <w:rFonts w:cstheme="minorHAnsi"/>
          <w:color w:val="000000" w:themeColor="text1"/>
          <w:sz w:val="24"/>
          <w:szCs w:val="24"/>
        </w:rPr>
        <w:t xml:space="preserve"> (</w:t>
      </w:r>
      <w:proofErr w:type="spellStart"/>
      <w:r w:rsidR="002B35C1">
        <w:rPr>
          <w:rFonts w:cstheme="minorHAnsi"/>
          <w:color w:val="000000" w:themeColor="text1"/>
          <w:sz w:val="24"/>
          <w:szCs w:val="24"/>
        </w:rPr>
        <w:t>Gov.wales</w:t>
      </w:r>
      <w:proofErr w:type="spellEnd"/>
      <w:r w:rsidR="002B35C1">
        <w:rPr>
          <w:rFonts w:cstheme="minorHAnsi"/>
          <w:color w:val="000000" w:themeColor="text1"/>
          <w:sz w:val="24"/>
          <w:szCs w:val="24"/>
        </w:rPr>
        <w:t>, 2018a)</w:t>
      </w:r>
      <w:r>
        <w:rPr>
          <w:rFonts w:cstheme="minorHAnsi"/>
          <w:color w:val="000000" w:themeColor="text1"/>
          <w:sz w:val="24"/>
          <w:szCs w:val="24"/>
        </w:rPr>
        <w:t>.</w:t>
      </w:r>
    </w:p>
    <w:p w14:paraId="3571D68A" w14:textId="6025B906" w:rsidR="00B54016" w:rsidRDefault="00B54016" w:rsidP="00B54016">
      <w:pPr>
        <w:spacing w:line="360" w:lineRule="auto"/>
        <w:rPr>
          <w:rFonts w:cstheme="minorHAnsi"/>
          <w:color w:val="000000" w:themeColor="text1"/>
          <w:sz w:val="24"/>
          <w:szCs w:val="24"/>
        </w:rPr>
      </w:pPr>
      <w:r>
        <w:rPr>
          <w:rFonts w:cstheme="minorHAnsi"/>
          <w:color w:val="000000" w:themeColor="text1"/>
          <w:sz w:val="24"/>
          <w:szCs w:val="24"/>
        </w:rPr>
        <w:t>Newport Youth Academy, an inspirational and transformative programme for 16 to 18-year-old Newport youth who are not in employment, education, or training (NEET)—is a prime example of how health education programmes and workshops can be implemented to increase awareness about preventive measures. With over six years of expertise training youth and assisting them in obtaining employment and higher education, the academy is one of Newport's biggest training providers</w:t>
      </w:r>
      <w:r w:rsidR="002B35C1">
        <w:rPr>
          <w:rFonts w:cstheme="minorHAnsi"/>
          <w:color w:val="000000" w:themeColor="text1"/>
          <w:sz w:val="24"/>
          <w:szCs w:val="24"/>
        </w:rPr>
        <w:t xml:space="preserve"> (Gov.uk, 2023).</w:t>
      </w:r>
    </w:p>
    <w:p w14:paraId="6B4042AD" w14:textId="68994536" w:rsidR="00B54016" w:rsidRDefault="00B54016" w:rsidP="00B54016">
      <w:pPr>
        <w:spacing w:line="360" w:lineRule="auto"/>
        <w:rPr>
          <w:rFonts w:cstheme="minorHAnsi"/>
          <w:color w:val="000000" w:themeColor="text1"/>
          <w:sz w:val="24"/>
          <w:szCs w:val="24"/>
        </w:rPr>
      </w:pPr>
      <w:r>
        <w:rPr>
          <w:rFonts w:cstheme="minorHAnsi"/>
          <w:color w:val="000000" w:themeColor="text1"/>
          <w:sz w:val="24"/>
          <w:szCs w:val="24"/>
        </w:rPr>
        <w:t xml:space="preserve">Flying Start is a Welsh Government initiative that helps families with young children (ages 0–4) and is accessible in some places, including Bettws. By providing parental groups, early language help, free part-time childcare, health support, and early identification of high-need children, it fosters linguistic, cognitive, </w:t>
      </w:r>
      <w:proofErr w:type="gramStart"/>
      <w:r>
        <w:rPr>
          <w:rFonts w:cstheme="minorHAnsi"/>
          <w:color w:val="000000" w:themeColor="text1"/>
          <w:sz w:val="24"/>
          <w:szCs w:val="24"/>
        </w:rPr>
        <w:t>social</w:t>
      </w:r>
      <w:proofErr w:type="gramEnd"/>
      <w:r>
        <w:rPr>
          <w:rFonts w:cstheme="minorHAnsi"/>
          <w:color w:val="000000" w:themeColor="text1"/>
          <w:sz w:val="24"/>
          <w:szCs w:val="24"/>
        </w:rPr>
        <w:t xml:space="preserve"> and emotional abilities, physical development, and early identification</w:t>
      </w:r>
      <w:r w:rsidR="002B35C1">
        <w:rPr>
          <w:rFonts w:cstheme="minorHAnsi"/>
          <w:color w:val="000000" w:themeColor="text1"/>
          <w:sz w:val="24"/>
          <w:szCs w:val="24"/>
        </w:rPr>
        <w:t xml:space="preserve"> (</w:t>
      </w:r>
      <w:proofErr w:type="spellStart"/>
      <w:r w:rsidR="002B35C1">
        <w:rPr>
          <w:rFonts w:cstheme="minorHAnsi"/>
          <w:color w:val="000000" w:themeColor="text1"/>
          <w:sz w:val="24"/>
          <w:szCs w:val="24"/>
        </w:rPr>
        <w:t>Gov.wales</w:t>
      </w:r>
      <w:proofErr w:type="spellEnd"/>
      <w:r w:rsidR="002B35C1">
        <w:rPr>
          <w:rFonts w:cstheme="minorHAnsi"/>
          <w:color w:val="000000" w:themeColor="text1"/>
          <w:sz w:val="24"/>
          <w:szCs w:val="24"/>
        </w:rPr>
        <w:t>, 2012).</w:t>
      </w:r>
    </w:p>
    <w:p w14:paraId="1B4AC449" w14:textId="0F4D7E17" w:rsidR="00B54016" w:rsidRDefault="00B54016" w:rsidP="00B54016">
      <w:pPr>
        <w:spacing w:line="360" w:lineRule="auto"/>
        <w:rPr>
          <w:rFonts w:cstheme="minorHAnsi"/>
          <w:color w:val="000000" w:themeColor="text1"/>
          <w:sz w:val="24"/>
          <w:szCs w:val="24"/>
        </w:rPr>
      </w:pPr>
      <w:r>
        <w:rPr>
          <w:rFonts w:cstheme="minorHAnsi"/>
          <w:color w:val="000000" w:themeColor="text1"/>
          <w:sz w:val="24"/>
          <w:szCs w:val="24"/>
        </w:rPr>
        <w:t>The Bettws Early Learning Community is creating the ideal environment for the emergence of full family support. This makes it possible to employ resources more wisely and to highlight superior ideas from a variety of viewpoints. By working together to co-develop a three-part model—improving community mental health understanding, fostering the development of meaning-making, storytelling, and collective action skills, and reflecting, evaluating, and sustaining—for community well-being and resilience in Bettws. During the epidemic and recovery phase, Save the Children is also able to offer emergency grants. These assist Bettws families in purchasing food and necessities like kid-sized beds and educational toys</w:t>
      </w:r>
      <w:r w:rsidR="00C0274E">
        <w:rPr>
          <w:rFonts w:cstheme="minorHAnsi"/>
          <w:color w:val="000000" w:themeColor="text1"/>
          <w:sz w:val="24"/>
          <w:szCs w:val="24"/>
        </w:rPr>
        <w:t xml:space="preserve"> (</w:t>
      </w:r>
      <w:r w:rsidR="00C0274E" w:rsidRPr="00C0274E">
        <w:rPr>
          <w:rFonts w:cstheme="minorHAnsi"/>
          <w:color w:val="000000" w:themeColor="text1"/>
          <w:sz w:val="24"/>
          <w:szCs w:val="24"/>
        </w:rPr>
        <w:t>Daffin</w:t>
      </w:r>
      <w:r w:rsidR="00C0274E">
        <w:rPr>
          <w:rFonts w:cstheme="minorHAnsi"/>
          <w:color w:val="000000" w:themeColor="text1"/>
          <w:sz w:val="24"/>
          <w:szCs w:val="24"/>
        </w:rPr>
        <w:t xml:space="preserve">, </w:t>
      </w:r>
      <w:r w:rsidR="00C0274E" w:rsidRPr="00C0274E">
        <w:rPr>
          <w:rFonts w:cstheme="minorHAnsi"/>
          <w:color w:val="000000" w:themeColor="text1"/>
          <w:sz w:val="24"/>
          <w:szCs w:val="24"/>
        </w:rPr>
        <w:t>Thomas</w:t>
      </w:r>
      <w:r w:rsidR="00C0274E">
        <w:rPr>
          <w:rFonts w:cstheme="minorHAnsi"/>
          <w:color w:val="000000" w:themeColor="text1"/>
          <w:sz w:val="24"/>
          <w:szCs w:val="24"/>
        </w:rPr>
        <w:t xml:space="preserve"> and </w:t>
      </w:r>
      <w:r w:rsidR="00C0274E" w:rsidRPr="00C0274E">
        <w:rPr>
          <w:rFonts w:cstheme="minorHAnsi"/>
          <w:color w:val="000000" w:themeColor="text1"/>
          <w:sz w:val="24"/>
          <w:szCs w:val="24"/>
        </w:rPr>
        <w:t>Parry</w:t>
      </w:r>
      <w:r w:rsidR="00C0274E">
        <w:rPr>
          <w:rFonts w:cstheme="minorHAnsi"/>
          <w:color w:val="000000" w:themeColor="text1"/>
          <w:sz w:val="24"/>
          <w:szCs w:val="24"/>
        </w:rPr>
        <w:t>, 2022)</w:t>
      </w:r>
      <w:r>
        <w:rPr>
          <w:rFonts w:cstheme="minorHAnsi"/>
          <w:color w:val="000000" w:themeColor="text1"/>
          <w:sz w:val="24"/>
          <w:szCs w:val="24"/>
        </w:rPr>
        <w:t>.</w:t>
      </w:r>
    </w:p>
    <w:p w14:paraId="1E58EB7B" w14:textId="1A2D6DCE" w:rsidR="00B54016" w:rsidRDefault="00B54016" w:rsidP="00B54016">
      <w:pPr>
        <w:spacing w:line="360" w:lineRule="auto"/>
        <w:rPr>
          <w:rFonts w:cstheme="minorHAnsi"/>
          <w:color w:val="000000" w:themeColor="text1"/>
          <w:sz w:val="24"/>
          <w:szCs w:val="24"/>
        </w:rPr>
      </w:pPr>
      <w:r>
        <w:rPr>
          <w:rFonts w:cstheme="minorHAnsi"/>
          <w:color w:val="000000" w:themeColor="text1"/>
          <w:sz w:val="24"/>
          <w:szCs w:val="24"/>
        </w:rPr>
        <w:t>Promoting community participation in health and social care decisions is essential for developing services that cater to the needs and preferences of the community, for regular consultations and surveys to get community input, and for educating and raising community awareness of the significance of community participation in health and social care decisions. Emphasise how community feedback shapes services</w:t>
      </w:r>
      <w:r w:rsidR="00C0274E">
        <w:rPr>
          <w:rFonts w:cstheme="minorHAnsi"/>
          <w:color w:val="000000" w:themeColor="text1"/>
          <w:sz w:val="24"/>
          <w:szCs w:val="24"/>
        </w:rPr>
        <w:t xml:space="preserve"> (</w:t>
      </w:r>
      <w:r w:rsidR="00C0274E" w:rsidRPr="00C0274E">
        <w:rPr>
          <w:rFonts w:cstheme="minorHAnsi"/>
          <w:color w:val="000000" w:themeColor="text1"/>
          <w:sz w:val="24"/>
          <w:szCs w:val="24"/>
        </w:rPr>
        <w:t>Haldane</w:t>
      </w:r>
      <w:r w:rsidR="00C0274E">
        <w:rPr>
          <w:rFonts w:cstheme="minorHAnsi"/>
          <w:color w:val="000000" w:themeColor="text1"/>
          <w:sz w:val="24"/>
          <w:szCs w:val="24"/>
        </w:rPr>
        <w:t xml:space="preserve"> et al., 2019).</w:t>
      </w:r>
      <w:r>
        <w:rPr>
          <w:rFonts w:cstheme="minorHAnsi"/>
          <w:color w:val="000000" w:themeColor="text1"/>
          <w:sz w:val="24"/>
          <w:szCs w:val="24"/>
        </w:rPr>
        <w:t xml:space="preserve"> By implementing these tactics, health and social care organisations can foster a culture where people in the community feel appreciated, included, and empowered to participate in decisions that influence their health and well-being</w:t>
      </w:r>
      <w:r w:rsidR="00C0274E">
        <w:rPr>
          <w:rFonts w:cstheme="minorHAnsi"/>
          <w:color w:val="000000" w:themeColor="text1"/>
          <w:sz w:val="24"/>
          <w:szCs w:val="24"/>
        </w:rPr>
        <w:t xml:space="preserve"> (</w:t>
      </w:r>
      <w:proofErr w:type="spellStart"/>
      <w:r w:rsidR="00C0274E">
        <w:rPr>
          <w:rFonts w:cstheme="minorHAnsi"/>
          <w:color w:val="000000" w:themeColor="text1"/>
          <w:sz w:val="24"/>
          <w:szCs w:val="24"/>
        </w:rPr>
        <w:t>NHS.Wales</w:t>
      </w:r>
      <w:proofErr w:type="spellEnd"/>
      <w:r w:rsidR="00C0274E">
        <w:rPr>
          <w:rFonts w:cstheme="minorHAnsi"/>
          <w:color w:val="000000" w:themeColor="text1"/>
          <w:sz w:val="24"/>
          <w:szCs w:val="24"/>
        </w:rPr>
        <w:t>, 2023)</w:t>
      </w:r>
      <w:r>
        <w:rPr>
          <w:rFonts w:cstheme="minorHAnsi"/>
          <w:color w:val="000000" w:themeColor="text1"/>
          <w:sz w:val="24"/>
          <w:szCs w:val="24"/>
        </w:rPr>
        <w:t>.</w:t>
      </w:r>
    </w:p>
    <w:p w14:paraId="270D5B34" w14:textId="77777777" w:rsidR="0087044B" w:rsidRDefault="00B54016" w:rsidP="00B54016">
      <w:pPr>
        <w:spacing w:line="360" w:lineRule="auto"/>
        <w:rPr>
          <w:rFonts w:cstheme="minorHAnsi"/>
          <w:color w:val="000000" w:themeColor="text1"/>
          <w:sz w:val="24"/>
          <w:szCs w:val="24"/>
        </w:rPr>
      </w:pPr>
      <w:r>
        <w:rPr>
          <w:rFonts w:cstheme="minorHAnsi"/>
          <w:color w:val="000000" w:themeColor="text1"/>
          <w:sz w:val="24"/>
          <w:szCs w:val="24"/>
        </w:rPr>
        <w:t>Enhancing coordination between healthcare providers is greatly aided by the integration of Electronic Health Records (EHRs)</w:t>
      </w:r>
      <w:r w:rsidR="00C0274E">
        <w:rPr>
          <w:rFonts w:cstheme="minorHAnsi"/>
          <w:color w:val="000000" w:themeColor="text1"/>
          <w:sz w:val="24"/>
          <w:szCs w:val="24"/>
        </w:rPr>
        <w:t>, o</w:t>
      </w:r>
      <w:r>
        <w:rPr>
          <w:rFonts w:cstheme="minorHAnsi"/>
          <w:color w:val="000000" w:themeColor="text1"/>
          <w:sz w:val="24"/>
          <w:szCs w:val="24"/>
        </w:rPr>
        <w:t>ne way that EHRs improve coordination in healthcare is through the telecare service, which allows individuals to call for assistance in the event of an emergency, fall, or illness while at home</w:t>
      </w:r>
      <w:r w:rsidR="00C0274E">
        <w:rPr>
          <w:rFonts w:cstheme="minorHAnsi"/>
          <w:color w:val="000000" w:themeColor="text1"/>
          <w:sz w:val="24"/>
          <w:szCs w:val="24"/>
        </w:rPr>
        <w:t>, c</w:t>
      </w:r>
      <w:r>
        <w:rPr>
          <w:rFonts w:cstheme="minorHAnsi"/>
          <w:color w:val="000000" w:themeColor="text1"/>
          <w:sz w:val="24"/>
          <w:szCs w:val="24"/>
        </w:rPr>
        <w:t>alls are forwarded to a monitoring centre that is manned seven days a week, twenty-four hours a day</w:t>
      </w:r>
      <w:r w:rsidR="00C0274E" w:rsidRPr="00C0274E">
        <w:rPr>
          <w:rFonts w:cstheme="minorHAnsi"/>
          <w:color w:val="000000" w:themeColor="text1"/>
          <w:sz w:val="24"/>
          <w:szCs w:val="24"/>
        </w:rPr>
        <w:t xml:space="preserve"> </w:t>
      </w:r>
      <w:r w:rsidR="00C0274E">
        <w:rPr>
          <w:rFonts w:cstheme="minorHAnsi"/>
          <w:color w:val="000000" w:themeColor="text1"/>
          <w:sz w:val="24"/>
          <w:szCs w:val="24"/>
        </w:rPr>
        <w:t>(</w:t>
      </w:r>
      <w:proofErr w:type="spellStart"/>
      <w:r w:rsidR="00C0274E">
        <w:rPr>
          <w:rFonts w:cstheme="minorHAnsi"/>
          <w:color w:val="000000" w:themeColor="text1"/>
          <w:sz w:val="24"/>
          <w:szCs w:val="24"/>
        </w:rPr>
        <w:t>D</w:t>
      </w:r>
      <w:r w:rsidR="00C0274E" w:rsidRPr="00C0274E">
        <w:rPr>
          <w:rFonts w:cstheme="minorHAnsi"/>
          <w:color w:val="000000" w:themeColor="text1"/>
          <w:sz w:val="24"/>
          <w:szCs w:val="24"/>
        </w:rPr>
        <w:t>igitalhealth</w:t>
      </w:r>
      <w:proofErr w:type="spellEnd"/>
      <w:r w:rsidR="00C0274E">
        <w:rPr>
          <w:rFonts w:cstheme="minorHAnsi"/>
          <w:color w:val="000000" w:themeColor="text1"/>
          <w:sz w:val="24"/>
          <w:szCs w:val="24"/>
        </w:rPr>
        <w:t xml:space="preserve">, 2023).  </w:t>
      </w:r>
    </w:p>
    <w:p w14:paraId="6998420A" w14:textId="57067035" w:rsidR="0087044B" w:rsidRDefault="00B54016" w:rsidP="00B54016">
      <w:pPr>
        <w:spacing w:line="360" w:lineRule="auto"/>
        <w:rPr>
          <w:rFonts w:cstheme="minorHAnsi"/>
          <w:color w:val="000000" w:themeColor="text1"/>
          <w:sz w:val="24"/>
          <w:szCs w:val="24"/>
        </w:rPr>
      </w:pPr>
      <w:r>
        <w:rPr>
          <w:rFonts w:cstheme="minorHAnsi"/>
          <w:color w:val="000000" w:themeColor="text1"/>
          <w:sz w:val="24"/>
          <w:szCs w:val="24"/>
        </w:rPr>
        <w:t xml:space="preserve">Centralised Patient Data: </w:t>
      </w:r>
    </w:p>
    <w:p w14:paraId="544E81AF" w14:textId="46709F33" w:rsidR="00B54016" w:rsidRDefault="00B54016" w:rsidP="00B54016">
      <w:pPr>
        <w:spacing w:line="360" w:lineRule="auto"/>
        <w:rPr>
          <w:rFonts w:cstheme="minorHAnsi"/>
          <w:color w:val="000000" w:themeColor="text1"/>
          <w:sz w:val="24"/>
          <w:szCs w:val="24"/>
        </w:rPr>
      </w:pPr>
      <w:r>
        <w:rPr>
          <w:rFonts w:cstheme="minorHAnsi"/>
          <w:color w:val="000000" w:themeColor="text1"/>
          <w:sz w:val="24"/>
          <w:szCs w:val="24"/>
        </w:rPr>
        <w:t>Electronic Health Records (EHRs) offer a complete and centralised patient data repository. Having access to all pertinent information in one place—including medical history, diagnosis, prescriptions, and treatment plans—allows medical professionals to have a comprehensive understanding of a patient's health</w:t>
      </w:r>
      <w:r w:rsidR="005832C1">
        <w:rPr>
          <w:rFonts w:cstheme="minorHAnsi"/>
          <w:color w:val="000000" w:themeColor="text1"/>
          <w:sz w:val="24"/>
          <w:szCs w:val="24"/>
        </w:rPr>
        <w:t xml:space="preserve"> (</w:t>
      </w:r>
      <w:proofErr w:type="spellStart"/>
      <w:r w:rsidR="005832C1" w:rsidRPr="005832C1">
        <w:rPr>
          <w:rFonts w:cstheme="minorHAnsi"/>
          <w:color w:val="000000" w:themeColor="text1"/>
          <w:sz w:val="24"/>
          <w:szCs w:val="24"/>
        </w:rPr>
        <w:t>Caredocs</w:t>
      </w:r>
      <w:proofErr w:type="spellEnd"/>
      <w:r w:rsidR="005832C1">
        <w:rPr>
          <w:rFonts w:cstheme="minorHAnsi"/>
          <w:color w:val="000000" w:themeColor="text1"/>
          <w:sz w:val="24"/>
          <w:szCs w:val="24"/>
        </w:rPr>
        <w:t>, 2023)</w:t>
      </w:r>
      <w:r>
        <w:rPr>
          <w:rFonts w:cstheme="minorHAnsi"/>
          <w:color w:val="000000" w:themeColor="text1"/>
          <w:sz w:val="24"/>
          <w:szCs w:val="24"/>
        </w:rPr>
        <w:t>.</w:t>
      </w:r>
    </w:p>
    <w:p w14:paraId="62D1F2A9" w14:textId="3C751CAC" w:rsidR="00B54016" w:rsidRDefault="00B54016" w:rsidP="00B54016">
      <w:pPr>
        <w:spacing w:line="360" w:lineRule="auto"/>
        <w:rPr>
          <w:rFonts w:cstheme="minorHAnsi"/>
          <w:sz w:val="24"/>
          <w:szCs w:val="24"/>
        </w:rPr>
      </w:pPr>
      <w:r>
        <w:rPr>
          <w:rFonts w:cstheme="minorHAnsi"/>
          <w:sz w:val="24"/>
          <w:szCs w:val="24"/>
        </w:rPr>
        <w:t>Creating alliances with neighbourhood nonprofits, charitable organisations, and community groups is an important tactic in tackling the socioeconomic determinants of health. These alliances have the potential to develop a cooperative, all-encompassing strategy for enhancing community well-being</w:t>
      </w:r>
      <w:r w:rsidR="005832C1">
        <w:rPr>
          <w:rFonts w:cstheme="minorHAnsi"/>
          <w:sz w:val="24"/>
          <w:szCs w:val="24"/>
        </w:rPr>
        <w:t xml:space="preserve"> (</w:t>
      </w:r>
      <w:r w:rsidR="005832C1" w:rsidRPr="005832C1">
        <w:rPr>
          <w:rFonts w:cstheme="minorHAnsi"/>
          <w:sz w:val="24"/>
          <w:szCs w:val="24"/>
        </w:rPr>
        <w:t>Org.uk</w:t>
      </w:r>
      <w:r w:rsidR="005832C1">
        <w:rPr>
          <w:rFonts w:cstheme="minorHAnsi"/>
          <w:sz w:val="24"/>
          <w:szCs w:val="24"/>
        </w:rPr>
        <w:t>, 2023)</w:t>
      </w:r>
      <w:r>
        <w:rPr>
          <w:rFonts w:cstheme="minorHAnsi"/>
          <w:sz w:val="24"/>
          <w:szCs w:val="24"/>
        </w:rPr>
        <w:t xml:space="preserve">. Working together with institutions such as Bettws Early Learning Community, Flying Start, and Save the Children offers a strong basis for an all-encompassing approach to community care.  Save the Children, Bettws Early Learning Community, Flying Start, and other stakeholders can work together to coordinate efforts </w:t>
      </w:r>
      <w:r w:rsidR="005832C1">
        <w:rPr>
          <w:rFonts w:cstheme="minorHAnsi"/>
          <w:sz w:val="24"/>
          <w:szCs w:val="24"/>
        </w:rPr>
        <w:t>to</w:t>
      </w:r>
      <w:r>
        <w:rPr>
          <w:rFonts w:cstheme="minorHAnsi"/>
          <w:sz w:val="24"/>
          <w:szCs w:val="24"/>
        </w:rPr>
        <w:t xml:space="preserve"> establish a more complete and synergistic approach to community care that addresses </w:t>
      </w:r>
      <w:proofErr w:type="gramStart"/>
      <w:r>
        <w:rPr>
          <w:rFonts w:cstheme="minorHAnsi"/>
          <w:sz w:val="24"/>
          <w:szCs w:val="24"/>
        </w:rPr>
        <w:t>residents</w:t>
      </w:r>
      <w:proofErr w:type="gramEnd"/>
      <w:r>
        <w:rPr>
          <w:rFonts w:cstheme="minorHAnsi"/>
          <w:sz w:val="24"/>
          <w:szCs w:val="24"/>
        </w:rPr>
        <w:t xml:space="preserve"> different needs and promotes positive results for families.</w:t>
      </w:r>
    </w:p>
    <w:p w14:paraId="487EFAD2" w14:textId="39EA3C5F" w:rsidR="00B54016" w:rsidRPr="00633A2E" w:rsidRDefault="00B54016" w:rsidP="004E6B80">
      <w:pPr>
        <w:pStyle w:val="c-inline-listsingle"/>
        <w:shd w:val="clear" w:color="auto" w:fill="FFFFFF"/>
        <w:spacing w:before="0" w:beforeAutospacing="0" w:after="0" w:afterAutospacing="0" w:line="360" w:lineRule="auto"/>
        <w:rPr>
          <w:rFonts w:asciiTheme="minorHAnsi" w:hAnsiTheme="minorHAnsi" w:cstheme="minorHAnsi"/>
          <w:color w:val="43423E"/>
        </w:rPr>
      </w:pPr>
      <w:r w:rsidRPr="00633A2E">
        <w:rPr>
          <w:rFonts w:asciiTheme="minorHAnsi" w:hAnsiTheme="minorHAnsi" w:cstheme="minorHAnsi"/>
          <w:color w:val="000000" w:themeColor="text1"/>
        </w:rPr>
        <w:t xml:space="preserve">Public health campaigns are effective instruments for bringing about constructive change and enhancing community health outcomes. Through meticulous planning, execution, and assessment of these initiatives, public health professionals can enhance the well-being and knowledge of </w:t>
      </w:r>
      <w:proofErr w:type="gramStart"/>
      <w:r w:rsidR="004E6B80" w:rsidRPr="00633A2E">
        <w:rPr>
          <w:rFonts w:asciiTheme="minorHAnsi" w:hAnsiTheme="minorHAnsi" w:cstheme="minorHAnsi"/>
          <w:color w:val="000000" w:themeColor="text1"/>
        </w:rPr>
        <w:t>communities</w:t>
      </w:r>
      <w:proofErr w:type="gramEnd"/>
      <w:r w:rsidR="004E6B80">
        <w:rPr>
          <w:rFonts w:asciiTheme="minorHAnsi" w:hAnsiTheme="minorHAnsi" w:cstheme="minorHAnsi"/>
          <w:color w:val="000000" w:themeColor="text1"/>
        </w:rPr>
        <w:t xml:space="preserve"> </w:t>
      </w:r>
      <w:r w:rsidRPr="00633A2E">
        <w:rPr>
          <w:rFonts w:asciiTheme="minorHAnsi" w:hAnsiTheme="minorHAnsi" w:cstheme="minorHAnsi"/>
          <w:color w:val="000000" w:themeColor="text1"/>
        </w:rPr>
        <w:t>immunisation drives are campaigns that promote immunisation against diseases that can be prevented, like the COVID-19 vaccine, measles, and flu vaccines.</w:t>
      </w:r>
      <w:r w:rsidR="00633A2E" w:rsidRPr="00633A2E">
        <w:rPr>
          <w:rFonts w:asciiTheme="minorHAnsi" w:hAnsiTheme="minorHAnsi" w:cstheme="minorHAnsi"/>
          <w:color w:val="000000" w:themeColor="text1"/>
        </w:rPr>
        <w:t xml:space="preserve"> </w:t>
      </w:r>
    </w:p>
    <w:p w14:paraId="46CDDB30" w14:textId="77777777" w:rsidR="0087044B" w:rsidRDefault="00B54016" w:rsidP="00B54016">
      <w:pPr>
        <w:spacing w:line="360" w:lineRule="auto"/>
        <w:rPr>
          <w:rFonts w:cstheme="minorHAnsi"/>
          <w:color w:val="000000" w:themeColor="text1"/>
          <w:sz w:val="24"/>
          <w:szCs w:val="24"/>
        </w:rPr>
      </w:pPr>
      <w:r w:rsidRPr="00633A2E">
        <w:rPr>
          <w:rFonts w:cstheme="minorHAnsi"/>
          <w:color w:val="000000" w:themeColor="text1"/>
          <w:sz w:val="24"/>
          <w:szCs w:val="24"/>
        </w:rPr>
        <w:t xml:space="preserve">Smoking Cessation: </w:t>
      </w:r>
    </w:p>
    <w:p w14:paraId="3F60C443" w14:textId="7E5610C2" w:rsidR="0087044B" w:rsidRDefault="00B54016" w:rsidP="00B54016">
      <w:pPr>
        <w:spacing w:line="360" w:lineRule="auto"/>
        <w:rPr>
          <w:rFonts w:cstheme="minorHAnsi"/>
          <w:color w:val="000000" w:themeColor="text1"/>
          <w:sz w:val="24"/>
          <w:szCs w:val="24"/>
        </w:rPr>
      </w:pPr>
      <w:r w:rsidRPr="00633A2E">
        <w:rPr>
          <w:rFonts w:cstheme="minorHAnsi"/>
          <w:color w:val="000000" w:themeColor="text1"/>
          <w:sz w:val="24"/>
          <w:szCs w:val="24"/>
        </w:rPr>
        <w:t xml:space="preserve">Ads that highlight the risks associated with tobacco use and urge </w:t>
      </w:r>
      <w:r>
        <w:rPr>
          <w:rFonts w:cstheme="minorHAnsi"/>
          <w:color w:val="000000" w:themeColor="text1"/>
          <w:sz w:val="24"/>
          <w:szCs w:val="24"/>
        </w:rPr>
        <w:t>smokers to give up</w:t>
      </w:r>
      <w:r w:rsidR="00633A2E" w:rsidRPr="00633A2E">
        <w:rPr>
          <w:rFonts w:cstheme="minorHAnsi"/>
          <w:color w:val="000000" w:themeColor="text1"/>
        </w:rPr>
        <w:t xml:space="preserve"> </w:t>
      </w:r>
      <w:r w:rsidR="00633A2E">
        <w:rPr>
          <w:rFonts w:cstheme="minorHAnsi"/>
          <w:color w:val="000000" w:themeColor="text1"/>
        </w:rPr>
        <w:t>(</w:t>
      </w:r>
      <w:r w:rsidR="00633A2E" w:rsidRPr="00633A2E">
        <w:rPr>
          <w:rFonts w:cstheme="minorHAnsi"/>
          <w:color w:val="000000" w:themeColor="text1"/>
        </w:rPr>
        <w:t>Merrifield</w:t>
      </w:r>
      <w:r w:rsidR="00633A2E">
        <w:rPr>
          <w:rFonts w:cstheme="minorHAnsi"/>
          <w:color w:val="000000" w:themeColor="text1"/>
        </w:rPr>
        <w:t>, 2021)</w:t>
      </w:r>
      <w:r w:rsidR="00633A2E" w:rsidRPr="00633A2E">
        <w:rPr>
          <w:rFonts w:cstheme="minorHAnsi"/>
          <w:color w:val="000000" w:themeColor="text1"/>
          <w:sz w:val="24"/>
          <w:szCs w:val="24"/>
        </w:rPr>
        <w:t>.</w:t>
      </w:r>
    </w:p>
    <w:p w14:paraId="6029804B" w14:textId="0487564D" w:rsidR="0087044B" w:rsidRDefault="00B54016" w:rsidP="00B54016">
      <w:pPr>
        <w:spacing w:line="360" w:lineRule="auto"/>
        <w:rPr>
          <w:rFonts w:cstheme="minorHAnsi"/>
          <w:color w:val="000000" w:themeColor="text1"/>
          <w:sz w:val="24"/>
          <w:szCs w:val="24"/>
        </w:rPr>
      </w:pPr>
      <w:r>
        <w:rPr>
          <w:rFonts w:cstheme="minorHAnsi"/>
          <w:color w:val="000000" w:themeColor="text1"/>
          <w:sz w:val="24"/>
          <w:szCs w:val="24"/>
        </w:rPr>
        <w:t xml:space="preserve">Healthy Eating Initiatives: </w:t>
      </w:r>
    </w:p>
    <w:p w14:paraId="2DD6900F" w14:textId="77777777" w:rsidR="0087044B" w:rsidRDefault="00B54016" w:rsidP="00B54016">
      <w:pPr>
        <w:spacing w:line="360" w:lineRule="auto"/>
        <w:rPr>
          <w:rFonts w:cstheme="minorHAnsi"/>
          <w:color w:val="000000" w:themeColor="text1"/>
          <w:sz w:val="24"/>
          <w:szCs w:val="24"/>
        </w:rPr>
      </w:pPr>
      <w:r>
        <w:rPr>
          <w:rFonts w:cstheme="minorHAnsi"/>
          <w:color w:val="000000" w:themeColor="text1"/>
          <w:sz w:val="24"/>
          <w:szCs w:val="24"/>
        </w:rPr>
        <w:t>Programmes that support eating a balanced diet, encourage the consumption of fruits and vegetables, and increase public knowledge of the negative effects of eating poorly.</w:t>
      </w:r>
      <w:r w:rsidR="00633A2E">
        <w:rPr>
          <w:rFonts w:cstheme="minorHAnsi"/>
          <w:color w:val="000000" w:themeColor="text1"/>
          <w:sz w:val="24"/>
          <w:szCs w:val="24"/>
        </w:rPr>
        <w:t xml:space="preserve"> </w:t>
      </w:r>
      <w:r>
        <w:rPr>
          <w:rFonts w:cstheme="minorHAnsi"/>
          <w:color w:val="000000" w:themeColor="text1"/>
          <w:sz w:val="24"/>
          <w:szCs w:val="24"/>
        </w:rPr>
        <w:t xml:space="preserve">Promotion of Physical Activity: </w:t>
      </w:r>
    </w:p>
    <w:p w14:paraId="312A273B" w14:textId="332BAE9D" w:rsidR="00B54016" w:rsidRDefault="00B54016" w:rsidP="00B54016">
      <w:pPr>
        <w:spacing w:line="360" w:lineRule="auto"/>
        <w:rPr>
          <w:rFonts w:cstheme="minorHAnsi"/>
          <w:color w:val="000000" w:themeColor="text1"/>
          <w:sz w:val="24"/>
          <w:szCs w:val="24"/>
        </w:rPr>
      </w:pPr>
      <w:r>
        <w:rPr>
          <w:rFonts w:cstheme="minorHAnsi"/>
          <w:color w:val="000000" w:themeColor="text1"/>
          <w:sz w:val="24"/>
          <w:szCs w:val="24"/>
        </w:rPr>
        <w:t>Efforts to counteract sedentary behaviour and lower the risk of obesity and associated health problems by promoting regular physical activity.</w:t>
      </w:r>
      <w:r w:rsidR="00633A2E">
        <w:rPr>
          <w:rFonts w:cstheme="minorHAnsi"/>
          <w:color w:val="000000" w:themeColor="text1"/>
          <w:sz w:val="24"/>
          <w:szCs w:val="24"/>
        </w:rPr>
        <w:t xml:space="preserve"> </w:t>
      </w:r>
      <w:r>
        <w:rPr>
          <w:rFonts w:cstheme="minorHAnsi"/>
          <w:color w:val="000000" w:themeColor="text1"/>
          <w:sz w:val="24"/>
          <w:szCs w:val="24"/>
        </w:rPr>
        <w:t>Mental Health Awareness: Initiatives aimed at lessening the stigma associated with mental health, offering tools for mental health, and promoting asking for assistance when necessary</w:t>
      </w:r>
      <w:r w:rsidR="00633A2E">
        <w:rPr>
          <w:rFonts w:cstheme="minorHAnsi"/>
          <w:color w:val="000000" w:themeColor="text1"/>
          <w:sz w:val="24"/>
          <w:szCs w:val="24"/>
        </w:rPr>
        <w:t xml:space="preserve"> (</w:t>
      </w:r>
      <w:r w:rsidR="00633A2E" w:rsidRPr="00633A2E">
        <w:rPr>
          <w:rFonts w:cstheme="minorHAnsi"/>
          <w:color w:val="000000" w:themeColor="text1"/>
          <w:sz w:val="24"/>
          <w:szCs w:val="24"/>
        </w:rPr>
        <w:t>Roberto</w:t>
      </w:r>
      <w:r w:rsidR="00633A2E">
        <w:rPr>
          <w:rFonts w:cstheme="minorHAnsi"/>
          <w:color w:val="000000" w:themeColor="text1"/>
          <w:sz w:val="24"/>
          <w:szCs w:val="24"/>
        </w:rPr>
        <w:t xml:space="preserve"> and </w:t>
      </w:r>
      <w:r w:rsidR="00633A2E" w:rsidRPr="00633A2E">
        <w:rPr>
          <w:rFonts w:cstheme="minorHAnsi"/>
          <w:color w:val="000000" w:themeColor="text1"/>
          <w:sz w:val="24"/>
          <w:szCs w:val="24"/>
        </w:rPr>
        <w:t>Gorski</w:t>
      </w:r>
      <w:r w:rsidR="00633A2E">
        <w:rPr>
          <w:rFonts w:cstheme="minorHAnsi"/>
          <w:color w:val="000000" w:themeColor="text1"/>
          <w:sz w:val="24"/>
          <w:szCs w:val="24"/>
        </w:rPr>
        <w:t>, 2015)</w:t>
      </w:r>
      <w:r>
        <w:rPr>
          <w:rFonts w:cstheme="minorHAnsi"/>
          <w:color w:val="000000" w:themeColor="text1"/>
          <w:sz w:val="24"/>
          <w:szCs w:val="24"/>
        </w:rPr>
        <w:t>.</w:t>
      </w:r>
    </w:p>
    <w:p w14:paraId="7ECCBEB2" w14:textId="77777777" w:rsidR="0087044B" w:rsidRDefault="00633A2E" w:rsidP="00B54016">
      <w:pPr>
        <w:spacing w:line="360" w:lineRule="auto"/>
        <w:rPr>
          <w:rFonts w:cstheme="minorHAnsi"/>
          <w:color w:val="000000" w:themeColor="text1"/>
          <w:sz w:val="24"/>
          <w:szCs w:val="24"/>
        </w:rPr>
      </w:pPr>
      <w:r>
        <w:rPr>
          <w:rFonts w:cstheme="minorHAnsi"/>
          <w:color w:val="000000" w:themeColor="text1"/>
          <w:sz w:val="24"/>
          <w:szCs w:val="24"/>
        </w:rPr>
        <w:t>To</w:t>
      </w:r>
      <w:r w:rsidR="00B54016">
        <w:rPr>
          <w:rFonts w:cstheme="minorHAnsi"/>
          <w:color w:val="000000" w:themeColor="text1"/>
          <w:sz w:val="24"/>
          <w:szCs w:val="24"/>
        </w:rPr>
        <w:t xml:space="preserve"> guarantee that the care given fulfils the highest standards and changes to suit changing needs, </w:t>
      </w:r>
      <w:r>
        <w:rPr>
          <w:rFonts w:cstheme="minorHAnsi"/>
          <w:color w:val="000000" w:themeColor="text1"/>
          <w:sz w:val="24"/>
          <w:szCs w:val="24"/>
        </w:rPr>
        <w:t>health and social care services must undergo</w:t>
      </w:r>
      <w:r w:rsidR="00B54016">
        <w:rPr>
          <w:rFonts w:cstheme="minorHAnsi"/>
          <w:color w:val="000000" w:themeColor="text1"/>
          <w:sz w:val="24"/>
          <w:szCs w:val="24"/>
        </w:rPr>
        <w:t xml:space="preserve"> continuous improvement. </w:t>
      </w:r>
    </w:p>
    <w:p w14:paraId="540D0D11" w14:textId="77777777" w:rsidR="0087044B" w:rsidRDefault="00B54016" w:rsidP="00B54016">
      <w:pPr>
        <w:spacing w:line="360" w:lineRule="auto"/>
        <w:rPr>
          <w:rFonts w:cstheme="minorHAnsi"/>
          <w:color w:val="000000" w:themeColor="text1"/>
          <w:sz w:val="24"/>
          <w:szCs w:val="24"/>
        </w:rPr>
      </w:pPr>
      <w:r>
        <w:rPr>
          <w:rFonts w:cstheme="minorHAnsi"/>
          <w:color w:val="000000" w:themeColor="text1"/>
          <w:sz w:val="24"/>
          <w:szCs w:val="24"/>
        </w:rPr>
        <w:t xml:space="preserve">Key initiatives for continuous quality improvement in health and social care include the following: </w:t>
      </w:r>
    </w:p>
    <w:p w14:paraId="10A3DFF5" w14:textId="77777777" w:rsidR="0087044B" w:rsidRDefault="00B54016" w:rsidP="00B54016">
      <w:pPr>
        <w:spacing w:line="360" w:lineRule="auto"/>
        <w:rPr>
          <w:rFonts w:cstheme="minorHAnsi"/>
          <w:color w:val="000000" w:themeColor="text1"/>
          <w:sz w:val="24"/>
          <w:szCs w:val="24"/>
        </w:rPr>
      </w:pPr>
      <w:r>
        <w:rPr>
          <w:rFonts w:cstheme="minorHAnsi"/>
          <w:color w:val="000000" w:themeColor="text1"/>
          <w:sz w:val="24"/>
          <w:szCs w:val="24"/>
        </w:rPr>
        <w:t>Systems of Quality Management:</w:t>
      </w:r>
    </w:p>
    <w:p w14:paraId="392FDFCC" w14:textId="79D385FA" w:rsidR="00B54016" w:rsidRDefault="00B54016" w:rsidP="00B54016">
      <w:pPr>
        <w:spacing w:line="360" w:lineRule="auto"/>
        <w:rPr>
          <w:rFonts w:cstheme="minorHAnsi"/>
          <w:color w:val="000000" w:themeColor="text1"/>
          <w:sz w:val="24"/>
          <w:szCs w:val="24"/>
        </w:rPr>
      </w:pPr>
      <w:r>
        <w:rPr>
          <w:rFonts w:cstheme="minorHAnsi"/>
          <w:color w:val="000000" w:themeColor="text1"/>
          <w:sz w:val="24"/>
          <w:szCs w:val="24"/>
        </w:rPr>
        <w:t xml:space="preserve">Create a strong quality management system with rules, processes, and standards to monitor and enhance the calibre of services. For quality assurance, this system should clearly define roles and </w:t>
      </w:r>
      <w:r w:rsidR="00633A2E">
        <w:rPr>
          <w:rFonts w:cstheme="minorHAnsi"/>
          <w:color w:val="000000" w:themeColor="text1"/>
          <w:sz w:val="24"/>
          <w:szCs w:val="24"/>
        </w:rPr>
        <w:t>responsibilities (</w:t>
      </w:r>
      <w:proofErr w:type="spellStart"/>
      <w:r w:rsidR="00633A2E">
        <w:rPr>
          <w:rFonts w:cstheme="minorHAnsi"/>
          <w:color w:val="000000" w:themeColor="text1"/>
          <w:sz w:val="24"/>
          <w:szCs w:val="24"/>
        </w:rPr>
        <w:t>Gov.wales</w:t>
      </w:r>
      <w:proofErr w:type="spellEnd"/>
      <w:r w:rsidR="00633A2E">
        <w:rPr>
          <w:rFonts w:cstheme="minorHAnsi"/>
          <w:color w:val="000000" w:themeColor="text1"/>
          <w:sz w:val="24"/>
          <w:szCs w:val="24"/>
        </w:rPr>
        <w:t>, 2021)</w:t>
      </w:r>
      <w:r>
        <w:rPr>
          <w:rFonts w:cstheme="minorHAnsi"/>
          <w:color w:val="000000" w:themeColor="text1"/>
          <w:sz w:val="24"/>
          <w:szCs w:val="24"/>
        </w:rPr>
        <w:t>.</w:t>
      </w:r>
    </w:p>
    <w:p w14:paraId="065F93C6" w14:textId="77777777" w:rsidR="0087044B" w:rsidRDefault="00B54016" w:rsidP="00B54016">
      <w:pPr>
        <w:spacing w:line="360" w:lineRule="auto"/>
        <w:rPr>
          <w:rFonts w:cstheme="minorHAnsi"/>
          <w:color w:val="000000" w:themeColor="text1"/>
          <w:sz w:val="24"/>
          <w:szCs w:val="24"/>
        </w:rPr>
      </w:pPr>
      <w:r>
        <w:rPr>
          <w:rFonts w:cstheme="minorHAnsi"/>
          <w:color w:val="000000" w:themeColor="text1"/>
          <w:sz w:val="24"/>
          <w:szCs w:val="24"/>
        </w:rPr>
        <w:t xml:space="preserve">Monitoring and Measuring Performance: </w:t>
      </w:r>
    </w:p>
    <w:p w14:paraId="7CA95505" w14:textId="42C7CF11" w:rsidR="00B54016" w:rsidRDefault="00B54016" w:rsidP="00B54016">
      <w:pPr>
        <w:spacing w:line="360" w:lineRule="auto"/>
        <w:rPr>
          <w:rFonts w:cstheme="minorHAnsi"/>
          <w:color w:val="000000" w:themeColor="text1"/>
          <w:sz w:val="24"/>
          <w:szCs w:val="24"/>
        </w:rPr>
      </w:pPr>
      <w:r>
        <w:rPr>
          <w:rFonts w:cstheme="minorHAnsi"/>
          <w:color w:val="000000" w:themeColor="text1"/>
          <w:sz w:val="24"/>
          <w:szCs w:val="24"/>
        </w:rPr>
        <w:t xml:space="preserve">Establish key performance indicators (KPIs) to assess patient outcomes, safety, efficiency, and satisfaction, among other elements of service delivery. To find areas that need improvement, </w:t>
      </w:r>
      <w:r w:rsidR="004E6B80">
        <w:rPr>
          <w:rFonts w:cstheme="minorHAnsi"/>
          <w:color w:val="000000" w:themeColor="text1"/>
          <w:sz w:val="24"/>
          <w:szCs w:val="24"/>
        </w:rPr>
        <w:t>examine,</w:t>
      </w:r>
      <w:r>
        <w:rPr>
          <w:rFonts w:cstheme="minorHAnsi"/>
          <w:color w:val="000000" w:themeColor="text1"/>
          <w:sz w:val="24"/>
          <w:szCs w:val="24"/>
        </w:rPr>
        <w:t xml:space="preserve"> and monitor performance data </w:t>
      </w:r>
      <w:r w:rsidR="00633A2E">
        <w:rPr>
          <w:rFonts w:cstheme="minorHAnsi"/>
          <w:color w:val="000000" w:themeColor="text1"/>
          <w:sz w:val="24"/>
          <w:szCs w:val="24"/>
        </w:rPr>
        <w:t>regularly (</w:t>
      </w:r>
      <w:proofErr w:type="spellStart"/>
      <w:r w:rsidR="00633A2E" w:rsidRPr="00633A2E">
        <w:rPr>
          <w:rFonts w:cstheme="minorHAnsi"/>
          <w:color w:val="000000" w:themeColor="text1"/>
          <w:sz w:val="24"/>
          <w:szCs w:val="24"/>
        </w:rPr>
        <w:t>Global.ntt</w:t>
      </w:r>
      <w:proofErr w:type="spellEnd"/>
      <w:r w:rsidR="00633A2E">
        <w:rPr>
          <w:rFonts w:cstheme="minorHAnsi"/>
          <w:color w:val="000000" w:themeColor="text1"/>
          <w:sz w:val="24"/>
          <w:szCs w:val="24"/>
        </w:rPr>
        <w:t>, 2023)</w:t>
      </w:r>
      <w:r>
        <w:rPr>
          <w:rFonts w:cstheme="minorHAnsi"/>
          <w:color w:val="000000" w:themeColor="text1"/>
          <w:sz w:val="24"/>
          <w:szCs w:val="24"/>
        </w:rPr>
        <w:t>.</w:t>
      </w:r>
    </w:p>
    <w:p w14:paraId="0196B0AC" w14:textId="77777777" w:rsidR="0087044B" w:rsidRDefault="00B54016" w:rsidP="00B54016">
      <w:pPr>
        <w:spacing w:line="360" w:lineRule="auto"/>
        <w:rPr>
          <w:rFonts w:cstheme="minorHAnsi"/>
          <w:color w:val="000000" w:themeColor="text1"/>
          <w:sz w:val="24"/>
          <w:szCs w:val="24"/>
        </w:rPr>
      </w:pPr>
      <w:r>
        <w:rPr>
          <w:rFonts w:cstheme="minorHAnsi"/>
          <w:color w:val="000000" w:themeColor="text1"/>
          <w:sz w:val="24"/>
          <w:szCs w:val="24"/>
        </w:rPr>
        <w:t xml:space="preserve">Feedback methods: </w:t>
      </w:r>
    </w:p>
    <w:p w14:paraId="072F9EB3" w14:textId="1BB4C92E" w:rsidR="00B54016" w:rsidRDefault="00B54016" w:rsidP="00B54016">
      <w:pPr>
        <w:spacing w:line="360" w:lineRule="auto"/>
        <w:rPr>
          <w:rFonts w:cstheme="minorHAnsi"/>
          <w:color w:val="000000" w:themeColor="text1"/>
          <w:sz w:val="24"/>
          <w:szCs w:val="24"/>
        </w:rPr>
      </w:pPr>
      <w:r>
        <w:rPr>
          <w:rFonts w:cstheme="minorHAnsi"/>
          <w:color w:val="000000" w:themeColor="text1"/>
          <w:sz w:val="24"/>
          <w:szCs w:val="24"/>
        </w:rPr>
        <w:t>Put in place methods for collecting feedback from personnel, service users, and their families. Surveys, suggestion boxes, focus groups, and other methods for gathering viewpoints on the calibre of care can be used for this</w:t>
      </w:r>
      <w:r w:rsidR="00F838AC">
        <w:rPr>
          <w:rFonts w:cstheme="minorHAnsi"/>
          <w:color w:val="000000" w:themeColor="text1"/>
          <w:sz w:val="24"/>
          <w:szCs w:val="24"/>
        </w:rPr>
        <w:t xml:space="preserve"> (</w:t>
      </w:r>
      <w:proofErr w:type="spellStart"/>
      <w:r w:rsidR="00F838AC">
        <w:rPr>
          <w:rFonts w:cstheme="minorHAnsi"/>
          <w:color w:val="000000" w:themeColor="text1"/>
          <w:sz w:val="24"/>
          <w:szCs w:val="24"/>
        </w:rPr>
        <w:t>N</w:t>
      </w:r>
      <w:r w:rsidR="00F838AC" w:rsidRPr="00F838AC">
        <w:rPr>
          <w:rFonts w:cstheme="minorHAnsi"/>
          <w:color w:val="000000" w:themeColor="text1"/>
          <w:sz w:val="24"/>
          <w:szCs w:val="24"/>
        </w:rPr>
        <w:t>hssurveys</w:t>
      </w:r>
      <w:proofErr w:type="spellEnd"/>
      <w:r w:rsidR="00F838AC">
        <w:rPr>
          <w:rFonts w:cstheme="minorHAnsi"/>
          <w:color w:val="000000" w:themeColor="text1"/>
          <w:sz w:val="24"/>
          <w:szCs w:val="24"/>
        </w:rPr>
        <w:t>, 2009)</w:t>
      </w:r>
      <w:r>
        <w:rPr>
          <w:rFonts w:cstheme="minorHAnsi"/>
          <w:color w:val="000000" w:themeColor="text1"/>
          <w:sz w:val="24"/>
          <w:szCs w:val="24"/>
        </w:rPr>
        <w:t>.</w:t>
      </w:r>
    </w:p>
    <w:p w14:paraId="054ED831" w14:textId="14427AD3" w:rsidR="00B54016" w:rsidRDefault="00B54016" w:rsidP="00B54016">
      <w:pPr>
        <w:spacing w:line="360" w:lineRule="auto"/>
        <w:rPr>
          <w:rFonts w:cstheme="minorHAnsi"/>
          <w:color w:val="000000" w:themeColor="text1"/>
          <w:sz w:val="24"/>
          <w:szCs w:val="24"/>
        </w:rPr>
      </w:pPr>
      <w:r>
        <w:rPr>
          <w:rFonts w:cstheme="minorHAnsi"/>
          <w:color w:val="000000" w:themeColor="text1"/>
          <w:sz w:val="24"/>
          <w:szCs w:val="24"/>
        </w:rPr>
        <w:t xml:space="preserve">Promote entrepreneurship and the expansion of diverse industries to promote economic </w:t>
      </w:r>
      <w:r w:rsidR="004E6B80">
        <w:rPr>
          <w:rFonts w:cstheme="minorHAnsi"/>
          <w:color w:val="000000" w:themeColor="text1"/>
          <w:sz w:val="24"/>
          <w:szCs w:val="24"/>
        </w:rPr>
        <w:t>diversity and</w:t>
      </w:r>
      <w:r w:rsidR="00F838AC">
        <w:rPr>
          <w:rFonts w:cstheme="minorHAnsi"/>
          <w:color w:val="000000" w:themeColor="text1"/>
          <w:sz w:val="24"/>
          <w:szCs w:val="24"/>
        </w:rPr>
        <w:t xml:space="preserve"> e</w:t>
      </w:r>
      <w:r>
        <w:rPr>
          <w:rFonts w:cstheme="minorHAnsi"/>
          <w:color w:val="000000" w:themeColor="text1"/>
          <w:sz w:val="24"/>
          <w:szCs w:val="24"/>
        </w:rPr>
        <w:t>ncourage the growth of startups and small enterprises by offering incentives.</w:t>
      </w:r>
      <w:r w:rsidR="00D53FAD">
        <w:rPr>
          <w:rFonts w:cstheme="minorHAnsi"/>
          <w:color w:val="000000" w:themeColor="text1"/>
          <w:sz w:val="24"/>
          <w:szCs w:val="24"/>
        </w:rPr>
        <w:t xml:space="preserve"> </w:t>
      </w:r>
      <w:r>
        <w:rPr>
          <w:rFonts w:cstheme="minorHAnsi"/>
          <w:color w:val="000000" w:themeColor="text1"/>
          <w:sz w:val="24"/>
          <w:szCs w:val="24"/>
        </w:rPr>
        <w:t>To improve skills and employability, fund workforce development and education initiatives. Work together with nearby companies and educational institutions to develop specialised training initiatives</w:t>
      </w:r>
      <w:r w:rsidR="00F838AC">
        <w:rPr>
          <w:rFonts w:cstheme="minorHAnsi"/>
          <w:color w:val="000000" w:themeColor="text1"/>
          <w:sz w:val="24"/>
          <w:szCs w:val="24"/>
        </w:rPr>
        <w:t xml:space="preserve"> (</w:t>
      </w:r>
      <w:proofErr w:type="spellStart"/>
      <w:r w:rsidR="00F838AC" w:rsidRPr="00F838AC">
        <w:rPr>
          <w:rFonts w:cstheme="minorHAnsi"/>
          <w:color w:val="000000" w:themeColor="text1"/>
          <w:sz w:val="24"/>
          <w:szCs w:val="24"/>
        </w:rPr>
        <w:t>Skillsforcare</w:t>
      </w:r>
      <w:proofErr w:type="spellEnd"/>
      <w:r w:rsidR="00F838AC">
        <w:rPr>
          <w:rFonts w:cstheme="minorHAnsi"/>
          <w:color w:val="000000" w:themeColor="text1"/>
          <w:sz w:val="24"/>
          <w:szCs w:val="24"/>
        </w:rPr>
        <w:t>, 2022)</w:t>
      </w:r>
      <w:r>
        <w:rPr>
          <w:rFonts w:cstheme="minorHAnsi"/>
          <w:color w:val="000000" w:themeColor="text1"/>
          <w:sz w:val="24"/>
          <w:szCs w:val="24"/>
        </w:rPr>
        <w:t>.</w:t>
      </w:r>
    </w:p>
    <w:p w14:paraId="4A1B68D6" w14:textId="77777777" w:rsidR="00D53FAD" w:rsidRDefault="00F838AC" w:rsidP="00B54016">
      <w:pPr>
        <w:spacing w:line="360" w:lineRule="auto"/>
        <w:rPr>
          <w:rFonts w:cstheme="minorHAnsi"/>
          <w:color w:val="000000" w:themeColor="text1"/>
          <w:sz w:val="24"/>
          <w:szCs w:val="24"/>
        </w:rPr>
      </w:pPr>
      <w:r>
        <w:rPr>
          <w:rFonts w:cstheme="minorHAnsi"/>
          <w:color w:val="000000" w:themeColor="text1"/>
          <w:sz w:val="24"/>
          <w:szCs w:val="24"/>
        </w:rPr>
        <w:t xml:space="preserve">According to </w:t>
      </w:r>
      <w:r w:rsidRPr="00F838AC">
        <w:rPr>
          <w:rFonts w:cstheme="minorHAnsi"/>
          <w:color w:val="000000" w:themeColor="text1"/>
          <w:sz w:val="24"/>
          <w:szCs w:val="24"/>
        </w:rPr>
        <w:t>McGroarty</w:t>
      </w:r>
      <w:r>
        <w:rPr>
          <w:rFonts w:cstheme="minorHAnsi"/>
          <w:color w:val="000000" w:themeColor="text1"/>
          <w:sz w:val="24"/>
          <w:szCs w:val="24"/>
        </w:rPr>
        <w:t xml:space="preserve"> (2019), to p</w:t>
      </w:r>
      <w:r w:rsidR="00B54016">
        <w:rPr>
          <w:rFonts w:cstheme="minorHAnsi"/>
          <w:color w:val="000000" w:themeColor="text1"/>
          <w:sz w:val="24"/>
          <w:szCs w:val="24"/>
        </w:rPr>
        <w:t>ut into practice evidence-based health promotion programmes that deal with common health problems</w:t>
      </w:r>
      <w:r>
        <w:rPr>
          <w:rFonts w:cstheme="minorHAnsi"/>
          <w:color w:val="000000" w:themeColor="text1"/>
          <w:sz w:val="24"/>
          <w:szCs w:val="24"/>
        </w:rPr>
        <w:t>, c</w:t>
      </w:r>
      <w:r w:rsidR="00B54016">
        <w:rPr>
          <w:rFonts w:cstheme="minorHAnsi"/>
          <w:color w:val="000000" w:themeColor="text1"/>
          <w:sz w:val="24"/>
          <w:szCs w:val="24"/>
        </w:rPr>
        <w:t>ampaigns for wellbeing, access to healthcare services, and preventive healthcare are a few examples of this.</w:t>
      </w:r>
      <w:r w:rsidR="00D53FAD">
        <w:rPr>
          <w:rFonts w:cstheme="minorHAnsi"/>
          <w:color w:val="000000" w:themeColor="text1"/>
          <w:sz w:val="24"/>
          <w:szCs w:val="24"/>
        </w:rPr>
        <w:t xml:space="preserve"> </w:t>
      </w:r>
      <w:r w:rsidR="00B54016">
        <w:rPr>
          <w:rFonts w:cstheme="minorHAnsi"/>
          <w:color w:val="000000" w:themeColor="text1"/>
          <w:sz w:val="24"/>
          <w:szCs w:val="24"/>
        </w:rPr>
        <w:t>Make infrastructure development—including public space development, utility enhancement, and network transportation network upgrades—a top priority</w:t>
      </w:r>
      <w:r>
        <w:rPr>
          <w:rFonts w:cstheme="minorHAnsi"/>
          <w:color w:val="000000" w:themeColor="text1"/>
          <w:sz w:val="24"/>
          <w:szCs w:val="24"/>
        </w:rPr>
        <w:t>, t</w:t>
      </w:r>
      <w:r w:rsidR="00B54016">
        <w:rPr>
          <w:rFonts w:cstheme="minorHAnsi"/>
          <w:color w:val="000000" w:themeColor="text1"/>
          <w:sz w:val="24"/>
          <w:szCs w:val="24"/>
        </w:rPr>
        <w:t xml:space="preserve">hese improvements can increase </w:t>
      </w:r>
      <w:r w:rsidR="004E6B80">
        <w:rPr>
          <w:rFonts w:cstheme="minorHAnsi"/>
          <w:color w:val="000000" w:themeColor="text1"/>
          <w:sz w:val="24"/>
          <w:szCs w:val="24"/>
        </w:rPr>
        <w:t xml:space="preserve">the </w:t>
      </w:r>
      <w:r w:rsidR="00B54016">
        <w:rPr>
          <w:rFonts w:cstheme="minorHAnsi"/>
          <w:color w:val="000000" w:themeColor="text1"/>
          <w:sz w:val="24"/>
          <w:szCs w:val="24"/>
        </w:rPr>
        <w:t>general quality of life and draw in investment</w:t>
      </w:r>
      <w:r>
        <w:rPr>
          <w:rFonts w:cstheme="minorHAnsi"/>
          <w:color w:val="000000" w:themeColor="text1"/>
          <w:sz w:val="24"/>
          <w:szCs w:val="24"/>
        </w:rPr>
        <w:t xml:space="preserve"> (NIC, 2021)</w:t>
      </w:r>
      <w:r w:rsidR="00B54016">
        <w:rPr>
          <w:rFonts w:cstheme="minorHAnsi"/>
          <w:color w:val="000000" w:themeColor="text1"/>
          <w:sz w:val="24"/>
          <w:szCs w:val="24"/>
        </w:rPr>
        <w:t>.</w:t>
      </w:r>
    </w:p>
    <w:p w14:paraId="5C25DD25" w14:textId="6FF7D3BA" w:rsidR="00B54016" w:rsidRDefault="00B54016" w:rsidP="00B54016">
      <w:pPr>
        <w:spacing w:line="360" w:lineRule="auto"/>
        <w:rPr>
          <w:rFonts w:cstheme="minorHAnsi"/>
          <w:color w:val="000000" w:themeColor="text1"/>
          <w:sz w:val="24"/>
          <w:szCs w:val="24"/>
        </w:rPr>
      </w:pPr>
      <w:r>
        <w:rPr>
          <w:rFonts w:cstheme="minorHAnsi"/>
          <w:color w:val="000000" w:themeColor="text1"/>
          <w:sz w:val="24"/>
          <w:szCs w:val="24"/>
        </w:rPr>
        <w:t xml:space="preserve">Promote the development of community capacity </w:t>
      </w:r>
      <w:r w:rsidR="004E6B80">
        <w:rPr>
          <w:rFonts w:cstheme="minorHAnsi"/>
          <w:color w:val="000000" w:themeColor="text1"/>
          <w:sz w:val="24"/>
          <w:szCs w:val="24"/>
        </w:rPr>
        <w:t>by employing</w:t>
      </w:r>
      <w:r>
        <w:rPr>
          <w:rFonts w:cstheme="minorHAnsi"/>
          <w:color w:val="000000" w:themeColor="text1"/>
          <w:sz w:val="24"/>
          <w:szCs w:val="24"/>
        </w:rPr>
        <w:t xml:space="preserve"> training programmes, leadership training, and programmes that enable citizens to take an active role in the community's progress</w:t>
      </w:r>
      <w:r w:rsidR="004E6B80">
        <w:rPr>
          <w:rFonts w:cstheme="minorHAnsi"/>
          <w:color w:val="000000" w:themeColor="text1"/>
          <w:sz w:val="24"/>
          <w:szCs w:val="24"/>
        </w:rPr>
        <w:t>, and p</w:t>
      </w:r>
      <w:r>
        <w:rPr>
          <w:rFonts w:cstheme="minorHAnsi"/>
          <w:color w:val="000000" w:themeColor="text1"/>
          <w:sz w:val="24"/>
          <w:szCs w:val="24"/>
        </w:rPr>
        <w:t>ut in place social programmes that promote diversity, inclusiveness, and social cohesiveness. Provide areas where people in the community can mingle, exchange stories, and work together on initiatives</w:t>
      </w:r>
      <w:r w:rsidR="004E6B80">
        <w:rPr>
          <w:rFonts w:cstheme="minorHAnsi"/>
          <w:color w:val="000000" w:themeColor="text1"/>
          <w:sz w:val="24"/>
          <w:szCs w:val="24"/>
        </w:rPr>
        <w:t xml:space="preserve"> (</w:t>
      </w:r>
      <w:r w:rsidR="004E6B80" w:rsidRPr="004E6B80">
        <w:rPr>
          <w:rFonts w:cstheme="minorHAnsi"/>
          <w:color w:val="000000" w:themeColor="text1"/>
          <w:sz w:val="24"/>
          <w:szCs w:val="24"/>
        </w:rPr>
        <w:t>Researchinpractice.org.uk</w:t>
      </w:r>
      <w:r w:rsidR="004E6B80">
        <w:rPr>
          <w:rFonts w:cstheme="minorHAnsi"/>
          <w:color w:val="000000" w:themeColor="text1"/>
          <w:sz w:val="24"/>
          <w:szCs w:val="24"/>
        </w:rPr>
        <w:t>, 2021)</w:t>
      </w:r>
      <w:r>
        <w:rPr>
          <w:rFonts w:cstheme="minorHAnsi"/>
          <w:color w:val="000000" w:themeColor="text1"/>
          <w:sz w:val="24"/>
          <w:szCs w:val="24"/>
        </w:rPr>
        <w:t>.</w:t>
      </w:r>
      <w:r w:rsidR="00D53FAD">
        <w:rPr>
          <w:rFonts w:cstheme="minorHAnsi"/>
          <w:color w:val="000000" w:themeColor="text1"/>
          <w:sz w:val="24"/>
          <w:szCs w:val="24"/>
        </w:rPr>
        <w:t xml:space="preserve"> </w:t>
      </w:r>
      <w:r>
        <w:rPr>
          <w:rFonts w:cstheme="minorHAnsi"/>
          <w:color w:val="000000" w:themeColor="text1"/>
          <w:sz w:val="24"/>
          <w:szCs w:val="24"/>
        </w:rPr>
        <w:t>Improve community policing tactics to raise citizen trust in law enforcement and increase safety. To address safety issues, put crime prevention programmes and efforts into action</w:t>
      </w:r>
      <w:r w:rsidR="004E6B80">
        <w:rPr>
          <w:rFonts w:cstheme="minorHAnsi"/>
          <w:color w:val="000000" w:themeColor="text1"/>
          <w:sz w:val="24"/>
          <w:szCs w:val="24"/>
        </w:rPr>
        <w:t xml:space="preserve"> (</w:t>
      </w:r>
      <w:r w:rsidR="004E6B80" w:rsidRPr="004E6B80">
        <w:rPr>
          <w:rFonts w:cstheme="minorHAnsi"/>
          <w:color w:val="000000" w:themeColor="text1"/>
          <w:sz w:val="24"/>
          <w:szCs w:val="24"/>
        </w:rPr>
        <w:t>BOJA</w:t>
      </w:r>
      <w:r w:rsidR="004E6B80">
        <w:rPr>
          <w:rFonts w:cstheme="minorHAnsi"/>
          <w:color w:val="000000" w:themeColor="text1"/>
          <w:sz w:val="24"/>
          <w:szCs w:val="24"/>
        </w:rPr>
        <w:t>, 2019)</w:t>
      </w:r>
      <w:r>
        <w:rPr>
          <w:rFonts w:cstheme="minorHAnsi"/>
          <w:color w:val="000000" w:themeColor="text1"/>
          <w:sz w:val="24"/>
          <w:szCs w:val="24"/>
        </w:rPr>
        <w:t>.</w:t>
      </w:r>
    </w:p>
    <w:p w14:paraId="70825CA8" w14:textId="77777777" w:rsidR="00D53FAD" w:rsidRDefault="00B54016" w:rsidP="00D53FAD">
      <w:pPr>
        <w:spacing w:line="360" w:lineRule="auto"/>
        <w:rPr>
          <w:sz w:val="24"/>
          <w:szCs w:val="24"/>
        </w:rPr>
      </w:pPr>
      <w:r>
        <w:rPr>
          <w:sz w:val="24"/>
          <w:szCs w:val="24"/>
        </w:rPr>
        <w:t xml:space="preserve">In conclusion, Bettws health and social care programmes have shown both places for improvement and areas of success. The community has made </w:t>
      </w:r>
      <w:r w:rsidR="00F838AC">
        <w:rPr>
          <w:sz w:val="24"/>
          <w:szCs w:val="24"/>
        </w:rPr>
        <w:t>some</w:t>
      </w:r>
      <w:r>
        <w:rPr>
          <w:sz w:val="24"/>
          <w:szCs w:val="24"/>
        </w:rPr>
        <w:t xml:space="preserve"> admirable initiatives to improve the well-being of its citizens by using a multimodal approach. Public health campaigns were launched </w:t>
      </w:r>
      <w:r w:rsidR="00F838AC">
        <w:rPr>
          <w:sz w:val="24"/>
          <w:szCs w:val="24"/>
        </w:rPr>
        <w:t>to promote</w:t>
      </w:r>
      <w:r>
        <w:rPr>
          <w:sz w:val="24"/>
          <w:szCs w:val="24"/>
        </w:rPr>
        <w:t xml:space="preserve"> healthy lifestyle choices and preventative care. Examples of these campaigns included vaccination drives, programmes to </w:t>
      </w:r>
      <w:proofErr w:type="gramStart"/>
      <w:r w:rsidR="004E6B80">
        <w:rPr>
          <w:sz w:val="24"/>
          <w:szCs w:val="24"/>
        </w:rPr>
        <w:t>quit</w:t>
      </w:r>
      <w:proofErr w:type="gramEnd"/>
      <w:r>
        <w:rPr>
          <w:sz w:val="24"/>
          <w:szCs w:val="24"/>
        </w:rPr>
        <w:t xml:space="preserve"> smoking, and healthy eating campaigns. The community has benefited from increased knowledge and awareness of important health issues because of these efforts.  There have been difficulties, nevertheless, such as obstacles to changing habits and the requirement for more thorough outreach to demographic groups. Some health inequities still exist despite efforts, therefore ensuring inclusivity and equity in health outcomes will require a more complex and culturally sensitive approach. Through persistent learning, flexibility, and cooperation, Bettws may create a community that is strong and self-sufficient. Bettws can achieve its goal of a community where each resident can lead a healthy, full life with a communal commitment to the continuous path towards better health and social care.</w:t>
      </w:r>
    </w:p>
    <w:p w14:paraId="7D75F322" w14:textId="77777777" w:rsidR="0087044B" w:rsidRDefault="0087044B" w:rsidP="00D53FAD">
      <w:pPr>
        <w:spacing w:line="360" w:lineRule="auto"/>
        <w:rPr>
          <w:sz w:val="28"/>
          <w:szCs w:val="28"/>
        </w:rPr>
      </w:pPr>
    </w:p>
    <w:p w14:paraId="009CEB04" w14:textId="77777777" w:rsidR="0087044B" w:rsidRDefault="0087044B" w:rsidP="00D53FAD">
      <w:pPr>
        <w:spacing w:line="360" w:lineRule="auto"/>
        <w:rPr>
          <w:sz w:val="28"/>
          <w:szCs w:val="28"/>
        </w:rPr>
      </w:pPr>
    </w:p>
    <w:p w14:paraId="0FA7D62B" w14:textId="77777777" w:rsidR="0087044B" w:rsidRDefault="0087044B" w:rsidP="00D53FAD">
      <w:pPr>
        <w:spacing w:line="360" w:lineRule="auto"/>
        <w:rPr>
          <w:sz w:val="28"/>
          <w:szCs w:val="28"/>
        </w:rPr>
      </w:pPr>
    </w:p>
    <w:p w14:paraId="24C84905" w14:textId="77777777" w:rsidR="0087044B" w:rsidRDefault="0087044B" w:rsidP="00D53FAD">
      <w:pPr>
        <w:spacing w:line="360" w:lineRule="auto"/>
        <w:rPr>
          <w:sz w:val="28"/>
          <w:szCs w:val="28"/>
        </w:rPr>
      </w:pPr>
    </w:p>
    <w:p w14:paraId="28F76005" w14:textId="77777777" w:rsidR="0087044B" w:rsidRDefault="0087044B" w:rsidP="00D53FAD">
      <w:pPr>
        <w:spacing w:line="360" w:lineRule="auto"/>
        <w:rPr>
          <w:sz w:val="28"/>
          <w:szCs w:val="28"/>
        </w:rPr>
      </w:pPr>
    </w:p>
    <w:p w14:paraId="5F41AB23" w14:textId="77777777" w:rsidR="0087044B" w:rsidRDefault="0087044B" w:rsidP="00D53FAD">
      <w:pPr>
        <w:spacing w:line="360" w:lineRule="auto"/>
        <w:rPr>
          <w:sz w:val="28"/>
          <w:szCs w:val="28"/>
        </w:rPr>
      </w:pPr>
    </w:p>
    <w:p w14:paraId="7EE5D82E" w14:textId="77777777" w:rsidR="0087044B" w:rsidRDefault="0087044B" w:rsidP="00D53FAD">
      <w:pPr>
        <w:spacing w:line="360" w:lineRule="auto"/>
        <w:rPr>
          <w:sz w:val="28"/>
          <w:szCs w:val="28"/>
        </w:rPr>
      </w:pPr>
    </w:p>
    <w:p w14:paraId="6207B98B" w14:textId="77777777" w:rsidR="0087044B" w:rsidRDefault="0087044B" w:rsidP="00D53FAD">
      <w:pPr>
        <w:spacing w:line="360" w:lineRule="auto"/>
        <w:rPr>
          <w:sz w:val="28"/>
          <w:szCs w:val="28"/>
        </w:rPr>
      </w:pPr>
    </w:p>
    <w:p w14:paraId="2BFCA751" w14:textId="77777777" w:rsidR="0087044B" w:rsidRDefault="0087044B" w:rsidP="00D53FAD">
      <w:pPr>
        <w:spacing w:line="360" w:lineRule="auto"/>
        <w:rPr>
          <w:sz w:val="28"/>
          <w:szCs w:val="28"/>
        </w:rPr>
      </w:pPr>
    </w:p>
    <w:p w14:paraId="500485A9" w14:textId="77777777" w:rsidR="0087044B" w:rsidRDefault="0087044B" w:rsidP="00D53FAD">
      <w:pPr>
        <w:spacing w:line="360" w:lineRule="auto"/>
        <w:rPr>
          <w:sz w:val="28"/>
          <w:szCs w:val="28"/>
        </w:rPr>
      </w:pPr>
    </w:p>
    <w:p w14:paraId="6F7A7634" w14:textId="471A875B" w:rsidR="00B54016" w:rsidRDefault="00B54016" w:rsidP="00D53FAD">
      <w:pPr>
        <w:spacing w:line="360" w:lineRule="auto"/>
        <w:rPr>
          <w:sz w:val="28"/>
          <w:szCs w:val="28"/>
        </w:rPr>
      </w:pPr>
      <w:r w:rsidRPr="00D53FAD">
        <w:rPr>
          <w:sz w:val="28"/>
          <w:szCs w:val="28"/>
        </w:rPr>
        <w:t>Reference</w:t>
      </w:r>
    </w:p>
    <w:p w14:paraId="2FB14A72" w14:textId="2E8E04FB" w:rsidR="00D53FAD" w:rsidRDefault="00D53FAD" w:rsidP="00D53FAD">
      <w:pPr>
        <w:tabs>
          <w:tab w:val="left" w:pos="1340"/>
        </w:tabs>
      </w:pPr>
      <w:r>
        <w:t xml:space="preserve">Andermann, A. (2016). </w:t>
      </w:r>
      <w:proofErr w:type="gramStart"/>
      <w:r>
        <w:t>Taking action</w:t>
      </w:r>
      <w:proofErr w:type="gramEnd"/>
      <w:r>
        <w:t xml:space="preserve"> on the social determinants of health in clinical practice: A framework for health professionals. Canadian Medical Association Journal, 188(17-18), pp.474–483. </w:t>
      </w:r>
    </w:p>
    <w:p w14:paraId="3F81BCB9" w14:textId="77777777" w:rsidR="00D53FAD" w:rsidRDefault="00D53FAD" w:rsidP="00D53FAD">
      <w:pPr>
        <w:tabs>
          <w:tab w:val="left" w:pos="1340"/>
        </w:tabs>
      </w:pPr>
    </w:p>
    <w:p w14:paraId="6F31DFB8" w14:textId="73BC2A12" w:rsidR="00D53FAD" w:rsidRDefault="00D53FAD" w:rsidP="00D53FAD">
      <w:pPr>
        <w:tabs>
          <w:tab w:val="left" w:pos="1340"/>
        </w:tabs>
      </w:pPr>
      <w:r>
        <w:t xml:space="preserve">Barton, C. and Wilson, W. (2021). A new era of social rented housing in England? commonslibrary.parliament.uk. (online) Available at: </w:t>
      </w:r>
      <w:r w:rsidRPr="00D53FAD">
        <w:t>https://commonslibrary.parliament.uk/research-briefings/cbp-8963/</w:t>
      </w:r>
      <w:r>
        <w:t>. (Accessed 14 December 2023).</w:t>
      </w:r>
    </w:p>
    <w:p w14:paraId="67607FDD" w14:textId="77777777" w:rsidR="00D53FAD" w:rsidRDefault="00D53FAD" w:rsidP="00D53FAD">
      <w:pPr>
        <w:tabs>
          <w:tab w:val="left" w:pos="1340"/>
        </w:tabs>
      </w:pPr>
    </w:p>
    <w:p w14:paraId="7C164262" w14:textId="55E75ED3" w:rsidR="00D53FAD" w:rsidRDefault="00D53FAD" w:rsidP="00D53FAD">
      <w:pPr>
        <w:tabs>
          <w:tab w:val="left" w:pos="1340"/>
        </w:tabs>
      </w:pPr>
      <w:r>
        <w:t>BELC (2023). Why Bettws? (online) Bettws Early Learning Community. Available at: https://bettwselc.org.uk/why-bettws/ (Accessed 19 December 2023).</w:t>
      </w:r>
    </w:p>
    <w:p w14:paraId="7CFDA887" w14:textId="77777777" w:rsidR="00D53FAD" w:rsidRDefault="00D53FAD" w:rsidP="00D53FAD">
      <w:pPr>
        <w:tabs>
          <w:tab w:val="left" w:pos="1340"/>
        </w:tabs>
      </w:pPr>
    </w:p>
    <w:p w14:paraId="2A3737DC" w14:textId="76B2E750" w:rsidR="00D53FAD" w:rsidRDefault="00D53FAD" w:rsidP="00D53FAD">
      <w:pPr>
        <w:tabs>
          <w:tab w:val="left" w:pos="1340"/>
        </w:tabs>
      </w:pPr>
      <w:r>
        <w:t>Bhatnagar, P., Wickramasinghe, K., Wilkins, E. and Townsend, N. (2016). Trends in the epidemiology of cardiovascular disease in the UK. Heart, 102(24), pp.1945–1952.</w:t>
      </w:r>
    </w:p>
    <w:p w14:paraId="2366AD4B" w14:textId="77777777" w:rsidR="00D53FAD" w:rsidRDefault="00D53FAD" w:rsidP="00D53FAD">
      <w:pPr>
        <w:tabs>
          <w:tab w:val="left" w:pos="1340"/>
        </w:tabs>
      </w:pPr>
    </w:p>
    <w:p w14:paraId="3512DCD4" w14:textId="03162150" w:rsidR="00D53FAD" w:rsidRDefault="00D53FAD" w:rsidP="00D53FAD">
      <w:pPr>
        <w:tabs>
          <w:tab w:val="left" w:pos="1340"/>
        </w:tabs>
      </w:pPr>
      <w:r>
        <w:t xml:space="preserve">BOJA (2019). Understanding Community Policing </w:t>
      </w:r>
      <w:proofErr w:type="gramStart"/>
      <w:r>
        <w:t>A</w:t>
      </w:r>
      <w:proofErr w:type="gramEnd"/>
      <w:r>
        <w:t xml:space="preserve"> Framework for Action. [online] Available at: </w:t>
      </w:r>
      <w:r w:rsidRPr="00D53FAD">
        <w:t>https://www.ojp.gov/pdffiles/commp.pdf</w:t>
      </w:r>
      <w:r>
        <w:t>. (Accessed 13 December 2023).</w:t>
      </w:r>
    </w:p>
    <w:p w14:paraId="2FAE8EE7" w14:textId="77777777" w:rsidR="00D53FAD" w:rsidRDefault="00D53FAD" w:rsidP="00D53FAD">
      <w:pPr>
        <w:tabs>
          <w:tab w:val="left" w:pos="1340"/>
        </w:tabs>
      </w:pPr>
    </w:p>
    <w:p w14:paraId="56ACFE3F" w14:textId="10D86DF5" w:rsidR="00D53FAD" w:rsidRDefault="00D53FAD" w:rsidP="00D53FAD">
      <w:pPr>
        <w:tabs>
          <w:tab w:val="left" w:pos="1340"/>
        </w:tabs>
      </w:pPr>
      <w:proofErr w:type="spellStart"/>
      <w:r>
        <w:t>Caredocs</w:t>
      </w:r>
      <w:proofErr w:type="spellEnd"/>
      <w:r>
        <w:t xml:space="preserve"> (2023). Products - </w:t>
      </w:r>
      <w:proofErr w:type="spellStart"/>
      <w:r>
        <w:t>CareDocs</w:t>
      </w:r>
      <w:proofErr w:type="spellEnd"/>
      <w:r>
        <w:t xml:space="preserve"> - Efficient, Cost-Effective Care Management Systems. (online) </w:t>
      </w:r>
      <w:proofErr w:type="spellStart"/>
      <w:r>
        <w:t>CareDocs</w:t>
      </w:r>
      <w:proofErr w:type="spellEnd"/>
      <w:r>
        <w:t xml:space="preserve">. Available at: </w:t>
      </w:r>
      <w:r w:rsidRPr="00D53FAD">
        <w:t>https://www.caredocs.co.uk/our-products/</w:t>
      </w:r>
      <w:r>
        <w:t>. (Accessed 19 December 2023).</w:t>
      </w:r>
    </w:p>
    <w:p w14:paraId="45A297EB" w14:textId="77777777" w:rsidR="00D53FAD" w:rsidRDefault="00D53FAD" w:rsidP="00D53FAD">
      <w:pPr>
        <w:tabs>
          <w:tab w:val="left" w:pos="1340"/>
        </w:tabs>
      </w:pPr>
    </w:p>
    <w:p w14:paraId="09AAF4D5" w14:textId="25FA6D80" w:rsidR="00D53FAD" w:rsidRDefault="00D53FAD" w:rsidP="00D53FAD">
      <w:pPr>
        <w:tabs>
          <w:tab w:val="left" w:pos="1340"/>
        </w:tabs>
      </w:pPr>
      <w:proofErr w:type="spellStart"/>
      <w:r>
        <w:t>Clutten</w:t>
      </w:r>
      <w:proofErr w:type="spellEnd"/>
      <w:r>
        <w:t xml:space="preserve">, C. (2022). Innovative housing and community hub project completed in Newport. (online) </w:t>
      </w:r>
      <w:proofErr w:type="spellStart"/>
      <w:r>
        <w:t>labm</w:t>
      </w:r>
      <w:proofErr w:type="spellEnd"/>
      <w:r>
        <w:t xml:space="preserve">. Available at: </w:t>
      </w:r>
      <w:r w:rsidRPr="00D53FAD">
        <w:t>https://labmonline.co.uk/news/innovative-housing-and-community-hub-project-completed-in-newport/</w:t>
      </w:r>
      <w:r>
        <w:t>. (Accessed 15 December 2023).</w:t>
      </w:r>
    </w:p>
    <w:p w14:paraId="7E7F366A" w14:textId="77777777" w:rsidR="00D53FAD" w:rsidRDefault="00D53FAD" w:rsidP="00D53FAD">
      <w:pPr>
        <w:tabs>
          <w:tab w:val="left" w:pos="1340"/>
        </w:tabs>
      </w:pPr>
    </w:p>
    <w:p w14:paraId="715772B2" w14:textId="3A312461" w:rsidR="00D53FAD" w:rsidRDefault="00D53FAD" w:rsidP="00D53FAD">
      <w:pPr>
        <w:tabs>
          <w:tab w:val="left" w:pos="1340"/>
        </w:tabs>
      </w:pPr>
      <w:r>
        <w:t xml:space="preserve">Daffin, J., Thomas, R. and Parry, S. (2022). Unlocking the System: Place-based ways of working with children, their </w:t>
      </w:r>
      <w:proofErr w:type="gramStart"/>
      <w:r>
        <w:t>families</w:t>
      </w:r>
      <w:proofErr w:type="gramEnd"/>
      <w:r>
        <w:t xml:space="preserve"> and a neighbourhood psychologist in Bettws, Wales. Clinical Psychology Forum, 1(357), pp.37–43.</w:t>
      </w:r>
    </w:p>
    <w:p w14:paraId="42D80FF9" w14:textId="77777777" w:rsidR="00D53FAD" w:rsidRDefault="00D53FAD" w:rsidP="00D53FAD">
      <w:pPr>
        <w:tabs>
          <w:tab w:val="left" w:pos="1340"/>
        </w:tabs>
      </w:pPr>
    </w:p>
    <w:p w14:paraId="75E9A04A" w14:textId="5DF5AC78" w:rsidR="00D53FAD" w:rsidRDefault="00D53FAD" w:rsidP="00D53FAD">
      <w:pPr>
        <w:tabs>
          <w:tab w:val="left" w:pos="1340"/>
        </w:tabs>
      </w:pPr>
      <w:proofErr w:type="spellStart"/>
      <w:r>
        <w:t>Digitalhealth</w:t>
      </w:r>
      <w:proofErr w:type="spellEnd"/>
      <w:r>
        <w:t xml:space="preserve"> (2023). Folio3 - The Best EHR Integration Services Provider in the USA. (online) Available at: </w:t>
      </w:r>
      <w:r w:rsidRPr="00D53FAD">
        <w:t>https://digitalhealth.folio3.com</w:t>
      </w:r>
      <w:r w:rsidR="00FE2AB0">
        <w:t>.</w:t>
      </w:r>
      <w:r>
        <w:t xml:space="preserve"> (Accessed 19 December 2023).</w:t>
      </w:r>
    </w:p>
    <w:p w14:paraId="1EB7391C" w14:textId="77777777" w:rsidR="00D53FAD" w:rsidRDefault="00D53FAD" w:rsidP="00D53FAD">
      <w:pPr>
        <w:tabs>
          <w:tab w:val="left" w:pos="1340"/>
        </w:tabs>
      </w:pPr>
    </w:p>
    <w:p w14:paraId="7616B552" w14:textId="365519E1" w:rsidR="00D53FAD" w:rsidRDefault="00D53FAD" w:rsidP="00D53FAD">
      <w:pPr>
        <w:tabs>
          <w:tab w:val="left" w:pos="1340"/>
        </w:tabs>
      </w:pPr>
      <w:proofErr w:type="spellStart"/>
      <w:r>
        <w:t>Global.ntt</w:t>
      </w:r>
      <w:proofErr w:type="spellEnd"/>
      <w:r>
        <w:t xml:space="preserve"> (2023). Cloud-native Modernization and Migration Services. </w:t>
      </w:r>
      <w:r w:rsidR="00FE2AB0">
        <w:t>(</w:t>
      </w:r>
      <w:r>
        <w:t>online</w:t>
      </w:r>
      <w:r w:rsidR="00FE2AB0">
        <w:t>)</w:t>
      </w:r>
      <w:r>
        <w:t xml:space="preserve"> NTT. Available at: </w:t>
      </w:r>
      <w:r w:rsidR="00FE2AB0" w:rsidRPr="00FE2AB0">
        <w:t>https://services.global.ntt</w:t>
      </w:r>
      <w:r w:rsidR="00FE2AB0">
        <w:t>. (Accessed 18 December 2023).</w:t>
      </w:r>
    </w:p>
    <w:p w14:paraId="6036F5EF" w14:textId="77777777" w:rsidR="00D53FAD" w:rsidRDefault="00D53FAD" w:rsidP="00D53FAD">
      <w:pPr>
        <w:tabs>
          <w:tab w:val="left" w:pos="1340"/>
        </w:tabs>
      </w:pPr>
    </w:p>
    <w:p w14:paraId="3785C870" w14:textId="1297B4FA" w:rsidR="00D53FAD" w:rsidRDefault="00D53FAD" w:rsidP="00D53FAD">
      <w:pPr>
        <w:tabs>
          <w:tab w:val="left" w:pos="1340"/>
        </w:tabs>
      </w:pPr>
      <w:r>
        <w:t>Gopalkrishnan, N. (2019). Cultural diversity and mental health: Considerations for policy and practice. Frontiers in Public Health, 6(179).</w:t>
      </w:r>
    </w:p>
    <w:p w14:paraId="226738C5" w14:textId="77777777" w:rsidR="00D53FAD" w:rsidRDefault="00D53FAD" w:rsidP="00D53FAD">
      <w:pPr>
        <w:tabs>
          <w:tab w:val="left" w:pos="1340"/>
        </w:tabs>
      </w:pPr>
    </w:p>
    <w:p w14:paraId="6CF9AD5D" w14:textId="2A63E606" w:rsidR="00D53FAD" w:rsidRDefault="00D53FAD" w:rsidP="00D53FAD">
      <w:pPr>
        <w:tabs>
          <w:tab w:val="left" w:pos="1340"/>
        </w:tabs>
      </w:pPr>
      <w:r>
        <w:t xml:space="preserve">Gov.uk (2017). Community Well-being Profile. </w:t>
      </w:r>
      <w:r w:rsidR="00FE2AB0">
        <w:t>(</w:t>
      </w:r>
      <w:r>
        <w:t>online</w:t>
      </w:r>
      <w:r w:rsidR="00FE2AB0">
        <w:t>)</w:t>
      </w:r>
      <w:r>
        <w:t xml:space="preserve"> Available at: </w:t>
      </w:r>
      <w:r w:rsidR="00FE2AB0" w:rsidRPr="00FE2AB0">
        <w:t>https://www.newport.gov.uk</w:t>
      </w:r>
      <w:r w:rsidR="00FE2AB0">
        <w:t>. (Accessed 12 December 2023).</w:t>
      </w:r>
    </w:p>
    <w:p w14:paraId="417CB3C8" w14:textId="77777777" w:rsidR="00D53FAD" w:rsidRDefault="00D53FAD" w:rsidP="00D53FAD">
      <w:pPr>
        <w:tabs>
          <w:tab w:val="left" w:pos="1340"/>
        </w:tabs>
      </w:pPr>
    </w:p>
    <w:p w14:paraId="6809E82E" w14:textId="4257A8BF" w:rsidR="00D53FAD" w:rsidRDefault="00D53FAD" w:rsidP="00D53FAD">
      <w:pPr>
        <w:tabs>
          <w:tab w:val="left" w:pos="1340"/>
        </w:tabs>
      </w:pPr>
      <w:r>
        <w:t xml:space="preserve">Gov.uk (2021). Agenda Cabinet. </w:t>
      </w:r>
      <w:r w:rsidR="00FE2AB0">
        <w:t>(</w:t>
      </w:r>
      <w:r>
        <w:t>online</w:t>
      </w:r>
      <w:r w:rsidR="00FE2AB0">
        <w:t>)</w:t>
      </w:r>
      <w:r>
        <w:t xml:space="preserve"> Available at: </w:t>
      </w:r>
      <w:r w:rsidR="00FE2AB0" w:rsidRPr="00FE2AB0">
        <w:t>https://democracy.newport.gov.uk</w:t>
      </w:r>
      <w:r w:rsidR="00FE2AB0">
        <w:t>.  (Accessed 19 December 2023).</w:t>
      </w:r>
    </w:p>
    <w:p w14:paraId="5F1D1576" w14:textId="77777777" w:rsidR="00D53FAD" w:rsidRDefault="00D53FAD" w:rsidP="00D53FAD">
      <w:pPr>
        <w:tabs>
          <w:tab w:val="left" w:pos="1340"/>
        </w:tabs>
      </w:pPr>
    </w:p>
    <w:p w14:paraId="79CD2728" w14:textId="48E2E9A1" w:rsidR="00D53FAD" w:rsidRDefault="00D53FAD" w:rsidP="00D53FAD">
      <w:pPr>
        <w:tabs>
          <w:tab w:val="left" w:pos="1340"/>
        </w:tabs>
      </w:pPr>
      <w:r>
        <w:t xml:space="preserve">Gov.uk (2023a). Children in </w:t>
      </w:r>
      <w:proofErr w:type="gramStart"/>
      <w:r>
        <w:t>low income</w:t>
      </w:r>
      <w:proofErr w:type="gramEnd"/>
      <w:r>
        <w:t xml:space="preserve"> families: local area statistics. [online] GOV.UK. Available at: https://www.gov.uk/government/collections/children-in-low-income-families-local-area-statistics.</w:t>
      </w:r>
      <w:r w:rsidR="00FE2AB0" w:rsidRPr="00FE2AB0">
        <w:t xml:space="preserve"> </w:t>
      </w:r>
      <w:r w:rsidR="00FE2AB0">
        <w:t>(Accessed 19 December 2023).</w:t>
      </w:r>
    </w:p>
    <w:p w14:paraId="4E641AD3" w14:textId="77777777" w:rsidR="00D53FAD" w:rsidRDefault="00D53FAD" w:rsidP="00D53FAD">
      <w:pPr>
        <w:tabs>
          <w:tab w:val="left" w:pos="1340"/>
        </w:tabs>
      </w:pPr>
    </w:p>
    <w:p w14:paraId="7165DCB4" w14:textId="4F1874EA" w:rsidR="00D53FAD" w:rsidRDefault="00D53FAD" w:rsidP="00D53FAD">
      <w:pPr>
        <w:tabs>
          <w:tab w:val="left" w:pos="1340"/>
        </w:tabs>
      </w:pPr>
      <w:r>
        <w:t>Gov.uk (2023b). Newport Youth Academy | Newport City Council. [</w:t>
      </w:r>
      <w:r w:rsidR="00FE2AB0">
        <w:t>(</w:t>
      </w:r>
      <w:r>
        <w:t>online</w:t>
      </w:r>
      <w:r w:rsidR="00FE2AB0">
        <w:t>)</w:t>
      </w:r>
      <w:r>
        <w:t xml:space="preserve"> www.newport.gov.uk. Available at: </w:t>
      </w:r>
      <w:r w:rsidR="00FE2AB0" w:rsidRPr="00FE2AB0">
        <w:t>https://www.newport.gov.uk/en/Schools-Education/Newport-Youth-Academy.aspx</w:t>
      </w:r>
      <w:r w:rsidR="00FE2AB0">
        <w:t>. (Accessed 16 December 2023).</w:t>
      </w:r>
    </w:p>
    <w:p w14:paraId="6BD0CD3D" w14:textId="77777777" w:rsidR="00D53FAD" w:rsidRDefault="00D53FAD" w:rsidP="00D53FAD">
      <w:pPr>
        <w:tabs>
          <w:tab w:val="left" w:pos="1340"/>
        </w:tabs>
      </w:pPr>
    </w:p>
    <w:p w14:paraId="445E9412" w14:textId="27B4D8E1" w:rsidR="00D53FAD" w:rsidRDefault="00D53FAD" w:rsidP="00D53FAD">
      <w:pPr>
        <w:tabs>
          <w:tab w:val="left" w:pos="1340"/>
        </w:tabs>
      </w:pPr>
      <w:proofErr w:type="spellStart"/>
      <w:r>
        <w:t>Gov.wales</w:t>
      </w:r>
      <w:proofErr w:type="spellEnd"/>
      <w:r>
        <w:t xml:space="preserve"> (2012). Flying Start Strategic Guidance. </w:t>
      </w:r>
      <w:r w:rsidR="00FE2AB0">
        <w:t>(</w:t>
      </w:r>
      <w:r>
        <w:t>online</w:t>
      </w:r>
      <w:r w:rsidR="00FE2AB0">
        <w:t>)</w:t>
      </w:r>
      <w:r>
        <w:t xml:space="preserve"> Available at: </w:t>
      </w:r>
      <w:r w:rsidR="00FE2AB0" w:rsidRPr="00FE2AB0">
        <w:t>https://www.gov.wales</w:t>
      </w:r>
      <w:r w:rsidR="00FE2AB0">
        <w:t>. (Accessed 19 December 2023).</w:t>
      </w:r>
    </w:p>
    <w:p w14:paraId="7B635A91" w14:textId="77777777" w:rsidR="00D53FAD" w:rsidRDefault="00D53FAD" w:rsidP="00D53FAD">
      <w:pPr>
        <w:tabs>
          <w:tab w:val="left" w:pos="1340"/>
        </w:tabs>
      </w:pPr>
    </w:p>
    <w:p w14:paraId="2D965953" w14:textId="7F32D947" w:rsidR="00D53FAD" w:rsidRDefault="00D53FAD" w:rsidP="00D53FAD">
      <w:pPr>
        <w:tabs>
          <w:tab w:val="left" w:pos="1340"/>
        </w:tabs>
      </w:pPr>
      <w:proofErr w:type="spellStart"/>
      <w:r>
        <w:t>Gov.wales</w:t>
      </w:r>
      <w:proofErr w:type="spellEnd"/>
      <w:r>
        <w:t xml:space="preserve"> (2018a). A healthier Wales: long term plan for health and social care. </w:t>
      </w:r>
      <w:r w:rsidR="00FE2AB0">
        <w:t>(</w:t>
      </w:r>
      <w:r>
        <w:t>online</w:t>
      </w:r>
      <w:r w:rsidR="00FE2AB0">
        <w:t>)</w:t>
      </w:r>
      <w:r>
        <w:t xml:space="preserve"> GOV.WALES. Available at: </w:t>
      </w:r>
      <w:r w:rsidR="00FE2AB0" w:rsidRPr="00FE2AB0">
        <w:t>https://www.gov.wales/healthier-wales-long-term-plan-health-and-social-care</w:t>
      </w:r>
      <w:r>
        <w:t>.</w:t>
      </w:r>
      <w:r w:rsidR="00FE2AB0">
        <w:t xml:space="preserve"> (Accessed 17 December 2023).</w:t>
      </w:r>
    </w:p>
    <w:p w14:paraId="7BED8750" w14:textId="77777777" w:rsidR="00D53FAD" w:rsidRDefault="00D53FAD" w:rsidP="00D53FAD">
      <w:pPr>
        <w:tabs>
          <w:tab w:val="left" w:pos="1340"/>
        </w:tabs>
      </w:pPr>
    </w:p>
    <w:p w14:paraId="626CF0CF" w14:textId="2713769F" w:rsidR="00D53FAD" w:rsidRDefault="00D53FAD" w:rsidP="00D53FAD">
      <w:pPr>
        <w:tabs>
          <w:tab w:val="left" w:pos="1340"/>
        </w:tabs>
      </w:pPr>
      <w:proofErr w:type="spellStart"/>
      <w:r>
        <w:t>Gov.wales</w:t>
      </w:r>
      <w:proofErr w:type="spellEnd"/>
      <w:r>
        <w:t xml:space="preserve"> (2018b). A Healthier Wales: our Plan for Health and Social Care. </w:t>
      </w:r>
      <w:r w:rsidR="00FE2AB0">
        <w:t>(</w:t>
      </w:r>
      <w:r>
        <w:t>online</w:t>
      </w:r>
      <w:r w:rsidR="00FE2AB0">
        <w:t>)</w:t>
      </w:r>
      <w:r>
        <w:t xml:space="preserve"> Available at: </w:t>
      </w:r>
      <w:r w:rsidR="00FE2AB0" w:rsidRPr="00FE2AB0">
        <w:t>https://www.gov.wales/sites/default/files/publications/2021-09/a-healthier-wales-our-plan-for-health-and-social-care.pdf</w:t>
      </w:r>
      <w:r>
        <w:t>.</w:t>
      </w:r>
      <w:r w:rsidR="00FE2AB0">
        <w:t xml:space="preserve"> (Accessed 17 December 2023).</w:t>
      </w:r>
    </w:p>
    <w:p w14:paraId="085F3302" w14:textId="77777777" w:rsidR="00D53FAD" w:rsidRDefault="00D53FAD" w:rsidP="00D53FAD">
      <w:pPr>
        <w:tabs>
          <w:tab w:val="left" w:pos="1340"/>
        </w:tabs>
      </w:pPr>
    </w:p>
    <w:p w14:paraId="4734863A" w14:textId="6BFA9A7F" w:rsidR="00D53FAD" w:rsidRDefault="00D53FAD" w:rsidP="00D53FAD">
      <w:pPr>
        <w:tabs>
          <w:tab w:val="left" w:pos="1340"/>
        </w:tabs>
      </w:pPr>
      <w:proofErr w:type="spellStart"/>
      <w:r>
        <w:t>Gov.wales</w:t>
      </w:r>
      <w:proofErr w:type="spellEnd"/>
      <w:r>
        <w:t xml:space="preserve"> (2019). NHS Wales National Integrated </w:t>
      </w:r>
      <w:proofErr w:type="gramStart"/>
      <w:r>
        <w:t>Medium Term</w:t>
      </w:r>
      <w:proofErr w:type="gramEnd"/>
      <w:r>
        <w:t xml:space="preserve"> Plan (IMTP). </w:t>
      </w:r>
      <w:r w:rsidR="00FE2AB0">
        <w:t>(</w:t>
      </w:r>
      <w:r>
        <w:t>online</w:t>
      </w:r>
      <w:r w:rsidR="00FE2AB0">
        <w:t>)</w:t>
      </w:r>
      <w:r>
        <w:t xml:space="preserve"> Available at: </w:t>
      </w:r>
      <w:r w:rsidR="00FE2AB0" w:rsidRPr="00FE2AB0">
        <w:t>https://www.gov.wales/sites/default/files/publications/2019-09/nhs-wales-national-integrated-medium-term-plan-2019-22.pdf</w:t>
      </w:r>
      <w:r>
        <w:t>.</w:t>
      </w:r>
      <w:r w:rsidR="00FE2AB0">
        <w:t xml:space="preserve"> (Accessed 15 December 2023).</w:t>
      </w:r>
    </w:p>
    <w:p w14:paraId="450E493E" w14:textId="77777777" w:rsidR="00D53FAD" w:rsidRDefault="00D53FAD" w:rsidP="00D53FAD">
      <w:pPr>
        <w:tabs>
          <w:tab w:val="left" w:pos="1340"/>
        </w:tabs>
      </w:pPr>
    </w:p>
    <w:p w14:paraId="501CB81F" w14:textId="6F534E2F" w:rsidR="00D53FAD" w:rsidRDefault="00D53FAD" w:rsidP="00D53FAD">
      <w:pPr>
        <w:tabs>
          <w:tab w:val="left" w:pos="1340"/>
        </w:tabs>
      </w:pPr>
      <w:proofErr w:type="spellStart"/>
      <w:r>
        <w:t>Gov.wales</w:t>
      </w:r>
      <w:proofErr w:type="spellEnd"/>
      <w:r>
        <w:t xml:space="preserve"> (2021). Quality and Safety Framework: Learning and Improving. [online] Available at: </w:t>
      </w:r>
      <w:r w:rsidR="00FE2AB0" w:rsidRPr="00FE2AB0">
        <w:t>https://www.gov.wales/sites/default/files/publications/2021-09/quality-and-safety-framework-learning-and-improving_0.pdf</w:t>
      </w:r>
      <w:r>
        <w:t>.</w:t>
      </w:r>
      <w:r w:rsidR="00FE2AB0">
        <w:t xml:space="preserve"> (Accessed 19 December 2023).</w:t>
      </w:r>
    </w:p>
    <w:p w14:paraId="78D06CFA" w14:textId="77777777" w:rsidR="00D53FAD" w:rsidRDefault="00D53FAD" w:rsidP="00D53FAD">
      <w:pPr>
        <w:tabs>
          <w:tab w:val="left" w:pos="1340"/>
        </w:tabs>
      </w:pPr>
    </w:p>
    <w:p w14:paraId="6EF1AC5A" w14:textId="358EFC27" w:rsidR="00D53FAD" w:rsidRDefault="00D53FAD" w:rsidP="00D53FAD">
      <w:pPr>
        <w:tabs>
          <w:tab w:val="left" w:pos="1340"/>
        </w:tabs>
      </w:pPr>
      <w:r>
        <w:t xml:space="preserve">Haldane, V., Chuah, F.L.H., Srivastava, A., Singh, S.R., Koh, G.C.H., Seng, C.K. and </w:t>
      </w:r>
      <w:proofErr w:type="spellStart"/>
      <w:r>
        <w:t>Legido</w:t>
      </w:r>
      <w:proofErr w:type="spellEnd"/>
      <w:r>
        <w:t>-Quigley, H. (2019). Community participation in health services development, implementation, and evaluation: A systematic review of empowerment, health, community, and process outcomes. PLOS ONE, 14(5).</w:t>
      </w:r>
    </w:p>
    <w:p w14:paraId="486DEA83" w14:textId="77777777" w:rsidR="00D53FAD" w:rsidRDefault="00D53FAD" w:rsidP="00D53FAD">
      <w:pPr>
        <w:tabs>
          <w:tab w:val="left" w:pos="1340"/>
        </w:tabs>
      </w:pPr>
    </w:p>
    <w:p w14:paraId="3BCA7A22" w14:textId="1E57595D" w:rsidR="00D53FAD" w:rsidRDefault="00D53FAD" w:rsidP="00D53FAD">
      <w:pPr>
        <w:tabs>
          <w:tab w:val="left" w:pos="1340"/>
        </w:tabs>
      </w:pPr>
      <w:proofErr w:type="spellStart"/>
      <w:r>
        <w:t>Law.gov.wales</w:t>
      </w:r>
      <w:proofErr w:type="spellEnd"/>
      <w:r>
        <w:t xml:space="preserve"> (2020). Bus and coach services | Law Wales. </w:t>
      </w:r>
      <w:r w:rsidR="005C28E3">
        <w:t>(</w:t>
      </w:r>
      <w:r>
        <w:t>online</w:t>
      </w:r>
      <w:r w:rsidR="005C28E3">
        <w:t>)</w:t>
      </w:r>
      <w:r>
        <w:t xml:space="preserve"> </w:t>
      </w:r>
      <w:proofErr w:type="spellStart"/>
      <w:r>
        <w:t>Gov.wales</w:t>
      </w:r>
      <w:proofErr w:type="spellEnd"/>
      <w:r>
        <w:t xml:space="preserve">. Available at: </w:t>
      </w:r>
      <w:r w:rsidR="005C28E3" w:rsidRPr="005C28E3">
        <w:t>https://law.gov.wales/economy-and-development/transport/bus-and-coach-services</w:t>
      </w:r>
      <w:r w:rsidR="005C28E3">
        <w:t>. (Accessed 19 December 2023).</w:t>
      </w:r>
    </w:p>
    <w:p w14:paraId="61BC3C52" w14:textId="77777777" w:rsidR="00D53FAD" w:rsidRDefault="00D53FAD" w:rsidP="00D53FAD">
      <w:pPr>
        <w:tabs>
          <w:tab w:val="left" w:pos="1340"/>
        </w:tabs>
      </w:pPr>
    </w:p>
    <w:p w14:paraId="0D630B0E" w14:textId="2AF5AA69" w:rsidR="00D53FAD" w:rsidRDefault="00D53FAD" w:rsidP="00D53FAD">
      <w:pPr>
        <w:tabs>
          <w:tab w:val="left" w:pos="1340"/>
        </w:tabs>
      </w:pPr>
      <w:r>
        <w:t>Lie, D., Carter-Pokras, O., Braun, B. and Coleman, C. (2012). What Do Health Literacy and Cultural Competence Have in Common? Calling for a Collaborative Health Professional Pedagogy. Journal of Health Communication, [online] 17(sup3), pp.13–22.</w:t>
      </w:r>
    </w:p>
    <w:p w14:paraId="2BABD5D4" w14:textId="77777777" w:rsidR="00D53FAD" w:rsidRDefault="00D53FAD" w:rsidP="00D53FAD">
      <w:pPr>
        <w:tabs>
          <w:tab w:val="left" w:pos="1340"/>
        </w:tabs>
      </w:pPr>
    </w:p>
    <w:p w14:paraId="7A36F343" w14:textId="58C6D21A" w:rsidR="00D53FAD" w:rsidRDefault="00D53FAD" w:rsidP="00D53FAD">
      <w:pPr>
        <w:tabs>
          <w:tab w:val="left" w:pos="1340"/>
        </w:tabs>
      </w:pPr>
      <w:r>
        <w:t xml:space="preserve">McGroarty, B. (2019). Statistics &amp; Facts - Global Wellness Institute. </w:t>
      </w:r>
      <w:r w:rsidR="005C28E3">
        <w:t>(</w:t>
      </w:r>
      <w:r>
        <w:t>online</w:t>
      </w:r>
      <w:r w:rsidR="005C28E3">
        <w:t>)</w:t>
      </w:r>
      <w:r>
        <w:t xml:space="preserve"> Global Wellness Institute. Available at: </w:t>
      </w:r>
      <w:r w:rsidR="005C28E3" w:rsidRPr="005C28E3">
        <w:t>https://globalwellnessinstitute.org/press-room/statistics-and-facts/</w:t>
      </w:r>
      <w:r>
        <w:t>.</w:t>
      </w:r>
      <w:r w:rsidR="005C28E3">
        <w:t xml:space="preserve"> (Accessed 14 December 2023).</w:t>
      </w:r>
    </w:p>
    <w:p w14:paraId="291F5BF5" w14:textId="77777777" w:rsidR="00D53FAD" w:rsidRDefault="00D53FAD" w:rsidP="00D53FAD">
      <w:pPr>
        <w:tabs>
          <w:tab w:val="left" w:pos="1340"/>
        </w:tabs>
      </w:pPr>
    </w:p>
    <w:p w14:paraId="3317A158" w14:textId="7182AEE9" w:rsidR="00D53FAD" w:rsidRDefault="00D53FAD" w:rsidP="00D53FAD">
      <w:pPr>
        <w:tabs>
          <w:tab w:val="left" w:pos="1340"/>
        </w:tabs>
      </w:pPr>
      <w:r>
        <w:t xml:space="preserve">Merrifield, K. (2021). A whole-government approach to improving health - The Health Foundation. </w:t>
      </w:r>
      <w:r w:rsidR="005C28E3">
        <w:t>(</w:t>
      </w:r>
      <w:r>
        <w:t>online</w:t>
      </w:r>
      <w:r w:rsidR="005C28E3">
        <w:t>)</w:t>
      </w:r>
      <w:r>
        <w:t xml:space="preserve"> www.health.org.uk. Available at: </w:t>
      </w:r>
      <w:r w:rsidR="005C28E3" w:rsidRPr="005C28E3">
        <w:t>https://www.health.org.uk/publications</w:t>
      </w:r>
      <w:r w:rsidR="005C28E3">
        <w:t>. (Accessed 19 December 2023).</w:t>
      </w:r>
    </w:p>
    <w:p w14:paraId="2C95708E" w14:textId="77777777" w:rsidR="00D53FAD" w:rsidRDefault="00D53FAD" w:rsidP="00D53FAD">
      <w:pPr>
        <w:tabs>
          <w:tab w:val="left" w:pos="1340"/>
        </w:tabs>
      </w:pPr>
    </w:p>
    <w:p w14:paraId="7C0BCB47" w14:textId="59D9DD14" w:rsidR="00D53FAD" w:rsidRDefault="00D53FAD" w:rsidP="00D53FAD">
      <w:pPr>
        <w:tabs>
          <w:tab w:val="left" w:pos="1340"/>
        </w:tabs>
      </w:pPr>
      <w:proofErr w:type="spellStart"/>
      <w:r>
        <w:t>NHS.Wales</w:t>
      </w:r>
      <w:proofErr w:type="spellEnd"/>
      <w:r>
        <w:t xml:space="preserve"> (2023). Principles of Community Engagement for Empowerment. </w:t>
      </w:r>
      <w:r w:rsidR="005C28E3">
        <w:t>(</w:t>
      </w:r>
      <w:r>
        <w:t>online</w:t>
      </w:r>
      <w:r w:rsidR="005C28E3">
        <w:t>)</w:t>
      </w:r>
      <w:r>
        <w:t xml:space="preserve"> Available at: </w:t>
      </w:r>
      <w:r w:rsidR="005C28E3" w:rsidRPr="005C28E3">
        <w:t>https://phw.nhs.wales/news/rules-of-community-engagement-relinquish-your-power-so-that-communities-can-take-control/principles-of-community-engagement-for-empowerment/</w:t>
      </w:r>
      <w:r>
        <w:t>.</w:t>
      </w:r>
      <w:r w:rsidR="005C28E3">
        <w:t xml:space="preserve"> (Accessed 19 December 2023).</w:t>
      </w:r>
    </w:p>
    <w:p w14:paraId="6B825EDF" w14:textId="77777777" w:rsidR="00D53FAD" w:rsidRDefault="00D53FAD" w:rsidP="00D53FAD">
      <w:pPr>
        <w:tabs>
          <w:tab w:val="left" w:pos="1340"/>
        </w:tabs>
      </w:pPr>
    </w:p>
    <w:p w14:paraId="037E896D" w14:textId="49DD7F83" w:rsidR="00D53FAD" w:rsidRDefault="00D53FAD" w:rsidP="00D53FAD">
      <w:pPr>
        <w:tabs>
          <w:tab w:val="left" w:pos="1340"/>
        </w:tabs>
      </w:pPr>
      <w:proofErr w:type="spellStart"/>
      <w:r>
        <w:t>Nhssurveys</w:t>
      </w:r>
      <w:proofErr w:type="spellEnd"/>
      <w:r>
        <w:t xml:space="preserve"> (2009). Using patient feedback. </w:t>
      </w:r>
      <w:r w:rsidR="005C28E3">
        <w:t>(</w:t>
      </w:r>
      <w:r>
        <w:t>online</w:t>
      </w:r>
      <w:r w:rsidR="005C28E3">
        <w:t>)</w:t>
      </w:r>
      <w:r>
        <w:t xml:space="preserve"> Available at: </w:t>
      </w:r>
      <w:r w:rsidR="005C28E3" w:rsidRPr="005C28E3">
        <w:t>https://www.nhssurveys.org/Filestore/documents/QIFull.pdf</w:t>
      </w:r>
      <w:r>
        <w:t>.</w:t>
      </w:r>
      <w:r w:rsidR="005C28E3">
        <w:t xml:space="preserve"> (Accessed 11 December 2023).</w:t>
      </w:r>
    </w:p>
    <w:p w14:paraId="286ACA2E" w14:textId="77777777" w:rsidR="00D53FAD" w:rsidRDefault="00D53FAD" w:rsidP="00D53FAD">
      <w:pPr>
        <w:tabs>
          <w:tab w:val="left" w:pos="1340"/>
        </w:tabs>
      </w:pPr>
    </w:p>
    <w:p w14:paraId="23DB074D" w14:textId="6B98C2BA" w:rsidR="00D53FAD" w:rsidRDefault="00D53FAD" w:rsidP="00D53FAD">
      <w:pPr>
        <w:tabs>
          <w:tab w:val="left" w:pos="1340"/>
        </w:tabs>
      </w:pPr>
      <w:r>
        <w:t xml:space="preserve">NIC (2021). September 2021 Infrastructure, Towns and Regeneration. </w:t>
      </w:r>
      <w:r w:rsidR="005C28E3">
        <w:t>(</w:t>
      </w:r>
      <w:r>
        <w:t>online</w:t>
      </w:r>
      <w:r w:rsidR="005C28E3">
        <w:t>)</w:t>
      </w:r>
      <w:r>
        <w:t xml:space="preserve"> Available at: </w:t>
      </w:r>
      <w:r w:rsidR="005C28E3" w:rsidRPr="005C28E3">
        <w:t>https://nic.org.uk/app/uploads/NIC-Infrastructure-Towns-and-Regeneration-Report.pdf</w:t>
      </w:r>
      <w:r>
        <w:t>.</w:t>
      </w:r>
      <w:r w:rsidR="005C28E3">
        <w:t xml:space="preserve"> (Accessed 19 December 2023).</w:t>
      </w:r>
    </w:p>
    <w:p w14:paraId="24B3DE7B" w14:textId="77777777" w:rsidR="00D53FAD" w:rsidRDefault="00D53FAD" w:rsidP="00D53FAD">
      <w:pPr>
        <w:tabs>
          <w:tab w:val="left" w:pos="1340"/>
        </w:tabs>
      </w:pPr>
    </w:p>
    <w:p w14:paraId="236ACF6E" w14:textId="0A551094" w:rsidR="00D53FAD" w:rsidRDefault="00D53FAD" w:rsidP="00D53FAD">
      <w:pPr>
        <w:tabs>
          <w:tab w:val="left" w:pos="1340"/>
        </w:tabs>
      </w:pPr>
      <w:r>
        <w:t xml:space="preserve">OFNS (2023). How your area has changed in 10 years: Census 2021 - Office for National Statistics. </w:t>
      </w:r>
      <w:r w:rsidR="005C28E3">
        <w:t>(</w:t>
      </w:r>
      <w:r>
        <w:t>online</w:t>
      </w:r>
      <w:r w:rsidR="005C28E3">
        <w:t>)</w:t>
      </w:r>
      <w:r>
        <w:t xml:space="preserve"> www.ons.gov.uk. Available at: </w:t>
      </w:r>
      <w:r w:rsidR="005C28E3" w:rsidRPr="005C28E3">
        <w:t>https://www.ons.gov.uk/peoplepopulationandcommunity/populationandmigration/populationestimates/articles/howyourareahaschangedin10yearscensus2021/2022-11-08/</w:t>
      </w:r>
      <w:r>
        <w:t>.</w:t>
      </w:r>
      <w:r w:rsidR="005C28E3">
        <w:t xml:space="preserve"> (Accessed 13 December 2023).</w:t>
      </w:r>
    </w:p>
    <w:p w14:paraId="53A47205" w14:textId="77777777" w:rsidR="00D53FAD" w:rsidRDefault="00D53FAD" w:rsidP="00D53FAD">
      <w:pPr>
        <w:tabs>
          <w:tab w:val="left" w:pos="1340"/>
        </w:tabs>
      </w:pPr>
    </w:p>
    <w:p w14:paraId="66B71975" w14:textId="6923470D" w:rsidR="00D53FAD" w:rsidRDefault="00D53FAD" w:rsidP="00D53FAD">
      <w:pPr>
        <w:tabs>
          <w:tab w:val="left" w:pos="1340"/>
        </w:tabs>
      </w:pPr>
      <w:r>
        <w:t xml:space="preserve">Org.uk (2023). Comparing Donor Advised Funds and Charitable Trusts – The Charity Service. </w:t>
      </w:r>
      <w:r w:rsidR="005C28E3">
        <w:t>(</w:t>
      </w:r>
      <w:r>
        <w:t>online</w:t>
      </w:r>
      <w:r w:rsidR="005C28E3">
        <w:t>)</w:t>
      </w:r>
      <w:r>
        <w:t xml:space="preserve"> charityservice.org.uk. Available at: </w:t>
      </w:r>
      <w:r w:rsidR="005C28E3" w:rsidRPr="005C28E3">
        <w:t>https://charityservice.org.uk</w:t>
      </w:r>
      <w:r w:rsidR="005C28E3">
        <w:t>/.  (Accessed 19 December 2023).</w:t>
      </w:r>
    </w:p>
    <w:p w14:paraId="19589012" w14:textId="77777777" w:rsidR="00D53FAD" w:rsidRDefault="00D53FAD" w:rsidP="00D53FAD">
      <w:pPr>
        <w:tabs>
          <w:tab w:val="left" w:pos="1340"/>
        </w:tabs>
      </w:pPr>
    </w:p>
    <w:p w14:paraId="759BD1F6" w14:textId="08F00A34" w:rsidR="00D53FAD" w:rsidRDefault="00D53FAD" w:rsidP="00D53FAD">
      <w:pPr>
        <w:tabs>
          <w:tab w:val="left" w:pos="1340"/>
        </w:tabs>
      </w:pPr>
      <w:r>
        <w:t xml:space="preserve">Researchinpractice.org.uk (2021). Strategic Briefing Growing community capacity. </w:t>
      </w:r>
      <w:r w:rsidR="005C28E3">
        <w:t>(</w:t>
      </w:r>
      <w:r>
        <w:t>online</w:t>
      </w:r>
      <w:r w:rsidR="005C28E3">
        <w:t>)</w:t>
      </w:r>
      <w:r>
        <w:t xml:space="preserve"> Available at: </w:t>
      </w:r>
      <w:r w:rsidR="005C28E3" w:rsidRPr="005C28E3">
        <w:t>https://www.researchinpractice.org.uk/media/kyybknld/growing_community_development_sb_final.pdf</w:t>
      </w:r>
      <w:r>
        <w:t>.</w:t>
      </w:r>
      <w:r w:rsidR="005C28E3">
        <w:t xml:space="preserve"> (Accessed 19 December 2023).</w:t>
      </w:r>
    </w:p>
    <w:p w14:paraId="75D2B8E2" w14:textId="77777777" w:rsidR="00D53FAD" w:rsidRDefault="00D53FAD" w:rsidP="00D53FAD">
      <w:pPr>
        <w:tabs>
          <w:tab w:val="left" w:pos="1340"/>
        </w:tabs>
      </w:pPr>
    </w:p>
    <w:p w14:paraId="300BB34F" w14:textId="50B89BC4" w:rsidR="00D53FAD" w:rsidRDefault="00D53FAD" w:rsidP="00D53FAD">
      <w:pPr>
        <w:tabs>
          <w:tab w:val="left" w:pos="1340"/>
        </w:tabs>
      </w:pPr>
      <w:r>
        <w:t>Roberto, C. and Gorski, M. (2015). Public health policies to encourage healthy eating habits: recent perspectives. Journal of Healthcare Leadership, 7, p.81.</w:t>
      </w:r>
    </w:p>
    <w:p w14:paraId="4BEAA541" w14:textId="77777777" w:rsidR="00D53FAD" w:rsidRDefault="00D53FAD" w:rsidP="00D53FAD">
      <w:pPr>
        <w:tabs>
          <w:tab w:val="left" w:pos="1340"/>
        </w:tabs>
      </w:pPr>
    </w:p>
    <w:p w14:paraId="03D29A5D" w14:textId="5B35FAA9" w:rsidR="00D53FAD" w:rsidRDefault="00D53FAD" w:rsidP="00D53FAD">
      <w:pPr>
        <w:tabs>
          <w:tab w:val="left" w:pos="1340"/>
        </w:tabs>
      </w:pPr>
      <w:proofErr w:type="spellStart"/>
      <w:r>
        <w:t>Skillsforcare</w:t>
      </w:r>
      <w:proofErr w:type="spellEnd"/>
      <w:r>
        <w:t xml:space="preserve"> (2022). Workforce Development Fund. </w:t>
      </w:r>
      <w:r w:rsidR="005C28E3">
        <w:t>(</w:t>
      </w:r>
      <w:r>
        <w:t>online</w:t>
      </w:r>
      <w:r w:rsidR="005C28E3">
        <w:t>)</w:t>
      </w:r>
      <w:r>
        <w:t xml:space="preserve"> www.skillsforcare.org.uk. Available at: </w:t>
      </w:r>
      <w:r w:rsidR="005C28E3" w:rsidRPr="005C28E3">
        <w:t>https://www.skillsforcare.org.uk/Funding/Workforce-Development-Fund/Workforce-Development-Fund.aspx</w:t>
      </w:r>
      <w:r>
        <w:t>.</w:t>
      </w:r>
      <w:r w:rsidR="005C28E3">
        <w:t xml:space="preserve"> (Accessed 14 December 2023).</w:t>
      </w:r>
    </w:p>
    <w:p w14:paraId="41789CE7" w14:textId="77777777" w:rsidR="00D53FAD" w:rsidRDefault="00D53FAD" w:rsidP="00D53FAD">
      <w:pPr>
        <w:tabs>
          <w:tab w:val="left" w:pos="1340"/>
        </w:tabs>
      </w:pPr>
    </w:p>
    <w:p w14:paraId="48158AF9" w14:textId="573E7686" w:rsidR="00B54016" w:rsidRDefault="00D53FAD" w:rsidP="00D53FAD">
      <w:pPr>
        <w:tabs>
          <w:tab w:val="left" w:pos="1340"/>
        </w:tabs>
      </w:pPr>
      <w:r>
        <w:t xml:space="preserve">White, C. (2009). An update to measuring chronic illness, </w:t>
      </w:r>
      <w:proofErr w:type="gramStart"/>
      <w:r>
        <w:t>impairment</w:t>
      </w:r>
      <w:proofErr w:type="gramEnd"/>
      <w:r>
        <w:t xml:space="preserve"> and disability in national data sources. Health Statistics Quarterly, 42(1), pp.40–53.</w:t>
      </w:r>
    </w:p>
    <w:p w14:paraId="78C00DBA" w14:textId="77777777" w:rsidR="001619B6" w:rsidRDefault="001619B6"/>
    <w:sectPr w:rsidR="001619B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04E4FC0"/>
    <w:multiLevelType w:val="multilevel"/>
    <w:tmpl w:val="802477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986528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4016"/>
    <w:rsid w:val="000E5F8E"/>
    <w:rsid w:val="001619B6"/>
    <w:rsid w:val="002B35C1"/>
    <w:rsid w:val="00303E68"/>
    <w:rsid w:val="004E6B80"/>
    <w:rsid w:val="005832C1"/>
    <w:rsid w:val="005C28E3"/>
    <w:rsid w:val="00633A2E"/>
    <w:rsid w:val="0087044B"/>
    <w:rsid w:val="00A159FB"/>
    <w:rsid w:val="00B54016"/>
    <w:rsid w:val="00BD52DC"/>
    <w:rsid w:val="00C0274E"/>
    <w:rsid w:val="00C1252C"/>
    <w:rsid w:val="00D53FAD"/>
    <w:rsid w:val="00F838AC"/>
    <w:rsid w:val="00FE2A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ED20500"/>
  <w15:chartTrackingRefBased/>
  <w15:docId w15:val="{96A08C3F-C6B7-478E-9D3F-91D9AACB2E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54016"/>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832C1"/>
    <w:rPr>
      <w:color w:val="0000FF"/>
      <w:u w:val="single"/>
    </w:rPr>
  </w:style>
  <w:style w:type="paragraph" w:customStyle="1" w:styleId="c-inline-listsingle">
    <w:name w:val="c-inline-list__single"/>
    <w:basedOn w:val="Normal"/>
    <w:rsid w:val="00633A2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customStyle="1" w:styleId="paragraph">
    <w:name w:val="paragraph"/>
    <w:basedOn w:val="Normal"/>
    <w:rsid w:val="004E6B80"/>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4E6B80"/>
  </w:style>
  <w:style w:type="character" w:customStyle="1" w:styleId="eop">
    <w:name w:val="eop"/>
    <w:basedOn w:val="DefaultParagraphFont"/>
    <w:rsid w:val="004E6B80"/>
  </w:style>
  <w:style w:type="paragraph" w:styleId="NormalWeb">
    <w:name w:val="Normal (Web)"/>
    <w:basedOn w:val="Normal"/>
    <w:uiPriority w:val="99"/>
    <w:unhideWhenUsed/>
    <w:rsid w:val="00D53FA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UnresolvedMention">
    <w:name w:val="Unresolved Mention"/>
    <w:basedOn w:val="DefaultParagraphFont"/>
    <w:uiPriority w:val="99"/>
    <w:semiHidden/>
    <w:unhideWhenUsed/>
    <w:rsid w:val="00D53FA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4916852">
      <w:bodyDiv w:val="1"/>
      <w:marLeft w:val="0"/>
      <w:marRight w:val="0"/>
      <w:marTop w:val="0"/>
      <w:marBottom w:val="0"/>
      <w:divBdr>
        <w:top w:val="none" w:sz="0" w:space="0" w:color="auto"/>
        <w:left w:val="none" w:sz="0" w:space="0" w:color="auto"/>
        <w:bottom w:val="none" w:sz="0" w:space="0" w:color="auto"/>
        <w:right w:val="none" w:sz="0" w:space="0" w:color="auto"/>
      </w:divBdr>
      <w:divsChild>
        <w:div w:id="2040232487">
          <w:marLeft w:val="0"/>
          <w:marRight w:val="0"/>
          <w:marTop w:val="0"/>
          <w:marBottom w:val="0"/>
          <w:divBdr>
            <w:top w:val="none" w:sz="0" w:space="0" w:color="auto"/>
            <w:left w:val="none" w:sz="0" w:space="0" w:color="auto"/>
            <w:bottom w:val="none" w:sz="0" w:space="0" w:color="auto"/>
            <w:right w:val="none" w:sz="0" w:space="0" w:color="auto"/>
          </w:divBdr>
        </w:div>
        <w:div w:id="1294486100">
          <w:marLeft w:val="0"/>
          <w:marRight w:val="0"/>
          <w:marTop w:val="0"/>
          <w:marBottom w:val="0"/>
          <w:divBdr>
            <w:top w:val="none" w:sz="0" w:space="0" w:color="auto"/>
            <w:left w:val="none" w:sz="0" w:space="0" w:color="auto"/>
            <w:bottom w:val="none" w:sz="0" w:space="0" w:color="auto"/>
            <w:right w:val="none" w:sz="0" w:space="0" w:color="auto"/>
          </w:divBdr>
        </w:div>
        <w:div w:id="413625131">
          <w:marLeft w:val="0"/>
          <w:marRight w:val="0"/>
          <w:marTop w:val="0"/>
          <w:marBottom w:val="0"/>
          <w:divBdr>
            <w:top w:val="none" w:sz="0" w:space="0" w:color="auto"/>
            <w:left w:val="none" w:sz="0" w:space="0" w:color="auto"/>
            <w:bottom w:val="none" w:sz="0" w:space="0" w:color="auto"/>
            <w:right w:val="none" w:sz="0" w:space="0" w:color="auto"/>
          </w:divBdr>
        </w:div>
        <w:div w:id="1778672445">
          <w:marLeft w:val="0"/>
          <w:marRight w:val="0"/>
          <w:marTop w:val="0"/>
          <w:marBottom w:val="0"/>
          <w:divBdr>
            <w:top w:val="none" w:sz="0" w:space="0" w:color="auto"/>
            <w:left w:val="none" w:sz="0" w:space="0" w:color="auto"/>
            <w:bottom w:val="none" w:sz="0" w:space="0" w:color="auto"/>
            <w:right w:val="none" w:sz="0" w:space="0" w:color="auto"/>
          </w:divBdr>
        </w:div>
        <w:div w:id="1261992599">
          <w:marLeft w:val="0"/>
          <w:marRight w:val="0"/>
          <w:marTop w:val="0"/>
          <w:marBottom w:val="0"/>
          <w:divBdr>
            <w:top w:val="none" w:sz="0" w:space="0" w:color="auto"/>
            <w:left w:val="none" w:sz="0" w:space="0" w:color="auto"/>
            <w:bottom w:val="none" w:sz="0" w:space="0" w:color="auto"/>
            <w:right w:val="none" w:sz="0" w:space="0" w:color="auto"/>
          </w:divBdr>
        </w:div>
      </w:divsChild>
    </w:div>
    <w:div w:id="1027873821">
      <w:bodyDiv w:val="1"/>
      <w:marLeft w:val="0"/>
      <w:marRight w:val="0"/>
      <w:marTop w:val="0"/>
      <w:marBottom w:val="0"/>
      <w:divBdr>
        <w:top w:val="none" w:sz="0" w:space="0" w:color="auto"/>
        <w:left w:val="none" w:sz="0" w:space="0" w:color="auto"/>
        <w:bottom w:val="none" w:sz="0" w:space="0" w:color="auto"/>
        <w:right w:val="none" w:sz="0" w:space="0" w:color="auto"/>
      </w:divBdr>
    </w:div>
    <w:div w:id="1285648947">
      <w:bodyDiv w:val="1"/>
      <w:marLeft w:val="0"/>
      <w:marRight w:val="0"/>
      <w:marTop w:val="0"/>
      <w:marBottom w:val="0"/>
      <w:divBdr>
        <w:top w:val="none" w:sz="0" w:space="0" w:color="auto"/>
        <w:left w:val="none" w:sz="0" w:space="0" w:color="auto"/>
        <w:bottom w:val="none" w:sz="0" w:space="0" w:color="auto"/>
        <w:right w:val="none" w:sz="0" w:space="0" w:color="auto"/>
      </w:divBdr>
    </w:div>
    <w:div w:id="13853011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95817cb9-f0eb-4f4d-892c-47ab9f8957c0"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15" ma:contentTypeDescription="Create a new document." ma:contentTypeScope="" ma:versionID="56c9993d0acb8c47b9022b68ce36f969">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d4f8e3a18966f6adc23d32c71d8d55b3"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ServiceAutoTags" minOccurs="0"/>
                <xsd:element ref="ns3:MediaServiceGenerationTime" minOccurs="0"/>
                <xsd:element ref="ns3:MediaServiceEventHashCode" minOccurs="0"/>
                <xsd:element ref="ns3:MediaServiceOCR" minOccurs="0"/>
                <xsd:element ref="ns3:_activity"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element name="_activity" ma:index="20" nillable="true" ma:displayName="_activity" ma:hidden="true" ma:internalName="_activity">
      <xsd:simpleType>
        <xsd:restriction base="dms:Note"/>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21C23BD-2510-45F6-9A9A-1E98BC91A6F1}">
  <ds:schemaRefs>
    <ds:schemaRef ds:uri="http://schemas.microsoft.com/office/infopath/2007/PartnerControls"/>
    <ds:schemaRef ds:uri="9823f8e4-81f3-4a59-a026-c1a9717271fd"/>
    <ds:schemaRef ds:uri="http://schemas.microsoft.com/office/2006/documentManagement/types"/>
    <ds:schemaRef ds:uri="http://purl.org/dc/terms/"/>
    <ds:schemaRef ds:uri="http://www.w3.org/XML/1998/namespace"/>
    <ds:schemaRef ds:uri="http://purl.org/dc/elements/1.1/"/>
    <ds:schemaRef ds:uri="http://purl.org/dc/dcmitype/"/>
    <ds:schemaRef ds:uri="http://schemas.microsoft.com/office/2006/metadata/properties"/>
    <ds:schemaRef ds:uri="95817cb9-f0eb-4f4d-892c-47ab9f8957c0"/>
    <ds:schemaRef ds:uri="http://schemas.openxmlformats.org/package/2006/metadata/core-properties"/>
  </ds:schemaRefs>
</ds:datastoreItem>
</file>

<file path=customXml/itemProps2.xml><?xml version="1.0" encoding="utf-8"?>
<ds:datastoreItem xmlns:ds="http://schemas.openxmlformats.org/officeDocument/2006/customXml" ds:itemID="{7DFA13E6-DE9A-47BF-A1C0-3C44D342F1A0}">
  <ds:schemaRefs>
    <ds:schemaRef ds:uri="http://schemas.microsoft.com/sharepoint/v3/contenttype/forms"/>
  </ds:schemaRefs>
</ds:datastoreItem>
</file>

<file path=customXml/itemProps3.xml><?xml version="1.0" encoding="utf-8"?>
<ds:datastoreItem xmlns:ds="http://schemas.openxmlformats.org/officeDocument/2006/customXml" ds:itemID="{ED966423-A2CF-44E9-BAD7-0F75268B587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12</Pages>
  <Words>2873</Words>
  <Characters>19343</Characters>
  <Application>Microsoft Office Word</Application>
  <DocSecurity>0</DocSecurity>
  <Lines>347</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Burniene (2115498)</dc:creator>
  <cp:keywords/>
  <dc:description/>
  <cp:lastModifiedBy>Laura Burniene (2115498)</cp:lastModifiedBy>
  <cp:revision>2</cp:revision>
  <dcterms:created xsi:type="dcterms:W3CDTF">2023-12-20T13:59:00Z</dcterms:created>
  <dcterms:modified xsi:type="dcterms:W3CDTF">2023-12-20T13:59:00Z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061a1735-35d9-4ca5-9151-32106067e911</vt:lpwstr>
  </property>
  <property fmtid="{D5CDD505-2E9C-101B-9397-08002B2CF9AE}" pid="3" name="ContentTypeId">
    <vt:lpwstr>0x0101002F3C2EEDB3FECD489FE6CB8E237B85C0</vt:lpwstr>
  </property>
</Properties>
</file>