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4084" w:rsidRDefault="00AC4084" w:rsidP="0000001C">
      <w:pPr>
        <w:spacing w:line="480" w:lineRule="auto"/>
        <w:rPr>
          <w:rFonts w:ascii="Arial" w:hAnsi="Arial" w:cs="Arial"/>
          <w:sz w:val="24"/>
          <w:szCs w:val="24"/>
        </w:rPr>
      </w:pPr>
      <w:r>
        <w:rPr>
          <w:rFonts w:ascii="Arial" w:hAnsi="Arial" w:cs="Arial"/>
          <w:sz w:val="24"/>
          <w:szCs w:val="24"/>
        </w:rPr>
        <w:t>Presentation contribution</w:t>
      </w:r>
    </w:p>
    <w:p w:rsidR="00AC4084" w:rsidRDefault="00AC4084" w:rsidP="0000001C">
      <w:pPr>
        <w:spacing w:line="480" w:lineRule="auto"/>
        <w:rPr>
          <w:rFonts w:ascii="Arial" w:hAnsi="Arial" w:cs="Arial"/>
          <w:sz w:val="24"/>
          <w:szCs w:val="24"/>
        </w:rPr>
      </w:pPr>
      <w:r>
        <w:rPr>
          <w:rFonts w:ascii="Arial" w:hAnsi="Arial" w:cs="Arial"/>
          <w:sz w:val="24"/>
          <w:szCs w:val="24"/>
        </w:rPr>
        <w:t>Introduction</w:t>
      </w:r>
    </w:p>
    <w:p w:rsidR="00F83E47" w:rsidRPr="0000001C" w:rsidRDefault="00AC4084" w:rsidP="0000001C">
      <w:pPr>
        <w:spacing w:line="480" w:lineRule="auto"/>
        <w:rPr>
          <w:rFonts w:ascii="Arial" w:hAnsi="Arial" w:cs="Arial"/>
          <w:sz w:val="24"/>
          <w:szCs w:val="24"/>
        </w:rPr>
      </w:pPr>
      <w:r>
        <w:rPr>
          <w:rFonts w:ascii="Arial" w:hAnsi="Arial" w:cs="Arial"/>
          <w:sz w:val="24"/>
          <w:szCs w:val="24"/>
        </w:rPr>
        <w:t xml:space="preserve">Do humans obey regardless of discomfort? Does this prevalence change over cultures? Do male and female have different prevalence’s? A lot of researched has been undertaken within the subject of compliance and obedience. The most popular study was constructed by Milgram (1966) and found that over 50% of participants produced obedience regardless of self-discomfort of any discomfort to others. This study has been replicated by </w:t>
      </w:r>
      <w:proofErr w:type="spellStart"/>
      <w:r>
        <w:rPr>
          <w:rFonts w:ascii="Arial" w:eastAsia="Times New Roman" w:hAnsi="Arial" w:cs="Arial"/>
          <w:color w:val="000000"/>
          <w:sz w:val="24"/>
          <w:szCs w:val="24"/>
          <w:lang w:eastAsia="en-GB"/>
        </w:rPr>
        <w:t>Doliński</w:t>
      </w:r>
      <w:proofErr w:type="spellEnd"/>
      <w:r w:rsidRPr="00862A35">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et al</w:t>
      </w:r>
      <w:r>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2017</w:t>
      </w:r>
      <w:r>
        <w:rPr>
          <w:rFonts w:ascii="Arial" w:eastAsia="Times New Roman" w:hAnsi="Arial" w:cs="Arial"/>
          <w:color w:val="000000"/>
          <w:sz w:val="24"/>
          <w:szCs w:val="24"/>
          <w:lang w:eastAsia="en-GB"/>
        </w:rPr>
        <w:t xml:space="preserve">) in Poland and found similar results to that of the Milgram study. This study used both male and female participants to provide a gender equal study. This study found that gender differences may not be significant as only around 10% of all participants (male and female) did not follow the researcher’s commands fully. This study may suggest that it matters not whether individuals have different cultures or gender, humans provide obedience. </w:t>
      </w:r>
      <w:r w:rsidR="00DF35D9" w:rsidRPr="0000001C">
        <w:rPr>
          <w:rFonts w:ascii="Arial" w:hAnsi="Arial" w:cs="Arial"/>
          <w:sz w:val="24"/>
          <w:szCs w:val="24"/>
        </w:rPr>
        <w:t xml:space="preserve">Obedience </w:t>
      </w:r>
    </w:p>
    <w:p w:rsidR="00027995" w:rsidRDefault="00027995" w:rsidP="00FA6BDF">
      <w:pPr>
        <w:spacing w:line="480" w:lineRule="auto"/>
        <w:rPr>
          <w:rFonts w:ascii="Arial" w:hAnsi="Arial" w:cs="Arial"/>
          <w:sz w:val="24"/>
          <w:szCs w:val="24"/>
        </w:rPr>
      </w:pPr>
      <w:r>
        <w:rPr>
          <w:rFonts w:ascii="Arial" w:hAnsi="Arial" w:cs="Arial"/>
          <w:sz w:val="24"/>
          <w:szCs w:val="24"/>
        </w:rPr>
        <w:t>Obedience</w:t>
      </w:r>
    </w:p>
    <w:p w:rsidR="00027995" w:rsidRPr="00027995" w:rsidRDefault="00027995" w:rsidP="00027995">
      <w:pPr>
        <w:spacing w:line="480" w:lineRule="auto"/>
        <w:rPr>
          <w:rFonts w:ascii="Arial" w:hAnsi="Arial" w:cs="Arial"/>
          <w:sz w:val="24"/>
          <w:szCs w:val="24"/>
        </w:rPr>
      </w:pPr>
      <w:r>
        <w:rPr>
          <w:rFonts w:ascii="Arial" w:hAnsi="Arial" w:cs="Arial"/>
          <w:sz w:val="24"/>
          <w:szCs w:val="24"/>
        </w:rPr>
        <w:t>Obedience</w:t>
      </w:r>
      <w:r w:rsidRPr="00027995">
        <w:rPr>
          <w:rFonts w:ascii="Arial" w:hAnsi="Arial" w:cs="Arial"/>
          <w:sz w:val="24"/>
          <w:szCs w:val="24"/>
        </w:rPr>
        <w:t xml:space="preserve"> refers to the compliance with an order, or request by authority (Milgram, and </w:t>
      </w:r>
      <w:proofErr w:type="spellStart"/>
      <w:r w:rsidRPr="00027995">
        <w:rPr>
          <w:rFonts w:ascii="Arial" w:hAnsi="Arial" w:cs="Arial"/>
          <w:sz w:val="24"/>
          <w:szCs w:val="24"/>
        </w:rPr>
        <w:t>Gudehus</w:t>
      </w:r>
      <w:proofErr w:type="spellEnd"/>
      <w:r w:rsidRPr="00027995">
        <w:rPr>
          <w:rFonts w:ascii="Arial" w:hAnsi="Arial" w:cs="Arial"/>
          <w:sz w:val="24"/>
          <w:szCs w:val="24"/>
        </w:rPr>
        <w:t xml:space="preserve">, 1978).  </w:t>
      </w:r>
    </w:p>
    <w:p w:rsidR="00DF35D9" w:rsidRPr="0000001C" w:rsidRDefault="00DF35D9" w:rsidP="00FA6BDF">
      <w:pPr>
        <w:spacing w:line="480" w:lineRule="auto"/>
        <w:rPr>
          <w:rFonts w:ascii="Arial" w:hAnsi="Arial" w:cs="Arial"/>
          <w:sz w:val="24"/>
          <w:szCs w:val="24"/>
        </w:rPr>
      </w:pPr>
      <w:r w:rsidRPr="0000001C">
        <w:rPr>
          <w:rFonts w:ascii="Arial" w:hAnsi="Arial" w:cs="Arial"/>
          <w:sz w:val="24"/>
          <w:szCs w:val="24"/>
        </w:rPr>
        <w:t>Milgram’s study of obedience.</w:t>
      </w:r>
    </w:p>
    <w:p w:rsidR="00DF35D9" w:rsidRPr="0000001C" w:rsidRDefault="00F9599E" w:rsidP="00FA6BDF">
      <w:pPr>
        <w:spacing w:line="480" w:lineRule="auto"/>
        <w:rPr>
          <w:rFonts w:ascii="Arial" w:hAnsi="Arial" w:cs="Arial"/>
          <w:sz w:val="24"/>
          <w:szCs w:val="24"/>
        </w:rPr>
      </w:pPr>
      <w:r>
        <w:rPr>
          <w:rFonts w:ascii="Arial" w:hAnsi="Arial" w:cs="Arial"/>
          <w:sz w:val="24"/>
          <w:szCs w:val="24"/>
        </w:rPr>
        <w:t>During</w:t>
      </w:r>
      <w:r w:rsidR="00DF35D9" w:rsidRPr="0000001C">
        <w:rPr>
          <w:rFonts w:ascii="Arial" w:hAnsi="Arial" w:cs="Arial"/>
          <w:sz w:val="24"/>
          <w:szCs w:val="24"/>
        </w:rPr>
        <w:t xml:space="preserve"> this study</w:t>
      </w:r>
      <w:r>
        <w:rPr>
          <w:rFonts w:ascii="Arial" w:hAnsi="Arial" w:cs="Arial"/>
          <w:sz w:val="24"/>
          <w:szCs w:val="24"/>
        </w:rPr>
        <w:t>,</w:t>
      </w:r>
      <w:r w:rsidR="00DF35D9" w:rsidRPr="0000001C">
        <w:rPr>
          <w:rFonts w:ascii="Arial" w:hAnsi="Arial" w:cs="Arial"/>
          <w:sz w:val="24"/>
          <w:szCs w:val="24"/>
        </w:rPr>
        <w:t xml:space="preserve"> Milgram constructed a shock generator consisting of 30 g</w:t>
      </w:r>
      <w:r>
        <w:rPr>
          <w:rFonts w:ascii="Arial" w:hAnsi="Arial" w:cs="Arial"/>
          <w:sz w:val="24"/>
          <w:szCs w:val="24"/>
        </w:rPr>
        <w:t>raded switches, each increasing the amount of shock given. H</w:t>
      </w:r>
      <w:r w:rsidR="00DF35D9" w:rsidRPr="0000001C">
        <w:rPr>
          <w:rFonts w:ascii="Arial" w:hAnsi="Arial" w:cs="Arial"/>
          <w:sz w:val="24"/>
          <w:szCs w:val="24"/>
        </w:rPr>
        <w:t>e used 40 parti</w:t>
      </w:r>
      <w:r>
        <w:rPr>
          <w:rFonts w:ascii="Arial" w:hAnsi="Arial" w:cs="Arial"/>
          <w:sz w:val="24"/>
          <w:szCs w:val="24"/>
        </w:rPr>
        <w:t>cipants to take part in the</w:t>
      </w:r>
      <w:r w:rsidR="00DF35D9" w:rsidRPr="0000001C">
        <w:rPr>
          <w:rFonts w:ascii="Arial" w:hAnsi="Arial" w:cs="Arial"/>
          <w:sz w:val="24"/>
          <w:szCs w:val="24"/>
        </w:rPr>
        <w:t xml:space="preserve"> study. each participant would ask a willing ‘victim’ a series of questions. If the ‘vi</w:t>
      </w:r>
      <w:r>
        <w:rPr>
          <w:rFonts w:ascii="Arial" w:hAnsi="Arial" w:cs="Arial"/>
          <w:sz w:val="24"/>
          <w:szCs w:val="24"/>
        </w:rPr>
        <w:t>ctim’ answered incorrectly or passed</w:t>
      </w:r>
      <w:r w:rsidR="00DF35D9" w:rsidRPr="0000001C">
        <w:rPr>
          <w:rFonts w:ascii="Arial" w:hAnsi="Arial" w:cs="Arial"/>
          <w:sz w:val="24"/>
          <w:szCs w:val="24"/>
        </w:rPr>
        <w:t xml:space="preserve"> the</w:t>
      </w:r>
      <w:r>
        <w:rPr>
          <w:rFonts w:ascii="Arial" w:hAnsi="Arial" w:cs="Arial"/>
          <w:sz w:val="24"/>
          <w:szCs w:val="24"/>
        </w:rPr>
        <w:t>y would then receive a ‘shock’.  T</w:t>
      </w:r>
      <w:r w:rsidR="00DF35D9" w:rsidRPr="0000001C">
        <w:rPr>
          <w:rFonts w:ascii="Arial" w:hAnsi="Arial" w:cs="Arial"/>
          <w:sz w:val="24"/>
          <w:szCs w:val="24"/>
        </w:rPr>
        <w:t xml:space="preserve">his </w:t>
      </w:r>
      <w:r>
        <w:rPr>
          <w:rFonts w:ascii="Arial" w:hAnsi="Arial" w:cs="Arial"/>
          <w:sz w:val="24"/>
          <w:szCs w:val="24"/>
        </w:rPr>
        <w:t xml:space="preserve">shock </w:t>
      </w:r>
      <w:r w:rsidR="00DF35D9" w:rsidRPr="0000001C">
        <w:rPr>
          <w:rFonts w:ascii="Arial" w:hAnsi="Arial" w:cs="Arial"/>
          <w:sz w:val="24"/>
          <w:szCs w:val="24"/>
        </w:rPr>
        <w:t xml:space="preserve">would </w:t>
      </w:r>
      <w:r>
        <w:rPr>
          <w:rFonts w:ascii="Arial" w:hAnsi="Arial" w:cs="Arial"/>
          <w:sz w:val="24"/>
          <w:szCs w:val="24"/>
        </w:rPr>
        <w:t xml:space="preserve">get progressively </w:t>
      </w:r>
      <w:r w:rsidR="00DF35D9" w:rsidRPr="0000001C">
        <w:rPr>
          <w:rFonts w:ascii="Arial" w:hAnsi="Arial" w:cs="Arial"/>
          <w:sz w:val="24"/>
          <w:szCs w:val="24"/>
        </w:rPr>
        <w:t>stronger</w:t>
      </w:r>
      <w:r>
        <w:rPr>
          <w:rFonts w:ascii="Arial" w:hAnsi="Arial" w:cs="Arial"/>
          <w:sz w:val="24"/>
          <w:szCs w:val="24"/>
        </w:rPr>
        <w:t xml:space="preserve">, eventually becoming strong </w:t>
      </w:r>
      <w:r w:rsidR="0068534E" w:rsidRPr="0000001C">
        <w:rPr>
          <w:rFonts w:ascii="Arial" w:hAnsi="Arial" w:cs="Arial"/>
          <w:sz w:val="24"/>
          <w:szCs w:val="24"/>
        </w:rPr>
        <w:t xml:space="preserve">enough to be lethal. </w:t>
      </w:r>
      <w:r w:rsidR="00DF35D9" w:rsidRPr="0000001C">
        <w:rPr>
          <w:rFonts w:ascii="Arial" w:hAnsi="Arial" w:cs="Arial"/>
          <w:sz w:val="24"/>
          <w:szCs w:val="24"/>
        </w:rPr>
        <w:t xml:space="preserve">This study showed that 26 </w:t>
      </w:r>
      <w:r w:rsidR="0068534E" w:rsidRPr="0000001C">
        <w:rPr>
          <w:rFonts w:ascii="Arial" w:hAnsi="Arial" w:cs="Arial"/>
          <w:sz w:val="24"/>
          <w:szCs w:val="24"/>
        </w:rPr>
        <w:t>participants</w:t>
      </w:r>
      <w:r w:rsidR="00DF35D9" w:rsidRPr="0000001C">
        <w:rPr>
          <w:rFonts w:ascii="Arial" w:hAnsi="Arial" w:cs="Arial"/>
          <w:sz w:val="24"/>
          <w:szCs w:val="24"/>
        </w:rPr>
        <w:t xml:space="preserve"> </w:t>
      </w:r>
      <w:r w:rsidR="0068534E" w:rsidRPr="0000001C">
        <w:rPr>
          <w:rFonts w:ascii="Arial" w:hAnsi="Arial" w:cs="Arial"/>
          <w:sz w:val="24"/>
          <w:szCs w:val="24"/>
        </w:rPr>
        <w:t>ob</w:t>
      </w:r>
      <w:r>
        <w:rPr>
          <w:rFonts w:ascii="Arial" w:hAnsi="Arial" w:cs="Arial"/>
          <w:sz w:val="24"/>
          <w:szCs w:val="24"/>
        </w:rPr>
        <w:t xml:space="preserve">eyed the experimental commands </w:t>
      </w:r>
      <w:r w:rsidR="0068534E" w:rsidRPr="0000001C">
        <w:rPr>
          <w:rFonts w:ascii="Arial" w:hAnsi="Arial" w:cs="Arial"/>
          <w:sz w:val="24"/>
          <w:szCs w:val="24"/>
        </w:rPr>
        <w:t>and gave t</w:t>
      </w:r>
      <w:r>
        <w:rPr>
          <w:rFonts w:ascii="Arial" w:hAnsi="Arial" w:cs="Arial"/>
          <w:sz w:val="24"/>
          <w:szCs w:val="24"/>
        </w:rPr>
        <w:t xml:space="preserve">he highest shocks, regardless of the discomfort caused to the </w:t>
      </w:r>
      <w:r>
        <w:rPr>
          <w:rFonts w:ascii="Arial" w:hAnsi="Arial" w:cs="Arial"/>
          <w:sz w:val="24"/>
          <w:szCs w:val="24"/>
        </w:rPr>
        <w:lastRenderedPageBreak/>
        <w:t xml:space="preserve">‘victim’ or themselves whilst </w:t>
      </w:r>
      <w:r w:rsidR="0068534E" w:rsidRPr="0000001C">
        <w:rPr>
          <w:rFonts w:ascii="Arial" w:hAnsi="Arial" w:cs="Arial"/>
          <w:sz w:val="24"/>
          <w:szCs w:val="24"/>
        </w:rPr>
        <w:t>14 pa</w:t>
      </w:r>
      <w:r>
        <w:rPr>
          <w:rFonts w:ascii="Arial" w:hAnsi="Arial" w:cs="Arial"/>
          <w:sz w:val="24"/>
          <w:szCs w:val="24"/>
        </w:rPr>
        <w:t>rticipants refused to continue</w:t>
      </w:r>
      <w:r w:rsidR="0068534E" w:rsidRPr="0000001C">
        <w:rPr>
          <w:rFonts w:ascii="Arial" w:hAnsi="Arial" w:cs="Arial"/>
          <w:sz w:val="24"/>
          <w:szCs w:val="24"/>
        </w:rPr>
        <w:t xml:space="preserve"> </w:t>
      </w:r>
      <w:r>
        <w:rPr>
          <w:rFonts w:ascii="Arial" w:hAnsi="Arial" w:cs="Arial"/>
          <w:sz w:val="24"/>
          <w:szCs w:val="24"/>
        </w:rPr>
        <w:t>after the ‘victim’ either dec</w:t>
      </w:r>
      <w:r w:rsidR="00850493">
        <w:rPr>
          <w:rFonts w:ascii="Arial" w:hAnsi="Arial" w:cs="Arial"/>
          <w:sz w:val="24"/>
          <w:szCs w:val="24"/>
        </w:rPr>
        <w:t>l</w:t>
      </w:r>
      <w:r>
        <w:rPr>
          <w:rFonts w:ascii="Arial" w:hAnsi="Arial" w:cs="Arial"/>
          <w:sz w:val="24"/>
          <w:szCs w:val="24"/>
        </w:rPr>
        <w:t>ined</w:t>
      </w:r>
      <w:r w:rsidR="0068534E" w:rsidRPr="0000001C">
        <w:rPr>
          <w:rFonts w:ascii="Arial" w:hAnsi="Arial" w:cs="Arial"/>
          <w:sz w:val="24"/>
          <w:szCs w:val="24"/>
        </w:rPr>
        <w:t xml:space="preserve"> to answer or display</w:t>
      </w:r>
      <w:r>
        <w:rPr>
          <w:rFonts w:ascii="Arial" w:hAnsi="Arial" w:cs="Arial"/>
          <w:sz w:val="24"/>
          <w:szCs w:val="24"/>
        </w:rPr>
        <w:t>ed</w:t>
      </w:r>
      <w:r w:rsidR="0068534E" w:rsidRPr="0000001C">
        <w:rPr>
          <w:rFonts w:ascii="Arial" w:hAnsi="Arial" w:cs="Arial"/>
          <w:sz w:val="24"/>
          <w:szCs w:val="24"/>
        </w:rPr>
        <w:t xml:space="preserve"> signs of severe discomfort.</w:t>
      </w:r>
    </w:p>
    <w:p w:rsidR="00862A35" w:rsidRPr="0000001C" w:rsidRDefault="00F9599E" w:rsidP="00FA6BDF">
      <w:pPr>
        <w:spacing w:line="480" w:lineRule="auto"/>
        <w:rPr>
          <w:rFonts w:ascii="Arial" w:hAnsi="Arial" w:cs="Arial"/>
          <w:sz w:val="24"/>
          <w:szCs w:val="24"/>
        </w:rPr>
      </w:pPr>
      <w:r>
        <w:rPr>
          <w:rFonts w:ascii="Arial" w:hAnsi="Arial" w:cs="Arial"/>
          <w:sz w:val="24"/>
          <w:szCs w:val="24"/>
        </w:rPr>
        <w:t>Another study with</w:t>
      </w:r>
      <w:r w:rsidR="00862A35" w:rsidRPr="0000001C">
        <w:rPr>
          <w:rFonts w:ascii="Arial" w:hAnsi="Arial" w:cs="Arial"/>
          <w:sz w:val="24"/>
          <w:szCs w:val="24"/>
        </w:rPr>
        <w:t xml:space="preserve"> </w:t>
      </w:r>
      <w:r>
        <w:rPr>
          <w:rFonts w:ascii="Arial" w:hAnsi="Arial" w:cs="Arial"/>
          <w:sz w:val="24"/>
          <w:szCs w:val="24"/>
        </w:rPr>
        <w:t>a partial replication of the Mi</w:t>
      </w:r>
      <w:r w:rsidR="00862A35" w:rsidRPr="0000001C">
        <w:rPr>
          <w:rFonts w:ascii="Arial" w:hAnsi="Arial" w:cs="Arial"/>
          <w:sz w:val="24"/>
          <w:szCs w:val="24"/>
        </w:rPr>
        <w:t xml:space="preserve">lgram’s study was constructed by </w:t>
      </w:r>
      <w:proofErr w:type="spellStart"/>
      <w:r w:rsidR="00850493">
        <w:rPr>
          <w:rFonts w:ascii="Arial" w:eastAsia="Times New Roman" w:hAnsi="Arial" w:cs="Arial"/>
          <w:color w:val="000000"/>
          <w:sz w:val="24"/>
          <w:szCs w:val="24"/>
          <w:lang w:eastAsia="en-GB"/>
        </w:rPr>
        <w:t>Doliński</w:t>
      </w:r>
      <w:proofErr w:type="spellEnd"/>
      <w:r w:rsidR="00862A35" w:rsidRPr="00862A35">
        <w:rPr>
          <w:rFonts w:ascii="Arial" w:eastAsia="Times New Roman" w:hAnsi="Arial" w:cs="Arial"/>
          <w:color w:val="000000"/>
          <w:sz w:val="24"/>
          <w:szCs w:val="24"/>
          <w:lang w:eastAsia="en-GB"/>
        </w:rPr>
        <w:t xml:space="preserve"> </w:t>
      </w:r>
      <w:r w:rsidR="00850493">
        <w:rPr>
          <w:rFonts w:ascii="Arial" w:eastAsia="Times New Roman" w:hAnsi="Arial" w:cs="Arial"/>
          <w:color w:val="000000"/>
          <w:sz w:val="24"/>
          <w:szCs w:val="24"/>
          <w:lang w:eastAsia="en-GB"/>
        </w:rPr>
        <w:t>et al.,</w:t>
      </w:r>
      <w:r>
        <w:rPr>
          <w:rFonts w:ascii="Arial" w:eastAsia="Times New Roman" w:hAnsi="Arial" w:cs="Arial"/>
          <w:color w:val="000000"/>
          <w:sz w:val="24"/>
          <w:szCs w:val="24"/>
          <w:lang w:eastAsia="en-GB"/>
        </w:rPr>
        <w:t xml:space="preserve"> in 2017 </w:t>
      </w:r>
      <w:r w:rsidR="00862A35" w:rsidRPr="0000001C">
        <w:rPr>
          <w:rFonts w:ascii="Arial" w:eastAsia="Times New Roman" w:hAnsi="Arial" w:cs="Arial"/>
          <w:color w:val="000000"/>
          <w:sz w:val="24"/>
          <w:szCs w:val="24"/>
          <w:lang w:eastAsia="en-GB"/>
        </w:rPr>
        <w:t xml:space="preserve">in </w:t>
      </w:r>
      <w:r w:rsidR="00FA6BDF" w:rsidRPr="0000001C">
        <w:rPr>
          <w:rFonts w:ascii="Arial" w:eastAsia="Times New Roman" w:hAnsi="Arial" w:cs="Arial"/>
          <w:color w:val="000000"/>
          <w:sz w:val="24"/>
          <w:szCs w:val="24"/>
          <w:lang w:eastAsia="en-GB"/>
        </w:rPr>
        <w:t>Poland</w:t>
      </w:r>
      <w:r w:rsidR="00862A35" w:rsidRPr="0000001C">
        <w:rPr>
          <w:rFonts w:ascii="Arial" w:eastAsia="Times New Roman" w:hAnsi="Arial" w:cs="Arial"/>
          <w:color w:val="000000"/>
          <w:sz w:val="24"/>
          <w:szCs w:val="24"/>
          <w:lang w:eastAsia="en-GB"/>
        </w:rPr>
        <w:t xml:space="preserve"> and consisted of 80 participants (40 of each gender). The result</w:t>
      </w:r>
      <w:r>
        <w:rPr>
          <w:rFonts w:ascii="Arial" w:eastAsia="Times New Roman" w:hAnsi="Arial" w:cs="Arial"/>
          <w:color w:val="000000"/>
          <w:sz w:val="24"/>
          <w:szCs w:val="24"/>
          <w:lang w:eastAsia="en-GB"/>
        </w:rPr>
        <w:t>s</w:t>
      </w:r>
      <w:r w:rsidR="00862A35" w:rsidRPr="0000001C">
        <w:rPr>
          <w:rFonts w:ascii="Arial" w:eastAsia="Times New Roman" w:hAnsi="Arial" w:cs="Arial"/>
          <w:color w:val="000000"/>
          <w:sz w:val="24"/>
          <w:szCs w:val="24"/>
          <w:lang w:eastAsia="en-GB"/>
        </w:rPr>
        <w:t xml:space="preserve"> from this study</w:t>
      </w:r>
      <w:r>
        <w:rPr>
          <w:rFonts w:ascii="Arial" w:eastAsia="Times New Roman" w:hAnsi="Arial" w:cs="Arial"/>
          <w:color w:val="000000"/>
          <w:sz w:val="24"/>
          <w:szCs w:val="24"/>
          <w:lang w:eastAsia="en-GB"/>
        </w:rPr>
        <w:t xml:space="preserve"> were similar to those</w:t>
      </w:r>
      <w:r w:rsidR="00862A35" w:rsidRPr="0000001C">
        <w:rPr>
          <w:rFonts w:ascii="Arial" w:eastAsia="Times New Roman" w:hAnsi="Arial" w:cs="Arial"/>
          <w:color w:val="000000"/>
          <w:sz w:val="24"/>
          <w:szCs w:val="24"/>
          <w:lang w:eastAsia="en-GB"/>
        </w:rPr>
        <w:t xml:space="preserve"> of </w:t>
      </w:r>
      <w:r w:rsidR="00FA6BDF" w:rsidRPr="0000001C">
        <w:rPr>
          <w:rFonts w:ascii="Arial" w:eastAsia="Times New Roman" w:hAnsi="Arial" w:cs="Arial"/>
          <w:color w:val="000000"/>
          <w:sz w:val="24"/>
          <w:szCs w:val="24"/>
          <w:lang w:eastAsia="en-GB"/>
        </w:rPr>
        <w:t>Milgram’s</w:t>
      </w:r>
      <w:r>
        <w:rPr>
          <w:rFonts w:ascii="Arial" w:eastAsia="Times New Roman" w:hAnsi="Arial" w:cs="Arial"/>
          <w:color w:val="000000"/>
          <w:sz w:val="24"/>
          <w:szCs w:val="24"/>
          <w:lang w:eastAsia="en-GB"/>
        </w:rPr>
        <w:t xml:space="preserve"> (1963) study. The study showed </w:t>
      </w:r>
      <w:r w:rsidR="00862A35" w:rsidRPr="0000001C">
        <w:rPr>
          <w:rFonts w:ascii="Arial" w:eastAsia="Times New Roman" w:hAnsi="Arial" w:cs="Arial"/>
          <w:color w:val="000000"/>
          <w:sz w:val="24"/>
          <w:szCs w:val="24"/>
          <w:lang w:eastAsia="en-GB"/>
        </w:rPr>
        <w:t xml:space="preserve">that </w:t>
      </w:r>
      <w:r w:rsidR="00FA6BDF" w:rsidRPr="0000001C">
        <w:rPr>
          <w:rFonts w:ascii="Arial" w:eastAsia="Times New Roman" w:hAnsi="Arial" w:cs="Arial"/>
          <w:color w:val="000000"/>
          <w:sz w:val="24"/>
          <w:szCs w:val="24"/>
          <w:lang w:eastAsia="en-GB"/>
        </w:rPr>
        <w:t>male and female participants</w:t>
      </w:r>
      <w:r w:rsidR="00862A35" w:rsidRPr="0000001C">
        <w:rPr>
          <w:rFonts w:ascii="Arial" w:eastAsia="Times New Roman" w:hAnsi="Arial" w:cs="Arial"/>
          <w:color w:val="000000"/>
          <w:sz w:val="24"/>
          <w:szCs w:val="24"/>
          <w:lang w:eastAsia="en-GB"/>
        </w:rPr>
        <w:t xml:space="preserve"> were more likely to give a </w:t>
      </w:r>
      <w:r w:rsidR="00FA6BDF" w:rsidRPr="0000001C">
        <w:rPr>
          <w:rFonts w:ascii="Arial" w:eastAsia="Times New Roman" w:hAnsi="Arial" w:cs="Arial"/>
          <w:color w:val="000000"/>
          <w:sz w:val="24"/>
          <w:szCs w:val="24"/>
          <w:lang w:eastAsia="en-GB"/>
        </w:rPr>
        <w:t>higher-level</w:t>
      </w:r>
      <w:r>
        <w:rPr>
          <w:rFonts w:ascii="Arial" w:eastAsia="Times New Roman" w:hAnsi="Arial" w:cs="Arial"/>
          <w:color w:val="000000"/>
          <w:sz w:val="24"/>
          <w:szCs w:val="24"/>
          <w:lang w:eastAsia="en-GB"/>
        </w:rPr>
        <w:t xml:space="preserve"> shock to a male than to</w:t>
      </w:r>
      <w:r w:rsidR="00862A35" w:rsidRPr="0000001C">
        <w:rPr>
          <w:rFonts w:ascii="Arial" w:eastAsia="Times New Roman" w:hAnsi="Arial" w:cs="Arial"/>
          <w:color w:val="000000"/>
          <w:sz w:val="24"/>
          <w:szCs w:val="24"/>
          <w:lang w:eastAsia="en-GB"/>
        </w:rPr>
        <w:t xml:space="preserve"> a f</w:t>
      </w:r>
      <w:r>
        <w:rPr>
          <w:rFonts w:ascii="Arial" w:eastAsia="Times New Roman" w:hAnsi="Arial" w:cs="Arial"/>
          <w:color w:val="000000"/>
          <w:sz w:val="24"/>
          <w:szCs w:val="24"/>
          <w:lang w:eastAsia="en-GB"/>
        </w:rPr>
        <w:t>emale;</w:t>
      </w:r>
      <w:r w:rsidR="00FA6BDF" w:rsidRPr="0000001C">
        <w:rPr>
          <w:rFonts w:ascii="Arial" w:eastAsia="Times New Roman" w:hAnsi="Arial" w:cs="Arial"/>
          <w:color w:val="000000"/>
          <w:sz w:val="24"/>
          <w:szCs w:val="24"/>
          <w:lang w:eastAsia="en-GB"/>
        </w:rPr>
        <w:t xml:space="preserve"> however this study shows the 10% of </w:t>
      </w:r>
      <w:r>
        <w:rPr>
          <w:rFonts w:ascii="Arial" w:eastAsia="Times New Roman" w:hAnsi="Arial" w:cs="Arial"/>
          <w:color w:val="000000"/>
          <w:sz w:val="24"/>
          <w:szCs w:val="24"/>
          <w:lang w:eastAsia="en-GB"/>
        </w:rPr>
        <w:t xml:space="preserve">both male and female </w:t>
      </w:r>
      <w:r w:rsidR="00FA6BDF" w:rsidRPr="0000001C">
        <w:rPr>
          <w:rFonts w:ascii="Arial" w:eastAsia="Times New Roman" w:hAnsi="Arial" w:cs="Arial"/>
          <w:color w:val="000000"/>
          <w:sz w:val="24"/>
          <w:szCs w:val="24"/>
          <w:lang w:eastAsia="en-GB"/>
        </w:rPr>
        <w:t>participant</w:t>
      </w:r>
      <w:r>
        <w:rPr>
          <w:rFonts w:ascii="Arial" w:eastAsia="Times New Roman" w:hAnsi="Arial" w:cs="Arial"/>
          <w:color w:val="000000"/>
          <w:sz w:val="24"/>
          <w:szCs w:val="24"/>
          <w:lang w:eastAsia="en-GB"/>
        </w:rPr>
        <w:t xml:space="preserve">s failed to obey </w:t>
      </w:r>
      <w:r w:rsidR="00A55B33" w:rsidRPr="0000001C">
        <w:rPr>
          <w:rFonts w:ascii="Arial" w:eastAsia="Times New Roman" w:hAnsi="Arial" w:cs="Arial"/>
          <w:color w:val="000000"/>
          <w:sz w:val="24"/>
          <w:szCs w:val="24"/>
          <w:lang w:eastAsia="en-GB"/>
        </w:rPr>
        <w:t>all</w:t>
      </w:r>
      <w:r>
        <w:rPr>
          <w:rFonts w:ascii="Arial" w:eastAsia="Times New Roman" w:hAnsi="Arial" w:cs="Arial"/>
          <w:color w:val="000000"/>
          <w:sz w:val="24"/>
          <w:szCs w:val="24"/>
          <w:lang w:eastAsia="en-GB"/>
        </w:rPr>
        <w:t xml:space="preserve"> of</w:t>
      </w:r>
      <w:r w:rsidR="00FA6BDF" w:rsidRPr="0000001C">
        <w:rPr>
          <w:rFonts w:ascii="Arial" w:eastAsia="Times New Roman" w:hAnsi="Arial" w:cs="Arial"/>
          <w:color w:val="000000"/>
          <w:sz w:val="24"/>
          <w:szCs w:val="24"/>
          <w:lang w:eastAsia="en-GB"/>
        </w:rPr>
        <w:t xml:space="preserve"> the researcher’s commands, therefore the gender differences are not statistically significant. This study also shows that individuals from modern generations are still likely to show complete obedience to authority, even if ha</w:t>
      </w:r>
      <w:r>
        <w:rPr>
          <w:rFonts w:ascii="Arial" w:eastAsia="Times New Roman" w:hAnsi="Arial" w:cs="Arial"/>
          <w:color w:val="000000"/>
          <w:sz w:val="24"/>
          <w:szCs w:val="24"/>
          <w:lang w:eastAsia="en-GB"/>
        </w:rPr>
        <w:t xml:space="preserve">rming others is concerned. The </w:t>
      </w:r>
      <w:r w:rsidR="00FA6BDF" w:rsidRPr="0000001C">
        <w:rPr>
          <w:rFonts w:ascii="Arial" w:eastAsia="Times New Roman" w:hAnsi="Arial" w:cs="Arial"/>
          <w:color w:val="000000"/>
          <w:sz w:val="24"/>
          <w:szCs w:val="24"/>
          <w:lang w:eastAsia="en-GB"/>
        </w:rPr>
        <w:t>study also suggests that culture may not be impo</w:t>
      </w:r>
      <w:r>
        <w:rPr>
          <w:rFonts w:ascii="Arial" w:eastAsia="Times New Roman" w:hAnsi="Arial" w:cs="Arial"/>
          <w:color w:val="000000"/>
          <w:sz w:val="24"/>
          <w:szCs w:val="24"/>
          <w:lang w:eastAsia="en-GB"/>
        </w:rPr>
        <w:t>rtant, since this study was undertaken</w:t>
      </w:r>
      <w:r w:rsidR="00FA6BDF" w:rsidRPr="0000001C">
        <w:rPr>
          <w:rFonts w:ascii="Arial" w:eastAsia="Times New Roman" w:hAnsi="Arial" w:cs="Arial"/>
          <w:color w:val="000000"/>
          <w:sz w:val="24"/>
          <w:szCs w:val="24"/>
          <w:lang w:eastAsia="en-GB"/>
        </w:rPr>
        <w:t xml:space="preserve"> in Poland</w:t>
      </w:r>
      <w:r>
        <w:rPr>
          <w:rFonts w:ascii="Arial" w:eastAsia="Times New Roman" w:hAnsi="Arial" w:cs="Arial"/>
          <w:color w:val="000000"/>
          <w:sz w:val="24"/>
          <w:szCs w:val="24"/>
          <w:lang w:eastAsia="en-GB"/>
        </w:rPr>
        <w:t xml:space="preserve"> yet the findings were similar to those of Milgram whose study took place in America.</w:t>
      </w:r>
      <w:r w:rsidR="00A55B33" w:rsidRPr="0000001C">
        <w:rPr>
          <w:rFonts w:ascii="Arial" w:eastAsia="Times New Roman" w:hAnsi="Arial" w:cs="Arial"/>
          <w:color w:val="000000"/>
          <w:sz w:val="24"/>
          <w:szCs w:val="24"/>
          <w:lang w:eastAsia="en-GB"/>
        </w:rPr>
        <w:t xml:space="preserve"> </w:t>
      </w:r>
    </w:p>
    <w:p w:rsidR="0068534E" w:rsidRPr="0000001C" w:rsidRDefault="0068534E">
      <w:pPr>
        <w:rPr>
          <w:rFonts w:ascii="Arial" w:hAnsi="Arial" w:cs="Arial"/>
          <w:sz w:val="24"/>
          <w:szCs w:val="24"/>
        </w:rPr>
      </w:pPr>
    </w:p>
    <w:p w:rsidR="00850493" w:rsidRDefault="00850493" w:rsidP="0000001C">
      <w:pPr>
        <w:spacing w:line="480" w:lineRule="auto"/>
        <w:rPr>
          <w:rFonts w:ascii="Arial" w:hAnsi="Arial" w:cs="Arial"/>
          <w:sz w:val="24"/>
          <w:szCs w:val="24"/>
        </w:rPr>
      </w:pPr>
    </w:p>
    <w:p w:rsidR="0068534E" w:rsidRDefault="00A55B33" w:rsidP="0000001C">
      <w:pPr>
        <w:spacing w:line="480" w:lineRule="auto"/>
        <w:rPr>
          <w:rFonts w:ascii="Arial" w:hAnsi="Arial" w:cs="Arial"/>
          <w:sz w:val="24"/>
          <w:szCs w:val="24"/>
        </w:rPr>
      </w:pPr>
      <w:r w:rsidRPr="0000001C">
        <w:rPr>
          <w:rFonts w:ascii="Arial" w:hAnsi="Arial" w:cs="Arial"/>
          <w:sz w:val="24"/>
          <w:szCs w:val="24"/>
        </w:rPr>
        <w:t xml:space="preserve">Compliance </w:t>
      </w:r>
    </w:p>
    <w:p w:rsidR="00027995" w:rsidRPr="00027995" w:rsidRDefault="00027995" w:rsidP="00027995">
      <w:pPr>
        <w:spacing w:line="480" w:lineRule="auto"/>
        <w:rPr>
          <w:rFonts w:ascii="Arial" w:hAnsi="Arial" w:cs="Arial"/>
          <w:sz w:val="24"/>
          <w:szCs w:val="24"/>
        </w:rPr>
      </w:pPr>
      <w:r>
        <w:rPr>
          <w:rFonts w:ascii="Arial" w:hAnsi="Arial" w:cs="Arial"/>
          <w:sz w:val="24"/>
          <w:szCs w:val="24"/>
        </w:rPr>
        <w:t>Compliance</w:t>
      </w:r>
      <w:r w:rsidRPr="00027995">
        <w:rPr>
          <w:rFonts w:ascii="Arial" w:hAnsi="Arial" w:cs="Arial"/>
          <w:sz w:val="24"/>
          <w:szCs w:val="24"/>
        </w:rPr>
        <w:t xml:space="preserve"> refers to the acquiescence to a request (Cialdini, and Goldstein, 2004). </w:t>
      </w:r>
    </w:p>
    <w:p w:rsidR="00D45277" w:rsidRDefault="00F9599E" w:rsidP="0000001C">
      <w:pPr>
        <w:spacing w:line="480" w:lineRule="auto"/>
        <w:rPr>
          <w:rFonts w:ascii="Arial" w:hAnsi="Arial" w:cs="Arial"/>
          <w:sz w:val="24"/>
          <w:szCs w:val="24"/>
        </w:rPr>
      </w:pPr>
      <w:r>
        <w:rPr>
          <w:rFonts w:ascii="Arial" w:hAnsi="Arial" w:cs="Arial"/>
          <w:sz w:val="24"/>
          <w:szCs w:val="24"/>
        </w:rPr>
        <w:t>There have been many studies concerned with obtaining compliance from individuals together with the strategies to achieve this. The</w:t>
      </w:r>
      <w:r w:rsidR="004B4B5B" w:rsidRPr="0000001C">
        <w:rPr>
          <w:rFonts w:ascii="Arial" w:hAnsi="Arial" w:cs="Arial"/>
          <w:sz w:val="24"/>
          <w:szCs w:val="24"/>
        </w:rPr>
        <w:t xml:space="preserve"> 4 main </w:t>
      </w:r>
      <w:r w:rsidR="0000001C" w:rsidRPr="0000001C">
        <w:rPr>
          <w:rFonts w:ascii="Arial" w:hAnsi="Arial" w:cs="Arial"/>
          <w:sz w:val="24"/>
          <w:szCs w:val="24"/>
        </w:rPr>
        <w:t>strategies</w:t>
      </w:r>
      <w:r>
        <w:rPr>
          <w:rFonts w:ascii="Arial" w:hAnsi="Arial" w:cs="Arial"/>
          <w:sz w:val="24"/>
          <w:szCs w:val="24"/>
        </w:rPr>
        <w:t xml:space="preserve"> that have been studied are:  f</w:t>
      </w:r>
      <w:r w:rsidR="004B4B5B" w:rsidRPr="0000001C">
        <w:rPr>
          <w:rFonts w:ascii="Arial" w:hAnsi="Arial" w:cs="Arial"/>
          <w:sz w:val="24"/>
          <w:szCs w:val="24"/>
        </w:rPr>
        <w:t>oot in the door (Freedman &amp; Fraser</w:t>
      </w:r>
      <w:r>
        <w:rPr>
          <w:rFonts w:ascii="Arial" w:hAnsi="Arial" w:cs="Arial"/>
          <w:sz w:val="24"/>
          <w:szCs w:val="24"/>
        </w:rPr>
        <w:t>,</w:t>
      </w:r>
      <w:r w:rsidR="004B4B5B" w:rsidRPr="0000001C">
        <w:rPr>
          <w:rFonts w:ascii="Arial" w:hAnsi="Arial" w:cs="Arial"/>
          <w:sz w:val="24"/>
          <w:szCs w:val="24"/>
        </w:rPr>
        <w:t xml:space="preserve"> 1966), door in the face (Cialdini </w:t>
      </w:r>
      <w:r w:rsidR="004B4B5B" w:rsidRPr="00850493">
        <w:rPr>
          <w:rFonts w:ascii="Arial" w:hAnsi="Arial" w:cs="Arial"/>
          <w:sz w:val="24"/>
          <w:szCs w:val="24"/>
        </w:rPr>
        <w:t>et al</w:t>
      </w:r>
      <w:r w:rsidR="004B4B5B" w:rsidRPr="0000001C">
        <w:rPr>
          <w:rFonts w:ascii="Arial" w:hAnsi="Arial" w:cs="Arial"/>
          <w:sz w:val="24"/>
          <w:szCs w:val="24"/>
        </w:rPr>
        <w:t xml:space="preserve">., 1975), high ball low ball </w:t>
      </w:r>
      <w:r w:rsidR="0000001C" w:rsidRPr="0000001C">
        <w:rPr>
          <w:rFonts w:ascii="Arial" w:hAnsi="Arial" w:cs="Arial"/>
          <w:sz w:val="24"/>
          <w:szCs w:val="24"/>
        </w:rPr>
        <w:t>(Cialdini et al., 1975) and ‘that’s not all’ (Burger 1986).</w:t>
      </w:r>
      <w:r w:rsidR="00850493">
        <w:rPr>
          <w:rFonts w:ascii="Arial" w:hAnsi="Arial" w:cs="Arial"/>
          <w:sz w:val="24"/>
          <w:szCs w:val="24"/>
        </w:rPr>
        <w:t xml:space="preserve"> The foot in the door technique is when an individual is presented with a small request in the hope of agreeing to a larger request afterwards. The door in the face technique is when an individual is presented a large request, with a high </w:t>
      </w:r>
      <w:r w:rsidR="00850493">
        <w:rPr>
          <w:rFonts w:ascii="Arial" w:hAnsi="Arial" w:cs="Arial"/>
          <w:sz w:val="24"/>
          <w:szCs w:val="24"/>
        </w:rPr>
        <w:lastRenderedPageBreak/>
        <w:t>possibility of declining, in the hope of agreeing to a slightly smaller request. The high ball technique is a more is a sales technique. For instance, a s</w:t>
      </w:r>
      <w:r w:rsidR="001B302B">
        <w:rPr>
          <w:rFonts w:ascii="Arial" w:hAnsi="Arial" w:cs="Arial"/>
          <w:sz w:val="24"/>
          <w:szCs w:val="24"/>
        </w:rPr>
        <w:t>ales</w:t>
      </w:r>
      <w:r w:rsidR="00850493">
        <w:rPr>
          <w:rFonts w:ascii="Arial" w:hAnsi="Arial" w:cs="Arial"/>
          <w:sz w:val="24"/>
          <w:szCs w:val="24"/>
        </w:rPr>
        <w:t xml:space="preserve"> man </w:t>
      </w:r>
      <w:r w:rsidR="001B302B">
        <w:rPr>
          <w:rFonts w:ascii="Arial" w:hAnsi="Arial" w:cs="Arial"/>
          <w:sz w:val="24"/>
          <w:szCs w:val="24"/>
        </w:rPr>
        <w:t>gives</w:t>
      </w:r>
      <w:r w:rsidR="00850493">
        <w:rPr>
          <w:rFonts w:ascii="Arial" w:hAnsi="Arial" w:cs="Arial"/>
          <w:sz w:val="24"/>
          <w:szCs w:val="24"/>
        </w:rPr>
        <w:t xml:space="preserve"> a large estimat</w:t>
      </w:r>
      <w:r w:rsidR="001B302B">
        <w:rPr>
          <w:rFonts w:ascii="Arial" w:hAnsi="Arial" w:cs="Arial"/>
          <w:sz w:val="24"/>
          <w:szCs w:val="24"/>
        </w:rPr>
        <w:t>ion for a specific job with the deliberate lowering of the price to make it seem better than it is. The low-ball technique is the opposite, take the same sales man, this is where he would give a low price for the job with a deliberate rise of the price, in the hope that the customer will agree to the larger price as they had already agreed on the previous. The ‘that’s not all’ can also be considered a sales technique, this is where something is given for free in the hope an individual will purchase a specific item.</w:t>
      </w:r>
    </w:p>
    <w:p w:rsidR="00F83E47" w:rsidRPr="00A442AE" w:rsidRDefault="001B302B" w:rsidP="00A442AE">
      <w:pPr>
        <w:spacing w:line="480" w:lineRule="auto"/>
        <w:rPr>
          <w:rFonts w:ascii="Arial" w:hAnsi="Arial" w:cs="Arial"/>
          <w:sz w:val="24"/>
          <w:szCs w:val="24"/>
        </w:rPr>
      </w:pPr>
      <w:r>
        <w:rPr>
          <w:rFonts w:ascii="Arial" w:hAnsi="Arial" w:cs="Arial"/>
          <w:sz w:val="24"/>
          <w:szCs w:val="24"/>
        </w:rPr>
        <w:t>Conclusion</w:t>
      </w:r>
    </w:p>
    <w:p w:rsidR="00F83E47" w:rsidRPr="0048190D" w:rsidRDefault="0048190D" w:rsidP="0048190D">
      <w:pPr>
        <w:spacing w:line="480" w:lineRule="auto"/>
        <w:rPr>
          <w:rFonts w:ascii="Arial" w:hAnsi="Arial" w:cs="Arial"/>
          <w:sz w:val="24"/>
          <w:szCs w:val="24"/>
        </w:rPr>
      </w:pPr>
      <w:r w:rsidRPr="0048190D">
        <w:rPr>
          <w:rFonts w:ascii="Arial" w:hAnsi="Arial" w:cs="Arial"/>
          <w:sz w:val="24"/>
          <w:szCs w:val="24"/>
        </w:rPr>
        <w:t xml:space="preserve">To conclude, individuals from modern society still provide similar levels of obedience than that of 1966. Whether an individual is male, female or come from different cultures, obedience prevalence still provides similar numbers. Recent studies have found evidence that even though individuals may think they have changed in the ways they think towards obedience not much has changed within the last sixty to seventy years. </w:t>
      </w:r>
      <w:r>
        <w:rPr>
          <w:rFonts w:ascii="Arial" w:hAnsi="Arial" w:cs="Arial"/>
          <w:sz w:val="24"/>
          <w:szCs w:val="24"/>
        </w:rPr>
        <w:t xml:space="preserve">Studies regarding compliance has gain </w:t>
      </w:r>
      <w:r w:rsidR="00027995">
        <w:rPr>
          <w:rFonts w:ascii="Arial" w:hAnsi="Arial" w:cs="Arial"/>
          <w:sz w:val="24"/>
          <w:szCs w:val="24"/>
        </w:rPr>
        <w:t>strategies</w:t>
      </w:r>
      <w:r>
        <w:rPr>
          <w:rFonts w:ascii="Arial" w:hAnsi="Arial" w:cs="Arial"/>
          <w:sz w:val="24"/>
          <w:szCs w:val="24"/>
        </w:rPr>
        <w:t xml:space="preserve"> and techniques in gaining compliance from individuals. </w:t>
      </w:r>
      <w:r w:rsidR="00027995">
        <w:rPr>
          <w:rFonts w:ascii="Arial" w:hAnsi="Arial" w:cs="Arial"/>
          <w:sz w:val="24"/>
          <w:szCs w:val="24"/>
        </w:rPr>
        <w:t xml:space="preserve">These techniques are can be used within industry and advertising to gain profit. </w:t>
      </w:r>
    </w:p>
    <w:p w:rsidR="00F83E47" w:rsidRDefault="00F83E47"/>
    <w:p w:rsidR="00F83E47" w:rsidRDefault="00F83E47"/>
    <w:p w:rsidR="00F83E47" w:rsidRDefault="00F83E47"/>
    <w:p w:rsidR="00F83E47" w:rsidRDefault="00F83E47"/>
    <w:p w:rsidR="00F83E47" w:rsidRDefault="00F83E47"/>
    <w:p w:rsidR="00A442AE" w:rsidRDefault="00A442AE"/>
    <w:p w:rsidR="00E21B59" w:rsidRDefault="00E21B59"/>
    <w:p w:rsidR="00E21B59" w:rsidRDefault="00E21B59"/>
    <w:p w:rsidR="00E84EF3" w:rsidRPr="00E21B59" w:rsidRDefault="00E84EF3">
      <w:pPr>
        <w:rPr>
          <w:rFonts w:ascii="Arial" w:hAnsi="Arial" w:cs="Arial"/>
          <w:sz w:val="24"/>
          <w:szCs w:val="24"/>
        </w:rPr>
      </w:pPr>
      <w:r w:rsidRPr="00E21B59">
        <w:rPr>
          <w:rFonts w:ascii="Arial" w:hAnsi="Arial" w:cs="Arial"/>
          <w:sz w:val="24"/>
          <w:szCs w:val="24"/>
        </w:rPr>
        <w:lastRenderedPageBreak/>
        <w:t xml:space="preserve">References </w:t>
      </w:r>
    </w:p>
    <w:p w:rsidR="00E21B59" w:rsidRPr="00E21B59" w:rsidRDefault="00E21B59">
      <w:pPr>
        <w:rPr>
          <w:sz w:val="24"/>
          <w:szCs w:val="24"/>
        </w:rPr>
      </w:pPr>
      <w:r w:rsidRPr="00E21B59">
        <w:rPr>
          <w:rFonts w:ascii="Arial" w:hAnsi="Arial" w:cs="Arial"/>
          <w:color w:val="222222"/>
          <w:sz w:val="24"/>
          <w:szCs w:val="24"/>
          <w:shd w:val="clear" w:color="auto" w:fill="FFFFFF"/>
        </w:rPr>
        <w:t>Burger, J. M. (1986). Increasing compliance by improving the deal: The that's-not-all technique. </w:t>
      </w:r>
      <w:r w:rsidRPr="00E21B59">
        <w:rPr>
          <w:rFonts w:ascii="Arial" w:hAnsi="Arial" w:cs="Arial"/>
          <w:i/>
          <w:iCs/>
          <w:color w:val="222222"/>
          <w:sz w:val="24"/>
          <w:szCs w:val="24"/>
          <w:shd w:val="clear" w:color="auto" w:fill="FFFFFF"/>
        </w:rPr>
        <w:t>Journal of personality and Social Psychology</w:t>
      </w:r>
      <w:r w:rsidRPr="00E21B59">
        <w:rPr>
          <w:rFonts w:ascii="Arial" w:hAnsi="Arial" w:cs="Arial"/>
          <w:color w:val="222222"/>
          <w:sz w:val="24"/>
          <w:szCs w:val="24"/>
          <w:shd w:val="clear" w:color="auto" w:fill="FFFFFF"/>
        </w:rPr>
        <w:t>, </w:t>
      </w:r>
      <w:r w:rsidRPr="00E21B59">
        <w:rPr>
          <w:rFonts w:ascii="Arial" w:hAnsi="Arial" w:cs="Arial"/>
          <w:i/>
          <w:iCs/>
          <w:color w:val="222222"/>
          <w:sz w:val="24"/>
          <w:szCs w:val="24"/>
          <w:shd w:val="clear" w:color="auto" w:fill="FFFFFF"/>
        </w:rPr>
        <w:t>51</w:t>
      </w:r>
      <w:r w:rsidRPr="00E21B59">
        <w:rPr>
          <w:rFonts w:ascii="Arial" w:hAnsi="Arial" w:cs="Arial"/>
          <w:color w:val="222222"/>
          <w:sz w:val="24"/>
          <w:szCs w:val="24"/>
          <w:shd w:val="clear" w:color="auto" w:fill="FFFFFF"/>
        </w:rPr>
        <w:t>(2), 277.</w:t>
      </w:r>
    </w:p>
    <w:p w:rsidR="00E21B59" w:rsidRPr="00E21B59" w:rsidRDefault="00E21B59">
      <w:pPr>
        <w:rPr>
          <w:rFonts w:ascii="Arial" w:hAnsi="Arial" w:cs="Arial"/>
          <w:sz w:val="24"/>
          <w:szCs w:val="24"/>
        </w:rPr>
      </w:pPr>
      <w:r w:rsidRPr="00E21B59">
        <w:rPr>
          <w:rFonts w:ascii="Arial" w:hAnsi="Arial" w:cs="Arial"/>
          <w:color w:val="222222"/>
          <w:sz w:val="24"/>
          <w:szCs w:val="24"/>
          <w:shd w:val="clear" w:color="auto" w:fill="FFFFFF"/>
        </w:rPr>
        <w:t>Cialdini, R. B., &amp; Goldstein, N. J. (2004). Social influence: Compliance and conformity. </w:t>
      </w:r>
      <w:proofErr w:type="spellStart"/>
      <w:r w:rsidRPr="00E21B59">
        <w:rPr>
          <w:rFonts w:ascii="Arial" w:hAnsi="Arial" w:cs="Arial"/>
          <w:i/>
          <w:iCs/>
          <w:color w:val="222222"/>
          <w:sz w:val="24"/>
          <w:szCs w:val="24"/>
          <w:shd w:val="clear" w:color="auto" w:fill="FFFFFF"/>
        </w:rPr>
        <w:t>Annu</w:t>
      </w:r>
      <w:proofErr w:type="spellEnd"/>
      <w:r w:rsidRPr="00E21B59">
        <w:rPr>
          <w:rFonts w:ascii="Arial" w:hAnsi="Arial" w:cs="Arial"/>
          <w:i/>
          <w:iCs/>
          <w:color w:val="222222"/>
          <w:sz w:val="24"/>
          <w:szCs w:val="24"/>
          <w:shd w:val="clear" w:color="auto" w:fill="FFFFFF"/>
        </w:rPr>
        <w:t>. Rev. Psychol.</w:t>
      </w:r>
      <w:r w:rsidRPr="00E21B59">
        <w:rPr>
          <w:rFonts w:ascii="Arial" w:hAnsi="Arial" w:cs="Arial"/>
          <w:color w:val="222222"/>
          <w:sz w:val="24"/>
          <w:szCs w:val="24"/>
          <w:shd w:val="clear" w:color="auto" w:fill="FFFFFF"/>
        </w:rPr>
        <w:t>, </w:t>
      </w:r>
      <w:r w:rsidRPr="00E21B59">
        <w:rPr>
          <w:rFonts w:ascii="Arial" w:hAnsi="Arial" w:cs="Arial"/>
          <w:i/>
          <w:iCs/>
          <w:color w:val="222222"/>
          <w:sz w:val="24"/>
          <w:szCs w:val="24"/>
          <w:shd w:val="clear" w:color="auto" w:fill="FFFFFF"/>
        </w:rPr>
        <w:t>55</w:t>
      </w:r>
      <w:r w:rsidRPr="00E21B59">
        <w:rPr>
          <w:rFonts w:ascii="Arial" w:hAnsi="Arial" w:cs="Arial"/>
          <w:color w:val="222222"/>
          <w:sz w:val="24"/>
          <w:szCs w:val="24"/>
          <w:shd w:val="clear" w:color="auto" w:fill="FFFFFF"/>
        </w:rPr>
        <w:t>, 591-621.</w:t>
      </w:r>
    </w:p>
    <w:p w:rsidR="00E21B59" w:rsidRPr="00E21B59" w:rsidRDefault="00E21B59">
      <w:pPr>
        <w:rPr>
          <w:rFonts w:ascii="Arial" w:hAnsi="Arial" w:cs="Arial"/>
          <w:color w:val="222222"/>
          <w:sz w:val="24"/>
          <w:szCs w:val="24"/>
          <w:shd w:val="clear" w:color="auto" w:fill="FFFFFF"/>
        </w:rPr>
      </w:pPr>
      <w:r w:rsidRPr="00E21B59">
        <w:rPr>
          <w:rFonts w:ascii="Arial" w:hAnsi="Arial" w:cs="Arial"/>
          <w:color w:val="222222"/>
          <w:sz w:val="24"/>
          <w:szCs w:val="24"/>
          <w:shd w:val="clear" w:color="auto" w:fill="FFFFFF"/>
        </w:rPr>
        <w:t>Cialdini, R. B., Vincent, J. E., Lewis, S. K., Catalan, J., Wheeler, D., &amp; Darby, B. L. (1975). Reciprocal concessions procedure for inducing compliance: The door-in-the-face technique. </w:t>
      </w:r>
      <w:r w:rsidRPr="00E21B59">
        <w:rPr>
          <w:rFonts w:ascii="Arial" w:hAnsi="Arial" w:cs="Arial"/>
          <w:i/>
          <w:iCs/>
          <w:color w:val="222222"/>
          <w:sz w:val="24"/>
          <w:szCs w:val="24"/>
          <w:shd w:val="clear" w:color="auto" w:fill="FFFFFF"/>
        </w:rPr>
        <w:t>Journal of personality and Social Psychology</w:t>
      </w:r>
      <w:r w:rsidRPr="00E21B59">
        <w:rPr>
          <w:rFonts w:ascii="Arial" w:hAnsi="Arial" w:cs="Arial"/>
          <w:color w:val="222222"/>
          <w:sz w:val="24"/>
          <w:szCs w:val="24"/>
          <w:shd w:val="clear" w:color="auto" w:fill="FFFFFF"/>
        </w:rPr>
        <w:t>, </w:t>
      </w:r>
      <w:r w:rsidRPr="00E21B59">
        <w:rPr>
          <w:rFonts w:ascii="Arial" w:hAnsi="Arial" w:cs="Arial"/>
          <w:i/>
          <w:iCs/>
          <w:color w:val="222222"/>
          <w:sz w:val="24"/>
          <w:szCs w:val="24"/>
          <w:shd w:val="clear" w:color="auto" w:fill="FFFFFF"/>
        </w:rPr>
        <w:t>31</w:t>
      </w:r>
      <w:r w:rsidRPr="00E21B59">
        <w:rPr>
          <w:rFonts w:ascii="Arial" w:hAnsi="Arial" w:cs="Arial"/>
          <w:color w:val="222222"/>
          <w:sz w:val="24"/>
          <w:szCs w:val="24"/>
          <w:shd w:val="clear" w:color="auto" w:fill="FFFFFF"/>
        </w:rPr>
        <w:t>(2), 206.</w:t>
      </w:r>
    </w:p>
    <w:p w:rsidR="00E21B59" w:rsidRPr="00E21B59" w:rsidRDefault="00E21B59" w:rsidP="00862A35">
      <w:pPr>
        <w:shd w:val="clear" w:color="auto" w:fill="FFFFFF"/>
        <w:spacing w:after="0" w:line="288" w:lineRule="atLeast"/>
        <w:rPr>
          <w:rFonts w:ascii="Arial" w:eastAsia="Times New Roman" w:hAnsi="Arial" w:cs="Arial"/>
          <w:color w:val="000000"/>
          <w:sz w:val="24"/>
          <w:szCs w:val="24"/>
          <w:lang w:eastAsia="en-GB"/>
        </w:rPr>
      </w:pPr>
      <w:proofErr w:type="spellStart"/>
      <w:r w:rsidRPr="00E21B59">
        <w:rPr>
          <w:rFonts w:ascii="Arial" w:eastAsia="Times New Roman" w:hAnsi="Arial" w:cs="Arial"/>
          <w:color w:val="000000"/>
          <w:sz w:val="24"/>
          <w:szCs w:val="24"/>
          <w:lang w:eastAsia="en-GB"/>
        </w:rPr>
        <w:t>Doliński</w:t>
      </w:r>
      <w:proofErr w:type="spellEnd"/>
      <w:r w:rsidRPr="00E21B59">
        <w:rPr>
          <w:rFonts w:ascii="Arial" w:eastAsia="Times New Roman" w:hAnsi="Arial" w:cs="Arial"/>
          <w:color w:val="000000"/>
          <w:sz w:val="24"/>
          <w:szCs w:val="24"/>
          <w:lang w:eastAsia="en-GB"/>
        </w:rPr>
        <w:t xml:space="preserve">, D., </w:t>
      </w:r>
      <w:proofErr w:type="spellStart"/>
      <w:r w:rsidRPr="00E21B59">
        <w:rPr>
          <w:rFonts w:ascii="Arial" w:eastAsia="Times New Roman" w:hAnsi="Arial" w:cs="Arial"/>
          <w:color w:val="000000"/>
          <w:sz w:val="24"/>
          <w:szCs w:val="24"/>
          <w:lang w:eastAsia="en-GB"/>
        </w:rPr>
        <w:t>Grzyb</w:t>
      </w:r>
      <w:proofErr w:type="spellEnd"/>
      <w:r w:rsidRPr="00E21B59">
        <w:rPr>
          <w:rFonts w:ascii="Arial" w:eastAsia="Times New Roman" w:hAnsi="Arial" w:cs="Arial"/>
          <w:color w:val="000000"/>
          <w:sz w:val="24"/>
          <w:szCs w:val="24"/>
          <w:lang w:eastAsia="en-GB"/>
        </w:rPr>
        <w:t xml:space="preserve">, </w:t>
      </w:r>
      <w:proofErr w:type="spellStart"/>
      <w:r w:rsidRPr="00E21B59">
        <w:rPr>
          <w:rFonts w:ascii="Arial" w:eastAsia="Times New Roman" w:hAnsi="Arial" w:cs="Arial"/>
          <w:color w:val="000000"/>
          <w:sz w:val="24"/>
          <w:szCs w:val="24"/>
          <w:lang w:eastAsia="en-GB"/>
        </w:rPr>
        <w:t>Folwarczny</w:t>
      </w:r>
      <w:proofErr w:type="spellEnd"/>
      <w:r w:rsidRPr="00E21B59">
        <w:rPr>
          <w:rFonts w:ascii="Arial" w:eastAsia="Times New Roman" w:hAnsi="Arial" w:cs="Arial"/>
          <w:color w:val="000000"/>
          <w:sz w:val="24"/>
          <w:szCs w:val="24"/>
          <w:lang w:eastAsia="en-GB"/>
        </w:rPr>
        <w:t xml:space="preserve">, </w:t>
      </w:r>
      <w:proofErr w:type="spellStart"/>
      <w:r w:rsidRPr="00E21B59">
        <w:rPr>
          <w:rFonts w:ascii="Arial" w:eastAsia="Times New Roman" w:hAnsi="Arial" w:cs="Arial"/>
          <w:color w:val="000000"/>
          <w:sz w:val="24"/>
          <w:szCs w:val="24"/>
          <w:lang w:eastAsia="en-GB"/>
        </w:rPr>
        <w:t>Grzybała</w:t>
      </w:r>
      <w:proofErr w:type="spellEnd"/>
      <w:r w:rsidRPr="00E21B59">
        <w:rPr>
          <w:rFonts w:ascii="Arial" w:eastAsia="Times New Roman" w:hAnsi="Arial" w:cs="Arial"/>
          <w:color w:val="000000"/>
          <w:sz w:val="24"/>
          <w:szCs w:val="24"/>
          <w:lang w:eastAsia="en-GB"/>
        </w:rPr>
        <w:t xml:space="preserve">, </w:t>
      </w:r>
      <w:proofErr w:type="spellStart"/>
      <w:r w:rsidRPr="00E21B59">
        <w:rPr>
          <w:rFonts w:ascii="Arial" w:eastAsia="Times New Roman" w:hAnsi="Arial" w:cs="Arial"/>
          <w:color w:val="000000"/>
          <w:sz w:val="24"/>
          <w:szCs w:val="24"/>
          <w:lang w:eastAsia="en-GB"/>
        </w:rPr>
        <w:t>Krzyszycha</w:t>
      </w:r>
      <w:proofErr w:type="spellEnd"/>
      <w:r w:rsidRPr="00E21B59">
        <w:rPr>
          <w:rFonts w:ascii="Arial" w:eastAsia="Times New Roman" w:hAnsi="Arial" w:cs="Arial"/>
          <w:color w:val="000000"/>
          <w:sz w:val="24"/>
          <w:szCs w:val="24"/>
          <w:lang w:eastAsia="en-GB"/>
        </w:rPr>
        <w:t xml:space="preserve">, </w:t>
      </w:r>
      <w:proofErr w:type="spellStart"/>
      <w:r w:rsidRPr="00E21B59">
        <w:rPr>
          <w:rFonts w:ascii="Arial" w:eastAsia="Times New Roman" w:hAnsi="Arial" w:cs="Arial"/>
          <w:color w:val="000000"/>
          <w:sz w:val="24"/>
          <w:szCs w:val="24"/>
          <w:lang w:eastAsia="en-GB"/>
        </w:rPr>
        <w:t>Martynowska</w:t>
      </w:r>
      <w:proofErr w:type="spellEnd"/>
      <w:r w:rsidRPr="00E21B59">
        <w:rPr>
          <w:rFonts w:ascii="Arial" w:eastAsia="Times New Roman" w:hAnsi="Arial" w:cs="Arial"/>
          <w:color w:val="000000"/>
          <w:sz w:val="24"/>
          <w:szCs w:val="24"/>
          <w:lang w:eastAsia="en-GB"/>
        </w:rPr>
        <w:t xml:space="preserve">, &amp; </w:t>
      </w:r>
      <w:proofErr w:type="spellStart"/>
      <w:r w:rsidRPr="00E21B59">
        <w:rPr>
          <w:rFonts w:ascii="Arial" w:eastAsia="Times New Roman" w:hAnsi="Arial" w:cs="Arial"/>
          <w:color w:val="000000"/>
          <w:sz w:val="24"/>
          <w:szCs w:val="24"/>
          <w:lang w:eastAsia="en-GB"/>
        </w:rPr>
        <w:t>Trojanowski</w:t>
      </w:r>
      <w:proofErr w:type="spellEnd"/>
      <w:r w:rsidRPr="00E21B59">
        <w:rPr>
          <w:rFonts w:ascii="Arial" w:eastAsia="Times New Roman" w:hAnsi="Arial" w:cs="Arial"/>
          <w:color w:val="000000"/>
          <w:sz w:val="24"/>
          <w:szCs w:val="24"/>
          <w:lang w:eastAsia="en-GB"/>
        </w:rPr>
        <w:t>. (2017). Would You Deliver an Electric Shock in 2015? Obedience in the Experimental Paradigm Developed by Stanley Milgram in the 50 Years Following the Original Studies. </w:t>
      </w:r>
      <w:r w:rsidRPr="00E21B59">
        <w:rPr>
          <w:rFonts w:ascii="Arial" w:eastAsia="Times New Roman" w:hAnsi="Arial" w:cs="Arial"/>
          <w:i/>
          <w:iCs/>
          <w:color w:val="000000"/>
          <w:sz w:val="24"/>
          <w:szCs w:val="24"/>
          <w:bdr w:val="none" w:sz="0" w:space="0" w:color="auto" w:frame="1"/>
          <w:lang w:eastAsia="en-GB"/>
        </w:rPr>
        <w:t>Social Psychological &amp; Personality Science.,</w:t>
      </w:r>
      <w:r w:rsidRPr="00E21B59">
        <w:rPr>
          <w:rFonts w:ascii="Arial" w:eastAsia="Times New Roman" w:hAnsi="Arial" w:cs="Arial"/>
          <w:color w:val="000000"/>
          <w:sz w:val="24"/>
          <w:szCs w:val="24"/>
          <w:lang w:eastAsia="en-GB"/>
        </w:rPr>
        <w:t> </w:t>
      </w:r>
      <w:r w:rsidRPr="00E21B59">
        <w:rPr>
          <w:rFonts w:ascii="Arial" w:eastAsia="Times New Roman" w:hAnsi="Arial" w:cs="Arial"/>
          <w:i/>
          <w:iCs/>
          <w:color w:val="000000"/>
          <w:sz w:val="24"/>
          <w:szCs w:val="24"/>
          <w:bdr w:val="none" w:sz="0" w:space="0" w:color="auto" w:frame="1"/>
          <w:lang w:eastAsia="en-GB"/>
        </w:rPr>
        <w:t>8</w:t>
      </w:r>
      <w:r w:rsidRPr="00E21B59">
        <w:rPr>
          <w:rFonts w:ascii="Arial" w:eastAsia="Times New Roman" w:hAnsi="Arial" w:cs="Arial"/>
          <w:color w:val="000000"/>
          <w:sz w:val="24"/>
          <w:szCs w:val="24"/>
          <w:lang w:eastAsia="en-GB"/>
        </w:rPr>
        <w:t>(8), 927-933.</w:t>
      </w:r>
    </w:p>
    <w:p w:rsidR="00E21B59" w:rsidRPr="00E21B59" w:rsidRDefault="00E21B59">
      <w:pPr>
        <w:rPr>
          <w:rFonts w:ascii="Arial" w:hAnsi="Arial" w:cs="Arial"/>
          <w:color w:val="222222"/>
          <w:sz w:val="24"/>
          <w:szCs w:val="24"/>
          <w:shd w:val="clear" w:color="auto" w:fill="FFFFFF"/>
        </w:rPr>
      </w:pPr>
      <w:r w:rsidRPr="00E21B59">
        <w:rPr>
          <w:rFonts w:ascii="Arial" w:hAnsi="Arial" w:cs="Arial"/>
          <w:color w:val="222222"/>
          <w:sz w:val="24"/>
          <w:szCs w:val="24"/>
          <w:shd w:val="clear" w:color="auto" w:fill="FFFFFF"/>
        </w:rPr>
        <w:t>Freedman, J. L., &amp; Fraser, S. C. (1966). Compliance without pressure: the foot-in-the-door technique. </w:t>
      </w:r>
      <w:r w:rsidRPr="00E21B59">
        <w:rPr>
          <w:rFonts w:ascii="Arial" w:hAnsi="Arial" w:cs="Arial"/>
          <w:i/>
          <w:iCs/>
          <w:color w:val="222222"/>
          <w:sz w:val="24"/>
          <w:szCs w:val="24"/>
          <w:shd w:val="clear" w:color="auto" w:fill="FFFFFF"/>
        </w:rPr>
        <w:t>Journal of personality and social psychology</w:t>
      </w:r>
      <w:r w:rsidRPr="00E21B59">
        <w:rPr>
          <w:rFonts w:ascii="Arial" w:hAnsi="Arial" w:cs="Arial"/>
          <w:color w:val="222222"/>
          <w:sz w:val="24"/>
          <w:szCs w:val="24"/>
          <w:shd w:val="clear" w:color="auto" w:fill="FFFFFF"/>
        </w:rPr>
        <w:t>, </w:t>
      </w:r>
      <w:r w:rsidRPr="00E21B59">
        <w:rPr>
          <w:rFonts w:ascii="Arial" w:hAnsi="Arial" w:cs="Arial"/>
          <w:i/>
          <w:iCs/>
          <w:color w:val="222222"/>
          <w:sz w:val="24"/>
          <w:szCs w:val="24"/>
          <w:shd w:val="clear" w:color="auto" w:fill="FFFFFF"/>
        </w:rPr>
        <w:t>4</w:t>
      </w:r>
      <w:r w:rsidRPr="00E21B59">
        <w:rPr>
          <w:rFonts w:ascii="Arial" w:hAnsi="Arial" w:cs="Arial"/>
          <w:color w:val="222222"/>
          <w:sz w:val="24"/>
          <w:szCs w:val="24"/>
          <w:shd w:val="clear" w:color="auto" w:fill="FFFFFF"/>
        </w:rPr>
        <w:t>(2), 195.</w:t>
      </w:r>
    </w:p>
    <w:p w:rsidR="00E21B59" w:rsidRPr="00E21B59" w:rsidRDefault="00E21B59">
      <w:pPr>
        <w:rPr>
          <w:rFonts w:ascii="Arial" w:hAnsi="Arial" w:cs="Arial"/>
          <w:color w:val="222222"/>
          <w:sz w:val="24"/>
          <w:szCs w:val="24"/>
          <w:shd w:val="clear" w:color="auto" w:fill="FFFFFF"/>
        </w:rPr>
      </w:pPr>
      <w:r w:rsidRPr="00E21B59">
        <w:rPr>
          <w:rFonts w:ascii="Arial" w:hAnsi="Arial" w:cs="Arial"/>
          <w:color w:val="222222"/>
          <w:sz w:val="24"/>
          <w:szCs w:val="24"/>
          <w:shd w:val="clear" w:color="auto" w:fill="FFFFFF"/>
        </w:rPr>
        <w:t xml:space="preserve">Milgram, S. (1963). </w:t>
      </w:r>
      <w:proofErr w:type="spellStart"/>
      <w:r w:rsidRPr="00E21B59">
        <w:rPr>
          <w:rFonts w:ascii="Arial" w:hAnsi="Arial" w:cs="Arial"/>
          <w:color w:val="222222"/>
          <w:sz w:val="24"/>
          <w:szCs w:val="24"/>
          <w:shd w:val="clear" w:color="auto" w:fill="FFFFFF"/>
        </w:rPr>
        <w:t>Behavioral</w:t>
      </w:r>
      <w:proofErr w:type="spellEnd"/>
      <w:r w:rsidRPr="00E21B59">
        <w:rPr>
          <w:rFonts w:ascii="Arial" w:hAnsi="Arial" w:cs="Arial"/>
          <w:color w:val="222222"/>
          <w:sz w:val="24"/>
          <w:szCs w:val="24"/>
          <w:shd w:val="clear" w:color="auto" w:fill="FFFFFF"/>
        </w:rPr>
        <w:t xml:space="preserve"> study of obedience. </w:t>
      </w:r>
      <w:r w:rsidRPr="00E21B59">
        <w:rPr>
          <w:rFonts w:ascii="Arial" w:hAnsi="Arial" w:cs="Arial"/>
          <w:i/>
          <w:iCs/>
          <w:color w:val="222222"/>
          <w:sz w:val="24"/>
          <w:szCs w:val="24"/>
          <w:shd w:val="clear" w:color="auto" w:fill="FFFFFF"/>
        </w:rPr>
        <w:t>The Journal of abnormal and social psychology</w:t>
      </w:r>
      <w:r w:rsidRPr="00E21B59">
        <w:rPr>
          <w:rFonts w:ascii="Arial" w:hAnsi="Arial" w:cs="Arial"/>
          <w:color w:val="222222"/>
          <w:sz w:val="24"/>
          <w:szCs w:val="24"/>
          <w:shd w:val="clear" w:color="auto" w:fill="FFFFFF"/>
        </w:rPr>
        <w:t>, </w:t>
      </w:r>
      <w:r w:rsidRPr="00E21B59">
        <w:rPr>
          <w:rFonts w:ascii="Arial" w:hAnsi="Arial" w:cs="Arial"/>
          <w:i/>
          <w:iCs/>
          <w:color w:val="222222"/>
          <w:sz w:val="24"/>
          <w:szCs w:val="24"/>
          <w:shd w:val="clear" w:color="auto" w:fill="FFFFFF"/>
        </w:rPr>
        <w:t>67</w:t>
      </w:r>
      <w:r w:rsidRPr="00E21B59">
        <w:rPr>
          <w:rFonts w:ascii="Arial" w:hAnsi="Arial" w:cs="Arial"/>
          <w:color w:val="222222"/>
          <w:sz w:val="24"/>
          <w:szCs w:val="24"/>
          <w:shd w:val="clear" w:color="auto" w:fill="FFFFFF"/>
        </w:rPr>
        <w:t>(4), 371.</w:t>
      </w:r>
    </w:p>
    <w:p w:rsidR="00E21B59" w:rsidRPr="00E21B59" w:rsidRDefault="00E21B59">
      <w:pPr>
        <w:rPr>
          <w:rFonts w:ascii="Arial" w:hAnsi="Arial" w:cs="Arial"/>
          <w:color w:val="222222"/>
          <w:sz w:val="24"/>
          <w:szCs w:val="24"/>
          <w:shd w:val="clear" w:color="auto" w:fill="FFFFFF"/>
        </w:rPr>
      </w:pPr>
      <w:r w:rsidRPr="00E21B59">
        <w:rPr>
          <w:rFonts w:ascii="Arial" w:hAnsi="Arial" w:cs="Arial"/>
          <w:color w:val="222222"/>
          <w:sz w:val="24"/>
          <w:szCs w:val="24"/>
          <w:shd w:val="clear" w:color="auto" w:fill="FFFFFF"/>
        </w:rPr>
        <w:t xml:space="preserve">Milgram, S., &amp; </w:t>
      </w:r>
      <w:proofErr w:type="spellStart"/>
      <w:r w:rsidRPr="00E21B59">
        <w:rPr>
          <w:rFonts w:ascii="Arial" w:hAnsi="Arial" w:cs="Arial"/>
          <w:color w:val="222222"/>
          <w:sz w:val="24"/>
          <w:szCs w:val="24"/>
          <w:shd w:val="clear" w:color="auto" w:fill="FFFFFF"/>
        </w:rPr>
        <w:t>Gudehus</w:t>
      </w:r>
      <w:proofErr w:type="spellEnd"/>
      <w:r w:rsidRPr="00E21B59">
        <w:rPr>
          <w:rFonts w:ascii="Arial" w:hAnsi="Arial" w:cs="Arial"/>
          <w:color w:val="222222"/>
          <w:sz w:val="24"/>
          <w:szCs w:val="24"/>
          <w:shd w:val="clear" w:color="auto" w:fill="FFFFFF"/>
        </w:rPr>
        <w:t>, C. (1978). Obedience to aut</w:t>
      </w:r>
      <w:bookmarkStart w:id="0" w:name="_GoBack"/>
      <w:bookmarkEnd w:id="0"/>
      <w:r w:rsidRPr="00E21B59">
        <w:rPr>
          <w:rFonts w:ascii="Arial" w:hAnsi="Arial" w:cs="Arial"/>
          <w:color w:val="222222"/>
          <w:sz w:val="24"/>
          <w:szCs w:val="24"/>
          <w:shd w:val="clear" w:color="auto" w:fill="FFFFFF"/>
        </w:rPr>
        <w:t>hority.</w:t>
      </w:r>
    </w:p>
    <w:sectPr w:rsidR="00E21B59" w:rsidRPr="00E21B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EF3"/>
    <w:rsid w:val="0000001C"/>
    <w:rsid w:val="00027995"/>
    <w:rsid w:val="00042B91"/>
    <w:rsid w:val="001B302B"/>
    <w:rsid w:val="0048190D"/>
    <w:rsid w:val="004B4B5B"/>
    <w:rsid w:val="004E686F"/>
    <w:rsid w:val="005D1C58"/>
    <w:rsid w:val="0068534E"/>
    <w:rsid w:val="00850493"/>
    <w:rsid w:val="00862A35"/>
    <w:rsid w:val="00A442AE"/>
    <w:rsid w:val="00A55B33"/>
    <w:rsid w:val="00AC4084"/>
    <w:rsid w:val="00BC58C3"/>
    <w:rsid w:val="00D45277"/>
    <w:rsid w:val="00DF35D9"/>
    <w:rsid w:val="00E21B59"/>
    <w:rsid w:val="00E84EF3"/>
    <w:rsid w:val="00F83E47"/>
    <w:rsid w:val="00F9599E"/>
    <w:rsid w:val="00FA6BD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4D01745"/>
  <w15:docId w15:val="{560F343B-1953-4FF2-80C0-03880D455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9390644">
      <w:bodyDiv w:val="1"/>
      <w:marLeft w:val="0"/>
      <w:marRight w:val="0"/>
      <w:marTop w:val="0"/>
      <w:marBottom w:val="0"/>
      <w:divBdr>
        <w:top w:val="none" w:sz="0" w:space="0" w:color="auto"/>
        <w:left w:val="none" w:sz="0" w:space="0" w:color="auto"/>
        <w:bottom w:val="none" w:sz="0" w:space="0" w:color="auto"/>
        <w:right w:val="none" w:sz="0" w:space="0" w:color="auto"/>
      </w:divBdr>
    </w:div>
    <w:div w:id="915548958">
      <w:bodyDiv w:val="1"/>
      <w:marLeft w:val="0"/>
      <w:marRight w:val="0"/>
      <w:marTop w:val="0"/>
      <w:marBottom w:val="0"/>
      <w:divBdr>
        <w:top w:val="none" w:sz="0" w:space="0" w:color="auto"/>
        <w:left w:val="none" w:sz="0" w:space="0" w:color="auto"/>
        <w:bottom w:val="none" w:sz="0" w:space="0" w:color="auto"/>
        <w:right w:val="none" w:sz="0" w:space="0" w:color="auto"/>
      </w:divBdr>
    </w:div>
    <w:div w:id="1981491279">
      <w:bodyDiv w:val="1"/>
      <w:marLeft w:val="0"/>
      <w:marRight w:val="0"/>
      <w:marTop w:val="0"/>
      <w:marBottom w:val="0"/>
      <w:divBdr>
        <w:top w:val="none" w:sz="0" w:space="0" w:color="auto"/>
        <w:left w:val="none" w:sz="0" w:space="0" w:color="auto"/>
        <w:bottom w:val="none" w:sz="0" w:space="0" w:color="auto"/>
        <w:right w:val="none" w:sz="0" w:space="0" w:color="auto"/>
      </w:divBdr>
      <w:divsChild>
        <w:div w:id="9788499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4</Pages>
  <Words>882</Words>
  <Characters>5028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Morgan</dc:creator>
  <cp:keywords/>
  <dc:description/>
  <cp:lastModifiedBy>Jason Morgan</cp:lastModifiedBy>
  <cp:revision>4</cp:revision>
  <dcterms:created xsi:type="dcterms:W3CDTF">2018-05-15T12:13:00Z</dcterms:created>
  <dcterms:modified xsi:type="dcterms:W3CDTF">2018-05-16T11:32:00Z</dcterms:modified>
</cp:coreProperties>
</file>