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ind w:firstLine="0" w:firstLineChars="0"/>
        <w:jc w:val="center"/>
        <w:textAlignment w:val="auto"/>
        <w:rPr>
          <w:rFonts w:hint="default" w:ascii="Times New Roman Regular" w:hAnsi="Times New Roman Regular" w:eastAsia="宋体" w:cs="Times New Roman Regular"/>
          <w:b/>
          <w:bCs/>
          <w:kern w:val="0"/>
          <w:sz w:val="28"/>
          <w:szCs w:val="28"/>
          <w:lang w:val="en-US" w:eastAsia="zh-CN" w:bidi="ar-SA"/>
        </w:rPr>
      </w:pPr>
      <w:bookmarkStart w:id="0" w:name="_Toc1606552453"/>
      <w:bookmarkStart w:id="1" w:name="_Toc853105562"/>
      <w:r>
        <w:rPr>
          <w:rFonts w:hint="default" w:ascii="Times New Roman Regular" w:hAnsi="Times New Roman Regular" w:cs="Times New Roman Regular"/>
          <w:b/>
          <w:bCs/>
          <w:sz w:val="28"/>
          <w:szCs w:val="28"/>
        </w:rPr>
        <w:t>Marketing Management</w:t>
      </w:r>
    </w:p>
    <w:p>
      <w:pPr>
        <w:widowControl/>
        <w:snapToGrid w:val="0"/>
        <w:spacing w:line="480" w:lineRule="auto"/>
        <w:jc w:val="center"/>
        <w:outlineLvl w:val="0"/>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32"/>
          <w:szCs w:val="32"/>
        </w:rPr>
        <w:t xml:space="preserve">FAW-Volkswagen's </w:t>
      </w:r>
      <w:r>
        <w:rPr>
          <w:rFonts w:hint="default" w:ascii="Times New Roman Regular" w:hAnsi="Times New Roman Regular" w:cs="Times New Roman Regular"/>
          <w:b/>
          <w:bCs/>
          <w:sz w:val="32"/>
          <w:szCs w:val="32"/>
          <w:lang w:val="en-US" w:eastAsia="zh-Hans"/>
        </w:rPr>
        <w:t>S</w:t>
      </w:r>
      <w:r>
        <w:rPr>
          <w:rFonts w:hint="default" w:ascii="Times New Roman Regular" w:hAnsi="Times New Roman Regular" w:cs="Times New Roman Regular"/>
          <w:b/>
          <w:bCs/>
          <w:sz w:val="32"/>
          <w:szCs w:val="32"/>
        </w:rPr>
        <w:t xml:space="preserve">earch </w:t>
      </w:r>
      <w:r>
        <w:rPr>
          <w:rFonts w:hint="default" w:ascii="Times New Roman Regular" w:hAnsi="Times New Roman Regular" w:cs="Times New Roman Regular"/>
          <w:b/>
          <w:bCs/>
          <w:sz w:val="32"/>
          <w:szCs w:val="32"/>
          <w:lang w:val="en-US" w:eastAsia="zh-Hans"/>
        </w:rPr>
        <w:t>F</w:t>
      </w:r>
      <w:r>
        <w:rPr>
          <w:rFonts w:hint="default" w:ascii="Times New Roman Regular" w:hAnsi="Times New Roman Regular" w:cs="Times New Roman Regular"/>
          <w:b/>
          <w:bCs/>
          <w:sz w:val="32"/>
          <w:szCs w:val="32"/>
        </w:rPr>
        <w:t>or</w:t>
      </w:r>
      <w:bookmarkEnd w:id="0"/>
      <w:bookmarkEnd w:id="1"/>
      <w:r>
        <w:rPr>
          <w:rFonts w:hint="default" w:ascii="Times New Roman Regular" w:hAnsi="Times New Roman Regular" w:cs="Times New Roman Regular"/>
          <w:b/>
          <w:bCs/>
          <w:sz w:val="32"/>
          <w:szCs w:val="32"/>
        </w:rPr>
        <w:t xml:space="preserve"> </w:t>
      </w:r>
      <w:bookmarkStart w:id="2" w:name="_Toc1544353162"/>
      <w:bookmarkStart w:id="3" w:name="_Toc1015183840"/>
      <w:r>
        <w:rPr>
          <w:rFonts w:hint="default" w:ascii="Times New Roman Regular" w:hAnsi="Times New Roman Regular" w:cs="Times New Roman Regular"/>
          <w:b/>
          <w:bCs/>
          <w:sz w:val="32"/>
          <w:szCs w:val="32"/>
          <w:lang w:val="en-US" w:eastAsia="zh-Hans"/>
        </w:rPr>
        <w:t>S</w:t>
      </w:r>
      <w:r>
        <w:rPr>
          <w:rFonts w:hint="default" w:ascii="Times New Roman Regular" w:hAnsi="Times New Roman Regular" w:cs="Times New Roman Regular"/>
          <w:b/>
          <w:bCs/>
          <w:sz w:val="32"/>
          <w:szCs w:val="32"/>
        </w:rPr>
        <w:t xml:space="preserve">urvival </w:t>
      </w:r>
      <w:r>
        <w:rPr>
          <w:rFonts w:hint="default" w:ascii="Times New Roman Regular" w:hAnsi="Times New Roman Regular" w:cs="Times New Roman Regular"/>
          <w:b/>
          <w:bCs/>
          <w:sz w:val="32"/>
          <w:szCs w:val="32"/>
          <w:lang w:val="en-US" w:eastAsia="zh-Hans"/>
        </w:rPr>
        <w:t>I</w:t>
      </w:r>
      <w:r>
        <w:rPr>
          <w:rFonts w:hint="default" w:ascii="Times New Roman Regular" w:hAnsi="Times New Roman Regular" w:cs="Times New Roman Regular"/>
          <w:b/>
          <w:bCs/>
          <w:sz w:val="32"/>
          <w:szCs w:val="32"/>
        </w:rPr>
        <w:t xml:space="preserve">n </w:t>
      </w:r>
      <w:r>
        <w:rPr>
          <w:rFonts w:hint="default" w:ascii="Times New Roman Regular" w:hAnsi="Times New Roman Regular" w:cs="Times New Roman Regular"/>
          <w:b/>
          <w:bCs/>
          <w:sz w:val="32"/>
          <w:szCs w:val="32"/>
          <w:lang w:val="en-US" w:eastAsia="zh-Hans"/>
        </w:rPr>
        <w:t>A</w:t>
      </w:r>
      <w:r>
        <w:rPr>
          <w:rFonts w:hint="default" w:ascii="Times New Roman Regular" w:hAnsi="Times New Roman Regular" w:cs="Times New Roman Regular"/>
          <w:b/>
          <w:bCs/>
          <w:sz w:val="32"/>
          <w:szCs w:val="32"/>
        </w:rPr>
        <w:t xml:space="preserve"> </w:t>
      </w:r>
      <w:r>
        <w:rPr>
          <w:rFonts w:hint="default" w:ascii="Times New Roman Regular" w:hAnsi="Times New Roman Regular" w:cs="Times New Roman Regular"/>
          <w:b/>
          <w:bCs/>
          <w:sz w:val="32"/>
          <w:szCs w:val="32"/>
          <w:lang w:val="en-US" w:eastAsia="zh-Hans"/>
        </w:rPr>
        <w:t>D</w:t>
      </w:r>
      <w:r>
        <w:rPr>
          <w:rFonts w:hint="default" w:ascii="Times New Roman Regular" w:hAnsi="Times New Roman Regular" w:cs="Times New Roman Regular"/>
          <w:b/>
          <w:bCs/>
          <w:sz w:val="32"/>
          <w:szCs w:val="32"/>
        </w:rPr>
        <w:t xml:space="preserve">ifficult </w:t>
      </w:r>
      <w:r>
        <w:rPr>
          <w:rFonts w:hint="default" w:ascii="Times New Roman Regular" w:hAnsi="Times New Roman Regular" w:cs="Times New Roman Regular"/>
          <w:b/>
          <w:bCs/>
          <w:sz w:val="32"/>
          <w:szCs w:val="32"/>
          <w:lang w:val="en-US" w:eastAsia="zh-Hans"/>
        </w:rPr>
        <w:t>S</w:t>
      </w:r>
      <w:r>
        <w:rPr>
          <w:rFonts w:hint="default" w:ascii="Times New Roman Regular" w:hAnsi="Times New Roman Regular" w:cs="Times New Roman Regular"/>
          <w:b/>
          <w:bCs/>
          <w:sz w:val="32"/>
          <w:szCs w:val="32"/>
        </w:rPr>
        <w:t>ituation</w:t>
      </w:r>
      <w:bookmarkEnd w:id="2"/>
      <w:bookmarkEnd w:id="3"/>
    </w:p>
    <w:p>
      <w:pPr>
        <w:widowControl/>
        <w:snapToGrid w:val="0"/>
        <w:spacing w:line="480" w:lineRule="auto"/>
        <w:jc w:val="center"/>
        <w:rPr>
          <w:rFonts w:hint="default" w:ascii="Times New Roman Regular" w:hAnsi="Times New Roman Regular" w:cs="Times New Roman Regular"/>
          <w:sz w:val="24"/>
        </w:rPr>
      </w:pPr>
      <w:r>
        <w:rPr>
          <w:rFonts w:hint="default" w:ascii="Times New Roman Regular" w:hAnsi="Times New Roman Regular" w:cs="Times New Roman Regular"/>
          <w:sz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6"/>
                    <a:stretch>
                      <a:fillRect/>
                    </a:stretch>
                  </pic:blipFill>
                  <pic:spPr>
                    <a:xfrm>
                      <a:off x="0" y="0"/>
                      <a:ext cx="2912737" cy="2786096"/>
                    </a:xfrm>
                    <a:prstGeom prst="rect">
                      <a:avLst/>
                    </a:prstGeom>
                  </pic:spPr>
                </pic:pic>
              </a:graphicData>
            </a:graphic>
          </wp:inline>
        </w:drawing>
      </w:r>
    </w:p>
    <w:p>
      <w:pPr>
        <w:widowControl/>
        <w:snapToGrid w:val="0"/>
        <w:spacing w:line="480" w:lineRule="auto"/>
        <w:jc w:val="center"/>
        <w:outlineLvl w:val="0"/>
        <w:rPr>
          <w:rFonts w:hint="default" w:ascii="Times New Roman Regular" w:hAnsi="Times New Roman Regular" w:cs="Times New Roman Regular"/>
          <w:sz w:val="28"/>
          <w:szCs w:val="28"/>
        </w:rPr>
      </w:pPr>
      <w:bookmarkStart w:id="4" w:name="_Toc1456236092"/>
      <w:bookmarkStart w:id="5" w:name="_Toc437223465"/>
      <w:r>
        <w:rPr>
          <w:rFonts w:hint="default" w:ascii="Times New Roman Regular" w:hAnsi="Times New Roman Regular" w:cs="Times New Roman Regular"/>
          <w:sz w:val="28"/>
          <w:szCs w:val="28"/>
        </w:rPr>
        <w:t>December 2022</w:t>
      </w:r>
      <w:bookmarkEnd w:id="4"/>
      <w:bookmarkEnd w:id="5"/>
    </w:p>
    <w:p>
      <w:pPr>
        <w:pStyle w:val="2"/>
        <w:rPr>
          <w:rFonts w:hint="default" w:ascii="Times New Roman Regular" w:hAnsi="Times New Roman Regular" w:cs="Times New Roman Regular"/>
        </w:rPr>
      </w:pPr>
    </w:p>
    <w:p>
      <w:pPr>
        <w:pStyle w:val="2"/>
        <w:rPr>
          <w:rFonts w:hint="default" w:ascii="Times New Roman Regular" w:hAnsi="Times New Roman Regular" w:cs="Times New Roman Regular"/>
        </w:rPr>
      </w:pPr>
    </w:p>
    <w:p>
      <w:pPr>
        <w:pStyle w:val="2"/>
        <w:rPr>
          <w:rFonts w:hint="default" w:ascii="Times New Roman Regular" w:hAnsi="Times New Roman Regular" w:cs="Times New Roman Regular"/>
        </w:rPr>
      </w:pPr>
    </w:p>
    <w:p>
      <w:pPr>
        <w:pStyle w:val="2"/>
        <w:rPr>
          <w:rFonts w:hint="default" w:ascii="Times New Roman Regular" w:hAnsi="Times New Roman Regular" w:cs="Times New Roman Regular"/>
        </w:rPr>
      </w:pPr>
    </w:p>
    <w:p>
      <w:pPr>
        <w:pStyle w:val="2"/>
        <w:widowControl/>
        <w:snapToGrid w:val="0"/>
        <w:spacing w:line="480" w:lineRule="auto"/>
        <w:rPr>
          <w:rFonts w:hint="default" w:ascii="Times New Roman Regular" w:hAnsi="Times New Roman Regular" w:cs="Times New Roman Regular"/>
          <w:sz w:val="24"/>
        </w:rPr>
      </w:pPr>
    </w:p>
    <w:p>
      <w:pPr>
        <w:pStyle w:val="2"/>
        <w:widowControl/>
        <w:snapToGrid w:val="0"/>
        <w:spacing w:line="276" w:lineRule="auto"/>
        <w:rPr>
          <w:rFonts w:hint="default" w:ascii="Times New Roman Regular" w:hAnsi="Times New Roman Regular" w:cs="Times New Roman Regular"/>
          <w:sz w:val="24"/>
        </w:rPr>
      </w:pPr>
      <w:r>
        <w:rPr>
          <w:rFonts w:hint="default" w:ascii="Times New Roman Regular" w:hAnsi="Times New Roman Regular" w:cs="Times New Roman Regular"/>
          <w:sz w:val="24"/>
        </w:rPr>
        <w:t>MOUDLE NAME: Marketing Management（BMMB7012）</w:t>
      </w:r>
    </w:p>
    <w:p>
      <w:pPr>
        <w:pStyle w:val="2"/>
        <w:widowControl/>
        <w:snapToGrid w:val="0"/>
        <w:spacing w:line="276" w:lineRule="auto"/>
        <w:rPr>
          <w:rFonts w:hint="default" w:ascii="Times New Roman Regular" w:hAnsi="Times New Roman Regular" w:cs="Times New Roman Regular" w:eastAsiaTheme="minorEastAsia"/>
          <w:sz w:val="24"/>
          <w:lang w:val="en-US" w:eastAsia="zh-CN"/>
        </w:rPr>
      </w:pPr>
      <w:r>
        <w:rPr>
          <w:rFonts w:hint="default" w:ascii="Times New Roman Regular" w:hAnsi="Times New Roman Regular" w:cs="Times New Roman Regular"/>
          <w:sz w:val="24"/>
        </w:rPr>
        <w:t xml:space="preserve">STUDENT NAME: </w:t>
      </w:r>
      <w:r>
        <w:rPr>
          <w:rFonts w:hint="eastAsia" w:ascii="Times New Roman Regular" w:hAnsi="Times New Roman Regular" w:cs="Times New Roman Regular"/>
          <w:sz w:val="24"/>
          <w:lang w:val="en-US" w:eastAsia="zh-CN"/>
        </w:rPr>
        <w:t>Guiqing JIN</w:t>
      </w:r>
    </w:p>
    <w:p>
      <w:pPr>
        <w:pStyle w:val="2"/>
        <w:widowControl/>
        <w:snapToGrid w:val="0"/>
        <w:spacing w:line="276" w:lineRule="auto"/>
        <w:rPr>
          <w:rFonts w:hint="default" w:ascii="Times New Roman Regular" w:hAnsi="Times New Roman Regular" w:cs="Times New Roman Regular" w:eastAsiaTheme="minorEastAsia"/>
          <w:sz w:val="24"/>
          <w:lang w:val="en-US" w:eastAsia="zh-CN"/>
        </w:rPr>
      </w:pPr>
      <w:r>
        <w:rPr>
          <w:rFonts w:hint="default" w:ascii="Times New Roman Regular" w:hAnsi="Times New Roman Regular" w:cs="Times New Roman Regular"/>
          <w:sz w:val="24"/>
        </w:rPr>
        <w:t>STUDENT NUMBER:</w:t>
      </w:r>
      <w:r>
        <w:rPr>
          <w:rFonts w:hint="eastAsia" w:ascii="Times New Roman Regular" w:hAnsi="Times New Roman Regular" w:cs="Times New Roman Regular"/>
          <w:sz w:val="24"/>
          <w:lang w:val="en-US" w:eastAsia="zh-CN"/>
        </w:rPr>
        <w:t xml:space="preserve"> 2215446</w:t>
      </w:r>
      <w:bookmarkStart w:id="12" w:name="_GoBack"/>
      <w:bookmarkEnd w:id="12"/>
    </w:p>
    <w:p>
      <w:pPr>
        <w:rPr>
          <w:rFonts w:hint="default" w:ascii="Times New Roman Regular" w:hAnsi="Times New Roman Regular" w:cs="Times New Roman Regular"/>
          <w:sz w:val="28"/>
          <w:szCs w:val="28"/>
        </w:rPr>
      </w:pPr>
    </w:p>
    <w:p>
      <w:pPr>
        <w:pStyle w:val="3"/>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Regular" w:hAnsi="Times New Roman Regular" w:cs="Times New Roman Regular"/>
        </w:rPr>
        <w:sectPr>
          <w:pgSz w:w="11906" w:h="16838"/>
          <w:pgMar w:top="1440" w:right="1800" w:bottom="1440" w:left="1800" w:header="851" w:footer="992" w:gutter="0"/>
          <w:cols w:space="425" w:num="1"/>
          <w:docGrid w:type="lines" w:linePitch="312" w:charSpace="0"/>
        </w:sectPr>
      </w:pPr>
    </w:p>
    <w:p>
      <w:pPr>
        <w:pStyle w:val="3"/>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Regular" w:hAnsi="Times New Roman Regular" w:cs="Times New Roman Regular"/>
        </w:rPr>
      </w:pPr>
      <w:bookmarkStart w:id="6" w:name="_Toc88873385"/>
      <w:r>
        <w:rPr>
          <w:rFonts w:hint="default" w:ascii="Times New Roman Regular" w:hAnsi="Times New Roman Regular" w:cs="Times New Roman Regular"/>
        </w:rPr>
        <w:t>Executive Summary</w:t>
      </w:r>
      <w:bookmarkEnd w:id="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Over the past three years, the previously stable auto market has been rocked by the COVID-19 pandemic and a shortage of auto parts chips. However, the wave is a good opportunity for the leading auto companies to seize market share under the opportunity of market restructuring, and FAW-Volkswagen is one of these companies.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 is no doubt that the epidemic has dealt a heavy blow to auto companies, such as the epidemic in Shanghai in 2022. Shanghai has a very high status for the whole Chinese automobile industry. Shanghai is the birthplace of the Santana, the first successful model of China's modern automobile industry. Because of this, China's auto market is surrounded by suppliers for vehicle assembly and parts production.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Lack of supply is a huge problem for marketing. At the moment of the epidemic, more residents choose to save money, so that they have more purchasing power to cope with the huge changes in their living environment. However, the insufficient production makes the automobile enterprises lack of sufficient products to market, and the lack of capital return further affects the development of new products. How to survive in such a difficult situation is the key factor for FAW-Volkswagen to survive in the turbulent automobile market.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Regular" w:hAnsi="Times New Roman Regular" w:cs="Times New Roman Regular"/>
          <w:sz w:val="24"/>
          <w:szCs w:val="24"/>
        </w:rPr>
        <w:t xml:space="preserve">At present, when the epidemic seriously affected the market, FAW-Volkswagen was able to buck the trend of growth and continue to lead the Chinese market. Not only the reputation effect of German high value established over the years and consumption inertia, but also the active exploration under difficult circumstances,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starting from marketing and innovation, and constantly stimulating consumer demand with new products. To further consolidate the advantage.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With the peak of market flow dividend in recent years, more and more enterprises realize that effect advertising can no longer easily leverage the results of market competition, the influence of brand communication on the user's mind is gradually prominent, long-term brand building investment returns to the attention of enterprises, and the marketing path is gradually changing from the separation of product effect to the integration of product effect and the synergy of product effect. Different from short-term thinking, the combination of product and effect emphasizes the combination of brand and effect marketing strategies to maximize the comprehensive effect in different stages, goals and scenarios, and to realize the coordination and synchronization of short-term transformation and long-term premium. Based on this, enterprises begin to rethink brand building and adjust the structure of marketing input, and explore how to build long-term competitiveness through high-quality brand communication on the basis of reasonable cost input, so as to achieve sustainable long-term operation.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deeper reflection behind it is that FAW-Volkswagen continues to drive self-evolution and fully implements the user-centered brand strategy, including fully catering to the youth and digital transformation, which fundamentally consolidates the spirit of the brand as a "sales crown" and establishes the development ambition of the second half of the automobile market.</w:t>
      </w:r>
    </w:p>
    <w:p>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br w:type="page"/>
      </w:r>
    </w:p>
    <w:sdt>
      <w:sdtPr>
        <w:rPr>
          <w:rFonts w:hint="default" w:ascii="Times New Roman Regular" w:hAnsi="Times New Roman Regular" w:eastAsia="宋体" w:cs="Times New Roman Regular"/>
          <w:kern w:val="2"/>
          <w:sz w:val="21"/>
          <w:szCs w:val="24"/>
          <w:lang w:val="en-US" w:eastAsia="zh-CN" w:bidi="ar-SA"/>
        </w:rPr>
        <w:id w:val="404829204"/>
        <w15:color w:val="DBDBDB"/>
        <w:docPartObj>
          <w:docPartGallery w:val="Table of Contents"/>
          <w:docPartUnique/>
        </w:docPartObj>
      </w:sdtPr>
      <w:sdtEndPr>
        <w:rPr>
          <w:rFonts w:hint="default" w:ascii="Times New Roman Regular" w:hAnsi="Times New Roman Regular" w:eastAsia="宋体" w:cs="Times New Roman Regular"/>
          <w:kern w:val="2"/>
          <w:sz w:val="21"/>
          <w:szCs w:val="24"/>
          <w:lang w:val="en-US" w:eastAsia="zh-CN" w:bidi="ar-SA"/>
        </w:rPr>
      </w:sdtEndPr>
      <w:sdtContent>
        <w:p>
          <w:pPr>
            <w:jc w:val="center"/>
            <w:rPr>
              <w:rFonts w:hint="default" w:ascii="Times New Roman Regular" w:hAnsi="Times New Roman Regular" w:cs="Times New Roman Regular"/>
            </w:rPr>
          </w:pPr>
          <w:r>
            <w:rPr>
              <w:rFonts w:hint="default" w:ascii="Times New Roman Regular" w:hAnsi="Times New Roman Regular" w:cs="Times New Roman Regular"/>
              <w:sz w:val="28"/>
              <w:szCs w:val="28"/>
            </w:rPr>
            <w:t>Content</w:t>
          </w:r>
          <w:r>
            <w:rPr>
              <w:rFonts w:hint="default" w:ascii="Times New Roman Regular" w:hAnsi="Times New Roman Regular" w:cs="Times New Roman Regular"/>
              <w:sz w:val="28"/>
              <w:szCs w:val="28"/>
              <w:lang w:val="en-US" w:eastAsia="zh-Hans"/>
            </w:rPr>
            <w:t>s</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TOC \o "1-1" \h \u </w:instrText>
          </w:r>
          <w:r>
            <w:rPr>
              <w:rFonts w:hint="default" w:ascii="Times New Roman Regular" w:hAnsi="Times New Roman Regular" w:cs="Times New Roman Regular"/>
            </w:rPr>
            <w:fldChar w:fldCharType="separate"/>
          </w:r>
        </w:p>
        <w:p>
          <w:pPr>
            <w:pStyle w:val="7"/>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_Toc88873385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Executive Summary</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_Toc88873385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7"/>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_Toc1193847030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 Introduction</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_Toc1193847030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4</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7"/>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_Toc1047319289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2 Current situation of Volkswagen</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_Toc1047319289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5</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7"/>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_Toc1519319411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3 Conclusion</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_Toc1519319411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9</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7"/>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_Toc1620777847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4 Recommendations</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_Toc1620777847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12</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7"/>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_Toc1730695981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 xml:space="preserve">5 </w:t>
          </w:r>
          <w:r>
            <w:rPr>
              <w:rFonts w:hint="default" w:ascii="Times New Roman Regular" w:hAnsi="Times New Roman Regular" w:cs="Times New Roman Regular"/>
              <w:lang w:val="en-GB"/>
            </w:rPr>
            <w:t>References</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_Toc1730695981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15</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jc w:val="center"/>
            <w:rPr>
              <w:rFonts w:hint="default" w:ascii="Times New Roman Regular" w:hAnsi="Times New Roman Regular" w:cs="Times New Roman Regular"/>
            </w:rPr>
          </w:pPr>
          <w:r>
            <w:rPr>
              <w:rFonts w:hint="default" w:ascii="Times New Roman Regular" w:hAnsi="Times New Roman Regular" w:cs="Times New Roman Regular"/>
            </w:rPr>
            <w:fldChar w:fldCharType="end"/>
          </w:r>
        </w:p>
      </w:sdtContent>
    </w:sdt>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br w:type="page"/>
      </w:r>
    </w:p>
    <w:p>
      <w:pPr>
        <w:pStyle w:val="3"/>
        <w:bidi w:val="0"/>
        <w:rPr>
          <w:rFonts w:hint="default" w:ascii="Times New Roman Regular" w:hAnsi="Times New Roman Regular" w:cs="Times New Roman Regular"/>
        </w:rPr>
      </w:pPr>
      <w:bookmarkStart w:id="7" w:name="_Toc1193847030"/>
      <w:r>
        <w:rPr>
          <w:rFonts w:hint="default" w:ascii="Times New Roman Regular" w:hAnsi="Times New Roman Regular" w:cs="Times New Roman Regular"/>
        </w:rPr>
        <w:t>1 Introduction</w:t>
      </w:r>
      <w:bookmarkEnd w:id="7"/>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upstream of FAW-Volkswagen depends on the construction of its new media marketing position and the new path of business growth. In 2022, FAW-Volkswagen will make full use of the intelligent layout of online data to achieve a breakthrough development.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indispensable part of marketing is the collection of clues for prospective customers. As of November 2022, FAW-Volkswagen has collected 710,000 clues from prospective customers through live broadcasting channels, achieving 45,000 new car sales. Meanwhile, FAW-Volkswagen has also made remarkable achievements in the construction of dealer new media matrix: Within the matrix, there are 475 accounts with more than 10,000 fans, 91 accounts with more than 100,000 fans, and 2 accounts with millions of fans. The total number of fans across the platform has reached 35 million, ranking the first in the industry.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At present, there are three general transformation trends in the automobile industry, which are consumption upgrading, personalized service, electrification and intelligence. And the consumption upgrade and personalized service are inseparable from the key role of marketing. The motivation and underlying logic of individuation actually come from digitalization, because only in the digital era can there be channels, methods and means to accurately understand and meet the personalized needs of users.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personalized demand also brings great challenges to the car manufacturers. First of all, the automobile industry is an economy of scale. Its processes are very complex. Once personalized needs are generated, all the original processes and systems, from the order system to the production system, will face huge challenges. Secondly, the basic system of automobile is informationization, and the interior of automobile enterprises are supported by powerful information system. However, after individuation, the original process and information system should be transformed on a large scale. The seemingly simple personalization of the car manufacturer is a challenge to the core of the supply system capability.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 the road to electrification and intelligence, it will face more difficulties. The first is to increase the model based on the fuel car, from the perspective of marketing strategy, management complexity is increased. In terms of electric vehicles, domestic consumers' understanding of electric vehicles mainly comes from new car manufacturers, including Tesla, and they lack awareness of electric vehicles launched by traditional car enterprises. The cognition of automobile enterprises on consumer demand is also incomplete and in the preliminary stage.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Behind the outstanding achievements, like many automobile brands, FAW-Volkswagen also faced many external and internal challenges at the beginning.</w:t>
      </w:r>
    </w:p>
    <w:p>
      <w:pPr>
        <w:pStyle w:val="3"/>
        <w:bidi w:val="0"/>
        <w:rPr>
          <w:rFonts w:hint="default" w:ascii="Times New Roman Regular" w:hAnsi="Times New Roman Regular" w:cs="Times New Roman Regular"/>
        </w:rPr>
      </w:pPr>
      <w:bookmarkStart w:id="8" w:name="_Toc1047319289"/>
      <w:r>
        <w:rPr>
          <w:rFonts w:hint="default" w:ascii="Times New Roman Regular" w:hAnsi="Times New Roman Regular" w:cs="Times New Roman Regular"/>
        </w:rPr>
        <w:t>2 Current situation of Volkswagen</w:t>
      </w:r>
      <w:bookmarkEnd w:id="8"/>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2.1 Challenges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2.1.1 The epidemic is difficult to attract customers at present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Automobile sales largely depend on sales in offline showrooms, and the epidemic directly affects the natural customer flow in showrooms, resulting in difficulties for dealers to obtain customers, and new channels are urgently needed to supplement.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recent years, affected by the epidemic, the general environment of the automobile trading market is depressed, and the market sales continue to decline. The changes in the market environment make many agents willing but unable to do. Often, customers can't see the cars, factories can't resume work, 4S stores can't operate, and product conferences can't go on as usual.</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Countermeasures: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Invite customers by phone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 live broadcasting, FAW-Volkswagen obtained a large number of clues of intended customers. Based on such clues and the traditional way of telephone invitation, customer experience was agreed to increase the customer visit rate.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Online social platforms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At present, with the explosion of information, video is a good entry point for traditional automobile enterprises to change. If you want to get a large number of clues of intended customers, in addition to live broadcast, it is also a good way to make good use of short video. In the early stage, we can rely on the reputation of FAW-Volkswagen's previous customers to accumulate original customers, and invest the necessary time and labor cost to start. However, after investment, these marketing behaviors require the support of a large amount of market data, not to mention the export enterprise industry. Popular models and policies and regulations in each market are different, which is more similar to casting a net in the sea. Therefore, FAW-Volkswagen can make use of the accumulated customer information for analysis and research to achieve good publicity effects.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Start with the people around you</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network around each employee is a potential customer of the enterprise. By developing favorable incentive policies for employees and spontaneously making employees become marketing personnel of the enterprise, the value of employees can be maximized to create performance for the enterprise.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Keep in touch with customers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Marketing is not only to obtain new customers, but also to maintain old customers is an important area of marketing. Enterprises have a firm grasp of customers, must be a priceless wealth. Because once people buy a car, they will not drive it forever. If they are really satisfied with your service, they will definitely think of you first when they change brand cars. This can save the cost of knowing a company again and trusting a service consultant again for the users.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2.1.2 Obtaining user clues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users' catalytic media habits shift to short video platforms, traditional automotive vertical media cannot meet the demand for new clues, so it is necessary to make full use of the traffic advantages of short video platforms to supplement the acquisition of clues.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"Big Data Customer acquisition Platform through Operators", which integrates various websites, web pages, apps and mobile application resources across the country, has had an important impact on our enterprises and different industries and fields, as well as the current marketing promotion and customer acquisition in the market.</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2.1.3 Changes in FAW-Volkswagen's strategic adjustment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Since 2021, the FAW-Volkswagen brand has undergone active transformation, adjusted its business and organizational structure, and set up an internal user operation center. How to effectively explore the cultivation and operation of TOC and guide dealers to carry out effective transformation is also a big challenge.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2.2 Opportunities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challenges of social environment are universal, and all automobile enterprises will be affected by them. Therefore, the most important thing is how to deal with the current predicament. By using the power of marketing, FAW-Volkswagen quickly seized the two major opportunities from the market and the massive engine platform, and created an innovative customer gathering channel to realize the rapid development of automobile sales.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2.2.1 Market Opportunities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FAW-Volkswagen quickly seized the market opportunity, starting from the two directions of rapid perception and continuous promotion. First, it used the online content ecology to seize the help of users and promote the rapid cognition of car owners. The second is to accelerate the transformation of relational user flow.</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2.2.2 Platform opportunities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 the massive engine platform, the private field of the massive engine is also accelerating development, which provides more good opportunities for the deep-rooted position operation and long-term link to FAW FAW-Volkswagen relationship users.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rPr>
      </w:pPr>
      <w:bookmarkStart w:id="9" w:name="_Toc1519319411"/>
      <w:r>
        <w:rPr>
          <w:rFonts w:hint="default" w:ascii="Times New Roman Regular" w:hAnsi="Times New Roman Regular" w:cs="Times New Roman Regular"/>
        </w:rPr>
        <w:t>3 Conclusion</w:t>
      </w:r>
      <w:bookmarkEnd w:id="9"/>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Good marketing is no accident. It is as much an art as a science, the result of careful planning and execution using the most advanced tools and techniques. Trained marketers constantly update classic practices and develop new ones to find innovative, practical ways to adapt to new marketing realities.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era of user king, how to efficiently acquire and convert users through the ultimate user experience has become one of the core issues of each enterprise. It is one of the unique marketing paths to enhance users' sensory experience and help products go out of the circle by creating a brand and product with a sense of science and technology.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Especially in the automobile, home appliances and other industries, enterprises usually have core differentiated patent technology and strong product power, so it becomes particularly important to match appropriate marketing means to promote the spread of product competitiveness.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Some enterprises quickly establish accurate and vertical brand positioning by creating a reliable technology brand image, supplemented by end-to-end technology store display and design style, as well as high-tech marketing selling points. On this basis, the key target market as a breakthrough, accelerate the product out of the circle and market expansion.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Take Dyson, for example. In the home appliance industry, consumers have the strongest perception of Dyson's "sense of technology" label, and Dyson mainly strengthens its positioning of sense of technology through the following "three elements"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He repeatedly emphasized the "geek" nature of the company and positioned himself as a "technology company." The company's core philosophy is to "design and produce products that use technology to simplify people's lives", and it often emphasizes the concept of "technology simplifies people's lives" in public.</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design style pursues metal texture and industrial style, leads the aesthetic trend of science and technology, and implements this design style in all aspects. For example, the advertising style is mainly concise and cold, supplemented by less text and large-size product image, which simply shows the technological performance and advantages of the product. The store is mainly black, creating a futuristic minimalist technology style.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Marketing highlights the enterprise's scientific research ability and patent achievements in airflow. Through repeated air flow technology publicity, strengthen consumers' awareness of the brand professionalism, at the same time, open official accounts in various professional or technical science platforms, answer the technical principles behind the product "black technology", and conduct in-depth communication with high-value users.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era of traffic dividend, enterprises can quickly convert users directly through effect advertising. This marketing method that can easily measure the effect is really effective, so it has become the focus of most enterprises' marketing work.</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 the contrary, brand advertising pays more attention to building the user's mind, and promotes the business growth through long-term brand image promotion and brand power rendering to consumers. However, due to the need for a long period of continuous investment, and the effect is difficult to quantify, brand advertising is often placed in the position of "dispensable" by some enterprises.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China, for a long time, only a small number of enterprises recognized brand communication influence to adopt the strategy of "product and effect integration" -- the pursuit of a marketing at the same time to achieve the double effect of communication and transformation; Most companies are more inclined to "product-effectiveness separation", that is, using short-term thinking to evaluate the immediate effect of each marketing campaign, which eventually leads them into the mire of "short-termism".</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Building a brand is like playing a strategy game. Entrepreneurs are like players. Like game characters, they should gradually upgrade their brand values and equipment. Players need to have a good mentality, because the black powder in the game, and the bad media environment, it is easy to explode people's mentality, when everything is on track, will get the brand compound interest, like open a plug-in, will get a long-term sense of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FAW-Volkswagen has already built a mass foundation. For the marketing team of FAW-FAW-Volkswagen, the strategy of selling cars by relying on mature dealer system is gradually being challenged. The decentralized media, fragmented audience's focus and the increasing cost of consumers' visiting stores all make the marketing environment quite different from the past. How to produce high-quality vehicle communication content and accurately reach consumers and be recognized has become a new topic facing the marketing team.</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rPr>
      </w:pPr>
      <w:bookmarkStart w:id="10" w:name="_Toc1620777847"/>
      <w:r>
        <w:rPr>
          <w:rFonts w:hint="default" w:ascii="Times New Roman Regular" w:hAnsi="Times New Roman Regular" w:cs="Times New Roman Regular"/>
        </w:rPr>
        <w:t>4 Recommendations</w:t>
      </w:r>
      <w:bookmarkEnd w:id="1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sales links of automobile brands are generally long, and the establishment of online new media marketing positions and the realization of online clue collection and transformation require sufficient courage to solve many challenges at the execution level. However, FAW-Volkswagen gradually improved the construction of the new media marketing position in three stages by using the "three-step trot" method.</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4.1 The first step, account system construction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FAW-Volkswagen plans to build a new media marketing matrix with official accounts as the center, dealer accounts as the chain contact point, and official accounts plus 300 core dealers to grow grass on the platform.</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explosion of social media has changed the way people live their daily lives. On social platforms like Facebook, Twitter, Snapchat and LinkedIn, consumers can stay in touch with family, friends and colleagues, promote products and services, and even engage in politics. Social interaction and user-generated content thrive on social media such as Facebook, Instagram, Wikipedia and YouTube. In addition, websites such as Dogster for dog lovers, TripAdvisor for travellers and Moterus for cyclists connect consumers who share common interests. On platforms such as Bimmerfest, Bimmerpost and BMW Links, car enthusiasts also discuss wheels, the latest BMW models and recommend excellent local car mechanics to each other.</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4.2 The second step, new car clues collection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Collect prospective customers through platform operation to achieve new car sales. Nowadays, many customers' perception of the differentiation between different products is becoming less and less obvious, which leads to low brand loyalty. Consumers are increasingly unwilling to put up with marketing campaigns they don't like. As a result, they opt to block online messages, skip ads, and avoid email or telemarketing. Therefore, we expand potential customers through the operation and marketing of the platform, and our sales will be effectively increased.</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4.3 The third step is to create the living ecology of the new media platform car</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 the refined fan operation, the vehicle life content ecology and e-commerce ecology are built with the vehicle as the carrier.</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 an individual level, problem spots include: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parking: For many people driving out of the parking lot is a headache to pay the parking fee, if the car and credit card binding, and cover to large shopping malls, it will be greatly convenient for customers' daily travel.</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Maintenance: For some technical problems of cars, engineers can remotely operate to solve them, which can improve customers' worries about car maintenance in the process of car use.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Add-on equipment: Today, billing agencies, insurance companies, and local security agencies must build, distribute, and enable additional aftermarket equipment to enable their services. For the software-based approach, all of this can be achieved by simply enabling the driver.</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Media: Billboards and radio are particularly effective because they are local. However, it is not so easy to remember carefully designed advertising content when travelling at 60 miles per hour. Billboards and radios can convey critical information about the location and provide it to the car's panels. In this way, the driver only needs to select the AD to be added to the mapping system.</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However small the concerns of individual car owners may be, these issues are magnified for fleet operators, to whom software services are more valuable. Finally, transportation authorities can use this data to deepen their understanding of the environment (congestion, weather, emergencies, etc.) and take corrective action.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rPr>
          <w:rFonts w:hint="default" w:ascii="Times New Roman Regular" w:hAnsi="Times New Roman Regular" w:cs="Times New Roman Regular"/>
        </w:rPr>
      </w:pPr>
      <w:r>
        <w:rPr>
          <w:rFonts w:hint="default" w:ascii="Times New Roman Regular" w:hAnsi="Times New Roman Regular" w:cs="Times New Roman Regular"/>
        </w:rPr>
        <w:br w:type="page"/>
      </w:r>
    </w:p>
    <w:p>
      <w:pPr>
        <w:pStyle w:val="3"/>
        <w:bidi w:val="0"/>
        <w:rPr>
          <w:rFonts w:hint="default" w:ascii="Times New Roman Regular" w:hAnsi="Times New Roman Regular" w:cs="Times New Roman Regular"/>
          <w:lang w:val="en-GB"/>
        </w:rPr>
      </w:pPr>
      <w:bookmarkStart w:id="11" w:name="_Toc1730695981"/>
      <w:r>
        <w:rPr>
          <w:rFonts w:hint="default" w:ascii="Times New Roman Regular" w:hAnsi="Times New Roman Regular" w:cs="Times New Roman Regular"/>
        </w:rPr>
        <w:t xml:space="preserve">5 </w:t>
      </w:r>
      <w:r>
        <w:rPr>
          <w:rFonts w:hint="default" w:ascii="Times New Roman Regular" w:hAnsi="Times New Roman Regular" w:cs="Times New Roman Regular"/>
          <w:lang w:val="en-GB"/>
        </w:rPr>
        <w:t>References</w:t>
      </w:r>
      <w:bookmarkEnd w:id="1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480" w:hanging="480" w:hangingChars="200"/>
        <w:jc w:val="left"/>
        <w:textAlignment w:val="auto"/>
        <w:rPr>
          <w:rFonts w:hint="default" w:ascii="Times New Roman Regular" w:hAnsi="Times New Roman Regular" w:cs="Times New Roman Regular"/>
          <w:b w:val="0"/>
          <w:sz w:val="24"/>
          <w:szCs w:val="24"/>
          <w:u w:val="none"/>
          <w:lang w:val="en-GB"/>
        </w:rPr>
      </w:pPr>
      <w:r>
        <w:rPr>
          <w:rFonts w:hint="default" w:ascii="Times New Roman Regular" w:hAnsi="Times New Roman Regular" w:cs="Times New Roman Regular"/>
          <w:b w:val="0"/>
          <w:sz w:val="24"/>
          <w:szCs w:val="24"/>
          <w:u w:val="none"/>
          <w:lang w:val="en-GB"/>
        </w:rPr>
        <w:t xml:space="preserve">Yang, F. (2021) “Discussion on automobile marketing system and automobile sales market structure model based on Big Data Analysis,” </w:t>
      </w:r>
      <w:r>
        <w:rPr>
          <w:rFonts w:hint="default" w:ascii="Times New Roman Regular" w:hAnsi="Times New Roman Regular" w:cs="Times New Roman Regular"/>
          <w:b w:val="0"/>
          <w:i/>
          <w:iCs/>
          <w:sz w:val="24"/>
          <w:szCs w:val="24"/>
          <w:u w:val="none"/>
          <w:lang w:val="en-GB"/>
        </w:rPr>
        <w:t>2021 4th International Conference on Information Systems and Computer Aided Education</w:t>
      </w:r>
      <w:r>
        <w:rPr>
          <w:rFonts w:hint="default" w:ascii="Times New Roman Regular" w:hAnsi="Times New Roman Regular" w:cs="Times New Roman Regular"/>
          <w:b w:val="0"/>
          <w:sz w:val="24"/>
          <w:szCs w:val="24"/>
          <w:u w:val="none"/>
          <w:lang w:val="en-GB"/>
        </w:rPr>
        <w:t xml:space="preserve"> [Preprint]. Available at: https://doi.org/10.1145/3482632.3482710.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480" w:hanging="480" w:hangingChars="200"/>
        <w:jc w:val="left"/>
        <w:textAlignment w:val="auto"/>
        <w:rPr>
          <w:rFonts w:hint="default" w:ascii="Times New Roman Regular" w:hAnsi="Times New Roman Regular" w:cs="Times New Roman Regular"/>
          <w:b w:val="0"/>
          <w:sz w:val="24"/>
          <w:szCs w:val="24"/>
          <w:u w:val="none"/>
          <w:lang w:val="en-GB"/>
        </w:rPr>
      </w:pPr>
      <w:r>
        <w:rPr>
          <w:rFonts w:hint="default" w:ascii="Times New Roman Regular" w:hAnsi="Times New Roman Regular" w:cs="Times New Roman Regular"/>
          <w:b w:val="0"/>
          <w:sz w:val="24"/>
          <w:szCs w:val="24"/>
          <w:u w:val="none"/>
          <w:lang w:val="en-GB"/>
        </w:rPr>
        <w:t xml:space="preserve">Sauvant, K.P. (2011) “China: Inward and outward foreign direct investment,” </w:t>
      </w:r>
      <w:r>
        <w:rPr>
          <w:rFonts w:hint="default" w:ascii="Times New Roman Regular" w:hAnsi="Times New Roman Regular" w:cs="Times New Roman Regular"/>
          <w:b w:val="0"/>
          <w:i/>
          <w:iCs/>
          <w:sz w:val="24"/>
          <w:szCs w:val="24"/>
          <w:u w:val="none"/>
          <w:lang w:val="en-GB"/>
        </w:rPr>
        <w:t>Transnational</w:t>
      </w:r>
      <w:r>
        <w:rPr>
          <w:rFonts w:hint="default" w:ascii="Times New Roman Regular" w:hAnsi="Times New Roman Regular" w:cs="Times New Roman Regular"/>
          <w:b w:val="0"/>
          <w:i/>
          <w:iCs/>
          <w:sz w:val="24"/>
          <w:szCs w:val="24"/>
          <w:u w:val="none"/>
        </w:rPr>
        <w:t xml:space="preserve"> </w:t>
      </w:r>
      <w:r>
        <w:rPr>
          <w:rFonts w:hint="default" w:ascii="Times New Roman Regular" w:hAnsi="Times New Roman Regular" w:cs="Times New Roman Regular"/>
          <w:b w:val="0"/>
          <w:i/>
          <w:iCs/>
          <w:sz w:val="24"/>
          <w:szCs w:val="24"/>
          <w:u w:val="none"/>
          <w:lang w:val="en-GB"/>
        </w:rPr>
        <w:t>Corporations</w:t>
      </w:r>
      <w:r>
        <w:rPr>
          <w:rFonts w:hint="default" w:ascii="Times New Roman Regular" w:hAnsi="Times New Roman Regular" w:cs="Times New Roman Regular"/>
          <w:b w:val="0"/>
          <w:i/>
          <w:iCs/>
          <w:sz w:val="24"/>
          <w:szCs w:val="24"/>
          <w:u w:val="none"/>
        </w:rPr>
        <w:t xml:space="preserve"> </w:t>
      </w:r>
      <w:r>
        <w:rPr>
          <w:rFonts w:hint="default" w:ascii="Times New Roman Regular" w:hAnsi="Times New Roman Regular" w:cs="Times New Roman Regular"/>
          <w:b w:val="0"/>
          <w:i/>
          <w:iCs/>
          <w:sz w:val="24"/>
          <w:szCs w:val="24"/>
          <w:u w:val="none"/>
          <w:lang w:val="en-GB"/>
        </w:rPr>
        <w:t>Review</w:t>
      </w:r>
      <w:r>
        <w:rPr>
          <w:rFonts w:hint="default" w:ascii="Times New Roman Regular" w:hAnsi="Times New Roman Regular" w:cs="Times New Roman Regular"/>
          <w:b w:val="0"/>
          <w:sz w:val="24"/>
          <w:szCs w:val="24"/>
          <w:u w:val="none"/>
          <w:lang w:val="en-GB"/>
        </w:rPr>
        <w:t>,3(1),pp.1–4.Availableat: https://doi.org/10.1080/19186444.2011.11658268.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480" w:hanging="480" w:hangingChars="200"/>
        <w:jc w:val="left"/>
        <w:textAlignment w:val="auto"/>
        <w:rPr>
          <w:rFonts w:hint="default" w:ascii="Times New Roman Regular" w:hAnsi="Times New Roman Regular" w:cs="Times New Roman Regular"/>
          <w:b w:val="0"/>
          <w:sz w:val="24"/>
          <w:szCs w:val="24"/>
          <w:u w:val="none"/>
          <w:lang w:val="en-GB"/>
        </w:rPr>
      </w:pPr>
      <w:r>
        <w:rPr>
          <w:rFonts w:hint="default" w:ascii="Times New Roman Regular" w:hAnsi="Times New Roman Regular" w:cs="Times New Roman Regular"/>
          <w:b w:val="0"/>
          <w:sz w:val="24"/>
          <w:szCs w:val="24"/>
          <w:u w:val="none"/>
          <w:lang w:val="en-GB"/>
        </w:rPr>
        <w:t xml:space="preserve">Terason, S., Zhao, S. and Pattanayanon, P. (2021) “Customer value and customer brand engagement: Their effects on brand loyalty in automobile business,” </w:t>
      </w:r>
      <w:r>
        <w:rPr>
          <w:rFonts w:hint="default" w:ascii="Times New Roman Regular" w:hAnsi="Times New Roman Regular" w:cs="Times New Roman Regular"/>
          <w:b w:val="0"/>
          <w:i/>
          <w:iCs/>
          <w:sz w:val="24"/>
          <w:szCs w:val="24"/>
          <w:u w:val="none"/>
          <w:lang w:val="en-GB"/>
        </w:rPr>
        <w:t>Innovative Marketing</w:t>
      </w:r>
      <w:r>
        <w:rPr>
          <w:rFonts w:hint="default" w:ascii="Times New Roman Regular" w:hAnsi="Times New Roman Regular" w:cs="Times New Roman Regular"/>
          <w:b w:val="0"/>
          <w:sz w:val="24"/>
          <w:szCs w:val="24"/>
          <w:u w:val="none"/>
          <w:lang w:val="en-GB"/>
        </w:rPr>
        <w:t>, 17(2), pp. 90–101. Available at: https://doi.org/10.21511/im.17(2).2021.09..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480" w:hanging="480" w:hangingChars="200"/>
        <w:jc w:val="left"/>
        <w:textAlignment w:val="auto"/>
        <w:rPr>
          <w:rFonts w:hint="default" w:ascii="Times New Roman Regular" w:hAnsi="Times New Roman Regular" w:cs="Times New Roman Regular"/>
          <w:b w:val="0"/>
          <w:sz w:val="24"/>
          <w:szCs w:val="24"/>
          <w:u w:val="none"/>
          <w:lang w:val="en-GB"/>
        </w:rPr>
      </w:pPr>
      <w:r>
        <w:rPr>
          <w:rFonts w:hint="default" w:ascii="Times New Roman Regular" w:hAnsi="Times New Roman Regular" w:cs="Times New Roman Regular"/>
          <w:b w:val="0"/>
          <w:sz w:val="24"/>
          <w:szCs w:val="24"/>
          <w:u w:val="none"/>
          <w:lang w:val="en-US" w:eastAsia="zh-Hans"/>
        </w:rPr>
        <w:t xml:space="preserve">Anker, T.B., Gordon, R. and Zainuddin, N. (2021) “Consumer-dominant social marketing: A definition and explication,” </w:t>
      </w:r>
      <w:r>
        <w:rPr>
          <w:rFonts w:hint="default" w:ascii="Times New Roman Regular" w:hAnsi="Times New Roman Regular" w:cs="Times New Roman Regular"/>
          <w:b w:val="0"/>
          <w:i/>
          <w:iCs/>
          <w:sz w:val="24"/>
          <w:szCs w:val="24"/>
          <w:u w:val="none"/>
          <w:lang w:val="en-US" w:eastAsia="zh-Hans"/>
        </w:rPr>
        <w:t>European Journal of Marketing</w:t>
      </w:r>
      <w:r>
        <w:rPr>
          <w:rFonts w:hint="default" w:ascii="Times New Roman Regular" w:hAnsi="Times New Roman Regular" w:cs="Times New Roman Regular"/>
          <w:b w:val="0"/>
          <w:sz w:val="24"/>
          <w:szCs w:val="24"/>
          <w:u w:val="none"/>
          <w:lang w:val="en-US" w:eastAsia="zh-Hans"/>
        </w:rPr>
        <w:t xml:space="preserve">, 56(1), pp. 159–183. Available at: https://doi.org/10.1108/ejm-08-2020-0618.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480" w:hanging="480" w:hangingChars="200"/>
        <w:jc w:val="left"/>
        <w:textAlignment w:val="auto"/>
        <w:rPr>
          <w:rFonts w:hint="default" w:ascii="Times New Roman Regular" w:hAnsi="Times New Roman Regular" w:cs="Times New Roman Regular"/>
          <w:b w:val="0"/>
          <w:sz w:val="24"/>
          <w:szCs w:val="24"/>
          <w:u w:val="none"/>
          <w:lang w:val="en-GB"/>
        </w:rPr>
      </w:pPr>
      <w:r>
        <w:rPr>
          <w:rFonts w:hint="default" w:ascii="Times New Roman Regular" w:hAnsi="Times New Roman Regular" w:cs="Times New Roman Regular"/>
          <w:b w:val="0"/>
          <w:sz w:val="24"/>
          <w:szCs w:val="24"/>
          <w:u w:val="none"/>
          <w:lang w:val="en-GB"/>
        </w:rPr>
        <w:t xml:space="preserve">Dhillon, R., Agarwal, B. and Rajput, N. (2022) “Experiential marketing strategies used by luxury cosmetics companies,” </w:t>
      </w:r>
      <w:r>
        <w:rPr>
          <w:rFonts w:hint="default" w:ascii="Times New Roman Regular" w:hAnsi="Times New Roman Regular" w:cs="Times New Roman Regular"/>
          <w:b w:val="0"/>
          <w:i/>
          <w:iCs/>
          <w:sz w:val="24"/>
          <w:szCs w:val="24"/>
          <w:u w:val="none"/>
          <w:lang w:val="en-GB"/>
        </w:rPr>
        <w:t>Innovative Marketing</w:t>
      </w:r>
      <w:r>
        <w:rPr>
          <w:rFonts w:hint="default" w:ascii="Times New Roman Regular" w:hAnsi="Times New Roman Regular" w:cs="Times New Roman Regular"/>
          <w:b w:val="0"/>
          <w:sz w:val="24"/>
          <w:szCs w:val="24"/>
          <w:u w:val="none"/>
          <w:lang w:val="en-GB"/>
        </w:rPr>
        <w:t xml:space="preserve">, 18(1), pp. 49–62. Available at: https://doi.org/10.21511/im.18(1).2022.05.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Vince Bond Jr..(2020).Automotive marketing shifts amid uncertainty.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(6926).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Boienko O.,Statkevych K. &amp; Shapoval A..(2020).Development of Promotion Policy of Hybrid Technology of Cars as an Element of Social-Ethical Marketing. </w:t>
      </w:r>
      <w:r>
        <w:rPr>
          <w:rFonts w:hint="default" w:ascii="Times New Roman Regular" w:hAnsi="Times New Roman Regular" w:cs="Times New Roman Regular"/>
          <w:i/>
          <w:iCs/>
          <w:caps w:val="0"/>
          <w:color w:val="333333"/>
          <w:spacing w:val="0"/>
          <w:sz w:val="24"/>
          <w:szCs w:val="24"/>
          <w:shd w:val="clear" w:fill="FFFFFF"/>
        </w:rPr>
        <w:t>Modern Economics</w:t>
      </w:r>
      <w:r>
        <w:rPr>
          <w:rFonts w:hint="default" w:ascii="Times New Roman Regular" w:hAnsi="Times New Roman Regular" w:cs="Times New Roman Regular"/>
          <w:i w:val="0"/>
          <w:iCs w:val="0"/>
          <w:caps w:val="0"/>
          <w:color w:val="333333"/>
          <w:spacing w:val="0"/>
          <w:sz w:val="24"/>
          <w:szCs w:val="24"/>
          <w:shd w:val="clear" w:fill="FFFFFF"/>
        </w:rPr>
        <w:t>(1). doi:10.31521/modecon.v19(2020)-04.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Shafiee Majid Mohammad &amp; Shahin Arash.(2020).How Can Green Marketing Lead to Customer Trust and Green Intention Evidences from Automobile Industry. </w:t>
      </w:r>
      <w:r>
        <w:rPr>
          <w:rFonts w:hint="default" w:ascii="Times New Roman Regular" w:hAnsi="Times New Roman Regular" w:cs="Times New Roman Regular"/>
          <w:i/>
          <w:iCs/>
          <w:caps w:val="0"/>
          <w:color w:val="333333"/>
          <w:spacing w:val="0"/>
          <w:sz w:val="24"/>
          <w:szCs w:val="24"/>
          <w:shd w:val="clear" w:fill="FFFFFF"/>
        </w:rPr>
        <w:t>International Journal of Business Excellence</w:t>
      </w:r>
      <w:r>
        <w:rPr>
          <w:rFonts w:hint="default" w:ascii="Times New Roman Regular" w:hAnsi="Times New Roman Regular" w:cs="Times New Roman Regular"/>
          <w:i w:val="0"/>
          <w:iCs w:val="0"/>
          <w:caps w:val="0"/>
          <w:color w:val="333333"/>
          <w:spacing w:val="0"/>
          <w:sz w:val="24"/>
          <w:szCs w:val="24"/>
          <w:shd w:val="clear" w:fill="FFFFFF"/>
        </w:rPr>
        <w:t>(1). doi:10.1504/ijbex.2020.10025827.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Moeser Kurt.(2020).Auto-Identities. Marketing, Consumption and Product Images of the Automobile after the Boom. </w:t>
      </w:r>
      <w:r>
        <w:rPr>
          <w:rFonts w:hint="default" w:ascii="Times New Roman Regular" w:hAnsi="Times New Roman Regular" w:cs="Times New Roman Regular"/>
          <w:i/>
          <w:iCs/>
          <w:caps w:val="0"/>
          <w:color w:val="333333"/>
          <w:spacing w:val="0"/>
          <w:sz w:val="24"/>
          <w:szCs w:val="24"/>
          <w:shd w:val="clear" w:fill="FFFFFF"/>
        </w:rPr>
        <w:t>VSWG-VIERTELJAHRSCHRIFT FUR SOZIAL-UND WIRTSCHAFTSGESCHICHTE</w:t>
      </w:r>
      <w:r>
        <w:rPr>
          <w:rFonts w:hint="default" w:ascii="Times New Roman Regular" w:hAnsi="Times New Roman Regular" w:cs="Times New Roman Regular"/>
          <w:i w:val="0"/>
          <w:iCs w:val="0"/>
          <w:caps w:val="0"/>
          <w:color w:val="333333"/>
          <w:spacing w:val="0"/>
          <w:sz w:val="24"/>
          <w:szCs w:val="24"/>
          <w:shd w:val="clear" w:fill="FFFFFF"/>
        </w:rPr>
        <w:t>(4).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Boonying Jiraporn &amp; Chantana Sujitra.(2019).Distribution Marketing Strategy of Goods from Manufacturers to the Consumer in the Auto Parts Industry in Thailand. </w:t>
      </w:r>
      <w:r>
        <w:rPr>
          <w:rFonts w:hint="default" w:ascii="Times New Roman Regular" w:hAnsi="Times New Roman Regular" w:cs="Times New Roman Regular"/>
          <w:i/>
          <w:iCs/>
          <w:caps w:val="0"/>
          <w:color w:val="333333"/>
          <w:spacing w:val="0"/>
          <w:sz w:val="24"/>
          <w:szCs w:val="24"/>
          <w:shd w:val="clear" w:fill="FFFFFF"/>
        </w:rPr>
        <w:t>The Social Sciences</w:t>
      </w:r>
      <w:r>
        <w:rPr>
          <w:rFonts w:hint="default" w:ascii="Times New Roman Regular" w:hAnsi="Times New Roman Regular" w:cs="Times New Roman Regular"/>
          <w:i w:val="0"/>
          <w:iCs w:val="0"/>
          <w:caps w:val="0"/>
          <w:color w:val="333333"/>
          <w:spacing w:val="0"/>
          <w:sz w:val="24"/>
          <w:szCs w:val="24"/>
          <w:shd w:val="clear" w:fill="FFFFFF"/>
        </w:rPr>
        <w:t>(9). doi:10.36478/sscience.2019.335.340.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Almoatazbillah S. Hassan.(2019).Evaluating the Marketing Communication Strategy of Volkswagen in Post-Crisis Period: Application of Image Repair Theory. </w:t>
      </w:r>
      <w:r>
        <w:rPr>
          <w:rFonts w:hint="default" w:ascii="Times New Roman Regular" w:hAnsi="Times New Roman Regular" w:cs="Times New Roman Regular"/>
          <w:i/>
          <w:iCs/>
          <w:caps w:val="0"/>
          <w:color w:val="333333"/>
          <w:spacing w:val="0"/>
          <w:sz w:val="24"/>
          <w:szCs w:val="24"/>
          <w:shd w:val="clear" w:fill="FFFFFF"/>
        </w:rPr>
        <w:t>International Journal of Marketing Studies</w:t>
      </w:r>
      <w:r>
        <w:rPr>
          <w:rFonts w:hint="default" w:ascii="Times New Roman Regular" w:hAnsi="Times New Roman Regular" w:cs="Times New Roman Regular"/>
          <w:i w:val="0"/>
          <w:iCs w:val="0"/>
          <w:caps w:val="0"/>
          <w:color w:val="333333"/>
          <w:spacing w:val="0"/>
          <w:sz w:val="24"/>
          <w:szCs w:val="24"/>
          <w:shd w:val="clear" w:fill="FFFFFF"/>
        </w:rPr>
        <w:t>(2). doi:10.5539/ijms.v11n2p87.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Hannah Lutz.(2018).Chase Auto unifies marketing, direct lending.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(6855).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Byun Young si,Joo Hye Hwa &amp; Park Yeon Su.(2018).Effect of Experiential Marketing on Automotive User Interface: User Experience of Eco-Driving and Welcome System. </w:t>
      </w:r>
      <w:r>
        <w:rPr>
          <w:rFonts w:hint="default" w:ascii="Times New Roman Regular" w:hAnsi="Times New Roman Regular" w:cs="Times New Roman Regular"/>
          <w:i/>
          <w:iCs/>
          <w:caps w:val="0"/>
          <w:color w:val="333333"/>
          <w:spacing w:val="0"/>
          <w:sz w:val="24"/>
          <w:szCs w:val="24"/>
          <w:shd w:val="clear" w:fill="FFFFFF"/>
        </w:rPr>
        <w:t>Design Convergence Study</w:t>
      </w:r>
      <w:r>
        <w:rPr>
          <w:rFonts w:hint="default" w:ascii="Times New Roman Regular" w:hAnsi="Times New Roman Regular" w:cs="Times New Roman Regular"/>
          <w:i w:val="0"/>
          <w:iCs w:val="0"/>
          <w:caps w:val="0"/>
          <w:color w:val="333333"/>
          <w:spacing w:val="0"/>
          <w:sz w:val="24"/>
          <w:szCs w:val="24"/>
          <w:shd w:val="clear" w:fill="FFFFFF"/>
        </w:rPr>
        <w:t>(4). doi:10.31678/sdc.71.3.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Olena Lozhachevska &amp; Ruslan Hryhorenko.(2018).ANALYSIS OF MARKETING ACTIVITY AND COMMUNICATION POLICY OF CAR SERVICE ENTERPRISES OF UKRAINE. </w:t>
      </w:r>
      <w:r>
        <w:rPr>
          <w:rFonts w:hint="default" w:ascii="Times New Roman Regular" w:hAnsi="Times New Roman Regular" w:cs="Times New Roman Regular"/>
          <w:i/>
          <w:iCs/>
          <w:caps w:val="0"/>
          <w:color w:val="333333"/>
          <w:spacing w:val="0"/>
          <w:sz w:val="24"/>
          <w:szCs w:val="24"/>
          <w:shd w:val="clear" w:fill="FFFFFF"/>
        </w:rPr>
        <w:t>Economic Analysis</w:t>
      </w:r>
      <w:r>
        <w:rPr>
          <w:rFonts w:hint="default" w:ascii="Times New Roman Regular" w:hAnsi="Times New Roman Regular" w:cs="Times New Roman Regular"/>
          <w:i w:val="0"/>
          <w:iCs w:val="0"/>
          <w:caps w:val="0"/>
          <w:color w:val="333333"/>
          <w:spacing w:val="0"/>
          <w:sz w:val="24"/>
          <w:szCs w:val="24"/>
          <w:shd w:val="clear" w:fill="FFFFFF"/>
        </w:rPr>
        <w:t>(28(3)). doi:10.35774/econa2018.03.170.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Dahiya Rekha &amp; Gayatri.(2017).Investigating Indian Car Buyers’ Decision to Use Digital Marketing Communication: An Empirical Application of Decomposed TPB. </w:t>
      </w:r>
      <w:r>
        <w:rPr>
          <w:rFonts w:hint="default" w:ascii="Times New Roman Regular" w:hAnsi="Times New Roman Regular" w:cs="Times New Roman Regular"/>
          <w:i/>
          <w:iCs/>
          <w:caps w:val="0"/>
          <w:color w:val="333333"/>
          <w:spacing w:val="0"/>
          <w:sz w:val="24"/>
          <w:szCs w:val="24"/>
          <w:shd w:val="clear" w:fill="FFFFFF"/>
        </w:rPr>
        <w:t>Vision: The Journal of Business Perspective</w:t>
      </w:r>
      <w:r>
        <w:rPr>
          <w:rFonts w:hint="default" w:ascii="Times New Roman Regular" w:hAnsi="Times New Roman Regular" w:cs="Times New Roman Regular"/>
          <w:i w:val="0"/>
          <w:iCs w:val="0"/>
          <w:caps w:val="0"/>
          <w:color w:val="333333"/>
          <w:spacing w:val="0"/>
          <w:sz w:val="24"/>
          <w:szCs w:val="24"/>
          <w:shd w:val="clear" w:fill="FFFFFF"/>
        </w:rPr>
        <w:t>(4). doi:10.1177/0972262917733175.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Chris Beukes &amp; Gerhard van Wyk.(2016).An Investigation of the Marketing Performance Measurement Practices in Hatfield Volkswagen Group. </w:t>
      </w:r>
      <w:r>
        <w:rPr>
          <w:rFonts w:hint="default" w:ascii="Times New Roman Regular" w:hAnsi="Times New Roman Regular" w:cs="Times New Roman Regular"/>
          <w:i/>
          <w:iCs/>
          <w:caps w:val="0"/>
          <w:color w:val="333333"/>
          <w:spacing w:val="0"/>
          <w:sz w:val="24"/>
          <w:szCs w:val="24"/>
          <w:shd w:val="clear" w:fill="FFFFFF"/>
        </w:rPr>
        <w:t>African Journal of Business Management</w:t>
      </w:r>
      <w:r>
        <w:rPr>
          <w:rFonts w:hint="default" w:ascii="Times New Roman Regular" w:hAnsi="Times New Roman Regular" w:cs="Times New Roman Regular"/>
          <w:i w:val="0"/>
          <w:iCs w:val="0"/>
          <w:caps w:val="0"/>
          <w:color w:val="333333"/>
          <w:spacing w:val="0"/>
          <w:sz w:val="24"/>
          <w:szCs w:val="24"/>
          <w:shd w:val="clear" w:fill="FFFFFF"/>
        </w:rPr>
        <w:t>(6).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Eneizan , Bilal Mohammad,Abd Wahab ... &amp; Tareq Fayeq.(2016).Effects of Green Marketing Strategies on Sales Volume of Green Cars. </w:t>
      </w:r>
      <w:r>
        <w:rPr>
          <w:rFonts w:hint="default" w:ascii="Times New Roman Regular" w:hAnsi="Times New Roman Regular" w:cs="Times New Roman Regular"/>
          <w:i/>
          <w:iCs/>
          <w:caps w:val="0"/>
          <w:color w:val="333333"/>
          <w:spacing w:val="0"/>
          <w:sz w:val="24"/>
          <w:szCs w:val="24"/>
          <w:shd w:val="clear" w:fill="FFFFFF"/>
        </w:rPr>
        <w:t>Singaporean Journal of Business, Economics and Management Studies</w:t>
      </w:r>
      <w:r>
        <w:rPr>
          <w:rFonts w:hint="default" w:ascii="Times New Roman Regular" w:hAnsi="Times New Roman Regular" w:cs="Times New Roman Regular"/>
          <w:i w:val="0"/>
          <w:iCs w:val="0"/>
          <w:caps w:val="0"/>
          <w:color w:val="333333"/>
          <w:spacing w:val="0"/>
          <w:sz w:val="24"/>
          <w:szCs w:val="24"/>
          <w:shd w:val="clear" w:fill="FFFFFF"/>
        </w:rPr>
        <w:t>(3).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Barkholz, David.(2015).Hyundai, VW add dealer website options.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(6660).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SZILLAT PATRICK &amp; BETOV ALEXANDER.(2015).Marketing to multicultural audiences - Ethnic marketing for Turks in the German automotive and telecommunications industries. </w:t>
      </w:r>
      <w:r>
        <w:rPr>
          <w:rFonts w:hint="default" w:ascii="Times New Roman Regular" w:hAnsi="Times New Roman Regular" w:cs="Times New Roman Regular"/>
          <w:i/>
          <w:iCs/>
          <w:caps w:val="0"/>
          <w:color w:val="333333"/>
          <w:spacing w:val="0"/>
          <w:sz w:val="24"/>
          <w:szCs w:val="24"/>
          <w:shd w:val="clear" w:fill="FFFFFF"/>
        </w:rPr>
        <w:t>International Journal of Business and Management</w:t>
      </w:r>
      <w:r>
        <w:rPr>
          <w:rFonts w:hint="default" w:ascii="Times New Roman Regular" w:hAnsi="Times New Roman Regular" w:cs="Times New Roman Regular"/>
          <w:i w:val="0"/>
          <w:iCs w:val="0"/>
          <w:caps w:val="0"/>
          <w:color w:val="333333"/>
          <w:spacing w:val="0"/>
          <w:sz w:val="24"/>
          <w:szCs w:val="24"/>
          <w:shd w:val="clear" w:fill="FFFFFF"/>
        </w:rPr>
        <w:t>(2). doi:10.20472/bm.2015.3.2.006.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Bagga Teena &amp; Gupta Deepak.(2014).Internet Marketing by Automobile Industry: Special Reference of Indian Counterparts. </w:t>
      </w:r>
      <w:r>
        <w:rPr>
          <w:rFonts w:hint="default" w:ascii="Times New Roman Regular" w:hAnsi="Times New Roman Regular" w:cs="Times New Roman Regular"/>
          <w:i/>
          <w:iCs/>
          <w:caps w:val="0"/>
          <w:color w:val="333333"/>
          <w:spacing w:val="0"/>
          <w:sz w:val="24"/>
          <w:szCs w:val="24"/>
          <w:shd w:val="clear" w:fill="FFFFFF"/>
        </w:rPr>
        <w:t>International Journal of Computer Applications</w:t>
      </w:r>
      <w:r>
        <w:rPr>
          <w:rFonts w:hint="default" w:ascii="Times New Roman Regular" w:hAnsi="Times New Roman Regular" w:cs="Times New Roman Regular"/>
          <w:i w:val="0"/>
          <w:iCs w:val="0"/>
          <w:caps w:val="0"/>
          <w:color w:val="333333"/>
          <w:spacing w:val="0"/>
          <w:sz w:val="24"/>
          <w:szCs w:val="24"/>
          <w:shd w:val="clear" w:fill="FFFFFF"/>
        </w:rPr>
        <w:t>(6). doi:10.5120/17009-7219.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Martine Robinson Beachboard &amp; John C. Beachboard.(2014).To Outsource Web Development or Not: A Small Automotive Company Considers Search Engine Marketing. </w:t>
      </w:r>
      <w:r>
        <w:rPr>
          <w:rFonts w:hint="default" w:ascii="Times New Roman Regular" w:hAnsi="Times New Roman Regular" w:cs="Times New Roman Regular"/>
          <w:i/>
          <w:iCs/>
          <w:caps w:val="0"/>
          <w:color w:val="333333"/>
          <w:spacing w:val="0"/>
          <w:sz w:val="24"/>
          <w:szCs w:val="24"/>
          <w:shd w:val="clear" w:fill="FFFFFF"/>
        </w:rPr>
        <w:t>Journal of Information Technology Education: Discussion Cases (JITE: DC)</w:t>
      </w:r>
      <w:r>
        <w:rPr>
          <w:rFonts w:hint="default" w:ascii="Times New Roman Regular" w:hAnsi="Times New Roman Regular" w:cs="Times New Roman Regular"/>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Shauli Chaudhuri,CEO &amp; hoojook.(2014).A New Paradigm in Automotive Marketing. </w:t>
      </w:r>
      <w:r>
        <w:rPr>
          <w:rFonts w:hint="default" w:ascii="Times New Roman Regular" w:hAnsi="Times New Roman Regular" w:cs="Times New Roman Regular"/>
          <w:i/>
          <w:iCs/>
          <w:caps w:val="0"/>
          <w:color w:val="333333"/>
          <w:spacing w:val="0"/>
          <w:sz w:val="24"/>
          <w:szCs w:val="24"/>
          <w:shd w:val="clear" w:fill="FFFFFF"/>
        </w:rPr>
        <w:t>Automotive Industries</w:t>
      </w:r>
      <w:r>
        <w:rPr>
          <w:rFonts w:hint="default" w:ascii="Times New Roman Regular" w:hAnsi="Times New Roman Regular" w:cs="Times New Roman Regular"/>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O. Yurynets &amp; O. Tomyuk.(2014).Optimization of marketing strategy’s selection processin automobile company. </w:t>
      </w:r>
      <w:r>
        <w:rPr>
          <w:rFonts w:hint="default" w:ascii="Times New Roman Regular" w:hAnsi="Times New Roman Regular" w:cs="Times New Roman Regular"/>
          <w:i/>
          <w:iCs/>
          <w:caps w:val="0"/>
          <w:color w:val="333333"/>
          <w:spacing w:val="0"/>
          <w:sz w:val="24"/>
          <w:szCs w:val="24"/>
          <w:shd w:val="clear" w:fill="FFFFFF"/>
        </w:rPr>
        <w:t>ECONTECHMOD</w:t>
      </w:r>
      <w:r>
        <w:rPr>
          <w:rFonts w:hint="default" w:ascii="Times New Roman Regular" w:hAnsi="Times New Roman Regular" w:cs="Times New Roman Regular"/>
          <w:i w:val="0"/>
          <w:iCs w:val="0"/>
          <w:caps w:val="0"/>
          <w:color w:val="333333"/>
          <w:spacing w:val="0"/>
          <w:sz w:val="24"/>
          <w:szCs w:val="24"/>
          <w:shd w:val="clear" w:fill="FFFFFF"/>
        </w:rPr>
        <w:t>(2).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Nelson, Gabe.(2013).VW dealer's viral video campaign generates buzz and wins customers.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Akgün V. Özlem,Zerenler Muammer &amp; Şahin Esen.(2013).Green Marketing Perception: A Study on Konya Automotıve Supplier Industry. </w:t>
      </w:r>
      <w:r>
        <w:rPr>
          <w:rFonts w:hint="default" w:ascii="Times New Roman Regular" w:hAnsi="Times New Roman Regular" w:cs="Times New Roman Regular"/>
          <w:i/>
          <w:iCs/>
          <w:caps w:val="0"/>
          <w:color w:val="333333"/>
          <w:spacing w:val="0"/>
          <w:sz w:val="24"/>
          <w:szCs w:val="24"/>
          <w:shd w:val="clear" w:fill="FFFFFF"/>
        </w:rPr>
        <w:t>Mediterranean Journal of Social Sciences</w:t>
      </w:r>
      <w:r>
        <w:rPr>
          <w:rFonts w:hint="default" w:ascii="Times New Roman Regular" w:hAnsi="Times New Roman Regular" w:cs="Times New Roman Regular"/>
          <w:i w:val="0"/>
          <w:iCs w:val="0"/>
          <w:caps w:val="0"/>
          <w:color w:val="333333"/>
          <w:spacing w:val="0"/>
          <w:sz w:val="24"/>
          <w:szCs w:val="24"/>
          <w:shd w:val="clear" w:fill="FFFFFF"/>
        </w:rPr>
        <w:t>. doi:10.5901/mjss.2013.v4n10p758.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Beene, Ryan.(2013).Auto marketers flocking to Super Bowl.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(6552).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Palenchar, Joseph.(2013).Kenwood Outlines Marketing Initiatives For New Aftermarket Car Products. </w:t>
      </w:r>
      <w:r>
        <w:rPr>
          <w:rFonts w:hint="default" w:ascii="Times New Roman Regular" w:hAnsi="Times New Roman Regular" w:cs="Times New Roman Regular"/>
          <w:i/>
          <w:iCs/>
          <w:caps w:val="0"/>
          <w:color w:val="333333"/>
          <w:spacing w:val="0"/>
          <w:sz w:val="24"/>
          <w:szCs w:val="24"/>
          <w:shd w:val="clear" w:fill="FFFFFF"/>
        </w:rPr>
        <w:t>TWICE</w:t>
      </w:r>
      <w:r>
        <w:rPr>
          <w:rFonts w:hint="default" w:ascii="Times New Roman Regular" w:hAnsi="Times New Roman Regular" w:cs="Times New Roman Regular"/>
          <w:i w:val="0"/>
          <w:iCs w:val="0"/>
          <w:caps w:val="0"/>
          <w:color w:val="333333"/>
          <w:spacing w:val="0"/>
          <w:sz w:val="24"/>
          <w:szCs w:val="24"/>
          <w:shd w:val="clear" w:fill="FFFFFF"/>
        </w:rPr>
        <w:t>(1).</w:t>
      </w:r>
    </w:p>
    <w:p>
      <w:pPr>
        <w:pStyle w:val="2"/>
        <w:rPr>
          <w:rFonts w:hint="default" w:ascii="Times New Roman Regular" w:hAnsi="Times New Roman Regular" w:cs="Times New Roman Regular"/>
          <w:lang w:val="en-GB"/>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sectPr>
      <w:foot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3FFBEFB4"/>
    <w:rsid w:val="35F17908"/>
    <w:rsid w:val="3FF998AF"/>
    <w:rsid w:val="3FFBEFB4"/>
    <w:rsid w:val="491379ED"/>
    <w:rsid w:val="6687DECD"/>
    <w:rsid w:val="76A3BB2C"/>
    <w:rsid w:val="9DF71691"/>
    <w:rsid w:val="9FDF5992"/>
    <w:rsid w:val="A2FFA8EE"/>
    <w:rsid w:val="B35E85E1"/>
    <w:rsid w:val="EAFD4C3A"/>
    <w:rsid w:val="F4FC6573"/>
    <w:rsid w:val="F6FF24F3"/>
    <w:rsid w:val="F8A9F549"/>
    <w:rsid w:val="FEE34D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3">
    <w:name w:val="heading 1"/>
    <w:basedOn w:val="1"/>
    <w:next w:val="1"/>
    <w:qFormat/>
    <w:uiPriority w:val="0"/>
    <w:pPr>
      <w:keepNext/>
      <w:keepLines/>
      <w:spacing w:beforeLines="0" w:beforeAutospacing="0" w:afterLines="0" w:afterAutospacing="0" w:line="480" w:lineRule="auto"/>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beforeLines="0" w:beforeAutospacing="0" w:afterLines="0" w:afterAutospacing="0" w:line="480" w:lineRule="auto"/>
      <w:outlineLvl w:val="1"/>
    </w:pPr>
    <w:rPr>
      <w:rFonts w:ascii="Arial" w:hAnsi="Arial" w:eastAsia="黑体"/>
      <w:b/>
      <w:sz w:val="28"/>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2">
    <w:name w:val="Body Text"/>
    <w:basedOn w:val="1"/>
    <w:unhideWhenUsed/>
    <w:qFormat/>
    <w:uiPriority w:val="99"/>
    <w:pPr>
      <w:spacing w:after="120"/>
    </w:p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qFormat/>
    <w:uiPriority w:val="0"/>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2018-12-14T15:06:00Z</dcterms:created>
  <dc:creator> </dc:creator>
  <cp:lastModifiedBy>金桂清（好学近乎知）</cp:lastModifiedBy>
  <dcterms:modified xsi:type="dcterms:W3CDTF">2022-12-16T04:53:44Z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80C347A7A28E07C220C88463DAA5E2A9</vt:lpwstr>
  </property>
</Properties>
</file>