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20285887"/>
        <w:docPartObj>
          <w:docPartGallery w:val="Cover Pages"/>
          <w:docPartUnique/>
        </w:docPartObj>
      </w:sdtPr>
      <w:sdtEndPr>
        <w:rPr>
          <w:rFonts w:ascii="Arial" w:hAnsi="Arial" w:cs="Arial"/>
        </w:rPr>
      </w:sdtEndPr>
      <w:sdtContent>
        <w:p w14:paraId="7D2B732C" w14:textId="0A4B90CA" w:rsidR="00C012F2" w:rsidRDefault="00C012F2">
          <w:r>
            <w:rPr>
              <w:noProof/>
            </w:rPr>
            <mc:AlternateContent>
              <mc:Choice Requires="wpg">
                <w:drawing>
                  <wp:anchor distT="0" distB="0" distL="114300" distR="114300" simplePos="0" relativeHeight="251659264" behindDoc="0" locked="0" layoutInCell="1" allowOverlap="1" wp14:anchorId="0367535C" wp14:editId="493E249A">
                    <wp:simplePos x="0" y="0"/>
                    <wp:positionH relativeFrom="page">
                      <wp:posOffset>4267200</wp:posOffset>
                    </wp:positionH>
                    <wp:positionV relativeFrom="page">
                      <wp:posOffset>0</wp:posOffset>
                    </wp:positionV>
                    <wp:extent cx="33803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380370" cy="10058400"/>
                              <a:chOff x="-266700" y="0"/>
                              <a:chExt cx="33803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Black" w:hAnsi="Arial Black"/>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4-11-10T00:00:00Z">
                                      <w:dateFormat w:val="yyyy"/>
                                      <w:lid w:val="en-US"/>
                                      <w:storeMappedDataAs w:val="dateTime"/>
                                      <w:calendar w:val="gregorian"/>
                                    </w:date>
                                  </w:sdtPr>
                                  <w:sdtContent>
                                    <w:p w14:paraId="61E9F5D9" w14:textId="53E2DB00" w:rsidR="00C012F2" w:rsidRDefault="00C012F2">
                                      <w:pPr>
                                        <w:pStyle w:val="NoSpacing"/>
                                        <w:rPr>
                                          <w:color w:val="FFFFFF" w:themeColor="background1"/>
                                          <w:sz w:val="96"/>
                                          <w:szCs w:val="96"/>
                                        </w:rPr>
                                      </w:pPr>
                                      <w:r w:rsidRPr="00C9038D">
                                        <w:rPr>
                                          <w:rFonts w:ascii="Arial Black" w:hAnsi="Arial Black"/>
                                          <w:color w:val="FFFFFF" w:themeColor="background1"/>
                                          <w:sz w:val="96"/>
                                          <w:szCs w:val="96"/>
                                        </w:rPr>
                                        <w:t>2024</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266700" y="6545646"/>
                                <a:ext cx="3267112" cy="3150804"/>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b/>
                                      <w:bCs/>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CEB925D" w14:textId="1B7EE22C" w:rsidR="00C012F2" w:rsidRPr="00C9038D" w:rsidRDefault="00C9038D">
                                      <w:pPr>
                                        <w:pStyle w:val="NoSpacing"/>
                                        <w:spacing w:line="360" w:lineRule="auto"/>
                                        <w:rPr>
                                          <w:rFonts w:ascii="Arial" w:hAnsi="Arial" w:cs="Arial"/>
                                          <w:b/>
                                          <w:bCs/>
                                          <w:color w:val="FFFFFF" w:themeColor="background1"/>
                                        </w:rPr>
                                      </w:pPr>
                                      <w:r w:rsidRPr="00C9038D">
                                        <w:rPr>
                                          <w:rFonts w:ascii="Arial" w:hAnsi="Arial" w:cs="Arial"/>
                                          <w:b/>
                                          <w:bCs/>
                                          <w:color w:val="FFFFFF" w:themeColor="background1"/>
                                        </w:rPr>
                                        <w:t>Madalina Denisa Dumitru (2322892)</w:t>
                                      </w:r>
                                    </w:p>
                                  </w:sdtContent>
                                </w:sdt>
                                <w:sdt>
                                  <w:sdtPr>
                                    <w:rPr>
                                      <w:rFonts w:ascii="Arial" w:hAnsi="Arial" w:cs="Arial"/>
                                      <w:b/>
                                      <w:bCs/>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45AC77D" w14:textId="12C0920C" w:rsidR="00C012F2" w:rsidRPr="00C9038D" w:rsidRDefault="00C9038D">
                                      <w:pPr>
                                        <w:pStyle w:val="NoSpacing"/>
                                        <w:spacing w:line="360" w:lineRule="auto"/>
                                        <w:rPr>
                                          <w:rFonts w:ascii="Arial" w:hAnsi="Arial" w:cs="Arial"/>
                                          <w:b/>
                                          <w:bCs/>
                                          <w:color w:val="FFFFFF" w:themeColor="background1"/>
                                        </w:rPr>
                                      </w:pPr>
                                      <w:r w:rsidRPr="00C9038D">
                                        <w:rPr>
                                          <w:rFonts w:ascii="Arial" w:hAnsi="Arial" w:cs="Arial"/>
                                          <w:b/>
                                          <w:bCs/>
                                          <w:color w:val="FFFFFF" w:themeColor="background1"/>
                                        </w:rPr>
                                        <w:t xml:space="preserve">Social Enterprise: Theory and </w:t>
                                      </w:r>
                                      <w:r w:rsidRPr="00C9038D">
                                        <w:rPr>
                                          <w:rFonts w:ascii="Arial" w:hAnsi="Arial" w:cs="Arial"/>
                                          <w:b/>
                                          <w:bCs/>
                                          <w:color w:val="FFFFFF" w:themeColor="background1"/>
                                        </w:rPr>
                                        <w:t>Practice</w:t>
                                      </w:r>
                                    </w:p>
                                  </w:sdtContent>
                                </w:sdt>
                                <w:sdt>
                                  <w:sdtPr>
                                    <w:rPr>
                                      <w:rFonts w:ascii="Arial" w:hAnsi="Arial" w:cs="Arial"/>
                                      <w:b/>
                                      <w:bCs/>
                                      <w:color w:val="FFFFFF" w:themeColor="background1"/>
                                    </w:rPr>
                                    <w:alias w:val="Date"/>
                                    <w:id w:val="1724480474"/>
                                    <w:dataBinding w:prefixMappings="xmlns:ns0='http://schemas.microsoft.com/office/2006/coverPageProps'" w:xpath="/ns0:CoverPageProperties[1]/ns0:PublishDate[1]" w:storeItemID="{55AF091B-3C7A-41E3-B477-F2FDAA23CFDA}"/>
                                    <w:date w:fullDate="2024-11-10T00:00:00Z">
                                      <w:dateFormat w:val="M/d/yyyy"/>
                                      <w:lid w:val="en-US"/>
                                      <w:storeMappedDataAs w:val="dateTime"/>
                                      <w:calendar w:val="gregorian"/>
                                    </w:date>
                                  </w:sdtPr>
                                  <w:sdtContent>
                                    <w:p w14:paraId="79A3C7BF" w14:textId="121319EC" w:rsidR="00C012F2" w:rsidRPr="00C9038D" w:rsidRDefault="00C9038D">
                                      <w:pPr>
                                        <w:pStyle w:val="NoSpacing"/>
                                        <w:spacing w:line="360" w:lineRule="auto"/>
                                        <w:rPr>
                                          <w:rFonts w:ascii="Arial" w:hAnsi="Arial" w:cs="Arial"/>
                                          <w:b/>
                                          <w:bCs/>
                                          <w:color w:val="FFFFFF" w:themeColor="background1"/>
                                        </w:rPr>
                                      </w:pPr>
                                      <w:r w:rsidRPr="00C9038D">
                                        <w:rPr>
                                          <w:rFonts w:ascii="Arial" w:hAnsi="Arial" w:cs="Arial"/>
                                          <w:b/>
                                          <w:bCs/>
                                          <w:color w:val="FFFFFF" w:themeColor="background1"/>
                                        </w:rPr>
                                        <w:t>11/10/2024</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367535C" id="Group 252" o:spid="_x0000_s1026" style="position:absolute;margin-left:336pt;margin-top:0;width:266.15pt;height:11in;z-index:251659264;mso-position-horizontal-relative:page;mso-position-vertical-relative:page" coordorigin="-2667" coordsize="33803,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Arial Black" w:hAnsi="Arial Black"/>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4-11-10T00:00:00Z">
                                <w:dateFormat w:val="yyyy"/>
                                <w:lid w:val="en-US"/>
                                <w:storeMappedDataAs w:val="dateTime"/>
                                <w:calendar w:val="gregorian"/>
                              </w:date>
                            </w:sdtPr>
                            <w:sdtContent>
                              <w:p w14:paraId="61E9F5D9" w14:textId="53E2DB00" w:rsidR="00C012F2" w:rsidRDefault="00C012F2">
                                <w:pPr>
                                  <w:pStyle w:val="NoSpacing"/>
                                  <w:rPr>
                                    <w:color w:val="FFFFFF" w:themeColor="background1"/>
                                    <w:sz w:val="96"/>
                                    <w:szCs w:val="96"/>
                                  </w:rPr>
                                </w:pPr>
                                <w:r w:rsidRPr="00C9038D">
                                  <w:rPr>
                                    <w:rFonts w:ascii="Arial Black" w:hAnsi="Arial Black"/>
                                    <w:color w:val="FFFFFF" w:themeColor="background1"/>
                                    <w:sz w:val="96"/>
                                    <w:szCs w:val="96"/>
                                  </w:rPr>
                                  <w:t>2024</w:t>
                                </w:r>
                              </w:p>
                            </w:sdtContent>
                          </w:sdt>
                        </w:txbxContent>
                      </v:textbox>
                    </v:rect>
                    <v:rect id="Rectangle 9" o:spid="_x0000_s1030" style="position:absolute;left:-2667;top:65456;width:32671;height:315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w:hAnsi="Arial" w:cs="Arial"/>
                                <w:b/>
                                <w:bCs/>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CEB925D" w14:textId="1B7EE22C" w:rsidR="00C012F2" w:rsidRPr="00C9038D" w:rsidRDefault="00C9038D">
                                <w:pPr>
                                  <w:pStyle w:val="NoSpacing"/>
                                  <w:spacing w:line="360" w:lineRule="auto"/>
                                  <w:rPr>
                                    <w:rFonts w:ascii="Arial" w:hAnsi="Arial" w:cs="Arial"/>
                                    <w:b/>
                                    <w:bCs/>
                                    <w:color w:val="FFFFFF" w:themeColor="background1"/>
                                  </w:rPr>
                                </w:pPr>
                                <w:r w:rsidRPr="00C9038D">
                                  <w:rPr>
                                    <w:rFonts w:ascii="Arial" w:hAnsi="Arial" w:cs="Arial"/>
                                    <w:b/>
                                    <w:bCs/>
                                    <w:color w:val="FFFFFF" w:themeColor="background1"/>
                                  </w:rPr>
                                  <w:t>Madalina Denisa Dumitru (2322892)</w:t>
                                </w:r>
                              </w:p>
                            </w:sdtContent>
                          </w:sdt>
                          <w:sdt>
                            <w:sdtPr>
                              <w:rPr>
                                <w:rFonts w:ascii="Arial" w:hAnsi="Arial" w:cs="Arial"/>
                                <w:b/>
                                <w:bCs/>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45AC77D" w14:textId="12C0920C" w:rsidR="00C012F2" w:rsidRPr="00C9038D" w:rsidRDefault="00C9038D">
                                <w:pPr>
                                  <w:pStyle w:val="NoSpacing"/>
                                  <w:spacing w:line="360" w:lineRule="auto"/>
                                  <w:rPr>
                                    <w:rFonts w:ascii="Arial" w:hAnsi="Arial" w:cs="Arial"/>
                                    <w:b/>
                                    <w:bCs/>
                                    <w:color w:val="FFFFFF" w:themeColor="background1"/>
                                  </w:rPr>
                                </w:pPr>
                                <w:r w:rsidRPr="00C9038D">
                                  <w:rPr>
                                    <w:rFonts w:ascii="Arial" w:hAnsi="Arial" w:cs="Arial"/>
                                    <w:b/>
                                    <w:bCs/>
                                    <w:color w:val="FFFFFF" w:themeColor="background1"/>
                                  </w:rPr>
                                  <w:t xml:space="preserve">Social Enterprise: Theory and </w:t>
                                </w:r>
                                <w:r w:rsidRPr="00C9038D">
                                  <w:rPr>
                                    <w:rFonts w:ascii="Arial" w:hAnsi="Arial" w:cs="Arial"/>
                                    <w:b/>
                                    <w:bCs/>
                                    <w:color w:val="FFFFFF" w:themeColor="background1"/>
                                  </w:rPr>
                                  <w:t>Practice</w:t>
                                </w:r>
                              </w:p>
                            </w:sdtContent>
                          </w:sdt>
                          <w:sdt>
                            <w:sdtPr>
                              <w:rPr>
                                <w:rFonts w:ascii="Arial" w:hAnsi="Arial" w:cs="Arial"/>
                                <w:b/>
                                <w:bCs/>
                                <w:color w:val="FFFFFF" w:themeColor="background1"/>
                              </w:rPr>
                              <w:alias w:val="Date"/>
                              <w:id w:val="1724480474"/>
                              <w:dataBinding w:prefixMappings="xmlns:ns0='http://schemas.microsoft.com/office/2006/coverPageProps'" w:xpath="/ns0:CoverPageProperties[1]/ns0:PublishDate[1]" w:storeItemID="{55AF091B-3C7A-41E3-B477-F2FDAA23CFDA}"/>
                              <w:date w:fullDate="2024-11-10T00:00:00Z">
                                <w:dateFormat w:val="M/d/yyyy"/>
                                <w:lid w:val="en-US"/>
                                <w:storeMappedDataAs w:val="dateTime"/>
                                <w:calendar w:val="gregorian"/>
                              </w:date>
                            </w:sdtPr>
                            <w:sdtContent>
                              <w:p w14:paraId="79A3C7BF" w14:textId="121319EC" w:rsidR="00C012F2" w:rsidRPr="00C9038D" w:rsidRDefault="00C9038D">
                                <w:pPr>
                                  <w:pStyle w:val="NoSpacing"/>
                                  <w:spacing w:line="360" w:lineRule="auto"/>
                                  <w:rPr>
                                    <w:rFonts w:ascii="Arial" w:hAnsi="Arial" w:cs="Arial"/>
                                    <w:b/>
                                    <w:bCs/>
                                    <w:color w:val="FFFFFF" w:themeColor="background1"/>
                                  </w:rPr>
                                </w:pPr>
                                <w:r w:rsidRPr="00C9038D">
                                  <w:rPr>
                                    <w:rFonts w:ascii="Arial" w:hAnsi="Arial" w:cs="Arial"/>
                                    <w:b/>
                                    <w:bCs/>
                                    <w:color w:val="FFFFFF" w:themeColor="background1"/>
                                  </w:rPr>
                                  <w:t>11/10/2024</w:t>
                                </w:r>
                              </w:p>
                            </w:sdtContent>
                          </w:sdt>
                        </w:txbxContent>
                      </v:textbox>
                    </v:rect>
                    <w10:wrap anchorx="page" anchory="page"/>
                  </v:group>
                </w:pict>
              </mc:Fallback>
            </mc:AlternateContent>
          </w:r>
        </w:p>
        <w:p w14:paraId="69E663AF" w14:textId="0FFE3DEC" w:rsidR="00C012F2" w:rsidRDefault="00C9038D">
          <w:pPr>
            <w:rPr>
              <w:rFonts w:ascii="Arial" w:hAnsi="Arial" w:cs="Arial"/>
            </w:rPr>
          </w:pPr>
          <w:r>
            <w:rPr>
              <w:noProof/>
            </w:rPr>
            <mc:AlternateContent>
              <mc:Choice Requires="wps">
                <w:drawing>
                  <wp:anchor distT="0" distB="0" distL="114300" distR="114300" simplePos="0" relativeHeight="251661312" behindDoc="0" locked="0" layoutInCell="0" allowOverlap="1" wp14:anchorId="45FC04F0" wp14:editId="39CE7E6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7435850" cy="640080"/>
                    <wp:effectExtent l="0" t="0" r="12700" b="2857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35850" cy="640080"/>
                            </a:xfrm>
                            <a:prstGeom prst="rect">
                              <a:avLst/>
                            </a:prstGeom>
                            <a:solidFill>
                              <a:schemeClr val="tx1"/>
                            </a:solidFill>
                            <a:ln w="19050">
                              <a:solidFill>
                                <a:schemeClr val="tx1"/>
                              </a:solidFill>
                              <a:miter lim="800000"/>
                              <a:headEnd/>
                              <a:tailEnd/>
                            </a:ln>
                          </wps:spPr>
                          <wps:txbx>
                            <w:txbxContent>
                              <w:sdt>
                                <w:sdtPr>
                                  <w:rPr>
                                    <w:rFonts w:ascii="Arial Black" w:hAnsi="Arial Black"/>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7DD9CF5" w14:textId="28E30CDA" w:rsidR="00C012F2" w:rsidRDefault="00C9038D" w:rsidP="00C9038D">
                                    <w:pPr>
                                      <w:pStyle w:val="NoSpacing"/>
                                      <w:jc w:val="right"/>
                                      <w:rPr>
                                        <w:color w:val="FFFFFF" w:themeColor="background1"/>
                                        <w:sz w:val="72"/>
                                        <w:szCs w:val="72"/>
                                      </w:rPr>
                                    </w:pPr>
                                    <w:r w:rsidRPr="00C9038D">
                                      <w:rPr>
                                        <w:rFonts w:ascii="Arial Black" w:hAnsi="Arial Black"/>
                                        <w:color w:val="FFFFFF" w:themeColor="background1"/>
                                        <w:sz w:val="72"/>
                                        <w:szCs w:val="72"/>
                                      </w:rPr>
                                      <w:t>Opportunities and Threats to Social Enterprise</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45FC04F0" id="Rectangle 16" o:spid="_x0000_s1031" style="position:absolute;margin-left:0;margin-top:0;width:585.5pt;height:50.4pt;z-index:251661312;visibility:visible;mso-wrap-style:square;mso-width-percent:0;mso-height-percent:73;mso-top-percent:250;mso-wrap-distance-left:9pt;mso-wrap-distance-top:0;mso-wrap-distance-right:9pt;mso-wrap-distance-bottom:0;mso-position-horizontal:lef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" o:allowincell="f" fillcolor="black [3213]" strokecolor="black [3213]" strokeweight="1.5pt">
                    <v:textbox style="mso-fit-shape-to-text:t" inset="14.4pt,,14.4pt">
                      <w:txbxContent>
                        <w:sdt>
                          <w:sdtPr>
                            <w:rPr>
                              <w:rFonts w:ascii="Arial Black" w:hAnsi="Arial Black"/>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7DD9CF5" w14:textId="28E30CDA" w:rsidR="00C012F2" w:rsidRDefault="00C9038D" w:rsidP="00C9038D">
                              <w:pPr>
                                <w:pStyle w:val="NoSpacing"/>
                                <w:jc w:val="right"/>
                                <w:rPr>
                                  <w:color w:val="FFFFFF" w:themeColor="background1"/>
                                  <w:sz w:val="72"/>
                                  <w:szCs w:val="72"/>
                                </w:rPr>
                              </w:pPr>
                              <w:r w:rsidRPr="00C9038D">
                                <w:rPr>
                                  <w:rFonts w:ascii="Arial Black" w:hAnsi="Arial Black"/>
                                  <w:color w:val="FFFFFF" w:themeColor="background1"/>
                                  <w:sz w:val="72"/>
                                  <w:szCs w:val="72"/>
                                </w:rPr>
                                <w:t>Opportunities and Threats to Social Enterprise</w:t>
                              </w:r>
                            </w:p>
                          </w:sdtContent>
                        </w:sdt>
                      </w:txbxContent>
                    </v:textbox>
                    <w10:wrap anchorx="page" anchory="page"/>
                  </v:rect>
                </w:pict>
              </mc:Fallback>
            </mc:AlternateContent>
          </w:r>
          <w:r w:rsidR="00C012F2">
            <w:rPr>
              <w:rFonts w:ascii="Arial" w:hAnsi="Arial" w:cs="Arial"/>
            </w:rPr>
            <w:br w:type="page"/>
          </w:r>
        </w:p>
      </w:sdtContent>
    </w:sdt>
    <w:p w14:paraId="3728C1EA" w14:textId="40D942D9" w:rsidR="00C012F2" w:rsidRPr="00C9038D" w:rsidRDefault="00C012F2" w:rsidP="00C012F2">
      <w:pPr>
        <w:spacing w:line="480" w:lineRule="auto"/>
        <w:jc w:val="both"/>
        <w:rPr>
          <w:rFonts w:ascii="Arial Black" w:hAnsi="Arial Black" w:cs="Arial"/>
        </w:rPr>
      </w:pPr>
      <w:r w:rsidRPr="00C9038D">
        <w:rPr>
          <w:rFonts w:ascii="Arial Black" w:hAnsi="Arial Black" w:cs="Arial"/>
        </w:rPr>
        <w:lastRenderedPageBreak/>
        <w:t xml:space="preserve">Introduction </w:t>
      </w:r>
    </w:p>
    <w:p w14:paraId="0BCCE1F0" w14:textId="77777777" w:rsidR="00C012F2" w:rsidRDefault="00C012F2" w:rsidP="00C012F2">
      <w:pPr>
        <w:spacing w:line="480" w:lineRule="auto"/>
        <w:jc w:val="both"/>
        <w:rPr>
          <w:rFonts w:ascii="Arial" w:hAnsi="Arial" w:cs="Arial"/>
        </w:rPr>
      </w:pPr>
      <w:r w:rsidRPr="00C012F2">
        <w:rPr>
          <w:rFonts w:ascii="Arial" w:hAnsi="Arial" w:cs="Arial"/>
        </w:rPr>
        <w:t>Social companies have increasingly emerged as crucial players in tackling various societal difficulties by effectively integrating economic intelligence with committed social goals. These hybrid organisations pursue the combined objectives of attaining financial sustainability and producing beneficial social and environmental outcomes. In contrast to conventional firms that largely aim for profit maximisation, social enterprises emphasise mission-oriented objectives, including poverty alleviation, educational enhancement, environmental sustainability, and community welfare improvement. This unique strategy not only sets them out in the industry but also draws stakeholders dedicated to ethical and sustainable practices.</w:t>
      </w:r>
    </w:p>
    <w:p w14:paraId="7B756D83" w14:textId="77777777" w:rsidR="00C012F2" w:rsidRDefault="00C012F2" w:rsidP="00C012F2">
      <w:pPr>
        <w:spacing w:line="480" w:lineRule="auto"/>
        <w:jc w:val="both"/>
        <w:rPr>
          <w:rFonts w:ascii="Arial" w:hAnsi="Arial" w:cs="Arial"/>
        </w:rPr>
      </w:pPr>
      <w:r w:rsidRPr="00C012F2">
        <w:rPr>
          <w:rFonts w:ascii="Arial" w:hAnsi="Arial" w:cs="Arial"/>
        </w:rPr>
        <w:t>The path of social entrepreneurship presents considerable opportunity and notable hurdles. Successfully navigating this intricate environment necessitates a profound comprehension of diverse internal and external elements that can affect the efficacy and effect of these organisations. A SWOT (Strengths, Weaknesses, Opportunities, and Threats) analysis offers a thorough and organised framework for meticulously evaluating these aspects. Through a methodical assessment of internal strengths and weaknesses in conjunction with external possibilities and challenges, social businesses can formulate strategic plans that improve their efficacy and sustainability.</w:t>
      </w:r>
    </w:p>
    <w:p w14:paraId="68C5FACF" w14:textId="77777777" w:rsidR="00C012F2" w:rsidRDefault="00C012F2" w:rsidP="00C012F2">
      <w:pPr>
        <w:spacing w:line="480" w:lineRule="auto"/>
        <w:jc w:val="both"/>
        <w:rPr>
          <w:rFonts w:ascii="Arial" w:hAnsi="Arial" w:cs="Arial"/>
        </w:rPr>
      </w:pPr>
      <w:r w:rsidRPr="00C012F2">
        <w:rPr>
          <w:rFonts w:ascii="Arial" w:hAnsi="Arial" w:cs="Arial"/>
        </w:rPr>
        <w:t xml:space="preserve">This </w:t>
      </w:r>
      <w:r>
        <w:rPr>
          <w:rFonts w:ascii="Arial" w:hAnsi="Arial" w:cs="Arial"/>
        </w:rPr>
        <w:t>essay</w:t>
      </w:r>
      <w:r w:rsidRPr="00C012F2">
        <w:rPr>
          <w:rFonts w:ascii="Arial" w:hAnsi="Arial" w:cs="Arial"/>
        </w:rPr>
        <w:t xml:space="preserve"> conducts a comprehensive analysis of the inherent strengths and disadvantages of social </w:t>
      </w:r>
      <w:r>
        <w:rPr>
          <w:rFonts w:ascii="Arial" w:hAnsi="Arial" w:cs="Arial"/>
        </w:rPr>
        <w:t>enterprises</w:t>
      </w:r>
      <w:r w:rsidRPr="00C012F2">
        <w:rPr>
          <w:rFonts w:ascii="Arial" w:hAnsi="Arial" w:cs="Arial"/>
        </w:rPr>
        <w:t xml:space="preserve">. Strengths may encompass a robust mission-oriented emphasis, elevated levels of community involvement, and inventive business models that tackle urgent social challenges. Conversely, drawbacks may include difficulty associated with funding, operational intricacies, and obstacles in assessing social impact. The essay also examines the external prospects accessible to social </w:t>
      </w:r>
      <w:r w:rsidRPr="00C012F2">
        <w:rPr>
          <w:rFonts w:ascii="Arial" w:hAnsi="Arial" w:cs="Arial"/>
        </w:rPr>
        <w:lastRenderedPageBreak/>
        <w:t>companies, including the rising consumer demand for ethical products, technological improvements, and enhanced support from governments and social investments. Conversely, it also analyses the challenges confronting these organisations, such as fierce competition, regulatory obstacles, economic volatility, and the potential for mission drift.</w:t>
      </w:r>
    </w:p>
    <w:p w14:paraId="06224F23" w14:textId="77777777" w:rsidR="00C012F2" w:rsidRDefault="00C012F2" w:rsidP="00C012F2">
      <w:pPr>
        <w:spacing w:line="480" w:lineRule="auto"/>
        <w:jc w:val="both"/>
        <w:rPr>
          <w:rFonts w:ascii="Arial" w:hAnsi="Arial" w:cs="Arial"/>
        </w:rPr>
      </w:pPr>
      <w:r w:rsidRPr="00C012F2">
        <w:rPr>
          <w:rFonts w:ascii="Arial" w:hAnsi="Arial" w:cs="Arial"/>
        </w:rPr>
        <w:t>Relevant academic theories and practical industry examples are utilised throughout the debate to elucidate and substantiate the analysis. Porter and Kramer’s Shared Value theory illustrates how firms can generate economic value while also benefiting society, a premise shown by several social enterprises. Examples from the industry, such as TOMS Shoes, Grameen Bank, and Patagonia, illustrate how social entrepreneurs utilise their strengths and address their limitations to seize opportunities and alleviate dangers. This essay combines theoretical ideas with practical examples to offer a comprehensive grasp of the dynamic environment in which social companies function and the strategic considerations essential for their success.</w:t>
      </w:r>
    </w:p>
    <w:p w14:paraId="3169133B" w14:textId="77777777" w:rsidR="00C012F2" w:rsidRDefault="00C012F2" w:rsidP="00C012F2">
      <w:pPr>
        <w:spacing w:line="480" w:lineRule="auto"/>
        <w:jc w:val="both"/>
        <w:rPr>
          <w:rFonts w:ascii="Arial" w:hAnsi="Arial" w:cs="Arial"/>
        </w:rPr>
      </w:pPr>
    </w:p>
    <w:p w14:paraId="35A308A8" w14:textId="77777777" w:rsidR="00C012F2" w:rsidRDefault="00C012F2" w:rsidP="00C012F2">
      <w:pPr>
        <w:spacing w:line="480" w:lineRule="auto"/>
        <w:jc w:val="both"/>
        <w:rPr>
          <w:rFonts w:ascii="Arial" w:hAnsi="Arial" w:cs="Arial"/>
        </w:rPr>
      </w:pPr>
    </w:p>
    <w:p w14:paraId="0AA4228A" w14:textId="77777777" w:rsidR="00C012F2" w:rsidRDefault="00C012F2" w:rsidP="00C012F2">
      <w:pPr>
        <w:spacing w:line="480" w:lineRule="auto"/>
        <w:jc w:val="both"/>
        <w:rPr>
          <w:rFonts w:ascii="Arial" w:hAnsi="Arial" w:cs="Arial"/>
        </w:rPr>
      </w:pPr>
    </w:p>
    <w:p w14:paraId="4F1C32EE" w14:textId="77777777" w:rsidR="00C012F2" w:rsidRDefault="00C012F2" w:rsidP="00C012F2">
      <w:pPr>
        <w:spacing w:line="480" w:lineRule="auto"/>
        <w:jc w:val="both"/>
        <w:rPr>
          <w:rFonts w:ascii="Arial" w:hAnsi="Arial" w:cs="Arial"/>
        </w:rPr>
      </w:pPr>
    </w:p>
    <w:p w14:paraId="6ECD2A11" w14:textId="77777777" w:rsidR="00C012F2" w:rsidRDefault="00C012F2" w:rsidP="00C012F2">
      <w:pPr>
        <w:spacing w:line="480" w:lineRule="auto"/>
        <w:jc w:val="both"/>
        <w:rPr>
          <w:rFonts w:ascii="Arial" w:hAnsi="Arial" w:cs="Arial"/>
        </w:rPr>
      </w:pPr>
    </w:p>
    <w:p w14:paraId="0C4DA93B" w14:textId="77777777" w:rsidR="00C012F2" w:rsidRDefault="00C012F2" w:rsidP="00C012F2">
      <w:pPr>
        <w:spacing w:line="480" w:lineRule="auto"/>
        <w:jc w:val="both"/>
        <w:rPr>
          <w:rFonts w:ascii="Arial" w:hAnsi="Arial" w:cs="Arial"/>
        </w:rPr>
      </w:pPr>
    </w:p>
    <w:p w14:paraId="38A8418D" w14:textId="77777777" w:rsidR="00C012F2" w:rsidRDefault="00C012F2" w:rsidP="00C012F2">
      <w:pPr>
        <w:spacing w:line="480" w:lineRule="auto"/>
        <w:jc w:val="both"/>
        <w:rPr>
          <w:rFonts w:ascii="Arial" w:hAnsi="Arial" w:cs="Arial"/>
        </w:rPr>
      </w:pPr>
    </w:p>
    <w:p w14:paraId="0F4151E8" w14:textId="77777777" w:rsidR="00C012F2" w:rsidRDefault="00C012F2" w:rsidP="00C012F2">
      <w:pPr>
        <w:spacing w:line="480" w:lineRule="auto"/>
        <w:jc w:val="both"/>
        <w:rPr>
          <w:rFonts w:ascii="Arial" w:hAnsi="Arial" w:cs="Arial"/>
        </w:rPr>
      </w:pPr>
    </w:p>
    <w:p w14:paraId="3A53A678" w14:textId="34D94BE5" w:rsidR="00C012F2" w:rsidRPr="00C9038D" w:rsidRDefault="00C012F2" w:rsidP="00C012F2">
      <w:pPr>
        <w:spacing w:line="480" w:lineRule="auto"/>
        <w:jc w:val="both"/>
        <w:rPr>
          <w:rFonts w:ascii="Arial Black" w:hAnsi="Arial Black" w:cs="Aharoni"/>
        </w:rPr>
      </w:pPr>
      <w:r w:rsidRPr="00C012F2">
        <w:rPr>
          <w:rFonts w:ascii="Arial Black" w:hAnsi="Arial Black" w:cs="Aharoni"/>
        </w:rPr>
        <w:lastRenderedPageBreak/>
        <w:t>Strengths</w:t>
      </w:r>
    </w:p>
    <w:p w14:paraId="041FB059" w14:textId="70300DAC" w:rsidR="00C012F2" w:rsidRPr="00C9038D" w:rsidRDefault="00C012F2" w:rsidP="00C012F2">
      <w:pPr>
        <w:spacing w:line="480" w:lineRule="auto"/>
        <w:jc w:val="both"/>
        <w:rPr>
          <w:rFonts w:ascii="Arial Black" w:hAnsi="Arial Black" w:cs="Aharoni"/>
        </w:rPr>
      </w:pPr>
      <w:r w:rsidRPr="00C012F2">
        <w:rPr>
          <w:rFonts w:ascii="Arial Black" w:hAnsi="Arial Black" w:cs="Aharoni"/>
        </w:rPr>
        <w:t>Mission-driven focus</w:t>
      </w:r>
    </w:p>
    <w:p w14:paraId="55E0F0F9" w14:textId="77777777" w:rsidR="00C012F2" w:rsidRDefault="00C012F2" w:rsidP="00C012F2">
      <w:pPr>
        <w:spacing w:line="480" w:lineRule="auto"/>
        <w:jc w:val="both"/>
        <w:rPr>
          <w:rFonts w:ascii="Arial" w:hAnsi="Arial" w:cs="Arial"/>
        </w:rPr>
      </w:pPr>
      <w:r w:rsidRPr="00C012F2">
        <w:rPr>
          <w:rFonts w:ascii="Arial" w:hAnsi="Arial" w:cs="Arial"/>
        </w:rPr>
        <w:t>One of the primary advantages of social enterprises is their mission-driven focus. Unlike regular corporations, which prioritise profit maximisation, social enterprises seek to address specific social or environmental concerns. This clear mission promotes a strong organisational identity and unifies stakeholders around similar aims. According to Porter and Kramer's (2011) Shared Value theory, firms can increase their competitiveness while also improving societal conditions, a premise exemplified by social enterprises.</w:t>
      </w:r>
    </w:p>
    <w:p w14:paraId="5920FB6A" w14:textId="77777777" w:rsidR="00C012F2" w:rsidRPr="00C9038D" w:rsidRDefault="00C012F2" w:rsidP="00C012F2">
      <w:pPr>
        <w:spacing w:line="480" w:lineRule="auto"/>
        <w:jc w:val="both"/>
        <w:rPr>
          <w:rFonts w:ascii="Arial Black" w:hAnsi="Arial Black" w:cs="Arial"/>
        </w:rPr>
      </w:pPr>
      <w:r w:rsidRPr="00C012F2">
        <w:rPr>
          <w:rFonts w:ascii="Arial Black" w:hAnsi="Arial Black" w:cs="Arial"/>
        </w:rPr>
        <w:t>Innovative approaches</w:t>
      </w:r>
    </w:p>
    <w:p w14:paraId="5775EFDC" w14:textId="77777777" w:rsidR="00C012F2" w:rsidRDefault="00C012F2" w:rsidP="00C012F2">
      <w:pPr>
        <w:spacing w:line="480" w:lineRule="auto"/>
        <w:jc w:val="both"/>
        <w:rPr>
          <w:rFonts w:ascii="Arial" w:hAnsi="Arial" w:cs="Arial"/>
        </w:rPr>
      </w:pPr>
      <w:r>
        <w:rPr>
          <w:rFonts w:ascii="Arial" w:hAnsi="Arial" w:cs="Arial"/>
        </w:rPr>
        <w:t>S</w:t>
      </w:r>
      <w:r w:rsidRPr="00C012F2">
        <w:rPr>
          <w:rFonts w:ascii="Arial" w:hAnsi="Arial" w:cs="Arial"/>
        </w:rPr>
        <w:t xml:space="preserve">ocietal </w:t>
      </w:r>
      <w:r>
        <w:rPr>
          <w:rFonts w:ascii="Arial" w:hAnsi="Arial" w:cs="Arial"/>
        </w:rPr>
        <w:t>enterprises</w:t>
      </w:r>
      <w:r w:rsidRPr="00C012F2">
        <w:rPr>
          <w:rFonts w:ascii="Arial" w:hAnsi="Arial" w:cs="Arial"/>
        </w:rPr>
        <w:t xml:space="preserve"> frequently use new approaches to address long-standing societal issues. TOMS Shoes, for example, uses a one-for-one model, which means that with each purchase, a pair of shoes is provided to someone in need. This novel strategy not only addresses poverty and health concerns associated with inadequate footwear, but also distinguishes TOMS in a competitive industry. Innovation in business models and service delivery improves the efficacy and scalability of social businesses.</w:t>
      </w:r>
    </w:p>
    <w:p w14:paraId="42F227D5" w14:textId="77777777" w:rsidR="00C012F2" w:rsidRPr="00C9038D" w:rsidRDefault="00C012F2" w:rsidP="00C012F2">
      <w:pPr>
        <w:spacing w:line="480" w:lineRule="auto"/>
        <w:jc w:val="both"/>
        <w:rPr>
          <w:rFonts w:ascii="Arial Black" w:hAnsi="Arial Black" w:cs="Arial"/>
        </w:rPr>
      </w:pPr>
      <w:r w:rsidRPr="00C012F2">
        <w:rPr>
          <w:rFonts w:ascii="Arial Black" w:hAnsi="Arial Black" w:cs="Arial"/>
        </w:rPr>
        <w:t>Community engagement and trust</w:t>
      </w:r>
    </w:p>
    <w:p w14:paraId="0D7125EC" w14:textId="77777777" w:rsidR="00C012F2" w:rsidRDefault="00C012F2" w:rsidP="00C012F2">
      <w:pPr>
        <w:spacing w:line="480" w:lineRule="auto"/>
        <w:jc w:val="both"/>
        <w:rPr>
          <w:rFonts w:ascii="Arial" w:hAnsi="Arial" w:cs="Arial"/>
        </w:rPr>
      </w:pPr>
      <w:r w:rsidRPr="00C012F2">
        <w:rPr>
          <w:rFonts w:ascii="Arial" w:hAnsi="Arial" w:cs="Arial"/>
        </w:rPr>
        <w:t>Social companies often have a high level of community involvement and trust. Their dedication to social goals connects with customers, employees, and business partners that value ethical and sustainable methods. The Grameen Bank in Bangladesh, created by Muhammad Yunus, illustrates this strength by establishing trust through microcredit projects that help disadvantaged people, particularly women, become financially independent.</w:t>
      </w:r>
    </w:p>
    <w:p w14:paraId="303F8480" w14:textId="77777777" w:rsidR="00C012F2" w:rsidRPr="00C9038D" w:rsidRDefault="00C012F2" w:rsidP="00C012F2">
      <w:pPr>
        <w:spacing w:line="480" w:lineRule="auto"/>
        <w:jc w:val="both"/>
        <w:rPr>
          <w:rFonts w:ascii="Arial Black" w:hAnsi="Arial Black" w:cs="Arial"/>
        </w:rPr>
      </w:pPr>
      <w:r w:rsidRPr="00C012F2">
        <w:rPr>
          <w:rFonts w:ascii="Arial Black" w:hAnsi="Arial Black" w:cs="Arial"/>
        </w:rPr>
        <w:lastRenderedPageBreak/>
        <w:t>Resilience and adaptation</w:t>
      </w:r>
    </w:p>
    <w:p w14:paraId="613E8B88" w14:textId="77777777" w:rsidR="00C012F2" w:rsidRDefault="00C012F2" w:rsidP="00C012F2">
      <w:pPr>
        <w:spacing w:line="480" w:lineRule="auto"/>
        <w:jc w:val="both"/>
        <w:rPr>
          <w:rFonts w:ascii="Arial" w:hAnsi="Arial" w:cs="Arial"/>
        </w:rPr>
      </w:pPr>
      <w:r w:rsidRPr="00C012F2">
        <w:rPr>
          <w:rFonts w:ascii="Arial" w:hAnsi="Arial" w:cs="Arial"/>
        </w:rPr>
        <w:t>Social enterprises benefit from a dual focus on social impact and financial viability, which increases resilience and adaptability. They are frequently better positioned to weather economic downturns by diversifying revenue streams and utilising numerous financing sources, such as grants, contributions, and earned money. This adaptability is critical for long-term viability and the potential to scale impact.</w:t>
      </w:r>
    </w:p>
    <w:p w14:paraId="3C07659C" w14:textId="77777777" w:rsidR="00C012F2" w:rsidRPr="00C9038D" w:rsidRDefault="00C012F2" w:rsidP="00C012F2">
      <w:pPr>
        <w:spacing w:line="480" w:lineRule="auto"/>
        <w:jc w:val="both"/>
        <w:rPr>
          <w:rFonts w:ascii="Arial Black" w:hAnsi="Arial Black" w:cs="Arial"/>
        </w:rPr>
      </w:pPr>
      <w:r w:rsidRPr="00C012F2">
        <w:rPr>
          <w:rFonts w:ascii="Arial Black" w:hAnsi="Arial Black" w:cs="Arial"/>
        </w:rPr>
        <w:t>Weaknesses</w:t>
      </w:r>
    </w:p>
    <w:p w14:paraId="5B351418" w14:textId="4F52F17F" w:rsidR="00C012F2" w:rsidRPr="00C9038D" w:rsidRDefault="00C012F2" w:rsidP="00C012F2">
      <w:pPr>
        <w:spacing w:line="480" w:lineRule="auto"/>
        <w:jc w:val="both"/>
        <w:rPr>
          <w:rFonts w:ascii="Arial Black" w:hAnsi="Arial Black" w:cs="Arial"/>
        </w:rPr>
      </w:pPr>
      <w:r w:rsidRPr="00C012F2">
        <w:rPr>
          <w:rFonts w:ascii="Arial Black" w:hAnsi="Arial Black" w:cs="Arial"/>
        </w:rPr>
        <w:t>Funding challenges</w:t>
      </w:r>
    </w:p>
    <w:p w14:paraId="2FC36CAE" w14:textId="77777777" w:rsidR="00C012F2" w:rsidRDefault="00C012F2" w:rsidP="00C012F2">
      <w:pPr>
        <w:spacing w:line="480" w:lineRule="auto"/>
        <w:jc w:val="both"/>
        <w:rPr>
          <w:rFonts w:ascii="Arial" w:hAnsi="Arial" w:cs="Arial"/>
        </w:rPr>
      </w:pPr>
      <w:r w:rsidRPr="00C012F2">
        <w:rPr>
          <w:rFonts w:ascii="Arial" w:hAnsi="Arial" w:cs="Arial"/>
        </w:rPr>
        <w:t>Despite their unique models, social enterprises usually have major funding hurdles. Securing investment can be difficult because to the dual goals of social impact and financial rewards, which may differ from standard investor expectations. Venture capitalists often seek strong financial returns, which may not necessarily be compatible with the social goals of businesses such as Warby Parker, which blends profitability with humanitarian missions like donating spectacles to those in need.</w:t>
      </w:r>
    </w:p>
    <w:p w14:paraId="5CCD7113" w14:textId="3123BD76" w:rsidR="00C012F2" w:rsidRPr="00C9038D" w:rsidRDefault="00C012F2" w:rsidP="00C012F2">
      <w:pPr>
        <w:spacing w:line="480" w:lineRule="auto"/>
        <w:jc w:val="both"/>
        <w:rPr>
          <w:rFonts w:ascii="Arial Black" w:hAnsi="Arial Black" w:cs="Arial"/>
        </w:rPr>
      </w:pPr>
      <w:r w:rsidRPr="00C012F2">
        <w:rPr>
          <w:rFonts w:ascii="Arial Black" w:hAnsi="Arial Black" w:cs="Arial"/>
        </w:rPr>
        <w:t>Operational complexity</w:t>
      </w:r>
    </w:p>
    <w:p w14:paraId="0225113B" w14:textId="77777777" w:rsidR="00C012F2" w:rsidRDefault="00C012F2" w:rsidP="00C012F2">
      <w:pPr>
        <w:spacing w:line="480" w:lineRule="auto"/>
        <w:jc w:val="both"/>
        <w:rPr>
          <w:rFonts w:ascii="Arial" w:hAnsi="Arial" w:cs="Arial"/>
        </w:rPr>
      </w:pPr>
      <w:r w:rsidRPr="00C012F2">
        <w:rPr>
          <w:rFonts w:ascii="Arial" w:hAnsi="Arial" w:cs="Arial"/>
        </w:rPr>
        <w:t xml:space="preserve">Managing the dual goals of social impact and financial sustainability creates operational complexity. Balancing these aims necessitates strong governance structures and strategic planning, which can strain resources, particularly for smaller businesses. The </w:t>
      </w:r>
      <w:r w:rsidRPr="00C012F2">
        <w:rPr>
          <w:rFonts w:ascii="Arial" w:hAnsi="Arial" w:cs="Arial"/>
        </w:rPr>
        <w:t>Fair-Trade</w:t>
      </w:r>
      <w:r w:rsidRPr="00C012F2">
        <w:rPr>
          <w:rFonts w:ascii="Arial" w:hAnsi="Arial" w:cs="Arial"/>
        </w:rPr>
        <w:t xml:space="preserve"> movement, for example, relies on sophisticated supply networks and certification processes to uphold ethical standards, increasing operational complexity.</w:t>
      </w:r>
    </w:p>
    <w:p w14:paraId="77CE4102" w14:textId="77777777" w:rsidR="00C9038D" w:rsidRDefault="00C9038D" w:rsidP="00C012F2">
      <w:pPr>
        <w:spacing w:line="480" w:lineRule="auto"/>
        <w:jc w:val="both"/>
        <w:rPr>
          <w:rFonts w:ascii="Arial" w:hAnsi="Arial" w:cs="Arial"/>
        </w:rPr>
      </w:pPr>
    </w:p>
    <w:p w14:paraId="707A2C84" w14:textId="43283035" w:rsidR="00C012F2" w:rsidRPr="00C9038D" w:rsidRDefault="00C012F2" w:rsidP="00C012F2">
      <w:pPr>
        <w:spacing w:line="480" w:lineRule="auto"/>
        <w:jc w:val="both"/>
        <w:rPr>
          <w:rFonts w:ascii="Arial Black" w:hAnsi="Arial Black" w:cs="Arial"/>
        </w:rPr>
      </w:pPr>
      <w:r w:rsidRPr="00C012F2">
        <w:rPr>
          <w:rFonts w:ascii="Arial Black" w:hAnsi="Arial Black" w:cs="Arial"/>
        </w:rPr>
        <w:lastRenderedPageBreak/>
        <w:t>Impact Assessment</w:t>
      </w:r>
    </w:p>
    <w:p w14:paraId="6CA489BC" w14:textId="77777777" w:rsidR="00C012F2" w:rsidRDefault="00C012F2" w:rsidP="00C012F2">
      <w:pPr>
        <w:spacing w:line="480" w:lineRule="auto"/>
        <w:jc w:val="both"/>
        <w:rPr>
          <w:rFonts w:ascii="Arial" w:hAnsi="Arial" w:cs="Arial"/>
        </w:rPr>
      </w:pPr>
      <w:r w:rsidRPr="00C012F2">
        <w:rPr>
          <w:rFonts w:ascii="Arial" w:hAnsi="Arial" w:cs="Arial"/>
        </w:rPr>
        <w:t>Quantifying social effect is still a key barrier for social entrepreneurs. Unlike financial achievement, social consequences are frequently qualitative and difficult to fully quantify. This ambiguity can jeopardise the ability to attract investment and demonstrate effectiveness. Frameworks such as the Social Return on Investment (SROI) have been established to address this issue, but consistent and standardised measurement is still hard.</w:t>
      </w:r>
    </w:p>
    <w:p w14:paraId="0156AE00" w14:textId="77777777" w:rsidR="00C012F2" w:rsidRPr="00C9038D" w:rsidRDefault="00C012F2" w:rsidP="00C012F2">
      <w:pPr>
        <w:spacing w:line="480" w:lineRule="auto"/>
        <w:jc w:val="both"/>
        <w:rPr>
          <w:rFonts w:ascii="Arial Black" w:hAnsi="Arial Black" w:cs="Arial"/>
        </w:rPr>
      </w:pPr>
      <w:r w:rsidRPr="00C012F2">
        <w:rPr>
          <w:rFonts w:ascii="Arial Black" w:hAnsi="Arial Black" w:cs="Arial"/>
        </w:rPr>
        <w:t>Market limitations</w:t>
      </w:r>
    </w:p>
    <w:p w14:paraId="51B3BBF9" w14:textId="77777777" w:rsidR="00C012F2" w:rsidRDefault="00C012F2" w:rsidP="00C012F2">
      <w:pPr>
        <w:spacing w:line="480" w:lineRule="auto"/>
        <w:jc w:val="both"/>
        <w:rPr>
          <w:rFonts w:ascii="Arial" w:hAnsi="Arial" w:cs="Arial"/>
        </w:rPr>
      </w:pPr>
      <w:r w:rsidRPr="00C012F2">
        <w:rPr>
          <w:rFonts w:ascii="Arial" w:hAnsi="Arial" w:cs="Arial"/>
        </w:rPr>
        <w:t>Social firms may operate in niche markets, restricting their expansion potential. The emphasis on certain social issues may limit the client base and scalability. For example, firms tackling unique social challenges may fail to attain the economies of scale required for wider impact, limiting their growth and financial viability.</w:t>
      </w:r>
    </w:p>
    <w:p w14:paraId="22A1F424" w14:textId="77777777" w:rsidR="00C012F2" w:rsidRPr="00C9038D" w:rsidRDefault="00C012F2" w:rsidP="00C012F2">
      <w:pPr>
        <w:spacing w:line="480" w:lineRule="auto"/>
        <w:jc w:val="both"/>
        <w:rPr>
          <w:rFonts w:ascii="Arial Black" w:hAnsi="Arial Black" w:cs="Arial"/>
        </w:rPr>
      </w:pPr>
      <w:r w:rsidRPr="00C9038D">
        <w:rPr>
          <w:rFonts w:ascii="Arial Black" w:hAnsi="Arial Black" w:cs="Arial"/>
        </w:rPr>
        <w:t>Opportunities</w:t>
      </w:r>
    </w:p>
    <w:p w14:paraId="4C29E841" w14:textId="77777777" w:rsidR="00C012F2" w:rsidRPr="00C9038D" w:rsidRDefault="00C012F2" w:rsidP="00C012F2">
      <w:pPr>
        <w:spacing w:line="480" w:lineRule="auto"/>
        <w:jc w:val="both"/>
        <w:rPr>
          <w:rFonts w:ascii="Arial Black" w:hAnsi="Arial Black" w:cs="Arial"/>
        </w:rPr>
      </w:pPr>
      <w:r w:rsidRPr="00C9038D">
        <w:rPr>
          <w:rFonts w:ascii="Arial Black" w:hAnsi="Arial Black" w:cs="Arial"/>
        </w:rPr>
        <w:t>Growing Consumer Demand for Ethical Products</w:t>
      </w:r>
    </w:p>
    <w:p w14:paraId="67FED654" w14:textId="77777777" w:rsidR="00C012F2" w:rsidRDefault="00C012F2" w:rsidP="00C012F2">
      <w:pPr>
        <w:spacing w:line="480" w:lineRule="auto"/>
        <w:jc w:val="both"/>
        <w:rPr>
          <w:rFonts w:ascii="Arial" w:hAnsi="Arial" w:cs="Arial"/>
        </w:rPr>
      </w:pPr>
      <w:r w:rsidRPr="00C012F2">
        <w:rPr>
          <w:rFonts w:ascii="Arial" w:hAnsi="Arial" w:cs="Arial"/>
        </w:rPr>
        <w:t xml:space="preserve">Consumers are increasingly looking for ethically manufactured and socially responsible items. This development </w:t>
      </w:r>
      <w:r w:rsidRPr="00C012F2">
        <w:rPr>
          <w:rFonts w:ascii="Arial" w:hAnsi="Arial" w:cs="Arial"/>
        </w:rPr>
        <w:t>opens</w:t>
      </w:r>
      <w:r w:rsidRPr="00C012F2">
        <w:rPr>
          <w:rFonts w:ascii="Arial" w:hAnsi="Arial" w:cs="Arial"/>
        </w:rPr>
        <w:t xml:space="preserve"> considerable opportunity for social entrepreneurs to grow their market share. Companies like Patagonia use their dedication to environmental sustainability to attract loyal customers willing to pay higher prices for ethically manufactured items.</w:t>
      </w:r>
    </w:p>
    <w:p w14:paraId="1922CA5E" w14:textId="77777777" w:rsidR="00C012F2" w:rsidRPr="00C9038D" w:rsidRDefault="00C012F2" w:rsidP="00C012F2">
      <w:pPr>
        <w:spacing w:line="480" w:lineRule="auto"/>
        <w:jc w:val="both"/>
        <w:rPr>
          <w:rFonts w:ascii="Arial Black" w:hAnsi="Arial Black" w:cs="Arial"/>
        </w:rPr>
      </w:pPr>
      <w:r w:rsidRPr="00C012F2">
        <w:rPr>
          <w:rFonts w:ascii="Arial Black" w:hAnsi="Arial Black" w:cs="Arial"/>
        </w:rPr>
        <w:t>Technological Advances</w:t>
      </w:r>
    </w:p>
    <w:p w14:paraId="17D18B34" w14:textId="60FB32A3" w:rsidR="00C012F2" w:rsidRDefault="00C012F2" w:rsidP="00C012F2">
      <w:pPr>
        <w:spacing w:line="480" w:lineRule="auto"/>
        <w:jc w:val="both"/>
        <w:rPr>
          <w:rFonts w:ascii="Arial" w:hAnsi="Arial" w:cs="Arial"/>
        </w:rPr>
      </w:pPr>
      <w:r w:rsidRPr="00C012F2">
        <w:rPr>
          <w:rFonts w:ascii="Arial" w:hAnsi="Arial" w:cs="Arial"/>
        </w:rPr>
        <w:t xml:space="preserve">Technological advancements </w:t>
      </w:r>
      <w:r w:rsidRPr="00C012F2">
        <w:rPr>
          <w:rFonts w:ascii="Arial" w:hAnsi="Arial" w:cs="Arial"/>
        </w:rPr>
        <w:t>open</w:t>
      </w:r>
      <w:r w:rsidRPr="00C012F2">
        <w:rPr>
          <w:rFonts w:ascii="Arial" w:hAnsi="Arial" w:cs="Arial"/>
        </w:rPr>
        <w:t xml:space="preserve"> new opportunities for social entrepreneurs to improve their operations and effect. Digital platforms allow greater reach, increased </w:t>
      </w:r>
      <w:r w:rsidRPr="00C012F2">
        <w:rPr>
          <w:rFonts w:ascii="Arial" w:hAnsi="Arial" w:cs="Arial"/>
        </w:rPr>
        <w:lastRenderedPageBreak/>
        <w:t>efficiency, and creative service delivery methods. Kiva, a microfinance platform, uses web technology to connect lenders with entrepreneurs in impoverished nations, thereby promoting global financial inclusion.</w:t>
      </w:r>
    </w:p>
    <w:p w14:paraId="15535E75" w14:textId="77777777" w:rsidR="00C012F2" w:rsidRPr="00C9038D" w:rsidRDefault="00C012F2" w:rsidP="00C012F2">
      <w:pPr>
        <w:spacing w:line="480" w:lineRule="auto"/>
        <w:jc w:val="both"/>
        <w:rPr>
          <w:rFonts w:ascii="Arial Black" w:hAnsi="Arial Black" w:cs="Arial"/>
        </w:rPr>
      </w:pPr>
      <w:r w:rsidRPr="00C012F2">
        <w:rPr>
          <w:rFonts w:ascii="Arial Black" w:hAnsi="Arial Black" w:cs="Arial"/>
        </w:rPr>
        <w:t>Collaboration and Partnerships</w:t>
      </w:r>
    </w:p>
    <w:p w14:paraId="7968F521" w14:textId="77777777" w:rsidR="00C012F2" w:rsidRDefault="00C012F2" w:rsidP="00C012F2">
      <w:pPr>
        <w:spacing w:line="480" w:lineRule="auto"/>
        <w:jc w:val="both"/>
        <w:rPr>
          <w:rFonts w:ascii="Arial" w:hAnsi="Arial" w:cs="Arial"/>
        </w:rPr>
      </w:pPr>
      <w:r w:rsidRPr="00C012F2">
        <w:rPr>
          <w:rFonts w:ascii="Arial" w:hAnsi="Arial" w:cs="Arial"/>
        </w:rPr>
        <w:t>Strategic relationships with governments, non-profits, and commercial sector institutions can help social entrepreneurs achieve greater impact. Collaborations can provide access to resources, skills, and networks that might otherwise be unavailable. Unilever's engagement with several NGOs to promote sustainable agriculture techniques illustrates how collaboration may result in significant social and environmental benefits.</w:t>
      </w:r>
    </w:p>
    <w:p w14:paraId="545FF4F0" w14:textId="699F2D44" w:rsidR="00C012F2" w:rsidRPr="00C9038D" w:rsidRDefault="00C012F2" w:rsidP="00C012F2">
      <w:pPr>
        <w:spacing w:line="480" w:lineRule="auto"/>
        <w:jc w:val="both"/>
        <w:rPr>
          <w:rFonts w:ascii="Arial Black" w:hAnsi="Arial Black" w:cs="Arial"/>
        </w:rPr>
      </w:pPr>
      <w:r w:rsidRPr="00C012F2">
        <w:rPr>
          <w:rFonts w:ascii="Arial Black" w:hAnsi="Arial Black" w:cs="Arial"/>
        </w:rPr>
        <w:t>Policy support and social investment</w:t>
      </w:r>
    </w:p>
    <w:p w14:paraId="764EFAD2" w14:textId="77777777" w:rsidR="00C012F2" w:rsidRDefault="00C012F2" w:rsidP="00C012F2">
      <w:pPr>
        <w:spacing w:line="480" w:lineRule="auto"/>
        <w:jc w:val="both"/>
        <w:rPr>
          <w:rFonts w:ascii="Arial" w:hAnsi="Arial" w:cs="Arial"/>
        </w:rPr>
      </w:pPr>
      <w:r w:rsidRPr="00C012F2">
        <w:rPr>
          <w:rFonts w:ascii="Arial" w:hAnsi="Arial" w:cs="Arial"/>
        </w:rPr>
        <w:t xml:space="preserve">Growing recognition of the importance of social enterprises in addressing societal issues has resulted in increased policy support and social investment. Governments are establishing measures to encourage social entrepreneurship, such as grants, tax breaks, and favourable legislation. Furthermore, the emergence of impact investment, which aims to provide verifiable social and environmental effect in addition to financial rewards, </w:t>
      </w:r>
      <w:r w:rsidRPr="00C012F2">
        <w:rPr>
          <w:rFonts w:ascii="Arial" w:hAnsi="Arial" w:cs="Arial"/>
        </w:rPr>
        <w:t>opens</w:t>
      </w:r>
      <w:r w:rsidRPr="00C012F2">
        <w:rPr>
          <w:rFonts w:ascii="Arial" w:hAnsi="Arial" w:cs="Arial"/>
        </w:rPr>
        <w:t xml:space="preserve"> new funding opportunities for social companies.</w:t>
      </w:r>
    </w:p>
    <w:p w14:paraId="641B65B2" w14:textId="77777777" w:rsidR="00C012F2" w:rsidRPr="00C9038D" w:rsidRDefault="00C012F2" w:rsidP="00C012F2">
      <w:pPr>
        <w:spacing w:line="480" w:lineRule="auto"/>
        <w:jc w:val="both"/>
        <w:rPr>
          <w:rFonts w:ascii="Arial Black" w:hAnsi="Arial Black" w:cs="Aldhabi"/>
        </w:rPr>
      </w:pPr>
      <w:r w:rsidRPr="00C012F2">
        <w:rPr>
          <w:rFonts w:ascii="Arial Black" w:hAnsi="Arial Black" w:cs="Aldhabi"/>
        </w:rPr>
        <w:t>Threats</w:t>
      </w:r>
    </w:p>
    <w:p w14:paraId="6CEAA6CF" w14:textId="638E45DF" w:rsidR="00C012F2" w:rsidRPr="00C9038D" w:rsidRDefault="00C012F2" w:rsidP="00C012F2">
      <w:pPr>
        <w:spacing w:line="480" w:lineRule="auto"/>
        <w:jc w:val="both"/>
        <w:rPr>
          <w:rFonts w:ascii="Arial Black" w:hAnsi="Arial Black" w:cs="Aldhabi"/>
        </w:rPr>
      </w:pPr>
      <w:r w:rsidRPr="00C012F2">
        <w:rPr>
          <w:rFonts w:ascii="Arial Black" w:hAnsi="Arial Black" w:cs="Aldhabi"/>
        </w:rPr>
        <w:t>Intense competition</w:t>
      </w:r>
    </w:p>
    <w:p w14:paraId="2DF83252" w14:textId="77777777" w:rsidR="00C012F2" w:rsidRDefault="00C012F2" w:rsidP="00C012F2">
      <w:pPr>
        <w:spacing w:line="480" w:lineRule="auto"/>
        <w:jc w:val="both"/>
        <w:rPr>
          <w:rFonts w:ascii="Arial" w:hAnsi="Arial" w:cs="Arial"/>
        </w:rPr>
      </w:pPr>
      <w:r w:rsidRPr="00C012F2">
        <w:rPr>
          <w:rFonts w:ascii="Arial" w:hAnsi="Arial" w:cs="Arial"/>
        </w:rPr>
        <w:t xml:space="preserve">The growing popularity of social companies has resulted in increased rivalry within the industry. Established businesses with comparable social purposes may eclipse smaller social enterprises, making it difficult to sustain market share. For example, </w:t>
      </w:r>
      <w:r w:rsidRPr="00C012F2">
        <w:rPr>
          <w:rFonts w:ascii="Arial" w:hAnsi="Arial" w:cs="Arial"/>
        </w:rPr>
        <w:lastRenderedPageBreak/>
        <w:t>many firms are now implementing corporate social responsibility (CSR) efforts that compete with the aims of dedicated social enterprises.</w:t>
      </w:r>
    </w:p>
    <w:p w14:paraId="38BD633B" w14:textId="77777777" w:rsidR="00C012F2" w:rsidRPr="00C9038D" w:rsidRDefault="00C012F2" w:rsidP="00C012F2">
      <w:pPr>
        <w:spacing w:line="480" w:lineRule="auto"/>
        <w:jc w:val="both"/>
        <w:rPr>
          <w:rFonts w:ascii="Arial Black" w:hAnsi="Arial Black" w:cs="Arial"/>
        </w:rPr>
      </w:pPr>
      <w:r w:rsidRPr="00C012F2">
        <w:rPr>
          <w:rFonts w:ascii="Arial Black" w:hAnsi="Arial Black" w:cs="Arial"/>
        </w:rPr>
        <w:t>Regulatory challenges</w:t>
      </w:r>
    </w:p>
    <w:p w14:paraId="32EA4788" w14:textId="77777777" w:rsidR="00C012F2" w:rsidRDefault="00C012F2" w:rsidP="00C012F2">
      <w:pPr>
        <w:spacing w:line="480" w:lineRule="auto"/>
        <w:jc w:val="both"/>
        <w:rPr>
          <w:rFonts w:ascii="Arial" w:hAnsi="Arial" w:cs="Arial"/>
        </w:rPr>
      </w:pPr>
      <w:r w:rsidRPr="00C012F2">
        <w:rPr>
          <w:rFonts w:ascii="Arial" w:hAnsi="Arial" w:cs="Arial"/>
        </w:rPr>
        <w:t>Navigating the regulatory environment can be difficult for social entrepreneurs. Diverse legislation across areas can hinder operations, particularly for those looking to expand overseas. Compliance with various legal requirements for social impact reporting, taxation, and company operations can place a major burden on social enterprises.</w:t>
      </w:r>
    </w:p>
    <w:p w14:paraId="2B81E973" w14:textId="63DBF56E" w:rsidR="00C012F2" w:rsidRPr="00C9038D" w:rsidRDefault="00C012F2" w:rsidP="00C012F2">
      <w:pPr>
        <w:spacing w:line="480" w:lineRule="auto"/>
        <w:jc w:val="both"/>
        <w:rPr>
          <w:rFonts w:ascii="Arial Black" w:hAnsi="Arial Black" w:cs="Arial"/>
        </w:rPr>
      </w:pPr>
      <w:r w:rsidRPr="00C012F2">
        <w:rPr>
          <w:rFonts w:ascii="Arial Black" w:hAnsi="Arial Black" w:cs="Arial"/>
        </w:rPr>
        <w:t>Economic instability</w:t>
      </w:r>
    </w:p>
    <w:p w14:paraId="715CF855" w14:textId="77777777" w:rsidR="00C012F2" w:rsidRDefault="00C012F2" w:rsidP="00C012F2">
      <w:pPr>
        <w:spacing w:line="480" w:lineRule="auto"/>
        <w:jc w:val="both"/>
        <w:rPr>
          <w:rFonts w:ascii="Arial" w:hAnsi="Arial" w:cs="Arial"/>
        </w:rPr>
      </w:pPr>
      <w:r w:rsidRPr="00C012F2">
        <w:rPr>
          <w:rFonts w:ascii="Arial" w:hAnsi="Arial" w:cs="Arial"/>
        </w:rPr>
        <w:t>Economic downturns can disproportionately damage social enterprises since financing sources like contributions and grants may diminish during a recession. Furthermore, consumers may prefer essential goods over ethically created ones, lowering sales for social companies. The COVID-19 epidemic demonstrated how economic uncertainty may disrupt supply networks and financial streams, jeopardising the viability of social initiatives.</w:t>
      </w:r>
    </w:p>
    <w:p w14:paraId="1A2FD2D2" w14:textId="7BB06147" w:rsidR="00C012F2" w:rsidRPr="00C9038D" w:rsidRDefault="00C012F2" w:rsidP="00C012F2">
      <w:pPr>
        <w:spacing w:line="480" w:lineRule="auto"/>
        <w:jc w:val="both"/>
        <w:rPr>
          <w:rFonts w:ascii="Arial Black" w:hAnsi="Arial Black" w:cs="Arial"/>
        </w:rPr>
      </w:pPr>
      <w:r w:rsidRPr="00C012F2">
        <w:rPr>
          <w:rFonts w:ascii="Arial Black" w:hAnsi="Arial Black" w:cs="Arial"/>
        </w:rPr>
        <w:t>Mission Drift</w:t>
      </w:r>
    </w:p>
    <w:p w14:paraId="1E849C25" w14:textId="77777777" w:rsidR="00C012F2" w:rsidRDefault="00C012F2" w:rsidP="00C012F2">
      <w:pPr>
        <w:spacing w:line="480" w:lineRule="auto"/>
        <w:jc w:val="both"/>
        <w:rPr>
          <w:rFonts w:ascii="Arial" w:hAnsi="Arial" w:cs="Arial"/>
        </w:rPr>
      </w:pPr>
      <w:r w:rsidRPr="00C012F2">
        <w:rPr>
          <w:rFonts w:ascii="Arial" w:hAnsi="Arial" w:cs="Arial"/>
        </w:rPr>
        <w:t xml:space="preserve">Pressure to attain financial viability can occasionally cause social enterprises to depart from its initial aim, a phenomenon known as mission drift. This move may jeopardise basic social goals and diminish stakeholder trust. For example, if a social enterprise prioritises profit over social impact </w:t>
      </w:r>
      <w:r w:rsidRPr="00C012F2">
        <w:rPr>
          <w:rFonts w:ascii="Arial" w:hAnsi="Arial" w:cs="Arial"/>
        </w:rPr>
        <w:t>to</w:t>
      </w:r>
      <w:r w:rsidRPr="00C012F2">
        <w:rPr>
          <w:rFonts w:ascii="Arial" w:hAnsi="Arial" w:cs="Arial"/>
        </w:rPr>
        <w:t xml:space="preserve"> attract investors, it risks losing its distinct value offer and alienating its supporters.</w:t>
      </w:r>
    </w:p>
    <w:p w14:paraId="28E66A74" w14:textId="77777777" w:rsidR="00C9038D" w:rsidRDefault="00C9038D" w:rsidP="00C012F2">
      <w:pPr>
        <w:spacing w:line="480" w:lineRule="auto"/>
        <w:jc w:val="both"/>
        <w:rPr>
          <w:rFonts w:ascii="Arial" w:hAnsi="Arial" w:cs="Arial"/>
        </w:rPr>
      </w:pPr>
    </w:p>
    <w:p w14:paraId="6FE64FF8" w14:textId="3890DFCC" w:rsidR="00C012F2" w:rsidRDefault="00C012F2" w:rsidP="00C012F2">
      <w:pPr>
        <w:spacing w:line="480" w:lineRule="auto"/>
        <w:jc w:val="both"/>
        <w:rPr>
          <w:rFonts w:ascii="Arial" w:hAnsi="Arial" w:cs="Arial"/>
        </w:rPr>
      </w:pPr>
      <w:r w:rsidRPr="00C012F2">
        <w:rPr>
          <w:rFonts w:ascii="Arial Black" w:hAnsi="Arial Black" w:cs="Arial"/>
        </w:rPr>
        <w:lastRenderedPageBreak/>
        <w:t>Conclusion</w:t>
      </w:r>
      <w:r w:rsidRPr="00C012F2">
        <w:rPr>
          <w:rFonts w:ascii="Arial" w:hAnsi="Arial" w:cs="Arial"/>
        </w:rPr>
        <w:br/>
        <w:t>Social enterprises exist in a unique place at the crossroads of business and social impact, providing innovative solutions to critical societal concerns. A SWOT analysis reveals that, while these organisations have inherent strengths such as mission-driven focus, creativity, and community trust, they also suffer from weaknesses such as budget limits and operational difficulties. The external environment offers potential opportunities, such as increased ethical consumerism, technical breakthroughs, and helpful policies. However, social enterprises must deal with concerns such as fierce competition, legal barriers, economic insecurity, and the potential of mission drift.</w:t>
      </w:r>
    </w:p>
    <w:p w14:paraId="656A9C13" w14:textId="77777777" w:rsidR="00C012F2" w:rsidRDefault="00C012F2" w:rsidP="00C012F2">
      <w:pPr>
        <w:spacing w:line="480" w:lineRule="auto"/>
        <w:jc w:val="both"/>
        <w:rPr>
          <w:rFonts w:ascii="Arial" w:hAnsi="Arial" w:cs="Arial"/>
        </w:rPr>
      </w:pPr>
      <w:r w:rsidRPr="00C012F2">
        <w:rPr>
          <w:rFonts w:ascii="Arial" w:hAnsi="Arial" w:cs="Arial"/>
        </w:rPr>
        <w:t>To capitalise on opportunities and mitigate problems, social companies should use strategic approaches based on academic theories and actual experience. The Shared Value concept developed by Porter and Kramer can be used to efficiently align social and financial objectives. Embracing technology breakthroughs and building strategic collaborations can improve scalability and effectiveness. Furthermore, implementing rigorous effect measuring tools and diversifying financing sources helps address operational flaws while ensuring long-term viability.</w:t>
      </w:r>
    </w:p>
    <w:p w14:paraId="2958BF14" w14:textId="766A41C8" w:rsidR="00C012F2" w:rsidRDefault="00C012F2" w:rsidP="00C012F2">
      <w:pPr>
        <w:spacing w:line="480" w:lineRule="auto"/>
        <w:jc w:val="both"/>
        <w:rPr>
          <w:rFonts w:ascii="Arial" w:hAnsi="Arial" w:cs="Arial"/>
        </w:rPr>
      </w:pPr>
      <w:r w:rsidRPr="00C012F2">
        <w:rPr>
          <w:rFonts w:ascii="Arial" w:hAnsi="Arial" w:cs="Arial"/>
        </w:rPr>
        <w:t xml:space="preserve">Finally, social </w:t>
      </w:r>
      <w:r>
        <w:rPr>
          <w:rFonts w:ascii="Arial" w:hAnsi="Arial" w:cs="Arial"/>
        </w:rPr>
        <w:t xml:space="preserve">enterprises </w:t>
      </w:r>
      <w:r w:rsidRPr="00C012F2">
        <w:rPr>
          <w:rFonts w:ascii="Arial" w:hAnsi="Arial" w:cs="Arial"/>
        </w:rPr>
        <w:t>success depends on their capacity to strike a balance between financial sustainability and social responsibility. Social companies may make a big contribution to making the world more equal and sustainable by constantly adjusting to the changing terrain and solving inherent problems.</w:t>
      </w:r>
    </w:p>
    <w:p w14:paraId="2ADF845D" w14:textId="77777777" w:rsidR="00C012F2" w:rsidRDefault="00C012F2" w:rsidP="00C012F2">
      <w:pPr>
        <w:spacing w:line="480" w:lineRule="auto"/>
        <w:jc w:val="both"/>
        <w:rPr>
          <w:rFonts w:ascii="Arial" w:hAnsi="Arial" w:cs="Arial"/>
        </w:rPr>
      </w:pPr>
    </w:p>
    <w:p w14:paraId="1516326A" w14:textId="77777777" w:rsidR="00C012F2" w:rsidRDefault="00C012F2" w:rsidP="00C012F2">
      <w:pPr>
        <w:spacing w:line="480" w:lineRule="auto"/>
        <w:jc w:val="both"/>
        <w:rPr>
          <w:rFonts w:ascii="Arial" w:hAnsi="Arial" w:cs="Arial"/>
        </w:rPr>
      </w:pPr>
    </w:p>
    <w:p w14:paraId="04907273" w14:textId="77777777" w:rsidR="00C9038D" w:rsidRDefault="00C9038D" w:rsidP="00C012F2">
      <w:pPr>
        <w:spacing w:line="480" w:lineRule="auto"/>
        <w:jc w:val="both"/>
        <w:rPr>
          <w:rFonts w:ascii="Arial" w:hAnsi="Arial" w:cs="Arial"/>
        </w:rPr>
      </w:pPr>
    </w:p>
    <w:p w14:paraId="70D43FEB" w14:textId="42EFCCCB" w:rsidR="00C012F2" w:rsidRPr="00E443F2" w:rsidRDefault="00C012F2" w:rsidP="00C012F2">
      <w:pPr>
        <w:spacing w:line="480" w:lineRule="auto"/>
        <w:jc w:val="both"/>
        <w:rPr>
          <w:rFonts w:ascii="Arial Black" w:hAnsi="Arial Black" w:cs="Arial"/>
        </w:rPr>
      </w:pPr>
      <w:r w:rsidRPr="00E443F2">
        <w:rPr>
          <w:rFonts w:ascii="Arial Black" w:hAnsi="Arial Black" w:cs="Arial"/>
        </w:rPr>
        <w:lastRenderedPageBreak/>
        <w:t xml:space="preserve">References </w:t>
      </w:r>
    </w:p>
    <w:p w14:paraId="45466575" w14:textId="77777777" w:rsidR="00E443F2" w:rsidRDefault="00E443F2" w:rsidP="00E443F2">
      <w:pPr>
        <w:spacing w:line="480" w:lineRule="auto"/>
        <w:jc w:val="both"/>
        <w:rPr>
          <w:rFonts w:ascii="Arial" w:hAnsi="Arial" w:cs="Arial"/>
        </w:rPr>
      </w:pPr>
      <w:r w:rsidRPr="00E443F2">
        <w:rPr>
          <w:rFonts w:ascii="Arial" w:hAnsi="Arial" w:cs="Arial"/>
        </w:rPr>
        <w:t xml:space="preserve">Bloom, P. N., &amp; Chatterji, A. C. (2009). Scaling social entrepreneurial impact. </w:t>
      </w:r>
      <w:r w:rsidRPr="00E443F2">
        <w:rPr>
          <w:rFonts w:ascii="Arial" w:hAnsi="Arial" w:cs="Arial"/>
          <w:i/>
          <w:iCs/>
        </w:rPr>
        <w:t>California Management Review, 51</w:t>
      </w:r>
      <w:r w:rsidRPr="00E443F2">
        <w:rPr>
          <w:rFonts w:ascii="Arial" w:hAnsi="Arial" w:cs="Arial"/>
        </w:rPr>
        <w:t xml:space="preserve">(3), 114–133. </w:t>
      </w:r>
    </w:p>
    <w:p w14:paraId="4F69A586" w14:textId="2294E5F3" w:rsidR="00E443F2" w:rsidRDefault="00E443F2" w:rsidP="00E443F2">
      <w:pPr>
        <w:spacing w:line="480" w:lineRule="auto"/>
        <w:jc w:val="both"/>
        <w:rPr>
          <w:rFonts w:ascii="Arial" w:hAnsi="Arial" w:cs="Arial"/>
        </w:rPr>
      </w:pPr>
      <w:r w:rsidRPr="00E443F2">
        <w:rPr>
          <w:rFonts w:ascii="Arial" w:hAnsi="Arial" w:cs="Arial"/>
        </w:rPr>
        <w:t xml:space="preserve">Dees, J. G. (1998). </w:t>
      </w:r>
      <w:r w:rsidRPr="00E443F2">
        <w:rPr>
          <w:rFonts w:ascii="Arial" w:hAnsi="Arial" w:cs="Arial"/>
          <w:i/>
          <w:iCs/>
        </w:rPr>
        <w:t>The meaning of social entrepreneurship</w:t>
      </w:r>
      <w:r w:rsidRPr="00E443F2">
        <w:rPr>
          <w:rFonts w:ascii="Arial" w:hAnsi="Arial" w:cs="Arial"/>
        </w:rPr>
        <w:t xml:space="preserve">. Retrieved from </w:t>
      </w:r>
      <w:hyperlink r:id="rId8" w:history="1">
        <w:r w:rsidRPr="008006A0">
          <w:rPr>
            <w:rStyle w:val="Hyperlink"/>
            <w:rFonts w:ascii="Arial" w:hAnsi="Arial" w:cs="Arial"/>
          </w:rPr>
          <w:t>https://centers.fuqua.duke.edu/case/wp-content/uploads/sites/67/2013/01/The-Meaning-of-Social-Entrepreneurship.pdf</w:t>
        </w:r>
      </w:hyperlink>
    </w:p>
    <w:p w14:paraId="1EACC693" w14:textId="621B8FC5" w:rsidR="00E443F2" w:rsidRDefault="00E443F2" w:rsidP="00E443F2">
      <w:pPr>
        <w:spacing w:line="480" w:lineRule="auto"/>
        <w:jc w:val="both"/>
        <w:rPr>
          <w:rFonts w:ascii="Arial" w:hAnsi="Arial" w:cs="Arial"/>
        </w:rPr>
      </w:pPr>
      <w:r w:rsidRPr="00E443F2">
        <w:rPr>
          <w:rFonts w:ascii="Arial" w:hAnsi="Arial" w:cs="Arial"/>
        </w:rPr>
        <w:t xml:space="preserve">Markman, G. D., Russo, M., Lumpkin, G. T., Jennings, P. D., &amp; Mair, J. (2016). Entrepreneurship as a platform for pursuing multiple goals: A special issue on sustainability, ethics, and entrepreneurship. </w:t>
      </w:r>
      <w:r w:rsidRPr="00E443F2">
        <w:rPr>
          <w:rFonts w:ascii="Arial" w:hAnsi="Arial" w:cs="Arial"/>
          <w:i/>
          <w:iCs/>
        </w:rPr>
        <w:t>Journal of Management Studies, 53</w:t>
      </w:r>
      <w:r w:rsidRPr="00E443F2">
        <w:rPr>
          <w:rFonts w:ascii="Arial" w:hAnsi="Arial" w:cs="Arial"/>
        </w:rPr>
        <w:t xml:space="preserve">(5), 673–694. </w:t>
      </w:r>
      <w:hyperlink r:id="rId9" w:history="1">
        <w:r w:rsidRPr="008006A0">
          <w:rPr>
            <w:rStyle w:val="Hyperlink"/>
            <w:rFonts w:ascii="Arial" w:hAnsi="Arial" w:cs="Arial"/>
          </w:rPr>
          <w:t>https://doi.org/10.1111/joms.12214</w:t>
        </w:r>
      </w:hyperlink>
    </w:p>
    <w:p w14:paraId="3C7A8659" w14:textId="3C1ED2F3" w:rsidR="00E443F2" w:rsidRDefault="00E443F2" w:rsidP="00E443F2">
      <w:pPr>
        <w:spacing w:line="480" w:lineRule="auto"/>
        <w:jc w:val="both"/>
        <w:rPr>
          <w:rFonts w:ascii="Arial" w:hAnsi="Arial" w:cs="Arial"/>
        </w:rPr>
      </w:pPr>
      <w:r w:rsidRPr="00E443F2">
        <w:rPr>
          <w:rFonts w:ascii="Arial" w:hAnsi="Arial" w:cs="Arial"/>
        </w:rPr>
        <w:t xml:space="preserve">Mair, J., &amp; Martí, I. (2006). Social entrepreneurship research: A source of explanation, prediction, and delight. </w:t>
      </w:r>
      <w:r w:rsidRPr="00E443F2">
        <w:rPr>
          <w:rFonts w:ascii="Arial" w:hAnsi="Arial" w:cs="Arial"/>
          <w:i/>
          <w:iCs/>
        </w:rPr>
        <w:t>Journal of World Business, 41</w:t>
      </w:r>
      <w:r w:rsidRPr="00E443F2">
        <w:rPr>
          <w:rFonts w:ascii="Arial" w:hAnsi="Arial" w:cs="Arial"/>
        </w:rPr>
        <w:t xml:space="preserve">(1), 36–44. </w:t>
      </w:r>
      <w:hyperlink r:id="rId10" w:history="1">
        <w:r w:rsidRPr="008006A0">
          <w:rPr>
            <w:rStyle w:val="Hyperlink"/>
            <w:rFonts w:ascii="Arial" w:hAnsi="Arial" w:cs="Arial"/>
          </w:rPr>
          <w:t>https://doi.org/10.1016/j.jwb.2005.09.002</w:t>
        </w:r>
      </w:hyperlink>
    </w:p>
    <w:p w14:paraId="060AD67F" w14:textId="02961D68" w:rsidR="00E443F2" w:rsidRDefault="00E443F2" w:rsidP="00E443F2">
      <w:pPr>
        <w:spacing w:line="480" w:lineRule="auto"/>
        <w:jc w:val="both"/>
        <w:rPr>
          <w:rFonts w:ascii="Arial" w:hAnsi="Arial" w:cs="Arial"/>
        </w:rPr>
      </w:pPr>
      <w:r w:rsidRPr="00E443F2">
        <w:rPr>
          <w:rFonts w:ascii="Arial" w:hAnsi="Arial" w:cs="Arial"/>
        </w:rPr>
        <w:t xml:space="preserve">Mair, J., &amp; Martí, I. (2009). Entrepreneurship in and around institutional voids: A case study from Bangladesh. </w:t>
      </w:r>
      <w:r w:rsidRPr="00E443F2">
        <w:rPr>
          <w:rFonts w:ascii="Arial" w:hAnsi="Arial" w:cs="Arial"/>
          <w:i/>
          <w:iCs/>
        </w:rPr>
        <w:t>Journal of Business Venturing, 24</w:t>
      </w:r>
      <w:r w:rsidRPr="00E443F2">
        <w:rPr>
          <w:rFonts w:ascii="Arial" w:hAnsi="Arial" w:cs="Arial"/>
        </w:rPr>
        <w:t xml:space="preserve">(5), 419–435. </w:t>
      </w:r>
      <w:hyperlink r:id="rId11" w:history="1">
        <w:r w:rsidRPr="008006A0">
          <w:rPr>
            <w:rStyle w:val="Hyperlink"/>
            <w:rFonts w:ascii="Arial" w:hAnsi="Arial" w:cs="Arial"/>
          </w:rPr>
          <w:t>https://doi.org/10.1016/j.jbusvent.2008.07.001</w:t>
        </w:r>
      </w:hyperlink>
    </w:p>
    <w:p w14:paraId="34A7EA06" w14:textId="6A101537" w:rsidR="00E443F2" w:rsidRPr="00E443F2" w:rsidRDefault="00E443F2" w:rsidP="00E443F2">
      <w:pPr>
        <w:spacing w:line="480" w:lineRule="auto"/>
        <w:jc w:val="both"/>
        <w:rPr>
          <w:rFonts w:ascii="Arial" w:hAnsi="Arial" w:cs="Arial"/>
        </w:rPr>
      </w:pPr>
      <w:r w:rsidRPr="00E443F2">
        <w:rPr>
          <w:rFonts w:ascii="Arial" w:hAnsi="Arial" w:cs="Arial"/>
        </w:rPr>
        <w:t>Nicholls, A. (2010). The legitimacy of social entrepreneurship: Reflexive isomorphism in a pre</w:t>
      </w:r>
      <w:r w:rsidRPr="00E443F2">
        <w:rPr>
          <w:rFonts w:ascii="Cambria Math" w:hAnsi="Cambria Math" w:cs="Cambria Math"/>
        </w:rPr>
        <w:t>‐</w:t>
      </w:r>
      <w:r w:rsidRPr="00E443F2">
        <w:rPr>
          <w:rFonts w:ascii="Arial" w:hAnsi="Arial" w:cs="Arial"/>
        </w:rPr>
        <w:t xml:space="preserve">paradigmatic field. </w:t>
      </w:r>
      <w:r w:rsidRPr="00E443F2">
        <w:rPr>
          <w:rFonts w:ascii="Arial" w:hAnsi="Arial" w:cs="Arial"/>
          <w:i/>
          <w:iCs/>
        </w:rPr>
        <w:t>Entrepreneurship Theory and Practice, 34</w:t>
      </w:r>
      <w:r w:rsidRPr="00E443F2">
        <w:rPr>
          <w:rFonts w:ascii="Arial" w:hAnsi="Arial" w:cs="Arial"/>
        </w:rPr>
        <w:t>(4), 611–633.</w:t>
      </w:r>
    </w:p>
    <w:p w14:paraId="5FFE11B9" w14:textId="77777777" w:rsidR="00E443F2" w:rsidRPr="00E443F2" w:rsidRDefault="00E443F2" w:rsidP="00E443F2">
      <w:pPr>
        <w:spacing w:line="480" w:lineRule="auto"/>
        <w:jc w:val="both"/>
        <w:rPr>
          <w:rFonts w:ascii="Arial" w:hAnsi="Arial" w:cs="Arial"/>
        </w:rPr>
      </w:pPr>
      <w:r w:rsidRPr="00E443F2">
        <w:rPr>
          <w:rFonts w:ascii="Arial" w:hAnsi="Arial" w:cs="Arial"/>
        </w:rPr>
        <w:t>Porter, M. E., &amp; Kramer, M. R. (2011). Creating shared value. Harvard Business Review, 89(1/2), 62–77.</w:t>
      </w:r>
    </w:p>
    <w:p w14:paraId="5F68287D" w14:textId="51896954" w:rsidR="00E443F2" w:rsidRDefault="00E443F2" w:rsidP="00E443F2">
      <w:pPr>
        <w:spacing w:line="480" w:lineRule="auto"/>
        <w:jc w:val="both"/>
        <w:rPr>
          <w:rFonts w:ascii="Arial" w:hAnsi="Arial" w:cs="Arial"/>
        </w:rPr>
      </w:pPr>
      <w:proofErr w:type="spellStart"/>
      <w:r w:rsidRPr="00E443F2">
        <w:rPr>
          <w:rFonts w:ascii="Arial" w:hAnsi="Arial" w:cs="Arial"/>
        </w:rPr>
        <w:t>Schaltegger</w:t>
      </w:r>
      <w:proofErr w:type="spellEnd"/>
      <w:r w:rsidRPr="00E443F2">
        <w:rPr>
          <w:rFonts w:ascii="Arial" w:hAnsi="Arial" w:cs="Arial"/>
        </w:rPr>
        <w:t xml:space="preserve">, S., Beckmann, M., &amp; </w:t>
      </w:r>
      <w:proofErr w:type="spellStart"/>
      <w:r w:rsidRPr="00E443F2">
        <w:rPr>
          <w:rFonts w:ascii="Arial" w:hAnsi="Arial" w:cs="Arial"/>
        </w:rPr>
        <w:t>Hockerts</w:t>
      </w:r>
      <w:proofErr w:type="spellEnd"/>
      <w:r w:rsidRPr="00E443F2">
        <w:rPr>
          <w:rFonts w:ascii="Arial" w:hAnsi="Arial" w:cs="Arial"/>
        </w:rPr>
        <w:t xml:space="preserve">, K. (2018). Collaborative entrepreneurship for sustainability: Creating solutions </w:t>
      </w:r>
      <w:r w:rsidRPr="00E443F2">
        <w:rPr>
          <w:rFonts w:ascii="Arial" w:hAnsi="Arial" w:cs="Arial"/>
        </w:rPr>
        <w:t>considering</w:t>
      </w:r>
      <w:r w:rsidRPr="00E443F2">
        <w:rPr>
          <w:rFonts w:ascii="Arial" w:hAnsi="Arial" w:cs="Arial"/>
        </w:rPr>
        <w:t xml:space="preserve"> the UN sustainable development </w:t>
      </w:r>
      <w:r w:rsidRPr="00E443F2">
        <w:rPr>
          <w:rFonts w:ascii="Arial" w:hAnsi="Arial" w:cs="Arial"/>
        </w:rPr>
        <w:lastRenderedPageBreak/>
        <w:t xml:space="preserve">goals. International </w:t>
      </w:r>
      <w:r w:rsidRPr="00E443F2">
        <w:rPr>
          <w:rFonts w:ascii="Arial" w:hAnsi="Arial" w:cs="Arial"/>
          <w:i/>
          <w:iCs/>
        </w:rPr>
        <w:t>Journal of Entrepreneurial Venturing, 10</w:t>
      </w:r>
      <w:r w:rsidRPr="00E443F2">
        <w:rPr>
          <w:rFonts w:ascii="Arial" w:hAnsi="Arial" w:cs="Arial"/>
        </w:rPr>
        <w:t xml:space="preserve">(2), 131–151. </w:t>
      </w:r>
      <w:hyperlink r:id="rId12" w:history="1">
        <w:r w:rsidRPr="008006A0">
          <w:rPr>
            <w:rStyle w:val="Hyperlink"/>
            <w:rFonts w:ascii="Arial" w:hAnsi="Arial" w:cs="Arial"/>
          </w:rPr>
          <w:t>https://doi.org/10.1504/IJEV.2018.092709</w:t>
        </w:r>
      </w:hyperlink>
    </w:p>
    <w:p w14:paraId="1CC57674" w14:textId="5A08B1A5" w:rsidR="00E443F2" w:rsidRDefault="00E443F2" w:rsidP="00E443F2">
      <w:pPr>
        <w:spacing w:line="480" w:lineRule="auto"/>
        <w:jc w:val="both"/>
        <w:rPr>
          <w:rFonts w:ascii="Arial" w:hAnsi="Arial" w:cs="Arial"/>
        </w:rPr>
      </w:pPr>
      <w:proofErr w:type="spellStart"/>
      <w:r w:rsidRPr="00E443F2">
        <w:rPr>
          <w:rFonts w:ascii="Arial" w:hAnsi="Arial" w:cs="Arial"/>
        </w:rPr>
        <w:t>Schaltegger</w:t>
      </w:r>
      <w:proofErr w:type="spellEnd"/>
      <w:r w:rsidRPr="00E443F2">
        <w:rPr>
          <w:rFonts w:ascii="Arial" w:hAnsi="Arial" w:cs="Arial"/>
        </w:rPr>
        <w:t xml:space="preserve">, S., </w:t>
      </w:r>
      <w:proofErr w:type="spellStart"/>
      <w:r w:rsidRPr="00E443F2">
        <w:rPr>
          <w:rFonts w:ascii="Arial" w:hAnsi="Arial" w:cs="Arial"/>
        </w:rPr>
        <w:t>Lüdeke</w:t>
      </w:r>
      <w:proofErr w:type="spellEnd"/>
      <w:r w:rsidRPr="00E443F2">
        <w:rPr>
          <w:rFonts w:ascii="Arial" w:hAnsi="Arial" w:cs="Arial"/>
        </w:rPr>
        <w:t xml:space="preserve">-Freund, F., &amp; Hansen, E. G. (2016). Business models for sustainability: A co-evolutionary analysis of sustainable entrepreneurship, innovation, and transformation. </w:t>
      </w:r>
      <w:r w:rsidRPr="00E443F2">
        <w:rPr>
          <w:rFonts w:ascii="Arial" w:hAnsi="Arial" w:cs="Arial"/>
          <w:i/>
          <w:iCs/>
        </w:rPr>
        <w:t>Organization &amp; Environment, 29</w:t>
      </w:r>
      <w:r w:rsidRPr="00E443F2">
        <w:rPr>
          <w:rFonts w:ascii="Arial" w:hAnsi="Arial" w:cs="Arial"/>
        </w:rPr>
        <w:t xml:space="preserve">(3), 1–126. </w:t>
      </w:r>
      <w:hyperlink r:id="rId13" w:history="1">
        <w:r w:rsidRPr="008006A0">
          <w:rPr>
            <w:rStyle w:val="Hyperlink"/>
            <w:rFonts w:ascii="Arial" w:hAnsi="Arial" w:cs="Arial"/>
          </w:rPr>
          <w:t>https://doi.org/10.1177/1086026615594558</w:t>
        </w:r>
      </w:hyperlink>
    </w:p>
    <w:p w14:paraId="2AE43E43" w14:textId="3CC01161" w:rsidR="00E443F2" w:rsidRDefault="00E443F2" w:rsidP="00E443F2">
      <w:pPr>
        <w:spacing w:line="480" w:lineRule="auto"/>
        <w:jc w:val="both"/>
        <w:rPr>
          <w:rFonts w:ascii="Arial" w:hAnsi="Arial" w:cs="Arial"/>
        </w:rPr>
      </w:pPr>
      <w:proofErr w:type="spellStart"/>
      <w:r w:rsidRPr="00E443F2">
        <w:rPr>
          <w:rFonts w:ascii="Arial" w:hAnsi="Arial" w:cs="Arial"/>
        </w:rPr>
        <w:t>Tykkyläinen</w:t>
      </w:r>
      <w:proofErr w:type="spellEnd"/>
      <w:r w:rsidRPr="00E443F2">
        <w:rPr>
          <w:rFonts w:ascii="Arial" w:hAnsi="Arial" w:cs="Arial"/>
        </w:rPr>
        <w:t xml:space="preserve">, S. (2019, June 20). Why social enterprises pursue growth? Analysis of threats and opportunities. </w:t>
      </w:r>
      <w:r w:rsidRPr="00E443F2">
        <w:rPr>
          <w:rFonts w:ascii="Arial" w:hAnsi="Arial" w:cs="Arial"/>
          <w:i/>
          <w:iCs/>
        </w:rPr>
        <w:t>Social Enterprise Journal</w:t>
      </w:r>
      <w:r w:rsidRPr="00E443F2">
        <w:rPr>
          <w:rFonts w:ascii="Arial" w:hAnsi="Arial" w:cs="Arial"/>
        </w:rPr>
        <w:t>.</w:t>
      </w:r>
    </w:p>
    <w:p w14:paraId="2B4C8E33" w14:textId="2495AAC8" w:rsidR="00E443F2" w:rsidRPr="00E443F2" w:rsidRDefault="00E443F2" w:rsidP="00E443F2">
      <w:pPr>
        <w:spacing w:line="480" w:lineRule="auto"/>
        <w:jc w:val="both"/>
        <w:rPr>
          <w:rFonts w:ascii="Arial" w:hAnsi="Arial" w:cs="Arial"/>
        </w:rPr>
      </w:pPr>
      <w:r w:rsidRPr="00E443F2">
        <w:rPr>
          <w:rFonts w:ascii="Arial" w:hAnsi="Arial" w:cs="Arial"/>
        </w:rPr>
        <w:t xml:space="preserve">Yunus, M. (2007). </w:t>
      </w:r>
      <w:r w:rsidRPr="00E443F2">
        <w:rPr>
          <w:rFonts w:ascii="Arial" w:hAnsi="Arial" w:cs="Arial"/>
          <w:i/>
          <w:iCs/>
        </w:rPr>
        <w:t>Creating a World Without Poverty: Social Business and the Future of Capitalism.</w:t>
      </w:r>
      <w:r w:rsidRPr="00E443F2">
        <w:rPr>
          <w:rFonts w:ascii="Arial" w:hAnsi="Arial" w:cs="Arial"/>
        </w:rPr>
        <w:t xml:space="preserve"> Public Affairs.</w:t>
      </w:r>
    </w:p>
    <w:p w14:paraId="32F7F725" w14:textId="77777777" w:rsidR="00E443F2" w:rsidRPr="00E443F2" w:rsidRDefault="00E443F2" w:rsidP="00E443F2">
      <w:pPr>
        <w:spacing w:line="480" w:lineRule="auto"/>
        <w:jc w:val="both"/>
        <w:rPr>
          <w:rFonts w:ascii="Arial" w:hAnsi="Arial" w:cs="Arial"/>
        </w:rPr>
      </w:pPr>
    </w:p>
    <w:p w14:paraId="6DD11E41" w14:textId="77777777" w:rsidR="00E443F2" w:rsidRPr="00E443F2" w:rsidRDefault="00E443F2" w:rsidP="00E443F2">
      <w:pPr>
        <w:spacing w:line="480" w:lineRule="auto"/>
        <w:jc w:val="both"/>
        <w:rPr>
          <w:rFonts w:ascii="Arial" w:hAnsi="Arial" w:cs="Arial"/>
        </w:rPr>
      </w:pPr>
    </w:p>
    <w:p w14:paraId="0A829F53" w14:textId="77777777" w:rsidR="00E443F2" w:rsidRPr="00E443F2" w:rsidRDefault="00E443F2" w:rsidP="00E443F2">
      <w:pPr>
        <w:spacing w:line="480" w:lineRule="auto"/>
        <w:jc w:val="both"/>
        <w:rPr>
          <w:rFonts w:ascii="Arial" w:hAnsi="Arial" w:cs="Arial"/>
        </w:rPr>
      </w:pPr>
    </w:p>
    <w:p w14:paraId="5026E26E" w14:textId="77777777" w:rsidR="00E443F2" w:rsidRPr="00E443F2" w:rsidRDefault="00E443F2" w:rsidP="00E443F2">
      <w:pPr>
        <w:spacing w:line="480" w:lineRule="auto"/>
        <w:jc w:val="both"/>
        <w:rPr>
          <w:rFonts w:ascii="Arial" w:hAnsi="Arial" w:cs="Arial"/>
        </w:rPr>
      </w:pPr>
    </w:p>
    <w:p w14:paraId="7EC98766" w14:textId="77777777" w:rsidR="00E443F2" w:rsidRPr="00E443F2" w:rsidRDefault="00E443F2" w:rsidP="00E443F2">
      <w:pPr>
        <w:spacing w:line="480" w:lineRule="auto"/>
        <w:jc w:val="both"/>
        <w:rPr>
          <w:rFonts w:ascii="Arial" w:hAnsi="Arial" w:cs="Arial"/>
        </w:rPr>
      </w:pPr>
    </w:p>
    <w:p w14:paraId="2C09FB0C" w14:textId="77777777" w:rsidR="00C9038D" w:rsidRPr="00C012F2" w:rsidRDefault="00C9038D" w:rsidP="00C012F2">
      <w:pPr>
        <w:spacing w:line="480" w:lineRule="auto"/>
        <w:jc w:val="both"/>
        <w:rPr>
          <w:rFonts w:ascii="Arial" w:hAnsi="Arial" w:cs="Arial"/>
        </w:rPr>
      </w:pPr>
    </w:p>
    <w:p w14:paraId="7688DD2A" w14:textId="77777777" w:rsidR="00C012F2" w:rsidRPr="00C012F2" w:rsidRDefault="00C012F2" w:rsidP="00C012F2">
      <w:pPr>
        <w:spacing w:line="480" w:lineRule="auto"/>
        <w:jc w:val="both"/>
        <w:rPr>
          <w:rFonts w:ascii="Arial" w:hAnsi="Arial" w:cs="Arial"/>
        </w:rPr>
      </w:pPr>
    </w:p>
    <w:sectPr w:rsidR="00C012F2" w:rsidRPr="00C012F2" w:rsidSect="00C012F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7747E3" w14:textId="77777777" w:rsidR="007F7386" w:rsidRDefault="007F7386" w:rsidP="00C012F2">
      <w:pPr>
        <w:spacing w:after="0" w:line="240" w:lineRule="auto"/>
      </w:pPr>
      <w:r>
        <w:separator/>
      </w:r>
    </w:p>
  </w:endnote>
  <w:endnote w:type="continuationSeparator" w:id="0">
    <w:p w14:paraId="02CDFCDA" w14:textId="77777777" w:rsidR="007F7386" w:rsidRDefault="007F7386" w:rsidP="00C01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haroni">
    <w:charset w:val="B1"/>
    <w:family w:val="auto"/>
    <w:pitch w:val="variable"/>
    <w:sig w:usb0="00000803" w:usb1="00000000" w:usb2="00000000" w:usb3="00000000" w:csb0="00000021" w:csb1="00000000"/>
  </w:font>
  <w:font w:name="Aldhabi">
    <w:charset w:val="B2"/>
    <w:family w:val="auto"/>
    <w:pitch w:val="variable"/>
    <w:sig w:usb0="80002007" w:usb1="80000000" w:usb2="00000008" w:usb3="00000000" w:csb0="0000004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578052"/>
      <w:docPartObj>
        <w:docPartGallery w:val="Page Numbers (Bottom of Page)"/>
        <w:docPartUnique/>
      </w:docPartObj>
    </w:sdtPr>
    <w:sdtEndPr>
      <w:rPr>
        <w:noProof/>
      </w:rPr>
    </w:sdtEndPr>
    <w:sdtContent>
      <w:p w14:paraId="6A52DEFE" w14:textId="5A1F4DB8" w:rsidR="00C012F2" w:rsidRDefault="00C012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CDD0C2" w14:textId="77777777" w:rsidR="00C012F2" w:rsidRDefault="00C012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9CB1B8" w14:textId="77777777" w:rsidR="007F7386" w:rsidRDefault="007F7386" w:rsidP="00C012F2">
      <w:pPr>
        <w:spacing w:after="0" w:line="240" w:lineRule="auto"/>
      </w:pPr>
      <w:r>
        <w:separator/>
      </w:r>
    </w:p>
  </w:footnote>
  <w:footnote w:type="continuationSeparator" w:id="0">
    <w:p w14:paraId="2AABF393" w14:textId="77777777" w:rsidR="007F7386" w:rsidRDefault="007F7386" w:rsidP="00C012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2F2"/>
    <w:rsid w:val="007F7386"/>
    <w:rsid w:val="00930CF1"/>
    <w:rsid w:val="00C012F2"/>
    <w:rsid w:val="00C9038D"/>
    <w:rsid w:val="00E44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E3F2B"/>
  <w15:chartTrackingRefBased/>
  <w15:docId w15:val="{14B78645-8ECD-4E5A-9C44-CCD392F7B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2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12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2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2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2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2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2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2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2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2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12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2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2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2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2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2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2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2F2"/>
    <w:rPr>
      <w:rFonts w:eastAsiaTheme="majorEastAsia" w:cstheme="majorBidi"/>
      <w:color w:val="272727" w:themeColor="text1" w:themeTint="D8"/>
    </w:rPr>
  </w:style>
  <w:style w:type="paragraph" w:styleId="Title">
    <w:name w:val="Title"/>
    <w:basedOn w:val="Normal"/>
    <w:next w:val="Normal"/>
    <w:link w:val="TitleChar"/>
    <w:uiPriority w:val="10"/>
    <w:qFormat/>
    <w:rsid w:val="00C012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2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2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2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2F2"/>
    <w:pPr>
      <w:spacing w:before="160"/>
      <w:jc w:val="center"/>
    </w:pPr>
    <w:rPr>
      <w:i/>
      <w:iCs/>
      <w:color w:val="404040" w:themeColor="text1" w:themeTint="BF"/>
    </w:rPr>
  </w:style>
  <w:style w:type="character" w:customStyle="1" w:styleId="QuoteChar">
    <w:name w:val="Quote Char"/>
    <w:basedOn w:val="DefaultParagraphFont"/>
    <w:link w:val="Quote"/>
    <w:uiPriority w:val="29"/>
    <w:rsid w:val="00C012F2"/>
    <w:rPr>
      <w:i/>
      <w:iCs/>
      <w:color w:val="404040" w:themeColor="text1" w:themeTint="BF"/>
    </w:rPr>
  </w:style>
  <w:style w:type="paragraph" w:styleId="ListParagraph">
    <w:name w:val="List Paragraph"/>
    <w:basedOn w:val="Normal"/>
    <w:uiPriority w:val="34"/>
    <w:qFormat/>
    <w:rsid w:val="00C012F2"/>
    <w:pPr>
      <w:ind w:left="720"/>
      <w:contextualSpacing/>
    </w:pPr>
  </w:style>
  <w:style w:type="character" w:styleId="IntenseEmphasis">
    <w:name w:val="Intense Emphasis"/>
    <w:basedOn w:val="DefaultParagraphFont"/>
    <w:uiPriority w:val="21"/>
    <w:qFormat/>
    <w:rsid w:val="00C012F2"/>
    <w:rPr>
      <w:i/>
      <w:iCs/>
      <w:color w:val="0F4761" w:themeColor="accent1" w:themeShade="BF"/>
    </w:rPr>
  </w:style>
  <w:style w:type="paragraph" w:styleId="IntenseQuote">
    <w:name w:val="Intense Quote"/>
    <w:basedOn w:val="Normal"/>
    <w:next w:val="Normal"/>
    <w:link w:val="IntenseQuoteChar"/>
    <w:uiPriority w:val="30"/>
    <w:qFormat/>
    <w:rsid w:val="00C012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2F2"/>
    <w:rPr>
      <w:i/>
      <w:iCs/>
      <w:color w:val="0F4761" w:themeColor="accent1" w:themeShade="BF"/>
    </w:rPr>
  </w:style>
  <w:style w:type="character" w:styleId="IntenseReference">
    <w:name w:val="Intense Reference"/>
    <w:basedOn w:val="DefaultParagraphFont"/>
    <w:uiPriority w:val="32"/>
    <w:qFormat/>
    <w:rsid w:val="00C012F2"/>
    <w:rPr>
      <w:b/>
      <w:bCs/>
      <w:smallCaps/>
      <w:color w:val="0F4761" w:themeColor="accent1" w:themeShade="BF"/>
      <w:spacing w:val="5"/>
    </w:rPr>
  </w:style>
  <w:style w:type="paragraph" w:styleId="Header">
    <w:name w:val="header"/>
    <w:basedOn w:val="Normal"/>
    <w:link w:val="HeaderChar"/>
    <w:uiPriority w:val="99"/>
    <w:unhideWhenUsed/>
    <w:rsid w:val="00C012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2F2"/>
  </w:style>
  <w:style w:type="paragraph" w:styleId="Footer">
    <w:name w:val="footer"/>
    <w:basedOn w:val="Normal"/>
    <w:link w:val="FooterChar"/>
    <w:uiPriority w:val="99"/>
    <w:unhideWhenUsed/>
    <w:rsid w:val="00C012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2F2"/>
  </w:style>
  <w:style w:type="paragraph" w:styleId="NoSpacing">
    <w:name w:val="No Spacing"/>
    <w:link w:val="NoSpacingChar"/>
    <w:uiPriority w:val="1"/>
    <w:qFormat/>
    <w:rsid w:val="00C012F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012F2"/>
    <w:rPr>
      <w:rFonts w:eastAsiaTheme="minorEastAsia"/>
      <w:kern w:val="0"/>
      <w:sz w:val="22"/>
      <w:szCs w:val="22"/>
      <w:lang w:val="en-US"/>
      <w14:ligatures w14:val="none"/>
    </w:rPr>
  </w:style>
  <w:style w:type="character" w:styleId="Hyperlink">
    <w:name w:val="Hyperlink"/>
    <w:basedOn w:val="DefaultParagraphFont"/>
    <w:uiPriority w:val="99"/>
    <w:unhideWhenUsed/>
    <w:rsid w:val="00E443F2"/>
    <w:rPr>
      <w:color w:val="467886" w:themeColor="hyperlink"/>
      <w:u w:val="single"/>
    </w:rPr>
  </w:style>
  <w:style w:type="character" w:styleId="UnresolvedMention">
    <w:name w:val="Unresolved Mention"/>
    <w:basedOn w:val="DefaultParagraphFont"/>
    <w:uiPriority w:val="99"/>
    <w:semiHidden/>
    <w:unhideWhenUsed/>
    <w:rsid w:val="00E443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7566234">
      <w:bodyDiv w:val="1"/>
      <w:marLeft w:val="0"/>
      <w:marRight w:val="0"/>
      <w:marTop w:val="0"/>
      <w:marBottom w:val="0"/>
      <w:divBdr>
        <w:top w:val="none" w:sz="0" w:space="0" w:color="auto"/>
        <w:left w:val="none" w:sz="0" w:space="0" w:color="auto"/>
        <w:bottom w:val="none" w:sz="0" w:space="0" w:color="auto"/>
        <w:right w:val="none" w:sz="0" w:space="0" w:color="auto"/>
      </w:divBdr>
    </w:div>
    <w:div w:id="1186601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nters.fuqua.duke.edu/case/wp-content/uploads/sites/67/2013/01/The-Meaning-of-Social-Entrepreneurship.pdf" TargetMode="External"/><Relationship Id="rId13" Type="http://schemas.openxmlformats.org/officeDocument/2006/relationships/hyperlink" Target="https://doi.org/10.1177/1086026615594558" TargetMode="Externa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doi.org/10.1504/IJEV.2018.09270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jbusvent.2008.07.00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16/j.jwb.2005.09.002" TargetMode="External"/><Relationship Id="rId4" Type="http://schemas.openxmlformats.org/officeDocument/2006/relationships/webSettings" Target="webSettings.xml"/><Relationship Id="rId9" Type="http://schemas.openxmlformats.org/officeDocument/2006/relationships/hyperlink" Target="https://doi.org/10.1111/joms.1221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11</Pages>
  <Words>2127</Words>
  <Characters>12130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Social Enterprise: Theory and Practice</Company>
  <LinksUpToDate>false</LinksUpToDate>
  <CharactersWithSpaces>14229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and Threats to Social Enterprise</dc:title>
  <dc:subject/>
  <dc:creator>Madalina Denisa Dumitru (2322892)</dc:creator>
  <cp:keywords/>
  <dc:description/>
  <cp:lastModifiedBy>Mirabela Voican (1907947)</cp:lastModifiedBy>
  <cp:revision>1</cp:revision>
  <dcterms:created xsi:type="dcterms:W3CDTF">2024-11-02T20:42:00Z</dcterms:created>
  <dcterms:modified xsi:type="dcterms:W3CDTF">2024-11-02T21:14:00Z</dcterms:modified>
</cp:coreProperties>
</file>