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14F3E" w:rsidRPr="00FB5C62" w:rsidRDefault="00414F3E" w:rsidP="00FB5C62">
      <w:pPr>
        <w:tabs>
          <w:tab w:val="left" w:pos="-720"/>
          <w:tab w:val="left" w:pos="0"/>
        </w:tabs>
        <w:suppressAutoHyphens/>
        <w:spacing w:line="276" w:lineRule="auto"/>
        <w:jc w:val="center"/>
        <w:rPr>
          <w:rFonts w:ascii="Perpetua" w:hAnsi="Perpetua" w:cs="Adobe Devanagari"/>
          <w:b/>
          <w:spacing w:val="-3"/>
          <w:sz w:val="26"/>
          <w:szCs w:val="26"/>
          <w:lang w:val="en-GB"/>
        </w:rPr>
      </w:pPr>
      <w:r w:rsidRPr="00FB5C62">
        <w:rPr>
          <w:rFonts w:ascii="Perpetua" w:hAnsi="Perpetua" w:cs="Adobe Devanagari"/>
          <w:b/>
          <w:spacing w:val="-3"/>
          <w:sz w:val="26"/>
          <w:szCs w:val="26"/>
          <w:lang w:val="en-GB"/>
        </w:rPr>
        <w:t>Error and Sweet Violence: Shakespeare and Renaissance Comedy and Tragedy</w:t>
      </w:r>
    </w:p>
    <w:p w:rsidR="00414F3E" w:rsidRPr="00FB5C62" w:rsidRDefault="00414F3E" w:rsidP="00FB5C62">
      <w:pPr>
        <w:tabs>
          <w:tab w:val="left" w:pos="-720"/>
          <w:tab w:val="left" w:pos="0"/>
        </w:tabs>
        <w:suppressAutoHyphens/>
        <w:spacing w:line="276" w:lineRule="auto"/>
        <w:jc w:val="center"/>
        <w:rPr>
          <w:rFonts w:ascii="Perpetua" w:hAnsi="Perpetua" w:cs="Adobe Devanagari"/>
          <w:spacing w:val="-3"/>
          <w:sz w:val="26"/>
          <w:szCs w:val="26"/>
          <w:lang w:val="en-GB"/>
        </w:rPr>
      </w:pPr>
      <w:r w:rsidRPr="00FB5C62">
        <w:rPr>
          <w:rFonts w:ascii="Perpetua" w:hAnsi="Perpetua" w:cs="Adobe Devanagari"/>
          <w:spacing w:val="-3"/>
          <w:sz w:val="26"/>
          <w:szCs w:val="26"/>
          <w:lang w:val="en-GB"/>
        </w:rPr>
        <w:t>HPEN</w:t>
      </w:r>
      <w:r w:rsidR="006C50AC" w:rsidRPr="00FB5C62">
        <w:rPr>
          <w:rFonts w:ascii="Perpetua" w:hAnsi="Perpetua" w:cs="Adobe Devanagari"/>
          <w:spacing w:val="-3"/>
          <w:sz w:val="26"/>
          <w:szCs w:val="26"/>
          <w:lang w:val="en-GB"/>
        </w:rPr>
        <w:t>5</w:t>
      </w:r>
      <w:r w:rsidRPr="00FB5C62">
        <w:rPr>
          <w:rFonts w:ascii="Perpetua" w:hAnsi="Perpetua" w:cs="Adobe Devanagari"/>
          <w:spacing w:val="-3"/>
          <w:sz w:val="26"/>
          <w:szCs w:val="26"/>
          <w:lang w:val="en-GB"/>
        </w:rPr>
        <w:t>00</w:t>
      </w:r>
      <w:r w:rsidR="006C50AC" w:rsidRPr="00FB5C62">
        <w:rPr>
          <w:rFonts w:ascii="Perpetua" w:hAnsi="Perpetua" w:cs="Adobe Devanagari"/>
          <w:spacing w:val="-3"/>
          <w:sz w:val="26"/>
          <w:szCs w:val="26"/>
          <w:lang w:val="en-GB"/>
        </w:rPr>
        <w:t>4</w:t>
      </w:r>
      <w:r w:rsidRPr="00FB5C62">
        <w:rPr>
          <w:rFonts w:ascii="Perpetua" w:hAnsi="Perpetua" w:cs="Adobe Devanagari"/>
          <w:spacing w:val="-3"/>
          <w:sz w:val="26"/>
          <w:szCs w:val="26"/>
          <w:lang w:val="en-GB"/>
        </w:rPr>
        <w:t>/</w:t>
      </w:r>
      <w:r w:rsidR="006C50AC" w:rsidRPr="00FB5C62">
        <w:rPr>
          <w:rFonts w:ascii="Perpetua" w:hAnsi="Perpetua" w:cs="Adobe Devanagari"/>
          <w:spacing w:val="-3"/>
          <w:sz w:val="26"/>
          <w:szCs w:val="26"/>
          <w:lang w:val="en-GB"/>
        </w:rPr>
        <w:t>6</w:t>
      </w:r>
      <w:r w:rsidRPr="00FB5C62">
        <w:rPr>
          <w:rFonts w:ascii="Perpetua" w:hAnsi="Perpetua" w:cs="Adobe Devanagari"/>
          <w:spacing w:val="-3"/>
          <w:sz w:val="26"/>
          <w:szCs w:val="26"/>
          <w:lang w:val="en-GB"/>
        </w:rPr>
        <w:t>00</w:t>
      </w:r>
      <w:r w:rsidR="006C50AC" w:rsidRPr="00FB5C62">
        <w:rPr>
          <w:rFonts w:ascii="Perpetua" w:hAnsi="Perpetua" w:cs="Adobe Devanagari"/>
          <w:spacing w:val="-3"/>
          <w:sz w:val="26"/>
          <w:szCs w:val="26"/>
          <w:lang w:val="en-GB"/>
        </w:rPr>
        <w:t>4</w:t>
      </w:r>
    </w:p>
    <w:p w:rsidR="00414F3E" w:rsidRPr="00FB5C62" w:rsidRDefault="00414F3E" w:rsidP="00FB5C62">
      <w:pPr>
        <w:tabs>
          <w:tab w:val="left" w:pos="-720"/>
          <w:tab w:val="left" w:pos="0"/>
        </w:tabs>
        <w:suppressAutoHyphens/>
        <w:spacing w:line="276" w:lineRule="auto"/>
        <w:jc w:val="center"/>
        <w:rPr>
          <w:rFonts w:ascii="Perpetua" w:hAnsi="Perpetua" w:cs="Adobe Devanagari"/>
          <w:spacing w:val="-3"/>
          <w:sz w:val="26"/>
          <w:szCs w:val="26"/>
          <w:lang w:val="en-GB"/>
        </w:rPr>
      </w:pPr>
      <w:r w:rsidRPr="00FB5C62">
        <w:rPr>
          <w:rFonts w:ascii="Perpetua" w:hAnsi="Perpetua" w:cs="Adobe Devanagari"/>
          <w:spacing w:val="-3"/>
          <w:sz w:val="26"/>
          <w:szCs w:val="26"/>
          <w:lang w:val="en-GB"/>
        </w:rPr>
        <w:t>LECTURE</w:t>
      </w:r>
    </w:p>
    <w:p w:rsidR="00414F3E" w:rsidRPr="00FB5C62" w:rsidRDefault="004173B8" w:rsidP="00FB5C62">
      <w:pPr>
        <w:tabs>
          <w:tab w:val="left" w:pos="-720"/>
          <w:tab w:val="left" w:pos="0"/>
        </w:tabs>
        <w:suppressAutoHyphens/>
        <w:spacing w:line="276" w:lineRule="auto"/>
        <w:jc w:val="center"/>
        <w:rPr>
          <w:rFonts w:ascii="Perpetua" w:hAnsi="Perpetua" w:cs="Adobe Devanagari"/>
          <w:spacing w:val="-3"/>
          <w:sz w:val="26"/>
          <w:szCs w:val="26"/>
          <w:lang w:val="en-GB"/>
        </w:rPr>
      </w:pPr>
      <w:r>
        <w:rPr>
          <w:rFonts w:ascii="Perpetua" w:hAnsi="Perpetua" w:cs="Adobe Devanagari"/>
          <w:b/>
          <w:spacing w:val="-3"/>
          <w:sz w:val="26"/>
          <w:szCs w:val="26"/>
          <w:lang w:val="en-GB"/>
        </w:rPr>
        <w:t>SHAKESPEARE</w:t>
      </w:r>
      <w:r w:rsidR="006D776F" w:rsidRPr="00FB5C62">
        <w:rPr>
          <w:rFonts w:ascii="Perpetua" w:hAnsi="Perpetua" w:cs="Adobe Devanagari"/>
          <w:b/>
          <w:spacing w:val="-3"/>
          <w:sz w:val="26"/>
          <w:szCs w:val="26"/>
          <w:lang w:val="en-GB"/>
        </w:rPr>
        <w:t xml:space="preserve">, </w:t>
      </w:r>
      <w:r w:rsidR="006D776F" w:rsidRPr="00FB5C62">
        <w:rPr>
          <w:rFonts w:ascii="Perpetua" w:hAnsi="Perpetua" w:cs="Adobe Devanagari"/>
          <w:b/>
          <w:i/>
          <w:spacing w:val="-3"/>
          <w:sz w:val="26"/>
          <w:szCs w:val="26"/>
          <w:lang w:val="en-GB"/>
        </w:rPr>
        <w:t>T</w:t>
      </w:r>
      <w:r>
        <w:rPr>
          <w:rFonts w:ascii="Perpetua" w:hAnsi="Perpetua" w:cs="Adobe Devanagari"/>
          <w:b/>
          <w:i/>
          <w:spacing w:val="-3"/>
          <w:sz w:val="26"/>
          <w:szCs w:val="26"/>
          <w:lang w:val="en-GB"/>
        </w:rPr>
        <w:t>WELFTH NIGHT, OR WHAT YOU WILL</w:t>
      </w:r>
    </w:p>
    <w:p w:rsidR="00FB5C62" w:rsidRPr="00FB5C62" w:rsidRDefault="00FB5C62" w:rsidP="004173B8">
      <w:pPr>
        <w:tabs>
          <w:tab w:val="left" w:pos="-720"/>
          <w:tab w:val="left" w:pos="0"/>
        </w:tabs>
        <w:suppressAutoHyphens/>
        <w:spacing w:line="276" w:lineRule="auto"/>
        <w:rPr>
          <w:rFonts w:ascii="Perpetua" w:hAnsi="Perpetua" w:cs="Adobe Devanagari"/>
          <w:spacing w:val="-3"/>
          <w:sz w:val="26"/>
          <w:szCs w:val="26"/>
          <w:lang w:val="en-GB"/>
        </w:rPr>
      </w:pPr>
    </w:p>
    <w:p w:rsidR="004173B8" w:rsidRPr="004173B8" w:rsidRDefault="004173B8" w:rsidP="004173B8">
      <w:pPr>
        <w:tabs>
          <w:tab w:val="left" w:pos="-720"/>
          <w:tab w:val="left" w:pos="0"/>
        </w:tabs>
        <w:suppressAutoHyphens/>
        <w:spacing w:line="276" w:lineRule="auto"/>
        <w:rPr>
          <w:rFonts w:ascii="Perpetua" w:hAnsi="Perpetua" w:cs="Adobe Devanagari"/>
          <w:b/>
          <w:spacing w:val="-3"/>
          <w:sz w:val="26"/>
          <w:szCs w:val="26"/>
          <w:lang w:val="en-GB"/>
        </w:rPr>
      </w:pPr>
    </w:p>
    <w:p w:rsidR="004173B8" w:rsidRPr="004173B8" w:rsidRDefault="004173B8" w:rsidP="004173B8">
      <w:pPr>
        <w:pStyle w:val="ListParagraph"/>
        <w:numPr>
          <w:ilvl w:val="0"/>
          <w:numId w:val="6"/>
        </w:numPr>
        <w:tabs>
          <w:tab w:val="left" w:pos="-720"/>
          <w:tab w:val="left" w:pos="0"/>
        </w:tabs>
        <w:suppressAutoHyphens/>
        <w:snapToGrid/>
        <w:spacing w:line="276" w:lineRule="auto"/>
        <w:rPr>
          <w:rFonts w:ascii="Perpetua" w:hAnsi="Perpetua" w:cs="Adobe Devanagari"/>
          <w:b/>
          <w:spacing w:val="-3"/>
          <w:sz w:val="26"/>
          <w:szCs w:val="26"/>
          <w:u w:val="single"/>
          <w:lang w:val="en-GB"/>
        </w:rPr>
      </w:pPr>
      <w:r w:rsidRPr="004173B8">
        <w:rPr>
          <w:rFonts w:ascii="Perpetua" w:hAnsi="Perpetua" w:cs="Adobe Devanagari"/>
          <w:b/>
          <w:spacing w:val="-3"/>
          <w:sz w:val="26"/>
          <w:szCs w:val="26"/>
          <w:lang w:val="en-GB"/>
        </w:rPr>
        <w:t xml:space="preserve">The early textual history and performance of </w:t>
      </w:r>
      <w:r w:rsidRPr="004173B8">
        <w:rPr>
          <w:rFonts w:ascii="Perpetua" w:hAnsi="Perpetua" w:cs="Adobe Devanagari"/>
          <w:b/>
          <w:i/>
          <w:spacing w:val="-3"/>
          <w:sz w:val="26"/>
          <w:szCs w:val="26"/>
          <w:lang w:val="en-GB"/>
        </w:rPr>
        <w:t>Twelfth Night</w:t>
      </w:r>
      <w:r w:rsidRPr="004173B8">
        <w:rPr>
          <w:rFonts w:ascii="Perpetua" w:hAnsi="Perpetua" w:cs="Adobe Devanagari"/>
          <w:b/>
          <w:spacing w:val="-3"/>
          <w:sz w:val="26"/>
          <w:szCs w:val="26"/>
          <w:lang w:val="en-GB"/>
        </w:rPr>
        <w:t>; the culture of the Inns of Court</w:t>
      </w:r>
    </w:p>
    <w:p w:rsidR="004173B8" w:rsidRDefault="004173B8" w:rsidP="004173B8">
      <w:pPr>
        <w:tabs>
          <w:tab w:val="left" w:pos="-720"/>
          <w:tab w:val="left" w:pos="0"/>
        </w:tabs>
        <w:suppressAutoHyphens/>
        <w:snapToGrid/>
        <w:spacing w:line="276" w:lineRule="auto"/>
        <w:rPr>
          <w:rFonts w:ascii="Perpetua" w:hAnsi="Perpetua" w:cs="Adobe Devanagari"/>
          <w:spacing w:val="-3"/>
          <w:sz w:val="26"/>
          <w:szCs w:val="26"/>
          <w:lang w:val="en-GB"/>
        </w:rPr>
      </w:pPr>
    </w:p>
    <w:p w:rsidR="004173B8" w:rsidRDefault="00B97227" w:rsidP="004173B8">
      <w:pPr>
        <w:tabs>
          <w:tab w:val="left" w:pos="-720"/>
          <w:tab w:val="left" w:pos="0"/>
        </w:tabs>
        <w:suppressAutoHyphens/>
        <w:snapToGrid/>
        <w:spacing w:line="276" w:lineRule="auto"/>
        <w:rPr>
          <w:rFonts w:ascii="Perpetua" w:hAnsi="Perpetua" w:cs="Adobe Devanagari"/>
          <w:spacing w:val="-3"/>
          <w:sz w:val="26"/>
          <w:szCs w:val="26"/>
          <w:lang w:val="en-GB"/>
        </w:rPr>
      </w:pPr>
      <w:r>
        <w:rPr>
          <w:rFonts w:ascii="Perpetua" w:hAnsi="Perpetua" w:cs="Adobe Devanagari"/>
          <w:i/>
          <w:spacing w:val="-3"/>
          <w:sz w:val="26"/>
          <w:szCs w:val="26"/>
          <w:lang w:val="en-GB"/>
        </w:rPr>
        <w:t>Twelfth Night</w:t>
      </w:r>
      <w:r>
        <w:rPr>
          <w:rFonts w:ascii="Perpetua" w:hAnsi="Perpetua" w:cs="Adobe Devanagari"/>
          <w:spacing w:val="-3"/>
          <w:sz w:val="26"/>
          <w:szCs w:val="26"/>
          <w:lang w:val="en-GB"/>
        </w:rPr>
        <w:t xml:space="preserve"> was</w:t>
      </w:r>
      <w:r w:rsidR="00111997">
        <w:rPr>
          <w:rFonts w:ascii="Perpetua" w:hAnsi="Perpetua" w:cs="Adobe Devanagari"/>
          <w:spacing w:val="-3"/>
          <w:sz w:val="26"/>
          <w:szCs w:val="26"/>
          <w:lang w:val="en-GB"/>
        </w:rPr>
        <w:t xml:space="preserve"> probably written in 1601 but was</w:t>
      </w:r>
      <w:r>
        <w:rPr>
          <w:rFonts w:ascii="Perpetua" w:hAnsi="Perpetua" w:cs="Adobe Devanagari"/>
          <w:spacing w:val="-3"/>
          <w:sz w:val="26"/>
          <w:szCs w:val="26"/>
          <w:lang w:val="en-GB"/>
        </w:rPr>
        <w:t xml:space="preserve"> first printed in the 1623 the first folio collection of Shakespeare’s works. The text is regarded as ‘clean’, with relatively few errors. However, t</w:t>
      </w:r>
      <w:r w:rsidR="009B6E78">
        <w:rPr>
          <w:rFonts w:ascii="Perpetua" w:hAnsi="Perpetua" w:cs="Adobe Devanagari"/>
          <w:spacing w:val="-3"/>
          <w:sz w:val="26"/>
          <w:szCs w:val="26"/>
          <w:lang w:val="en-GB"/>
        </w:rPr>
        <w:t>he mildness of Sir Toby Belch’s profanity in the text has suggested to some critics that the text has been revised for a revival during the period of greater suppression of profanity. ‘In other plays the normal substitute for “God” is “heaven”, but here “Jove” appears several times with perhaps intentionally ludicrous effect. The joke need not be Shakespeare’s.’</w:t>
      </w:r>
      <w:r w:rsidR="009B6E78">
        <w:rPr>
          <w:rStyle w:val="FootnoteReference"/>
          <w:rFonts w:ascii="Perpetua" w:hAnsi="Perpetua" w:cs="Adobe Devanagari"/>
          <w:spacing w:val="-3"/>
          <w:sz w:val="26"/>
          <w:szCs w:val="26"/>
          <w:lang w:val="en-GB"/>
        </w:rPr>
        <w:footnoteReference w:id="1"/>
      </w:r>
    </w:p>
    <w:p w:rsidR="004B1B88" w:rsidRDefault="004B1B88" w:rsidP="004173B8">
      <w:pPr>
        <w:tabs>
          <w:tab w:val="left" w:pos="-720"/>
          <w:tab w:val="left" w:pos="0"/>
        </w:tabs>
        <w:suppressAutoHyphens/>
        <w:snapToGrid/>
        <w:spacing w:line="276" w:lineRule="auto"/>
        <w:rPr>
          <w:rFonts w:ascii="Perpetua" w:hAnsi="Perpetua" w:cs="Adobe Devanagari"/>
          <w:spacing w:val="-3"/>
          <w:sz w:val="26"/>
          <w:szCs w:val="26"/>
          <w:lang w:val="en-GB"/>
        </w:rPr>
      </w:pPr>
    </w:p>
    <w:p w:rsidR="00560F3B" w:rsidRDefault="00560F3B" w:rsidP="004173B8">
      <w:pPr>
        <w:tabs>
          <w:tab w:val="left" w:pos="-720"/>
          <w:tab w:val="left" w:pos="0"/>
        </w:tabs>
        <w:suppressAutoHyphens/>
        <w:snapToGrid/>
        <w:spacing w:line="276" w:lineRule="auto"/>
        <w:rPr>
          <w:rFonts w:ascii="Perpetua" w:hAnsi="Perpetua" w:cs="Adobe Devanagari"/>
          <w:spacing w:val="-3"/>
          <w:sz w:val="26"/>
          <w:szCs w:val="26"/>
          <w:lang w:val="en-GB"/>
        </w:rPr>
      </w:pPr>
      <w:r>
        <w:rPr>
          <w:rFonts w:ascii="Perpetua" w:hAnsi="Perpetua" w:cs="Adobe Devanagari"/>
          <w:i/>
          <w:spacing w:val="-3"/>
          <w:sz w:val="26"/>
          <w:szCs w:val="26"/>
          <w:lang w:val="en-GB"/>
        </w:rPr>
        <w:t>Twelfth Night</w:t>
      </w:r>
      <w:r>
        <w:rPr>
          <w:rFonts w:ascii="Perpetua" w:hAnsi="Perpetua" w:cs="Adobe Devanagari"/>
          <w:spacing w:val="-3"/>
          <w:sz w:val="26"/>
          <w:szCs w:val="26"/>
          <w:lang w:val="en-GB"/>
        </w:rPr>
        <w:t xml:space="preserve"> was performed</w:t>
      </w:r>
      <w:r w:rsidR="00691C90">
        <w:rPr>
          <w:rFonts w:ascii="Perpetua" w:hAnsi="Perpetua" w:cs="Adobe Devanagari"/>
          <w:spacing w:val="-3"/>
          <w:sz w:val="26"/>
          <w:szCs w:val="26"/>
          <w:lang w:val="en-GB"/>
        </w:rPr>
        <w:t xml:space="preserve"> by the Chamberlain’s Men</w:t>
      </w:r>
      <w:r>
        <w:rPr>
          <w:rFonts w:ascii="Perpetua" w:hAnsi="Perpetua" w:cs="Adobe Devanagari"/>
          <w:spacing w:val="-3"/>
          <w:sz w:val="26"/>
          <w:szCs w:val="26"/>
          <w:lang w:val="en-GB"/>
        </w:rPr>
        <w:t xml:space="preserve"> in the</w:t>
      </w:r>
      <w:r w:rsidR="000C7C45">
        <w:rPr>
          <w:rFonts w:ascii="Perpetua" w:hAnsi="Perpetua" w:cs="Adobe Devanagari"/>
          <w:spacing w:val="-3"/>
          <w:sz w:val="26"/>
          <w:szCs w:val="26"/>
          <w:lang w:val="en-GB"/>
        </w:rPr>
        <w:t xml:space="preserve"> Great Hall of the</w:t>
      </w:r>
      <w:r>
        <w:rPr>
          <w:rFonts w:ascii="Perpetua" w:hAnsi="Perpetua" w:cs="Adobe Devanagari"/>
          <w:spacing w:val="-3"/>
          <w:sz w:val="26"/>
          <w:szCs w:val="26"/>
          <w:lang w:val="en-GB"/>
        </w:rPr>
        <w:t xml:space="preserve"> Middle Temple, one of London’s four Inns of Court, on Candlemas (2 February) 1601/2, the occasion having been described by the Middle Templar John </w:t>
      </w:r>
      <w:proofErr w:type="spellStart"/>
      <w:r>
        <w:rPr>
          <w:rFonts w:ascii="Perpetua" w:hAnsi="Perpetua" w:cs="Adobe Devanagari"/>
          <w:spacing w:val="-3"/>
          <w:sz w:val="26"/>
          <w:szCs w:val="26"/>
          <w:lang w:val="en-GB"/>
        </w:rPr>
        <w:t>Manningham</w:t>
      </w:r>
      <w:proofErr w:type="spellEnd"/>
      <w:r>
        <w:rPr>
          <w:rFonts w:ascii="Perpetua" w:hAnsi="Perpetua" w:cs="Adobe Devanagari"/>
          <w:spacing w:val="-3"/>
          <w:sz w:val="26"/>
          <w:szCs w:val="26"/>
          <w:lang w:val="en-GB"/>
        </w:rPr>
        <w:t xml:space="preserve">: ‘At our feast </w:t>
      </w:r>
      <w:proofErr w:type="spellStart"/>
      <w:r>
        <w:rPr>
          <w:rFonts w:ascii="Perpetua" w:hAnsi="Perpetua" w:cs="Adobe Devanagari"/>
          <w:spacing w:val="-3"/>
          <w:sz w:val="26"/>
          <w:szCs w:val="26"/>
          <w:lang w:val="en-GB"/>
        </w:rPr>
        <w:t>wee</w:t>
      </w:r>
      <w:proofErr w:type="spellEnd"/>
      <w:r>
        <w:rPr>
          <w:rFonts w:ascii="Perpetua" w:hAnsi="Perpetua" w:cs="Adobe Devanagari"/>
          <w:spacing w:val="-3"/>
          <w:sz w:val="26"/>
          <w:szCs w:val="26"/>
          <w:lang w:val="en-GB"/>
        </w:rPr>
        <w:t xml:space="preserve"> had a play called </w:t>
      </w:r>
      <w:r w:rsidRPr="00560F3B">
        <w:rPr>
          <w:rFonts w:ascii="Perpetua" w:hAnsi="Perpetua" w:cs="Adobe Devanagari"/>
          <w:i/>
          <w:spacing w:val="-3"/>
          <w:sz w:val="26"/>
          <w:szCs w:val="26"/>
          <w:lang w:val="en-GB"/>
        </w:rPr>
        <w:t>Twelve Night or What You Will</w:t>
      </w:r>
      <w:r>
        <w:rPr>
          <w:rFonts w:ascii="Perpetua" w:hAnsi="Perpetua" w:cs="Adobe Devanagari"/>
          <w:spacing w:val="-3"/>
          <w:sz w:val="26"/>
          <w:szCs w:val="26"/>
          <w:lang w:val="en-GB"/>
        </w:rPr>
        <w:t xml:space="preserve">, much like the </w:t>
      </w:r>
      <w:proofErr w:type="spellStart"/>
      <w:r>
        <w:rPr>
          <w:rFonts w:ascii="Perpetua" w:hAnsi="Perpetua" w:cs="Adobe Devanagari"/>
          <w:i/>
          <w:spacing w:val="-3"/>
          <w:sz w:val="26"/>
          <w:szCs w:val="26"/>
          <w:lang w:val="en-GB"/>
        </w:rPr>
        <w:t>Commedy</w:t>
      </w:r>
      <w:proofErr w:type="spellEnd"/>
      <w:r>
        <w:rPr>
          <w:rFonts w:ascii="Perpetua" w:hAnsi="Perpetua" w:cs="Adobe Devanagari"/>
          <w:i/>
          <w:spacing w:val="-3"/>
          <w:sz w:val="26"/>
          <w:szCs w:val="26"/>
          <w:lang w:val="en-GB"/>
        </w:rPr>
        <w:t xml:space="preserve"> of </w:t>
      </w:r>
      <w:proofErr w:type="spellStart"/>
      <w:r>
        <w:rPr>
          <w:rFonts w:ascii="Perpetua" w:hAnsi="Perpetua" w:cs="Adobe Devanagari"/>
          <w:i/>
          <w:spacing w:val="-3"/>
          <w:sz w:val="26"/>
          <w:szCs w:val="26"/>
          <w:lang w:val="en-GB"/>
        </w:rPr>
        <w:t>Errores</w:t>
      </w:r>
      <w:proofErr w:type="spellEnd"/>
      <w:r>
        <w:rPr>
          <w:rFonts w:ascii="Perpetua" w:hAnsi="Perpetua" w:cs="Adobe Devanagari"/>
          <w:spacing w:val="-3"/>
          <w:sz w:val="26"/>
          <w:szCs w:val="26"/>
          <w:lang w:val="en-GB"/>
        </w:rPr>
        <w:t xml:space="preserve"> or </w:t>
      </w:r>
      <w:proofErr w:type="spellStart"/>
      <w:r>
        <w:rPr>
          <w:rFonts w:ascii="Perpetua" w:hAnsi="Perpetua" w:cs="Adobe Devanagari"/>
          <w:i/>
          <w:spacing w:val="-3"/>
          <w:sz w:val="26"/>
          <w:szCs w:val="26"/>
          <w:lang w:val="en-GB"/>
        </w:rPr>
        <w:t>Menechmi</w:t>
      </w:r>
      <w:proofErr w:type="spellEnd"/>
      <w:r>
        <w:rPr>
          <w:rFonts w:ascii="Perpetua" w:hAnsi="Perpetua" w:cs="Adobe Devanagari"/>
          <w:spacing w:val="-3"/>
          <w:sz w:val="26"/>
          <w:szCs w:val="26"/>
          <w:lang w:val="en-GB"/>
        </w:rPr>
        <w:t xml:space="preserve"> in Plautus but most like and </w:t>
      </w:r>
      <w:proofErr w:type="spellStart"/>
      <w:r>
        <w:rPr>
          <w:rFonts w:ascii="Perpetua" w:hAnsi="Perpetua" w:cs="Adobe Devanagari"/>
          <w:spacing w:val="-3"/>
          <w:sz w:val="26"/>
          <w:szCs w:val="26"/>
          <w:lang w:val="en-GB"/>
        </w:rPr>
        <w:t>neere</w:t>
      </w:r>
      <w:proofErr w:type="spellEnd"/>
      <w:r>
        <w:rPr>
          <w:rFonts w:ascii="Perpetua" w:hAnsi="Perpetua" w:cs="Adobe Devanagari"/>
          <w:spacing w:val="-3"/>
          <w:sz w:val="26"/>
          <w:szCs w:val="26"/>
          <w:lang w:val="en-GB"/>
        </w:rPr>
        <w:t xml:space="preserve"> to that in Italian called </w:t>
      </w:r>
      <w:proofErr w:type="spellStart"/>
      <w:r>
        <w:rPr>
          <w:rFonts w:ascii="Perpetua" w:hAnsi="Perpetua" w:cs="Adobe Devanagari"/>
          <w:i/>
          <w:spacing w:val="-3"/>
          <w:sz w:val="26"/>
          <w:szCs w:val="26"/>
          <w:lang w:val="en-GB"/>
        </w:rPr>
        <w:t>Inganni</w:t>
      </w:r>
      <w:proofErr w:type="spellEnd"/>
      <w:r>
        <w:rPr>
          <w:rFonts w:ascii="Perpetua" w:hAnsi="Perpetua" w:cs="Adobe Devanagari"/>
          <w:spacing w:val="-3"/>
          <w:sz w:val="26"/>
          <w:szCs w:val="26"/>
          <w:lang w:val="en-GB"/>
        </w:rPr>
        <w:t>.’</w:t>
      </w:r>
      <w:r>
        <w:rPr>
          <w:rStyle w:val="FootnoteReference"/>
          <w:rFonts w:ascii="Perpetua" w:hAnsi="Perpetua" w:cs="Adobe Devanagari"/>
          <w:spacing w:val="-3"/>
          <w:sz w:val="26"/>
          <w:szCs w:val="26"/>
          <w:lang w:val="en-GB"/>
        </w:rPr>
        <w:footnoteReference w:id="2"/>
      </w:r>
      <w:r w:rsidR="00B52DCC">
        <w:rPr>
          <w:rFonts w:ascii="Perpetua" w:hAnsi="Perpetua" w:cs="Adobe Devanagari"/>
          <w:spacing w:val="-3"/>
          <w:sz w:val="26"/>
          <w:szCs w:val="26"/>
          <w:lang w:val="en-GB"/>
        </w:rPr>
        <w:t xml:space="preserve"> There is more about the sources</w:t>
      </w:r>
      <w:r w:rsidR="001E6693">
        <w:rPr>
          <w:rFonts w:ascii="Perpetua" w:hAnsi="Perpetua" w:cs="Adobe Devanagari"/>
          <w:spacing w:val="-3"/>
          <w:sz w:val="26"/>
          <w:szCs w:val="26"/>
          <w:lang w:val="en-GB"/>
        </w:rPr>
        <w:t xml:space="preserve"> and analogues</w:t>
      </w:r>
      <w:r w:rsidR="00B52DCC">
        <w:rPr>
          <w:rFonts w:ascii="Perpetua" w:hAnsi="Perpetua" w:cs="Adobe Devanagari"/>
          <w:spacing w:val="-3"/>
          <w:sz w:val="26"/>
          <w:szCs w:val="26"/>
          <w:lang w:val="en-GB"/>
        </w:rPr>
        <w:t xml:space="preserve"> of </w:t>
      </w:r>
      <w:r w:rsidR="00B52DCC">
        <w:rPr>
          <w:rFonts w:ascii="Perpetua" w:hAnsi="Perpetua" w:cs="Adobe Devanagari"/>
          <w:i/>
          <w:spacing w:val="-3"/>
          <w:sz w:val="26"/>
          <w:szCs w:val="26"/>
          <w:lang w:val="en-GB"/>
        </w:rPr>
        <w:t>Twelfth Night</w:t>
      </w:r>
      <w:r w:rsidR="00B52DCC">
        <w:rPr>
          <w:rFonts w:ascii="Perpetua" w:hAnsi="Perpetua" w:cs="Adobe Devanagari"/>
          <w:spacing w:val="-3"/>
          <w:sz w:val="26"/>
          <w:szCs w:val="26"/>
          <w:lang w:val="en-GB"/>
        </w:rPr>
        <w:t xml:space="preserve"> below. The performance of </w:t>
      </w:r>
      <w:r w:rsidR="00B52DCC">
        <w:rPr>
          <w:rFonts w:ascii="Perpetua" w:hAnsi="Perpetua" w:cs="Adobe Devanagari"/>
          <w:i/>
          <w:spacing w:val="-3"/>
          <w:sz w:val="26"/>
          <w:szCs w:val="26"/>
          <w:lang w:val="en-GB"/>
        </w:rPr>
        <w:t>Twelfth Night</w:t>
      </w:r>
      <w:r w:rsidR="00B52DCC">
        <w:rPr>
          <w:rFonts w:ascii="Perpetua" w:hAnsi="Perpetua" w:cs="Adobe Devanagari"/>
          <w:spacing w:val="-3"/>
          <w:sz w:val="26"/>
          <w:szCs w:val="26"/>
          <w:lang w:val="en-GB"/>
        </w:rPr>
        <w:t xml:space="preserve"> on Candlemas 1601/2 was ‘typical of Inns of Court play performances’:</w:t>
      </w:r>
    </w:p>
    <w:p w:rsidR="00B52DCC" w:rsidRPr="00B52DCC" w:rsidRDefault="00B52DCC" w:rsidP="00B52DCC">
      <w:pPr>
        <w:tabs>
          <w:tab w:val="left" w:pos="-720"/>
          <w:tab w:val="left" w:pos="0"/>
        </w:tabs>
        <w:suppressAutoHyphens/>
        <w:snapToGrid/>
        <w:ind w:left="1134" w:right="1134"/>
        <w:rPr>
          <w:rFonts w:ascii="Perpetua" w:hAnsi="Perpetua" w:cs="Adobe Devanagari"/>
          <w:spacing w:val="-3"/>
          <w:szCs w:val="24"/>
          <w:lang w:val="en-GB"/>
        </w:rPr>
      </w:pPr>
    </w:p>
    <w:p w:rsidR="00B52DCC" w:rsidRPr="00B52DCC" w:rsidRDefault="00B52DCC" w:rsidP="00B52DCC">
      <w:pPr>
        <w:tabs>
          <w:tab w:val="left" w:pos="-720"/>
          <w:tab w:val="left" w:pos="0"/>
        </w:tabs>
        <w:suppressAutoHyphens/>
        <w:snapToGrid/>
        <w:ind w:left="1134" w:right="1134"/>
        <w:rPr>
          <w:rFonts w:ascii="Perpetua" w:hAnsi="Perpetua" w:cs="Adobe Devanagari"/>
          <w:spacing w:val="-3"/>
          <w:szCs w:val="24"/>
          <w:lang w:val="en-GB"/>
        </w:rPr>
      </w:pPr>
      <w:r w:rsidRPr="00B52DCC">
        <w:rPr>
          <w:rFonts w:ascii="Perpetua" w:hAnsi="Perpetua" w:cs="Adobe Devanagari"/>
          <w:spacing w:val="-3"/>
          <w:szCs w:val="24"/>
          <w:lang w:val="en-GB"/>
        </w:rPr>
        <w:t xml:space="preserve">The records demonstrate that at least two Inns hired in professional players twice each year, for performances on 1 November (All Saints’) and 2 February (Purification of the Virgin, alias Candlemas).The Inner Temple contracted with the King’s Men, while the Middle Temple contracted with a succession of companies, or rather with one company under a succession of names: the </w:t>
      </w:r>
      <w:proofErr w:type="spellStart"/>
      <w:r w:rsidRPr="00B52DCC">
        <w:rPr>
          <w:rFonts w:ascii="Perpetua" w:hAnsi="Perpetua" w:cs="Adobe Devanagari"/>
          <w:spacing w:val="-3"/>
          <w:szCs w:val="24"/>
          <w:lang w:val="en-GB"/>
        </w:rPr>
        <w:t>Palsgrave’s</w:t>
      </w:r>
      <w:proofErr w:type="spellEnd"/>
      <w:r w:rsidRPr="00B52DCC">
        <w:rPr>
          <w:rFonts w:ascii="Perpetua" w:hAnsi="Perpetua" w:cs="Adobe Devanagari"/>
          <w:spacing w:val="-3"/>
          <w:szCs w:val="24"/>
          <w:lang w:val="en-GB"/>
        </w:rPr>
        <w:t xml:space="preserve"> Men (1615-16), the Prince’s Men (1618-19), the Cockpit players (1627-8), the Queen’s Men (1632-3 and 1638-9), and Beeston’s boys (from 1639-40).</w:t>
      </w:r>
      <w:r>
        <w:rPr>
          <w:rStyle w:val="FootnoteReference"/>
          <w:rFonts w:ascii="Perpetua" w:hAnsi="Perpetua" w:cs="Adobe Devanagari"/>
          <w:spacing w:val="-3"/>
          <w:szCs w:val="24"/>
          <w:lang w:val="en-GB"/>
        </w:rPr>
        <w:footnoteReference w:id="3"/>
      </w:r>
    </w:p>
    <w:p w:rsidR="00560F3B" w:rsidRDefault="00560F3B" w:rsidP="004173B8">
      <w:pPr>
        <w:tabs>
          <w:tab w:val="left" w:pos="-720"/>
          <w:tab w:val="left" w:pos="0"/>
        </w:tabs>
        <w:suppressAutoHyphens/>
        <w:snapToGrid/>
        <w:spacing w:line="276" w:lineRule="auto"/>
        <w:rPr>
          <w:rFonts w:ascii="Perpetua" w:hAnsi="Perpetua" w:cs="Adobe Devanagari"/>
          <w:spacing w:val="-3"/>
          <w:sz w:val="26"/>
          <w:szCs w:val="26"/>
          <w:lang w:val="en-GB"/>
        </w:rPr>
      </w:pPr>
    </w:p>
    <w:p w:rsidR="00841815" w:rsidRPr="00841815" w:rsidRDefault="00560F3B" w:rsidP="004173B8">
      <w:pPr>
        <w:tabs>
          <w:tab w:val="left" w:pos="-720"/>
          <w:tab w:val="left" w:pos="0"/>
        </w:tabs>
        <w:suppressAutoHyphens/>
        <w:snapToGrid/>
        <w:spacing w:line="276" w:lineRule="auto"/>
        <w:rPr>
          <w:rFonts w:ascii="Perpetua" w:hAnsi="Perpetua" w:cs="Adobe Devanagari"/>
          <w:spacing w:val="-3"/>
          <w:sz w:val="26"/>
          <w:szCs w:val="26"/>
          <w:lang w:val="en-GB"/>
        </w:rPr>
      </w:pPr>
      <w:r>
        <w:rPr>
          <w:rFonts w:ascii="Perpetua" w:hAnsi="Perpetua" w:cs="Adobe Devanagari"/>
          <w:spacing w:val="-3"/>
          <w:sz w:val="26"/>
          <w:szCs w:val="26"/>
          <w:lang w:val="en-GB"/>
        </w:rPr>
        <w:t xml:space="preserve">Some things have been plausibly argued about the early performances of </w:t>
      </w:r>
      <w:r>
        <w:rPr>
          <w:rFonts w:ascii="Perpetua" w:hAnsi="Perpetua" w:cs="Adobe Devanagari"/>
          <w:i/>
          <w:spacing w:val="-3"/>
          <w:sz w:val="26"/>
          <w:szCs w:val="26"/>
          <w:lang w:val="en-GB"/>
        </w:rPr>
        <w:t>Twelfth Night</w:t>
      </w:r>
      <w:r>
        <w:rPr>
          <w:rFonts w:ascii="Perpetua" w:hAnsi="Perpetua" w:cs="Adobe Devanagari"/>
          <w:spacing w:val="-3"/>
          <w:sz w:val="26"/>
          <w:szCs w:val="26"/>
          <w:lang w:val="en-GB"/>
        </w:rPr>
        <w:t xml:space="preserve">. </w:t>
      </w:r>
      <w:r w:rsidR="00841815">
        <w:rPr>
          <w:rFonts w:ascii="Perpetua" w:hAnsi="Perpetua" w:cs="Adobe Devanagari"/>
          <w:spacing w:val="-3"/>
          <w:sz w:val="26"/>
          <w:szCs w:val="26"/>
          <w:lang w:val="en-GB"/>
        </w:rPr>
        <w:t>It has been suggested</w:t>
      </w:r>
      <w:r>
        <w:rPr>
          <w:rFonts w:ascii="Perpetua" w:hAnsi="Perpetua" w:cs="Adobe Devanagari"/>
          <w:spacing w:val="-3"/>
          <w:sz w:val="26"/>
          <w:szCs w:val="26"/>
          <w:lang w:val="en-GB"/>
        </w:rPr>
        <w:t>, for example,</w:t>
      </w:r>
      <w:r w:rsidR="00841815">
        <w:rPr>
          <w:rFonts w:ascii="Perpetua" w:hAnsi="Perpetua" w:cs="Adobe Devanagari"/>
          <w:spacing w:val="-3"/>
          <w:sz w:val="26"/>
          <w:szCs w:val="26"/>
          <w:lang w:val="en-GB"/>
        </w:rPr>
        <w:t xml:space="preserve"> that Rober</w:t>
      </w:r>
      <w:r>
        <w:rPr>
          <w:rFonts w:ascii="Perpetua" w:hAnsi="Perpetua" w:cs="Adobe Devanagari"/>
          <w:spacing w:val="-3"/>
          <w:sz w:val="26"/>
          <w:szCs w:val="26"/>
          <w:lang w:val="en-GB"/>
        </w:rPr>
        <w:t>t Armin probably played Feste</w:t>
      </w:r>
      <w:r w:rsidR="00841815">
        <w:rPr>
          <w:rFonts w:ascii="Perpetua" w:hAnsi="Perpetua" w:cs="Adobe Devanagari"/>
          <w:spacing w:val="-3"/>
          <w:sz w:val="26"/>
          <w:szCs w:val="26"/>
          <w:lang w:val="en-GB"/>
        </w:rPr>
        <w:t>.</w:t>
      </w:r>
      <w:r w:rsidR="00841815">
        <w:rPr>
          <w:rStyle w:val="FootnoteReference"/>
          <w:rFonts w:ascii="Perpetua" w:hAnsi="Perpetua" w:cs="Adobe Devanagari"/>
          <w:spacing w:val="-3"/>
          <w:sz w:val="26"/>
          <w:szCs w:val="26"/>
          <w:lang w:val="en-GB"/>
        </w:rPr>
        <w:footnoteReference w:id="4"/>
      </w:r>
    </w:p>
    <w:p w:rsidR="00841815" w:rsidRDefault="00841815" w:rsidP="004173B8">
      <w:pPr>
        <w:tabs>
          <w:tab w:val="left" w:pos="-720"/>
          <w:tab w:val="left" w:pos="0"/>
        </w:tabs>
        <w:suppressAutoHyphens/>
        <w:snapToGrid/>
        <w:spacing w:line="276" w:lineRule="auto"/>
        <w:rPr>
          <w:rFonts w:ascii="Perpetua" w:hAnsi="Perpetua" w:cs="Adobe Devanagari"/>
          <w:spacing w:val="-3"/>
          <w:sz w:val="26"/>
          <w:szCs w:val="26"/>
          <w:lang w:val="en-GB"/>
        </w:rPr>
      </w:pPr>
    </w:p>
    <w:p w:rsidR="00D115A0" w:rsidRDefault="00D115A0" w:rsidP="004173B8">
      <w:pPr>
        <w:tabs>
          <w:tab w:val="left" w:pos="-720"/>
          <w:tab w:val="left" w:pos="0"/>
        </w:tabs>
        <w:suppressAutoHyphens/>
        <w:snapToGrid/>
        <w:spacing w:line="276" w:lineRule="auto"/>
        <w:rPr>
          <w:rFonts w:ascii="Perpetua" w:hAnsi="Perpetua" w:cs="Adobe Devanagari"/>
          <w:spacing w:val="-3"/>
          <w:sz w:val="26"/>
          <w:szCs w:val="26"/>
          <w:lang w:val="en-GB"/>
        </w:rPr>
      </w:pPr>
    </w:p>
    <w:p w:rsidR="004B1B88" w:rsidRDefault="004B1B88" w:rsidP="004173B8">
      <w:pPr>
        <w:tabs>
          <w:tab w:val="left" w:pos="-720"/>
          <w:tab w:val="left" w:pos="0"/>
        </w:tabs>
        <w:suppressAutoHyphens/>
        <w:snapToGrid/>
        <w:spacing w:line="276" w:lineRule="auto"/>
        <w:rPr>
          <w:rFonts w:ascii="Perpetua" w:hAnsi="Perpetua" w:cs="Adobe Devanagari"/>
          <w:spacing w:val="-3"/>
          <w:sz w:val="26"/>
          <w:szCs w:val="26"/>
          <w:lang w:val="en-GB"/>
        </w:rPr>
      </w:pPr>
      <w:r>
        <w:rPr>
          <w:rFonts w:ascii="Perpetua" w:hAnsi="Perpetua" w:cs="Adobe Devanagari"/>
          <w:i/>
          <w:spacing w:val="-3"/>
          <w:sz w:val="26"/>
          <w:szCs w:val="26"/>
          <w:lang w:val="en-GB"/>
        </w:rPr>
        <w:lastRenderedPageBreak/>
        <w:t>Twelfth Night</w:t>
      </w:r>
      <w:r>
        <w:rPr>
          <w:rFonts w:ascii="Perpetua" w:hAnsi="Perpetua" w:cs="Adobe Devanagari"/>
          <w:spacing w:val="-3"/>
          <w:sz w:val="26"/>
          <w:szCs w:val="26"/>
          <w:lang w:val="en-GB"/>
        </w:rPr>
        <w:t xml:space="preserve"> makes reference in more than one way to performance: </w:t>
      </w:r>
    </w:p>
    <w:p w:rsidR="004B1B88" w:rsidRPr="005C5D15" w:rsidRDefault="004B1B88" w:rsidP="005C5D15">
      <w:pPr>
        <w:tabs>
          <w:tab w:val="left" w:pos="-720"/>
          <w:tab w:val="left" w:pos="0"/>
        </w:tabs>
        <w:suppressAutoHyphens/>
        <w:snapToGrid/>
        <w:ind w:left="1134" w:right="1134"/>
        <w:rPr>
          <w:rFonts w:ascii="Perpetua" w:hAnsi="Perpetua" w:cs="Adobe Devanagari"/>
          <w:spacing w:val="-3"/>
          <w:szCs w:val="24"/>
          <w:lang w:val="en-GB"/>
        </w:rPr>
      </w:pPr>
    </w:p>
    <w:p w:rsidR="004B1B88" w:rsidRPr="005C5D15" w:rsidRDefault="004B1B88" w:rsidP="005C5D15">
      <w:pPr>
        <w:tabs>
          <w:tab w:val="left" w:pos="-720"/>
          <w:tab w:val="left" w:pos="0"/>
        </w:tabs>
        <w:suppressAutoHyphens/>
        <w:snapToGrid/>
        <w:ind w:left="1134" w:right="1134"/>
        <w:rPr>
          <w:rFonts w:ascii="Perpetua" w:hAnsi="Perpetua" w:cs="Adobe Devanagari"/>
          <w:spacing w:val="-3"/>
          <w:szCs w:val="24"/>
          <w:lang w:val="en-GB"/>
        </w:rPr>
      </w:pPr>
      <w:r w:rsidRPr="005C5D15">
        <w:rPr>
          <w:rFonts w:ascii="Perpetua" w:hAnsi="Perpetua" w:cs="Adobe Devanagari"/>
          <w:spacing w:val="-3"/>
          <w:szCs w:val="24"/>
          <w:lang w:val="en-GB"/>
        </w:rPr>
        <w:t xml:space="preserve">Naturally, the more a play was performed, the more familiar actors would become with it as a whole. Yet there were no play ‘runs’ [in this period], and up to forty plays might be performed in a season: plays will never have been as familiar to actors in their entirety as they were in parts […]. Hardly surprising, then, plays habitually refer to their own part-related qualities, meta-theatrically embracing the mechanism of the part that was so continually visible in performance. […] So rooted was the idea of the ‘part’ that plays about non-theatrical – and yet performative – events, tend to make part assumptions, or part jokes. So Viola is sent to woo Olivia in </w:t>
      </w:r>
      <w:r w:rsidRPr="005C5D15">
        <w:rPr>
          <w:rFonts w:ascii="Perpetua" w:hAnsi="Perpetua" w:cs="Adobe Devanagari"/>
          <w:i/>
          <w:spacing w:val="-3"/>
          <w:szCs w:val="24"/>
          <w:lang w:val="en-GB"/>
        </w:rPr>
        <w:t>Twelfth Night</w:t>
      </w:r>
      <w:r w:rsidRPr="005C5D15">
        <w:rPr>
          <w:rFonts w:ascii="Perpetua" w:hAnsi="Perpetua" w:cs="Adobe Devanagari"/>
          <w:spacing w:val="-3"/>
          <w:szCs w:val="24"/>
          <w:lang w:val="en-GB"/>
        </w:rPr>
        <w:t xml:space="preserve"> with a speech, presumably written by </w:t>
      </w:r>
      <w:proofErr w:type="spellStart"/>
      <w:r w:rsidRPr="005C5D15">
        <w:rPr>
          <w:rFonts w:ascii="Perpetua" w:hAnsi="Perpetua" w:cs="Adobe Devanagari"/>
          <w:spacing w:val="-3"/>
          <w:szCs w:val="24"/>
          <w:lang w:val="en-GB"/>
        </w:rPr>
        <w:t>Orsino</w:t>
      </w:r>
      <w:proofErr w:type="spellEnd"/>
      <w:r w:rsidRPr="005C5D15">
        <w:rPr>
          <w:rFonts w:ascii="Perpetua" w:hAnsi="Perpetua" w:cs="Adobe Devanagari"/>
          <w:spacing w:val="-3"/>
          <w:szCs w:val="24"/>
          <w:lang w:val="en-GB"/>
        </w:rPr>
        <w:t>, that she has ‘taken great pains to con’ […]. When asked ‘Whence came you …?’ she replies, ‘I can say little more than I have studied, &amp; that question’s out of my part’ […], as though she is an actor waiting for a different cue.</w:t>
      </w:r>
      <w:r w:rsidRPr="005C5D15">
        <w:rPr>
          <w:rStyle w:val="FootnoteReference"/>
          <w:rFonts w:ascii="Perpetua" w:hAnsi="Perpetua" w:cs="Adobe Devanagari"/>
          <w:spacing w:val="-3"/>
          <w:szCs w:val="24"/>
          <w:lang w:val="en-GB"/>
        </w:rPr>
        <w:footnoteReference w:id="5"/>
      </w:r>
    </w:p>
    <w:p w:rsidR="004173B8" w:rsidRDefault="004173B8" w:rsidP="004173B8">
      <w:pPr>
        <w:tabs>
          <w:tab w:val="left" w:pos="-720"/>
          <w:tab w:val="left" w:pos="0"/>
        </w:tabs>
        <w:suppressAutoHyphens/>
        <w:snapToGrid/>
        <w:spacing w:line="276" w:lineRule="auto"/>
        <w:rPr>
          <w:rFonts w:ascii="Perpetua" w:hAnsi="Perpetua" w:cs="Adobe Devanagari"/>
          <w:spacing w:val="-3"/>
          <w:sz w:val="26"/>
          <w:szCs w:val="26"/>
          <w:lang w:val="en-GB"/>
        </w:rPr>
      </w:pPr>
    </w:p>
    <w:p w:rsidR="004173B8" w:rsidRPr="004173B8" w:rsidRDefault="004173B8" w:rsidP="004173B8">
      <w:pPr>
        <w:tabs>
          <w:tab w:val="left" w:pos="-720"/>
          <w:tab w:val="left" w:pos="0"/>
        </w:tabs>
        <w:suppressAutoHyphens/>
        <w:snapToGrid/>
        <w:spacing w:line="276" w:lineRule="auto"/>
        <w:rPr>
          <w:rFonts w:ascii="Perpetua" w:hAnsi="Perpetua" w:cs="Adobe Devanagari"/>
          <w:spacing w:val="-3"/>
          <w:sz w:val="26"/>
          <w:szCs w:val="26"/>
          <w:lang w:val="en-GB"/>
        </w:rPr>
      </w:pPr>
    </w:p>
    <w:p w:rsidR="004173B8" w:rsidRPr="004173B8" w:rsidRDefault="004173B8" w:rsidP="004173B8">
      <w:pPr>
        <w:pStyle w:val="ListParagraph"/>
        <w:numPr>
          <w:ilvl w:val="0"/>
          <w:numId w:val="6"/>
        </w:numPr>
        <w:tabs>
          <w:tab w:val="left" w:pos="-720"/>
          <w:tab w:val="left" w:pos="0"/>
        </w:tabs>
        <w:suppressAutoHyphens/>
        <w:snapToGrid/>
        <w:spacing w:line="276" w:lineRule="auto"/>
        <w:rPr>
          <w:rFonts w:ascii="Perpetua" w:hAnsi="Perpetua" w:cs="Adobe Devanagari"/>
          <w:b/>
          <w:spacing w:val="-3"/>
          <w:sz w:val="26"/>
          <w:szCs w:val="26"/>
          <w:lang w:val="en-GB"/>
        </w:rPr>
      </w:pPr>
      <w:r w:rsidRPr="004173B8">
        <w:rPr>
          <w:rFonts w:ascii="Perpetua" w:hAnsi="Perpetua" w:cs="Adobe Devanagari"/>
          <w:b/>
          <w:spacing w:val="-3"/>
          <w:sz w:val="26"/>
          <w:szCs w:val="26"/>
          <w:lang w:val="en-GB"/>
        </w:rPr>
        <w:t xml:space="preserve">The </w:t>
      </w:r>
      <w:r w:rsidRPr="00CC1AB1">
        <w:rPr>
          <w:rFonts w:ascii="Perpetua" w:hAnsi="Perpetua" w:cs="Adobe Devanagari"/>
          <w:b/>
          <w:spacing w:val="-3"/>
          <w:sz w:val="26"/>
          <w:szCs w:val="26"/>
          <w:lang w:val="en-GB"/>
        </w:rPr>
        <w:t>play’s genre, sources</w:t>
      </w:r>
      <w:r w:rsidRPr="004173B8">
        <w:rPr>
          <w:rFonts w:ascii="Perpetua" w:hAnsi="Perpetua" w:cs="Adobe Devanagari"/>
          <w:b/>
          <w:spacing w:val="-3"/>
          <w:sz w:val="26"/>
          <w:szCs w:val="26"/>
          <w:lang w:val="en-GB"/>
        </w:rPr>
        <w:t xml:space="preserve">, and literary context: romantic comedy contrasted with the harsher story of the revenge on </w:t>
      </w:r>
      <w:proofErr w:type="spellStart"/>
      <w:r w:rsidRPr="004173B8">
        <w:rPr>
          <w:rFonts w:ascii="Perpetua" w:hAnsi="Perpetua" w:cs="Adobe Devanagari"/>
          <w:b/>
          <w:spacing w:val="-3"/>
          <w:sz w:val="26"/>
          <w:szCs w:val="26"/>
          <w:lang w:val="en-GB"/>
        </w:rPr>
        <w:t>Malvolio</w:t>
      </w:r>
      <w:proofErr w:type="spellEnd"/>
      <w:r w:rsidRPr="004173B8">
        <w:rPr>
          <w:rFonts w:ascii="Perpetua" w:hAnsi="Perpetua" w:cs="Adobe Devanagari"/>
          <w:b/>
          <w:spacing w:val="-3"/>
          <w:sz w:val="26"/>
          <w:szCs w:val="26"/>
          <w:lang w:val="en-GB"/>
        </w:rPr>
        <w:t xml:space="preserve"> of the subplot; error and confusion in comedy; </w:t>
      </w:r>
      <w:r w:rsidRPr="00CC1AB1">
        <w:rPr>
          <w:rFonts w:ascii="Perpetua" w:hAnsi="Perpetua" w:cs="Adobe Devanagari"/>
          <w:b/>
          <w:spacing w:val="-3"/>
          <w:sz w:val="26"/>
          <w:szCs w:val="26"/>
          <w:lang w:val="en-GB"/>
        </w:rPr>
        <w:t xml:space="preserve">the story of </w:t>
      </w:r>
      <w:proofErr w:type="spellStart"/>
      <w:r w:rsidRPr="00CC1AB1">
        <w:rPr>
          <w:rFonts w:ascii="Perpetua" w:hAnsi="Perpetua" w:cs="Adobe Devanagari"/>
          <w:b/>
          <w:spacing w:val="-3"/>
          <w:sz w:val="26"/>
          <w:szCs w:val="26"/>
          <w:lang w:val="en-GB"/>
        </w:rPr>
        <w:t>Apolonius</w:t>
      </w:r>
      <w:proofErr w:type="spellEnd"/>
      <w:r w:rsidRPr="00CC1AB1">
        <w:rPr>
          <w:rFonts w:ascii="Perpetua" w:hAnsi="Perpetua" w:cs="Adobe Devanagari"/>
          <w:b/>
          <w:spacing w:val="-3"/>
          <w:sz w:val="26"/>
          <w:szCs w:val="26"/>
          <w:lang w:val="en-GB"/>
        </w:rPr>
        <w:t xml:space="preserve"> and Silla, in Barnaby Rich, </w:t>
      </w:r>
      <w:r w:rsidRPr="00CC1AB1">
        <w:rPr>
          <w:rFonts w:ascii="Perpetua" w:hAnsi="Perpetua" w:cs="Adobe Devanagari"/>
          <w:b/>
          <w:i/>
          <w:spacing w:val="-3"/>
          <w:sz w:val="26"/>
          <w:szCs w:val="26"/>
          <w:lang w:val="en-GB"/>
        </w:rPr>
        <w:t>Riche his Farewell to Military Profession</w:t>
      </w:r>
      <w:r w:rsidRPr="00CC1AB1">
        <w:rPr>
          <w:rFonts w:ascii="Perpetua" w:hAnsi="Perpetua" w:cs="Adobe Devanagari"/>
          <w:b/>
          <w:spacing w:val="-3"/>
          <w:sz w:val="26"/>
          <w:szCs w:val="26"/>
          <w:lang w:val="en-GB"/>
        </w:rPr>
        <w:t xml:space="preserve"> (1581); the Italian comedy </w:t>
      </w:r>
      <w:proofErr w:type="spellStart"/>
      <w:r w:rsidRPr="00CC1AB1">
        <w:rPr>
          <w:rFonts w:ascii="Perpetua" w:hAnsi="Perpetua" w:cs="Adobe Devanagari"/>
          <w:b/>
          <w:i/>
          <w:spacing w:val="-3"/>
          <w:sz w:val="26"/>
          <w:szCs w:val="26"/>
          <w:lang w:val="en-GB"/>
        </w:rPr>
        <w:t>Gl’Ingannati</w:t>
      </w:r>
      <w:proofErr w:type="spellEnd"/>
      <w:r w:rsidRPr="00CC1AB1">
        <w:rPr>
          <w:rFonts w:ascii="Perpetua" w:hAnsi="Perpetua" w:cs="Adobe Devanagari"/>
          <w:b/>
          <w:i/>
          <w:spacing w:val="-3"/>
          <w:sz w:val="26"/>
          <w:szCs w:val="26"/>
          <w:lang w:val="en-GB"/>
        </w:rPr>
        <w:t xml:space="preserve"> (The Deceived Ones)</w:t>
      </w:r>
    </w:p>
    <w:p w:rsidR="004173B8" w:rsidRDefault="004173B8" w:rsidP="004173B8">
      <w:pPr>
        <w:tabs>
          <w:tab w:val="left" w:pos="-720"/>
          <w:tab w:val="left" w:pos="0"/>
        </w:tabs>
        <w:suppressAutoHyphens/>
        <w:snapToGrid/>
        <w:spacing w:line="276" w:lineRule="auto"/>
        <w:rPr>
          <w:rFonts w:ascii="Perpetua" w:hAnsi="Perpetua" w:cs="Adobe Devanagari"/>
          <w:spacing w:val="-3"/>
          <w:sz w:val="26"/>
          <w:szCs w:val="26"/>
          <w:lang w:val="en-GB"/>
        </w:rPr>
      </w:pPr>
    </w:p>
    <w:p w:rsidR="004173B8" w:rsidRDefault="005D4EDE" w:rsidP="004173B8">
      <w:pPr>
        <w:tabs>
          <w:tab w:val="left" w:pos="-720"/>
          <w:tab w:val="left" w:pos="0"/>
        </w:tabs>
        <w:suppressAutoHyphens/>
        <w:snapToGrid/>
        <w:spacing w:line="276" w:lineRule="auto"/>
        <w:rPr>
          <w:rFonts w:ascii="Perpetua" w:hAnsi="Perpetua" w:cs="Adobe Devanagari"/>
          <w:spacing w:val="-3"/>
          <w:sz w:val="26"/>
          <w:szCs w:val="26"/>
          <w:lang w:val="en-GB"/>
        </w:rPr>
      </w:pPr>
      <w:r>
        <w:rPr>
          <w:rFonts w:ascii="Perpetua" w:hAnsi="Perpetua" w:cs="Adobe Devanagari"/>
          <w:i/>
          <w:spacing w:val="-3"/>
          <w:sz w:val="26"/>
          <w:szCs w:val="26"/>
          <w:lang w:val="en-GB"/>
        </w:rPr>
        <w:t>Twelfth Night</w:t>
      </w:r>
      <w:r>
        <w:rPr>
          <w:rFonts w:ascii="Perpetua" w:hAnsi="Perpetua" w:cs="Adobe Devanagari"/>
          <w:spacing w:val="-3"/>
          <w:sz w:val="26"/>
          <w:szCs w:val="26"/>
          <w:lang w:val="en-GB"/>
        </w:rPr>
        <w:t xml:space="preserve"> has been described as elusive on account of ‘the play’s mingling of romantic comedy in its main plot (of Viola and </w:t>
      </w:r>
      <w:proofErr w:type="spellStart"/>
      <w:r>
        <w:rPr>
          <w:rFonts w:ascii="Perpetua" w:hAnsi="Perpetua" w:cs="Adobe Devanagari"/>
          <w:spacing w:val="-3"/>
          <w:sz w:val="26"/>
          <w:szCs w:val="26"/>
          <w:lang w:val="en-GB"/>
        </w:rPr>
        <w:t>Orsino</w:t>
      </w:r>
      <w:proofErr w:type="spellEnd"/>
      <w:r>
        <w:rPr>
          <w:rFonts w:ascii="Perpetua" w:hAnsi="Perpetua" w:cs="Adobe Devanagari"/>
          <w:spacing w:val="-3"/>
          <w:sz w:val="26"/>
          <w:szCs w:val="26"/>
          <w:lang w:val="en-GB"/>
        </w:rPr>
        <w:t xml:space="preserve">) with the harsher story of the revenge on </w:t>
      </w:r>
      <w:proofErr w:type="spellStart"/>
      <w:r>
        <w:rPr>
          <w:rFonts w:ascii="Perpetua" w:hAnsi="Perpetua" w:cs="Adobe Devanagari"/>
          <w:spacing w:val="-3"/>
          <w:sz w:val="26"/>
          <w:szCs w:val="26"/>
          <w:lang w:val="en-GB"/>
        </w:rPr>
        <w:t>Malvolio</w:t>
      </w:r>
      <w:proofErr w:type="spellEnd"/>
      <w:r>
        <w:rPr>
          <w:rFonts w:ascii="Perpetua" w:hAnsi="Perpetua" w:cs="Adobe Devanagari"/>
          <w:spacing w:val="-3"/>
          <w:sz w:val="26"/>
          <w:szCs w:val="26"/>
          <w:lang w:val="en-GB"/>
        </w:rPr>
        <w:t xml:space="preserve"> of the subplot that is largely responsible for this mood’.</w:t>
      </w:r>
      <w:r>
        <w:rPr>
          <w:rStyle w:val="FootnoteReference"/>
          <w:rFonts w:ascii="Perpetua" w:hAnsi="Perpetua" w:cs="Adobe Devanagari"/>
          <w:spacing w:val="-3"/>
          <w:sz w:val="26"/>
          <w:szCs w:val="26"/>
          <w:lang w:val="en-GB"/>
        </w:rPr>
        <w:footnoteReference w:id="6"/>
      </w:r>
      <w:r>
        <w:rPr>
          <w:rFonts w:ascii="Perpetua" w:hAnsi="Perpetua" w:cs="Adobe Devanagari"/>
          <w:spacing w:val="-3"/>
          <w:sz w:val="26"/>
          <w:szCs w:val="26"/>
          <w:lang w:val="en-GB"/>
        </w:rPr>
        <w:t xml:space="preserve"> </w:t>
      </w:r>
      <w:r w:rsidR="001408B8">
        <w:rPr>
          <w:rFonts w:ascii="Perpetua" w:hAnsi="Perpetua" w:cs="Adobe Devanagari"/>
          <w:spacing w:val="-3"/>
          <w:sz w:val="26"/>
          <w:szCs w:val="26"/>
          <w:lang w:val="en-GB"/>
        </w:rPr>
        <w:t xml:space="preserve">In </w:t>
      </w:r>
      <w:proofErr w:type="spellStart"/>
      <w:r w:rsidR="001408B8">
        <w:rPr>
          <w:rFonts w:ascii="Perpetua" w:hAnsi="Perpetua" w:cs="Adobe Devanagari"/>
          <w:spacing w:val="-3"/>
          <w:sz w:val="26"/>
          <w:szCs w:val="26"/>
          <w:lang w:val="en-GB"/>
        </w:rPr>
        <w:t>Malvolio</w:t>
      </w:r>
      <w:proofErr w:type="spellEnd"/>
      <w:r w:rsidR="001408B8">
        <w:rPr>
          <w:rFonts w:ascii="Perpetua" w:hAnsi="Perpetua" w:cs="Adobe Devanagari"/>
          <w:spacing w:val="-3"/>
          <w:sz w:val="26"/>
          <w:szCs w:val="26"/>
          <w:lang w:val="en-GB"/>
        </w:rPr>
        <w:t xml:space="preserve">, Shakespeare experiments with the stock figure of the stage Puritan, a type which helped to make a career for Ben Jonson (re: Tribulation Wholesome and Ananias, in </w:t>
      </w:r>
      <w:r w:rsidR="001408B8" w:rsidRPr="001408B8">
        <w:rPr>
          <w:rFonts w:ascii="Perpetua" w:hAnsi="Perpetua" w:cs="Adobe Devanagari"/>
          <w:i/>
          <w:spacing w:val="-3"/>
          <w:sz w:val="26"/>
          <w:szCs w:val="26"/>
          <w:lang w:val="en-GB"/>
        </w:rPr>
        <w:t>The Alchemist</w:t>
      </w:r>
      <w:r w:rsidR="001408B8">
        <w:rPr>
          <w:rFonts w:ascii="Perpetua" w:hAnsi="Perpetua" w:cs="Adobe Devanagari"/>
          <w:spacing w:val="-3"/>
          <w:sz w:val="26"/>
          <w:szCs w:val="26"/>
          <w:lang w:val="en-GB"/>
        </w:rPr>
        <w:t>).</w:t>
      </w:r>
      <w:r w:rsidR="001408B8">
        <w:rPr>
          <w:rStyle w:val="FootnoteReference"/>
          <w:rFonts w:ascii="Perpetua" w:hAnsi="Perpetua" w:cs="Adobe Devanagari"/>
          <w:spacing w:val="-3"/>
          <w:sz w:val="26"/>
          <w:szCs w:val="26"/>
          <w:lang w:val="en-GB"/>
        </w:rPr>
        <w:footnoteReference w:id="7"/>
      </w:r>
      <w:r w:rsidR="00944C95">
        <w:rPr>
          <w:rFonts w:ascii="Perpetua" w:hAnsi="Perpetua" w:cs="Adobe Devanagari"/>
          <w:spacing w:val="-3"/>
          <w:sz w:val="26"/>
          <w:szCs w:val="26"/>
          <w:lang w:val="en-GB"/>
        </w:rPr>
        <w:t xml:space="preserve"> </w:t>
      </w:r>
      <w:proofErr w:type="spellStart"/>
      <w:r w:rsidR="00944C95">
        <w:rPr>
          <w:rFonts w:ascii="Perpetua" w:hAnsi="Perpetua" w:cs="Adobe Devanagari"/>
          <w:spacing w:val="-3"/>
          <w:sz w:val="26"/>
          <w:szCs w:val="26"/>
          <w:lang w:val="en-GB"/>
        </w:rPr>
        <w:t>Malvolio</w:t>
      </w:r>
      <w:proofErr w:type="spellEnd"/>
      <w:r w:rsidR="00944C95">
        <w:rPr>
          <w:rFonts w:ascii="Perpetua" w:hAnsi="Perpetua" w:cs="Adobe Devanagari"/>
          <w:spacing w:val="-3"/>
          <w:sz w:val="26"/>
          <w:szCs w:val="26"/>
          <w:lang w:val="en-GB"/>
        </w:rPr>
        <w:t xml:space="preserve"> can be seen as ‘the only character in </w:t>
      </w:r>
      <w:r w:rsidR="00944C95">
        <w:rPr>
          <w:rFonts w:ascii="Perpetua" w:hAnsi="Perpetua" w:cs="Adobe Devanagari"/>
          <w:i/>
          <w:spacing w:val="-3"/>
          <w:sz w:val="26"/>
          <w:szCs w:val="26"/>
          <w:lang w:val="en-GB"/>
        </w:rPr>
        <w:t>Twelfth Night</w:t>
      </w:r>
      <w:r w:rsidR="00944C95">
        <w:rPr>
          <w:rFonts w:ascii="Perpetua" w:hAnsi="Perpetua" w:cs="Adobe Devanagari"/>
          <w:spacing w:val="-3"/>
          <w:sz w:val="26"/>
          <w:szCs w:val="26"/>
          <w:lang w:val="en-GB"/>
        </w:rPr>
        <w:t xml:space="preserve"> who refuses to submit himself to a design higher than his own will’.</w:t>
      </w:r>
      <w:r w:rsidR="00944C95">
        <w:rPr>
          <w:rStyle w:val="FootnoteReference"/>
          <w:rFonts w:ascii="Perpetua" w:hAnsi="Perpetua" w:cs="Adobe Devanagari"/>
          <w:spacing w:val="-3"/>
          <w:sz w:val="26"/>
          <w:szCs w:val="26"/>
          <w:lang w:val="en-GB"/>
        </w:rPr>
        <w:footnoteReference w:id="8"/>
      </w:r>
      <w:r w:rsidR="00944C95">
        <w:rPr>
          <w:rFonts w:ascii="Perpetua" w:hAnsi="Perpetua" w:cs="Adobe Devanagari"/>
          <w:spacing w:val="-3"/>
          <w:sz w:val="26"/>
          <w:szCs w:val="26"/>
          <w:lang w:val="en-GB"/>
        </w:rPr>
        <w:t xml:space="preserve"> </w:t>
      </w:r>
    </w:p>
    <w:p w:rsidR="00CC1AB1" w:rsidRPr="00CC1AB1" w:rsidRDefault="00CC1AB1" w:rsidP="004173B8">
      <w:pPr>
        <w:tabs>
          <w:tab w:val="left" w:pos="-720"/>
          <w:tab w:val="left" w:pos="0"/>
        </w:tabs>
        <w:suppressAutoHyphens/>
        <w:snapToGrid/>
        <w:spacing w:line="276" w:lineRule="auto"/>
        <w:rPr>
          <w:rFonts w:ascii="Perpetua" w:hAnsi="Perpetua" w:cs="Adobe Devanagari"/>
          <w:spacing w:val="-3"/>
          <w:sz w:val="26"/>
          <w:szCs w:val="26"/>
          <w:lang w:val="en-GB"/>
        </w:rPr>
      </w:pPr>
    </w:p>
    <w:p w:rsidR="00CC1AB1" w:rsidRPr="00CC1AB1" w:rsidRDefault="00CC1AB1" w:rsidP="004173B8">
      <w:pPr>
        <w:tabs>
          <w:tab w:val="left" w:pos="-720"/>
          <w:tab w:val="left" w:pos="0"/>
        </w:tabs>
        <w:suppressAutoHyphens/>
        <w:snapToGrid/>
        <w:spacing w:line="276" w:lineRule="auto"/>
        <w:rPr>
          <w:rFonts w:ascii="Perpetua" w:hAnsi="Perpetua" w:cs="Adobe Devanagari"/>
          <w:spacing w:val="-3"/>
          <w:sz w:val="26"/>
          <w:szCs w:val="26"/>
          <w:lang w:val="en-GB"/>
        </w:rPr>
      </w:pPr>
      <w:r>
        <w:rPr>
          <w:rFonts w:ascii="Perpetua" w:hAnsi="Perpetua" w:cs="Adobe Devanagari"/>
          <w:spacing w:val="-3"/>
          <w:sz w:val="26"/>
          <w:szCs w:val="26"/>
          <w:lang w:val="en-GB"/>
        </w:rPr>
        <w:t xml:space="preserve">A number of sources and analogues of </w:t>
      </w:r>
      <w:r>
        <w:rPr>
          <w:rFonts w:ascii="Perpetua" w:hAnsi="Perpetua" w:cs="Adobe Devanagari"/>
          <w:i/>
          <w:spacing w:val="-3"/>
          <w:sz w:val="26"/>
          <w:szCs w:val="26"/>
          <w:lang w:val="en-GB"/>
        </w:rPr>
        <w:t>Twelfth Night</w:t>
      </w:r>
      <w:r>
        <w:rPr>
          <w:rFonts w:ascii="Perpetua" w:hAnsi="Perpetua" w:cs="Adobe Devanagari"/>
          <w:spacing w:val="-3"/>
          <w:sz w:val="26"/>
          <w:szCs w:val="26"/>
          <w:lang w:val="en-GB"/>
        </w:rPr>
        <w:t xml:space="preserve"> are comparable narratives of twins, recovered identity, love and romance; for example, </w:t>
      </w:r>
      <w:r w:rsidRPr="00CC1AB1">
        <w:rPr>
          <w:rFonts w:ascii="Perpetua" w:hAnsi="Perpetua" w:cs="Adobe Devanagari"/>
          <w:spacing w:val="-3"/>
          <w:sz w:val="26"/>
          <w:szCs w:val="26"/>
          <w:lang w:val="en-GB"/>
        </w:rPr>
        <w:t xml:space="preserve">the story of </w:t>
      </w:r>
      <w:proofErr w:type="spellStart"/>
      <w:r w:rsidRPr="00CC1AB1">
        <w:rPr>
          <w:rFonts w:ascii="Perpetua" w:hAnsi="Perpetua" w:cs="Adobe Devanagari"/>
          <w:spacing w:val="-3"/>
          <w:sz w:val="26"/>
          <w:szCs w:val="26"/>
          <w:lang w:val="en-GB"/>
        </w:rPr>
        <w:t>Apolonius</w:t>
      </w:r>
      <w:proofErr w:type="spellEnd"/>
      <w:r w:rsidRPr="00CC1AB1">
        <w:rPr>
          <w:rFonts w:ascii="Perpetua" w:hAnsi="Perpetua" w:cs="Adobe Devanagari"/>
          <w:spacing w:val="-3"/>
          <w:sz w:val="26"/>
          <w:szCs w:val="26"/>
          <w:lang w:val="en-GB"/>
        </w:rPr>
        <w:t xml:space="preserve"> and Silla, in Barnaby Rich, </w:t>
      </w:r>
      <w:r w:rsidRPr="00CC1AB1">
        <w:rPr>
          <w:rFonts w:ascii="Perpetua" w:hAnsi="Perpetua" w:cs="Adobe Devanagari"/>
          <w:i/>
          <w:spacing w:val="-3"/>
          <w:sz w:val="26"/>
          <w:szCs w:val="26"/>
          <w:lang w:val="en-GB"/>
        </w:rPr>
        <w:t>Riche his Farewell to Military Profession</w:t>
      </w:r>
      <w:r w:rsidRPr="00CC1AB1">
        <w:rPr>
          <w:rFonts w:ascii="Perpetua" w:hAnsi="Perpetua" w:cs="Adobe Devanagari"/>
          <w:spacing w:val="-3"/>
          <w:sz w:val="26"/>
          <w:szCs w:val="26"/>
          <w:lang w:val="en-GB"/>
        </w:rPr>
        <w:t xml:space="preserve"> (1581)</w:t>
      </w:r>
      <w:r>
        <w:rPr>
          <w:rFonts w:ascii="Perpetua" w:hAnsi="Perpetua" w:cs="Adobe Devanagari"/>
          <w:spacing w:val="-3"/>
          <w:sz w:val="26"/>
          <w:szCs w:val="26"/>
          <w:lang w:val="en-GB"/>
        </w:rPr>
        <w:t>, and</w:t>
      </w:r>
      <w:r w:rsidRPr="00CC1AB1">
        <w:rPr>
          <w:rFonts w:ascii="Perpetua" w:hAnsi="Perpetua" w:cs="Adobe Devanagari"/>
          <w:spacing w:val="-3"/>
          <w:sz w:val="26"/>
          <w:szCs w:val="26"/>
          <w:lang w:val="en-GB"/>
        </w:rPr>
        <w:t xml:space="preserve"> the Italian comedy </w:t>
      </w:r>
      <w:proofErr w:type="spellStart"/>
      <w:r w:rsidRPr="00CC1AB1">
        <w:rPr>
          <w:rFonts w:ascii="Perpetua" w:hAnsi="Perpetua" w:cs="Adobe Devanagari"/>
          <w:i/>
          <w:spacing w:val="-3"/>
          <w:sz w:val="26"/>
          <w:szCs w:val="26"/>
          <w:lang w:val="en-GB"/>
        </w:rPr>
        <w:t>Gl’Ingannati</w:t>
      </w:r>
      <w:proofErr w:type="spellEnd"/>
      <w:r w:rsidRPr="00CC1AB1">
        <w:rPr>
          <w:rFonts w:ascii="Perpetua" w:hAnsi="Perpetua" w:cs="Adobe Devanagari"/>
          <w:i/>
          <w:spacing w:val="-3"/>
          <w:sz w:val="26"/>
          <w:szCs w:val="26"/>
          <w:lang w:val="en-GB"/>
        </w:rPr>
        <w:t xml:space="preserve"> (The Deceived Ones)</w:t>
      </w:r>
      <w:r>
        <w:rPr>
          <w:rFonts w:ascii="Perpetua" w:hAnsi="Perpetua" w:cs="Adobe Devanagari"/>
          <w:spacing w:val="-3"/>
          <w:sz w:val="26"/>
          <w:szCs w:val="26"/>
          <w:lang w:val="en-GB"/>
        </w:rPr>
        <w:t>.</w:t>
      </w:r>
    </w:p>
    <w:p w:rsidR="004173B8" w:rsidRDefault="004173B8" w:rsidP="004173B8">
      <w:pPr>
        <w:tabs>
          <w:tab w:val="left" w:pos="-720"/>
          <w:tab w:val="left" w:pos="0"/>
        </w:tabs>
        <w:suppressAutoHyphens/>
        <w:snapToGrid/>
        <w:spacing w:line="276" w:lineRule="auto"/>
        <w:rPr>
          <w:rFonts w:ascii="Perpetua" w:hAnsi="Perpetua" w:cs="Adobe Devanagari"/>
          <w:spacing w:val="-3"/>
          <w:sz w:val="26"/>
          <w:szCs w:val="26"/>
          <w:lang w:val="en-GB"/>
        </w:rPr>
      </w:pPr>
    </w:p>
    <w:p w:rsidR="004173B8" w:rsidRDefault="004173B8" w:rsidP="004173B8">
      <w:pPr>
        <w:tabs>
          <w:tab w:val="left" w:pos="-720"/>
          <w:tab w:val="left" w:pos="0"/>
        </w:tabs>
        <w:suppressAutoHyphens/>
        <w:snapToGrid/>
        <w:spacing w:line="276" w:lineRule="auto"/>
        <w:rPr>
          <w:rFonts w:ascii="Perpetua" w:hAnsi="Perpetua" w:cs="Adobe Devanagari"/>
          <w:spacing w:val="-3"/>
          <w:sz w:val="26"/>
          <w:szCs w:val="26"/>
          <w:lang w:val="en-GB"/>
        </w:rPr>
      </w:pPr>
    </w:p>
    <w:p w:rsidR="00D115A0" w:rsidRDefault="00D115A0" w:rsidP="004173B8">
      <w:pPr>
        <w:tabs>
          <w:tab w:val="left" w:pos="-720"/>
          <w:tab w:val="left" w:pos="0"/>
        </w:tabs>
        <w:suppressAutoHyphens/>
        <w:snapToGrid/>
        <w:spacing w:line="276" w:lineRule="auto"/>
        <w:rPr>
          <w:rFonts w:ascii="Perpetua" w:hAnsi="Perpetua" w:cs="Adobe Devanagari"/>
          <w:spacing w:val="-3"/>
          <w:sz w:val="26"/>
          <w:szCs w:val="26"/>
          <w:lang w:val="en-GB"/>
        </w:rPr>
      </w:pPr>
    </w:p>
    <w:p w:rsidR="00D115A0" w:rsidRDefault="00D115A0" w:rsidP="004173B8">
      <w:pPr>
        <w:tabs>
          <w:tab w:val="left" w:pos="-720"/>
          <w:tab w:val="left" w:pos="0"/>
        </w:tabs>
        <w:suppressAutoHyphens/>
        <w:snapToGrid/>
        <w:spacing w:line="276" w:lineRule="auto"/>
        <w:rPr>
          <w:rFonts w:ascii="Perpetua" w:hAnsi="Perpetua" w:cs="Adobe Devanagari"/>
          <w:spacing w:val="-3"/>
          <w:sz w:val="26"/>
          <w:szCs w:val="26"/>
          <w:lang w:val="en-GB"/>
        </w:rPr>
      </w:pPr>
    </w:p>
    <w:p w:rsidR="00D115A0" w:rsidRPr="004173B8" w:rsidRDefault="00D115A0" w:rsidP="004173B8">
      <w:pPr>
        <w:tabs>
          <w:tab w:val="left" w:pos="-720"/>
          <w:tab w:val="left" w:pos="0"/>
        </w:tabs>
        <w:suppressAutoHyphens/>
        <w:snapToGrid/>
        <w:spacing w:line="276" w:lineRule="auto"/>
        <w:rPr>
          <w:rFonts w:ascii="Perpetua" w:hAnsi="Perpetua" w:cs="Adobe Devanagari"/>
          <w:spacing w:val="-3"/>
          <w:sz w:val="26"/>
          <w:szCs w:val="26"/>
          <w:lang w:val="en-GB"/>
        </w:rPr>
      </w:pPr>
    </w:p>
    <w:p w:rsidR="004173B8" w:rsidRDefault="004173B8" w:rsidP="004173B8">
      <w:pPr>
        <w:pStyle w:val="ListParagraph"/>
        <w:numPr>
          <w:ilvl w:val="0"/>
          <w:numId w:val="6"/>
        </w:numPr>
        <w:tabs>
          <w:tab w:val="left" w:pos="-720"/>
          <w:tab w:val="left" w:pos="0"/>
        </w:tabs>
        <w:suppressAutoHyphens/>
        <w:snapToGrid/>
        <w:spacing w:line="276" w:lineRule="auto"/>
        <w:rPr>
          <w:rFonts w:ascii="Perpetua" w:hAnsi="Perpetua" w:cs="Adobe Devanagari"/>
          <w:b/>
          <w:spacing w:val="-3"/>
          <w:sz w:val="26"/>
          <w:szCs w:val="26"/>
          <w:lang w:val="en-GB"/>
        </w:rPr>
      </w:pPr>
      <w:r w:rsidRPr="004173B8">
        <w:rPr>
          <w:rFonts w:ascii="Perpetua" w:hAnsi="Perpetua" w:cs="Adobe Devanagari"/>
          <w:b/>
          <w:spacing w:val="-3"/>
          <w:sz w:val="26"/>
          <w:szCs w:val="26"/>
          <w:lang w:val="en-GB"/>
        </w:rPr>
        <w:lastRenderedPageBreak/>
        <w:t xml:space="preserve">Comic structure and the idea of a ‘happy ending’; the retrospective view that alters our understanding of the play as a whole; </w:t>
      </w:r>
      <w:r w:rsidRPr="004173B8">
        <w:rPr>
          <w:rFonts w:ascii="Perpetua" w:hAnsi="Perpetua" w:cs="Adobe Devanagari"/>
          <w:b/>
          <w:i/>
          <w:spacing w:val="-3"/>
          <w:sz w:val="26"/>
          <w:szCs w:val="26"/>
          <w:lang w:val="en-GB"/>
        </w:rPr>
        <w:t>Twelfth Night</w:t>
      </w:r>
      <w:r w:rsidRPr="004173B8">
        <w:rPr>
          <w:rFonts w:ascii="Perpetua" w:hAnsi="Perpetua" w:cs="Adobe Devanagari"/>
          <w:b/>
          <w:spacing w:val="-3"/>
          <w:sz w:val="26"/>
          <w:szCs w:val="26"/>
          <w:lang w:val="en-GB"/>
        </w:rPr>
        <w:t xml:space="preserve"> as </w:t>
      </w:r>
      <w:proofErr w:type="spellStart"/>
      <w:r w:rsidRPr="004173B8">
        <w:rPr>
          <w:rFonts w:ascii="Perpetua" w:hAnsi="Perpetua" w:cs="Adobe Devanagari"/>
          <w:b/>
          <w:spacing w:val="-3"/>
          <w:sz w:val="26"/>
          <w:szCs w:val="26"/>
          <w:lang w:val="en-GB"/>
        </w:rPr>
        <w:t>unbuilding</w:t>
      </w:r>
      <w:proofErr w:type="spellEnd"/>
      <w:r w:rsidRPr="004173B8">
        <w:rPr>
          <w:rFonts w:ascii="Perpetua" w:hAnsi="Perpetua" w:cs="Adobe Devanagari"/>
          <w:b/>
          <w:spacing w:val="-3"/>
          <w:sz w:val="26"/>
          <w:szCs w:val="26"/>
          <w:lang w:val="en-GB"/>
        </w:rPr>
        <w:t xml:space="preserve"> this comic form</w:t>
      </w:r>
    </w:p>
    <w:p w:rsidR="004173B8" w:rsidRDefault="004173B8" w:rsidP="004173B8">
      <w:pPr>
        <w:tabs>
          <w:tab w:val="left" w:pos="-720"/>
          <w:tab w:val="left" w:pos="0"/>
        </w:tabs>
        <w:suppressAutoHyphens/>
        <w:snapToGrid/>
        <w:spacing w:line="276" w:lineRule="auto"/>
        <w:rPr>
          <w:rFonts w:ascii="Perpetua" w:hAnsi="Perpetua" w:cs="Adobe Devanagari"/>
          <w:spacing w:val="-3"/>
          <w:sz w:val="26"/>
          <w:szCs w:val="26"/>
          <w:lang w:val="en-GB"/>
        </w:rPr>
      </w:pPr>
    </w:p>
    <w:p w:rsidR="00B329B9" w:rsidRDefault="00B329B9" w:rsidP="004173B8">
      <w:pPr>
        <w:tabs>
          <w:tab w:val="left" w:pos="-720"/>
          <w:tab w:val="left" w:pos="0"/>
        </w:tabs>
        <w:suppressAutoHyphens/>
        <w:snapToGrid/>
        <w:spacing w:line="276" w:lineRule="auto"/>
        <w:rPr>
          <w:rFonts w:ascii="Perpetua" w:hAnsi="Perpetua" w:cs="Adobe Devanagari"/>
          <w:spacing w:val="-3"/>
          <w:sz w:val="26"/>
          <w:szCs w:val="26"/>
          <w:lang w:val="en-GB"/>
        </w:rPr>
      </w:pPr>
      <w:r>
        <w:rPr>
          <w:rFonts w:ascii="Perpetua" w:hAnsi="Perpetua" w:cs="Adobe Devanagari"/>
          <w:spacing w:val="-3"/>
          <w:sz w:val="26"/>
          <w:szCs w:val="26"/>
          <w:lang w:val="en-GB"/>
        </w:rPr>
        <w:t xml:space="preserve">Comedy can be about transformation. For example, </w:t>
      </w:r>
      <w:proofErr w:type="spellStart"/>
      <w:r>
        <w:rPr>
          <w:rFonts w:ascii="Perpetua" w:hAnsi="Perpetua" w:cs="Adobe Devanagari"/>
          <w:spacing w:val="-3"/>
          <w:sz w:val="26"/>
          <w:szCs w:val="26"/>
          <w:lang w:val="en-GB"/>
        </w:rPr>
        <w:t>Orsino</w:t>
      </w:r>
      <w:proofErr w:type="spellEnd"/>
      <w:r>
        <w:rPr>
          <w:rFonts w:ascii="Perpetua" w:hAnsi="Perpetua" w:cs="Adobe Devanagari"/>
          <w:spacing w:val="-3"/>
          <w:sz w:val="26"/>
          <w:szCs w:val="26"/>
          <w:lang w:val="en-GB"/>
        </w:rPr>
        <w:t xml:space="preserve"> can be seen as ‘one of the many self-deceivers in the play, at the beginning subject to a fiction, to art, but brought, through Viola’s love, to a realization of her nature, and his own, a process of metamorphosis paralleled, much more harshly, in </w:t>
      </w:r>
      <w:proofErr w:type="spellStart"/>
      <w:r>
        <w:rPr>
          <w:rFonts w:ascii="Perpetua" w:hAnsi="Perpetua" w:cs="Adobe Devanagari"/>
          <w:spacing w:val="-3"/>
          <w:sz w:val="26"/>
          <w:szCs w:val="26"/>
          <w:lang w:val="en-GB"/>
        </w:rPr>
        <w:t>Malvolio’s</w:t>
      </w:r>
      <w:proofErr w:type="spellEnd"/>
      <w:r>
        <w:rPr>
          <w:rFonts w:ascii="Perpetua" w:hAnsi="Perpetua" w:cs="Adobe Devanagari"/>
          <w:spacing w:val="-3"/>
          <w:sz w:val="26"/>
          <w:szCs w:val="26"/>
          <w:lang w:val="en-GB"/>
        </w:rPr>
        <w:t xml:space="preserve"> movement through the play’.</w:t>
      </w:r>
      <w:r>
        <w:rPr>
          <w:rStyle w:val="FootnoteReference"/>
          <w:rFonts w:ascii="Perpetua" w:hAnsi="Perpetua" w:cs="Adobe Devanagari"/>
          <w:spacing w:val="-3"/>
          <w:sz w:val="26"/>
          <w:szCs w:val="26"/>
          <w:lang w:val="en-GB"/>
        </w:rPr>
        <w:footnoteReference w:id="9"/>
      </w:r>
    </w:p>
    <w:p w:rsidR="00B329B9" w:rsidRDefault="00B329B9" w:rsidP="004173B8">
      <w:pPr>
        <w:tabs>
          <w:tab w:val="left" w:pos="-720"/>
          <w:tab w:val="left" w:pos="0"/>
        </w:tabs>
        <w:suppressAutoHyphens/>
        <w:snapToGrid/>
        <w:spacing w:line="276" w:lineRule="auto"/>
        <w:rPr>
          <w:rFonts w:ascii="Perpetua" w:hAnsi="Perpetua" w:cs="Adobe Devanagari"/>
          <w:spacing w:val="-3"/>
          <w:sz w:val="26"/>
          <w:szCs w:val="26"/>
          <w:lang w:val="en-GB"/>
        </w:rPr>
      </w:pPr>
    </w:p>
    <w:p w:rsidR="004173B8" w:rsidRPr="00B329B9" w:rsidRDefault="00944C95" w:rsidP="004173B8">
      <w:pPr>
        <w:tabs>
          <w:tab w:val="left" w:pos="-720"/>
          <w:tab w:val="left" w:pos="0"/>
        </w:tabs>
        <w:suppressAutoHyphens/>
        <w:snapToGrid/>
        <w:spacing w:line="276" w:lineRule="auto"/>
        <w:rPr>
          <w:rFonts w:ascii="Perpetua" w:hAnsi="Perpetua" w:cs="Adobe Devanagari"/>
          <w:spacing w:val="-3"/>
          <w:sz w:val="26"/>
          <w:szCs w:val="26"/>
          <w:lang w:val="en-GB"/>
        </w:rPr>
      </w:pPr>
      <w:r>
        <w:rPr>
          <w:rFonts w:ascii="Perpetua" w:hAnsi="Perpetua" w:cs="Adobe Devanagari"/>
          <w:spacing w:val="-3"/>
          <w:sz w:val="26"/>
          <w:szCs w:val="26"/>
          <w:lang w:val="en-GB"/>
        </w:rPr>
        <w:t xml:space="preserve">Shakespeare can be seen in </w:t>
      </w:r>
      <w:r>
        <w:rPr>
          <w:rFonts w:ascii="Perpetua" w:hAnsi="Perpetua" w:cs="Adobe Devanagari"/>
          <w:i/>
          <w:spacing w:val="-3"/>
          <w:sz w:val="26"/>
          <w:szCs w:val="26"/>
          <w:lang w:val="en-GB"/>
        </w:rPr>
        <w:t>Twelfth Night</w:t>
      </w:r>
      <w:r>
        <w:rPr>
          <w:rFonts w:ascii="Perpetua" w:hAnsi="Perpetua" w:cs="Adobe Devanagari"/>
          <w:spacing w:val="-3"/>
          <w:sz w:val="26"/>
          <w:szCs w:val="26"/>
          <w:lang w:val="en-GB"/>
        </w:rPr>
        <w:t xml:space="preserve">, as beginning to </w:t>
      </w:r>
      <w:proofErr w:type="spellStart"/>
      <w:r>
        <w:rPr>
          <w:rFonts w:ascii="Perpetua" w:hAnsi="Perpetua" w:cs="Adobe Devanagari"/>
          <w:spacing w:val="-3"/>
          <w:sz w:val="26"/>
          <w:szCs w:val="26"/>
          <w:lang w:val="en-GB"/>
        </w:rPr>
        <w:t>unbuild</w:t>
      </w:r>
      <w:proofErr w:type="spellEnd"/>
      <w:r>
        <w:rPr>
          <w:rFonts w:ascii="Perpetua" w:hAnsi="Perpetua" w:cs="Adobe Devanagari"/>
          <w:spacing w:val="-3"/>
          <w:sz w:val="26"/>
          <w:szCs w:val="26"/>
          <w:lang w:val="en-GB"/>
        </w:rPr>
        <w:t xml:space="preserve"> his own comic form at its point of greatest vulnerability: the ending.</w:t>
      </w:r>
      <w:r>
        <w:rPr>
          <w:rStyle w:val="FootnoteReference"/>
          <w:rFonts w:ascii="Perpetua" w:hAnsi="Perpetua" w:cs="Adobe Devanagari"/>
          <w:spacing w:val="-3"/>
          <w:sz w:val="26"/>
          <w:szCs w:val="26"/>
          <w:lang w:val="en-GB"/>
        </w:rPr>
        <w:footnoteReference w:id="10"/>
      </w:r>
      <w:r w:rsidR="00B329B9">
        <w:rPr>
          <w:rFonts w:ascii="Perpetua" w:hAnsi="Perpetua" w:cs="Adobe Devanagari"/>
          <w:spacing w:val="-3"/>
          <w:sz w:val="26"/>
          <w:szCs w:val="26"/>
          <w:lang w:val="en-GB"/>
        </w:rPr>
        <w:t xml:space="preserve"> The play tends in this view to be regarded as a milestone in Shakespeare’s development as a comic dramatist. In </w:t>
      </w:r>
      <w:r w:rsidR="00B329B9">
        <w:rPr>
          <w:rFonts w:ascii="Perpetua" w:hAnsi="Perpetua" w:cs="Adobe Devanagari"/>
          <w:i/>
          <w:spacing w:val="-3"/>
          <w:sz w:val="26"/>
          <w:szCs w:val="26"/>
          <w:lang w:val="en-GB"/>
        </w:rPr>
        <w:t>‘Twelfth Night’ and Shakespearian Comedy</w:t>
      </w:r>
      <w:r w:rsidR="00B329B9">
        <w:rPr>
          <w:rFonts w:ascii="Perpetua" w:hAnsi="Perpetua" w:cs="Adobe Devanagari"/>
          <w:spacing w:val="-3"/>
          <w:sz w:val="26"/>
          <w:szCs w:val="26"/>
          <w:lang w:val="en-GB"/>
        </w:rPr>
        <w:t xml:space="preserve">, Clifford Leech examines ‘the play’s discordant elements, its sometimes disturbing mixture of romance and revenge, and sees the dramatist about to move on from what he calls its “vulnerable delight” to a broader vision of human behaviour in the dark comedies that followed’, among which is </w:t>
      </w:r>
      <w:r w:rsidR="00B329B9">
        <w:rPr>
          <w:rFonts w:ascii="Perpetua" w:hAnsi="Perpetua" w:cs="Adobe Devanagari"/>
          <w:i/>
          <w:spacing w:val="-3"/>
          <w:sz w:val="26"/>
          <w:szCs w:val="26"/>
          <w:lang w:val="en-GB"/>
        </w:rPr>
        <w:t>Measure for Measure</w:t>
      </w:r>
      <w:r w:rsidR="00B329B9">
        <w:rPr>
          <w:rFonts w:ascii="Perpetua" w:hAnsi="Perpetua" w:cs="Adobe Devanagari"/>
          <w:spacing w:val="-3"/>
          <w:sz w:val="26"/>
          <w:szCs w:val="26"/>
          <w:lang w:val="en-GB"/>
        </w:rPr>
        <w:t>.</w:t>
      </w:r>
      <w:r w:rsidR="00B329B9">
        <w:rPr>
          <w:rStyle w:val="FootnoteReference"/>
          <w:rFonts w:ascii="Perpetua" w:hAnsi="Perpetua" w:cs="Adobe Devanagari"/>
          <w:spacing w:val="-3"/>
          <w:sz w:val="26"/>
          <w:szCs w:val="26"/>
          <w:lang w:val="en-GB"/>
        </w:rPr>
        <w:footnoteReference w:id="11"/>
      </w:r>
    </w:p>
    <w:p w:rsidR="004173B8" w:rsidRDefault="004173B8" w:rsidP="004173B8">
      <w:pPr>
        <w:tabs>
          <w:tab w:val="left" w:pos="-720"/>
          <w:tab w:val="left" w:pos="0"/>
        </w:tabs>
        <w:suppressAutoHyphens/>
        <w:snapToGrid/>
        <w:spacing w:line="276" w:lineRule="auto"/>
        <w:rPr>
          <w:rFonts w:ascii="Perpetua" w:hAnsi="Perpetua" w:cs="Adobe Devanagari"/>
          <w:spacing w:val="-3"/>
          <w:sz w:val="26"/>
          <w:szCs w:val="26"/>
          <w:lang w:val="en-GB"/>
        </w:rPr>
      </w:pPr>
    </w:p>
    <w:p w:rsidR="004173B8" w:rsidRPr="004173B8" w:rsidRDefault="004173B8" w:rsidP="004173B8">
      <w:pPr>
        <w:tabs>
          <w:tab w:val="left" w:pos="-720"/>
          <w:tab w:val="left" w:pos="0"/>
        </w:tabs>
        <w:suppressAutoHyphens/>
        <w:snapToGrid/>
        <w:spacing w:line="276" w:lineRule="auto"/>
        <w:rPr>
          <w:rFonts w:ascii="Perpetua" w:hAnsi="Perpetua" w:cs="Adobe Devanagari"/>
          <w:spacing w:val="-3"/>
          <w:sz w:val="26"/>
          <w:szCs w:val="26"/>
          <w:lang w:val="en-GB"/>
        </w:rPr>
      </w:pPr>
    </w:p>
    <w:p w:rsidR="004173B8" w:rsidRDefault="004173B8" w:rsidP="004173B8">
      <w:pPr>
        <w:pStyle w:val="ListParagraph"/>
        <w:numPr>
          <w:ilvl w:val="0"/>
          <w:numId w:val="6"/>
        </w:numPr>
        <w:tabs>
          <w:tab w:val="left" w:pos="-720"/>
          <w:tab w:val="left" w:pos="0"/>
        </w:tabs>
        <w:suppressAutoHyphens/>
        <w:snapToGrid/>
        <w:spacing w:line="276" w:lineRule="auto"/>
        <w:rPr>
          <w:rFonts w:ascii="Perpetua" w:hAnsi="Perpetua" w:cs="Adobe Devanagari"/>
          <w:b/>
          <w:spacing w:val="-3"/>
          <w:sz w:val="26"/>
          <w:szCs w:val="26"/>
          <w:lang w:val="en-GB"/>
        </w:rPr>
      </w:pPr>
      <w:r w:rsidRPr="004173B8">
        <w:rPr>
          <w:rFonts w:ascii="Perpetua" w:hAnsi="Perpetua" w:cs="Adobe Devanagari"/>
          <w:b/>
          <w:spacing w:val="-3"/>
          <w:sz w:val="26"/>
          <w:szCs w:val="26"/>
          <w:lang w:val="en-GB"/>
        </w:rPr>
        <w:t>Delight mixed with melancholy; the cultivation of different perspectives</w:t>
      </w:r>
    </w:p>
    <w:p w:rsidR="004173B8" w:rsidRDefault="004173B8" w:rsidP="004173B8">
      <w:pPr>
        <w:tabs>
          <w:tab w:val="left" w:pos="-720"/>
          <w:tab w:val="left" w:pos="0"/>
        </w:tabs>
        <w:suppressAutoHyphens/>
        <w:snapToGrid/>
        <w:spacing w:line="276" w:lineRule="auto"/>
        <w:rPr>
          <w:rFonts w:ascii="Perpetua" w:hAnsi="Perpetua" w:cs="Adobe Devanagari"/>
          <w:spacing w:val="-3"/>
          <w:sz w:val="26"/>
          <w:szCs w:val="26"/>
          <w:lang w:val="en-GB"/>
        </w:rPr>
      </w:pPr>
    </w:p>
    <w:p w:rsidR="004173B8" w:rsidRPr="00BE59DB" w:rsidRDefault="00BE59DB" w:rsidP="004173B8">
      <w:pPr>
        <w:tabs>
          <w:tab w:val="left" w:pos="-720"/>
          <w:tab w:val="left" w:pos="0"/>
        </w:tabs>
        <w:suppressAutoHyphens/>
        <w:snapToGrid/>
        <w:spacing w:line="276" w:lineRule="auto"/>
        <w:rPr>
          <w:rFonts w:ascii="Perpetua" w:hAnsi="Perpetua" w:cs="Adobe Devanagari"/>
          <w:spacing w:val="-3"/>
          <w:sz w:val="26"/>
          <w:szCs w:val="26"/>
          <w:lang w:val="en-GB"/>
        </w:rPr>
      </w:pPr>
      <w:r w:rsidRPr="00BE59DB">
        <w:rPr>
          <w:rFonts w:ascii="Perpetua" w:hAnsi="Perpetua" w:cs="Adobe Devanagari"/>
          <w:i/>
          <w:spacing w:val="-3"/>
          <w:sz w:val="26"/>
          <w:szCs w:val="26"/>
          <w:lang w:val="en-GB"/>
        </w:rPr>
        <w:t>Twelfth Night</w:t>
      </w:r>
      <w:r>
        <w:rPr>
          <w:rFonts w:ascii="Perpetua" w:hAnsi="Perpetua" w:cs="Adobe Devanagari"/>
          <w:spacing w:val="-3"/>
          <w:sz w:val="26"/>
          <w:szCs w:val="26"/>
          <w:lang w:val="en-GB"/>
        </w:rPr>
        <w:t xml:space="preserve"> is often described as a play of contrasts in mood, between sweet and sour, laughter and tears. ‘This combination of happiness and sadness, to the point where an awareness of the one is essential to the full experience and appreciation of the other, is characteristic of the mood of </w:t>
      </w:r>
      <w:r>
        <w:rPr>
          <w:rFonts w:ascii="Perpetua" w:hAnsi="Perpetua" w:cs="Adobe Devanagari"/>
          <w:i/>
          <w:spacing w:val="-3"/>
          <w:sz w:val="26"/>
          <w:szCs w:val="26"/>
          <w:lang w:val="en-GB"/>
        </w:rPr>
        <w:t>Twelfth Night</w:t>
      </w:r>
      <w:r>
        <w:rPr>
          <w:rFonts w:ascii="Perpetua" w:hAnsi="Perpetua" w:cs="Adobe Devanagari"/>
          <w:spacing w:val="-3"/>
          <w:sz w:val="26"/>
          <w:szCs w:val="26"/>
          <w:lang w:val="en-GB"/>
        </w:rPr>
        <w:t xml:space="preserve">, epitomized in the lines in which </w:t>
      </w:r>
      <w:proofErr w:type="spellStart"/>
      <w:r>
        <w:rPr>
          <w:rFonts w:ascii="Perpetua" w:hAnsi="Perpetua" w:cs="Adobe Devanagari"/>
          <w:spacing w:val="-3"/>
          <w:sz w:val="26"/>
          <w:szCs w:val="26"/>
          <w:lang w:val="en-GB"/>
        </w:rPr>
        <w:t>Orsino</w:t>
      </w:r>
      <w:proofErr w:type="spellEnd"/>
      <w:r>
        <w:rPr>
          <w:rFonts w:ascii="Perpetua" w:hAnsi="Perpetua" w:cs="Adobe Devanagari"/>
          <w:spacing w:val="-3"/>
          <w:sz w:val="26"/>
          <w:szCs w:val="26"/>
          <w:lang w:val="en-GB"/>
        </w:rPr>
        <w:t xml:space="preserve"> and Viola discuss female perfection […].’</w:t>
      </w:r>
      <w:r w:rsidR="00B06EAC">
        <w:rPr>
          <w:rStyle w:val="FootnoteReference"/>
          <w:rFonts w:ascii="Perpetua" w:hAnsi="Perpetua" w:cs="Adobe Devanagari"/>
          <w:spacing w:val="-3"/>
          <w:sz w:val="26"/>
          <w:szCs w:val="26"/>
          <w:lang w:val="en-GB"/>
        </w:rPr>
        <w:footnoteReference w:id="12"/>
      </w:r>
      <w:r>
        <w:rPr>
          <w:rFonts w:ascii="Perpetua" w:hAnsi="Perpetua" w:cs="Adobe Devanagari"/>
          <w:spacing w:val="-3"/>
          <w:sz w:val="26"/>
          <w:szCs w:val="26"/>
          <w:lang w:val="en-GB"/>
        </w:rPr>
        <w:t xml:space="preserve"> See II.iv.37-40.</w:t>
      </w:r>
      <w:r w:rsidR="00B06EAC">
        <w:rPr>
          <w:rFonts w:ascii="Perpetua" w:hAnsi="Perpetua" w:cs="Adobe Devanagari"/>
          <w:spacing w:val="-3"/>
          <w:sz w:val="26"/>
          <w:szCs w:val="26"/>
          <w:lang w:val="en-GB"/>
        </w:rPr>
        <w:t xml:space="preserve"> What other examples of such contrasts in the play can you think of?</w:t>
      </w:r>
    </w:p>
    <w:p w:rsidR="004173B8" w:rsidRDefault="004173B8" w:rsidP="004173B8">
      <w:pPr>
        <w:tabs>
          <w:tab w:val="left" w:pos="-720"/>
          <w:tab w:val="left" w:pos="0"/>
        </w:tabs>
        <w:suppressAutoHyphens/>
        <w:snapToGrid/>
        <w:spacing w:line="276" w:lineRule="auto"/>
        <w:rPr>
          <w:rFonts w:ascii="Perpetua" w:hAnsi="Perpetua" w:cs="Adobe Devanagari"/>
          <w:spacing w:val="-3"/>
          <w:sz w:val="26"/>
          <w:szCs w:val="26"/>
          <w:lang w:val="en-GB"/>
        </w:rPr>
      </w:pPr>
    </w:p>
    <w:p w:rsidR="004173B8" w:rsidRPr="004173B8" w:rsidRDefault="004173B8" w:rsidP="004173B8">
      <w:pPr>
        <w:tabs>
          <w:tab w:val="left" w:pos="-720"/>
          <w:tab w:val="left" w:pos="0"/>
        </w:tabs>
        <w:suppressAutoHyphens/>
        <w:snapToGrid/>
        <w:spacing w:line="276" w:lineRule="auto"/>
        <w:rPr>
          <w:rFonts w:ascii="Perpetua" w:hAnsi="Perpetua" w:cs="Adobe Devanagari"/>
          <w:spacing w:val="-3"/>
          <w:sz w:val="26"/>
          <w:szCs w:val="26"/>
          <w:lang w:val="en-GB"/>
        </w:rPr>
      </w:pPr>
    </w:p>
    <w:p w:rsidR="004173B8" w:rsidRDefault="004173B8" w:rsidP="004173B8">
      <w:pPr>
        <w:pStyle w:val="ListParagraph"/>
        <w:numPr>
          <w:ilvl w:val="0"/>
          <w:numId w:val="6"/>
        </w:numPr>
        <w:tabs>
          <w:tab w:val="left" w:pos="-720"/>
          <w:tab w:val="left" w:pos="0"/>
        </w:tabs>
        <w:suppressAutoHyphens/>
        <w:snapToGrid/>
        <w:spacing w:line="276" w:lineRule="auto"/>
        <w:rPr>
          <w:rFonts w:ascii="Perpetua" w:hAnsi="Perpetua" w:cs="Adobe Devanagari"/>
          <w:b/>
          <w:spacing w:val="-3"/>
          <w:sz w:val="26"/>
          <w:szCs w:val="26"/>
          <w:lang w:val="en-GB"/>
        </w:rPr>
      </w:pPr>
      <w:r w:rsidRPr="004173B8">
        <w:rPr>
          <w:rFonts w:ascii="Perpetua" w:hAnsi="Perpetua" w:cs="Adobe Devanagari"/>
          <w:b/>
          <w:spacing w:val="-3"/>
          <w:sz w:val="26"/>
          <w:szCs w:val="26"/>
          <w:lang w:val="en-GB"/>
        </w:rPr>
        <w:t>The twelfth night of Christmas, festivity, revelry, the world upside-down, reversals of established norms</w:t>
      </w:r>
    </w:p>
    <w:p w:rsidR="004173B8" w:rsidRDefault="004173B8" w:rsidP="004173B8">
      <w:pPr>
        <w:tabs>
          <w:tab w:val="left" w:pos="-720"/>
          <w:tab w:val="left" w:pos="0"/>
        </w:tabs>
        <w:suppressAutoHyphens/>
        <w:snapToGrid/>
        <w:spacing w:line="276" w:lineRule="auto"/>
        <w:rPr>
          <w:rFonts w:ascii="Perpetua" w:hAnsi="Perpetua" w:cs="Adobe Devanagari"/>
          <w:spacing w:val="-3"/>
          <w:sz w:val="26"/>
          <w:szCs w:val="26"/>
          <w:lang w:val="en-GB"/>
        </w:rPr>
      </w:pPr>
    </w:p>
    <w:p w:rsidR="004173B8" w:rsidRPr="009836DA" w:rsidRDefault="009836DA" w:rsidP="004173B8">
      <w:pPr>
        <w:tabs>
          <w:tab w:val="left" w:pos="-720"/>
          <w:tab w:val="left" w:pos="0"/>
        </w:tabs>
        <w:suppressAutoHyphens/>
        <w:snapToGrid/>
        <w:spacing w:line="276" w:lineRule="auto"/>
        <w:rPr>
          <w:rFonts w:ascii="Perpetua" w:hAnsi="Perpetua" w:cs="Adobe Devanagari"/>
          <w:spacing w:val="-3"/>
          <w:sz w:val="26"/>
          <w:szCs w:val="26"/>
          <w:lang w:val="en-GB"/>
        </w:rPr>
      </w:pPr>
      <w:r>
        <w:rPr>
          <w:rFonts w:ascii="Perpetua" w:hAnsi="Perpetua" w:cs="Adobe Devanagari"/>
          <w:spacing w:val="-3"/>
          <w:sz w:val="26"/>
          <w:szCs w:val="26"/>
          <w:lang w:val="en-GB"/>
        </w:rPr>
        <w:t xml:space="preserve">Michael Taylor sets </w:t>
      </w:r>
      <w:r>
        <w:rPr>
          <w:rFonts w:ascii="Perpetua" w:hAnsi="Perpetua" w:cs="Adobe Devanagari"/>
          <w:i/>
          <w:spacing w:val="-3"/>
          <w:sz w:val="26"/>
          <w:szCs w:val="26"/>
          <w:lang w:val="en-GB"/>
        </w:rPr>
        <w:t>Twelfth Night</w:t>
      </w:r>
      <w:r>
        <w:rPr>
          <w:rFonts w:ascii="Perpetua" w:hAnsi="Perpetua" w:cs="Adobe Devanagari"/>
          <w:spacing w:val="-3"/>
          <w:sz w:val="26"/>
          <w:szCs w:val="26"/>
          <w:lang w:val="en-GB"/>
        </w:rPr>
        <w:t xml:space="preserve"> beside its alternative title ‘What You Will’ in a discussion of ‘the relationship between freedom from ambition and responsibility (in the spirit of Twelfth Night carnival) and pursuit of individual resolution, the search for “what you will”’.</w:t>
      </w:r>
      <w:r>
        <w:rPr>
          <w:rStyle w:val="FootnoteReference"/>
          <w:rFonts w:ascii="Perpetua" w:hAnsi="Perpetua" w:cs="Adobe Devanagari"/>
          <w:spacing w:val="-3"/>
          <w:sz w:val="26"/>
          <w:szCs w:val="26"/>
          <w:lang w:val="en-GB"/>
        </w:rPr>
        <w:footnoteReference w:id="13"/>
      </w:r>
    </w:p>
    <w:p w:rsidR="004173B8" w:rsidRDefault="004173B8" w:rsidP="004173B8">
      <w:pPr>
        <w:tabs>
          <w:tab w:val="left" w:pos="-720"/>
          <w:tab w:val="left" w:pos="0"/>
        </w:tabs>
        <w:suppressAutoHyphens/>
        <w:snapToGrid/>
        <w:spacing w:line="276" w:lineRule="auto"/>
        <w:rPr>
          <w:rFonts w:ascii="Perpetua" w:hAnsi="Perpetua" w:cs="Adobe Devanagari"/>
          <w:spacing w:val="-3"/>
          <w:sz w:val="26"/>
          <w:szCs w:val="26"/>
          <w:lang w:val="en-GB"/>
        </w:rPr>
      </w:pPr>
    </w:p>
    <w:p w:rsidR="004173B8" w:rsidRPr="004173B8" w:rsidRDefault="004173B8" w:rsidP="004173B8">
      <w:pPr>
        <w:tabs>
          <w:tab w:val="left" w:pos="-720"/>
          <w:tab w:val="left" w:pos="0"/>
        </w:tabs>
        <w:suppressAutoHyphens/>
        <w:snapToGrid/>
        <w:spacing w:line="276" w:lineRule="auto"/>
        <w:rPr>
          <w:rFonts w:ascii="Perpetua" w:hAnsi="Perpetua" w:cs="Adobe Devanagari"/>
          <w:spacing w:val="-3"/>
          <w:sz w:val="26"/>
          <w:szCs w:val="26"/>
          <w:lang w:val="en-GB"/>
        </w:rPr>
      </w:pPr>
    </w:p>
    <w:p w:rsidR="004173B8" w:rsidRPr="005F2E54" w:rsidRDefault="004173B8" w:rsidP="00D3795F">
      <w:pPr>
        <w:pStyle w:val="ListParagraph"/>
        <w:numPr>
          <w:ilvl w:val="0"/>
          <w:numId w:val="6"/>
        </w:numPr>
        <w:tabs>
          <w:tab w:val="left" w:pos="-720"/>
          <w:tab w:val="left" w:pos="0"/>
        </w:tabs>
        <w:suppressAutoHyphens/>
        <w:snapToGrid/>
        <w:spacing w:line="276" w:lineRule="auto"/>
        <w:rPr>
          <w:rFonts w:ascii="Perpetua" w:hAnsi="Perpetua" w:cs="Adobe Devanagari"/>
          <w:spacing w:val="-3"/>
          <w:sz w:val="26"/>
          <w:szCs w:val="26"/>
          <w:lang w:val="en-GB"/>
        </w:rPr>
      </w:pPr>
      <w:r w:rsidRPr="005F2E54">
        <w:rPr>
          <w:rFonts w:ascii="Perpetua" w:hAnsi="Perpetua" w:cs="Adobe Devanagari"/>
          <w:b/>
          <w:spacing w:val="-3"/>
          <w:sz w:val="26"/>
          <w:szCs w:val="26"/>
          <w:lang w:val="en-GB"/>
        </w:rPr>
        <w:lastRenderedPageBreak/>
        <w:t>The play’s musicality</w:t>
      </w:r>
      <w:r w:rsidR="005F2E54" w:rsidRPr="005F2E54">
        <w:rPr>
          <w:rFonts w:ascii="Perpetua" w:hAnsi="Perpetua" w:cs="Adobe Devanagari"/>
          <w:b/>
          <w:spacing w:val="-3"/>
          <w:sz w:val="26"/>
          <w:szCs w:val="26"/>
          <w:lang w:val="en-GB"/>
        </w:rPr>
        <w:t>; and</w:t>
      </w:r>
    </w:p>
    <w:p w:rsidR="004173B8" w:rsidRDefault="004173B8" w:rsidP="004173B8">
      <w:pPr>
        <w:pStyle w:val="ListParagraph"/>
        <w:numPr>
          <w:ilvl w:val="0"/>
          <w:numId w:val="6"/>
        </w:numPr>
        <w:tabs>
          <w:tab w:val="left" w:pos="-720"/>
          <w:tab w:val="left" w:pos="0"/>
        </w:tabs>
        <w:suppressAutoHyphens/>
        <w:snapToGrid/>
        <w:spacing w:line="276" w:lineRule="auto"/>
        <w:rPr>
          <w:rFonts w:ascii="Perpetua" w:hAnsi="Perpetua" w:cs="Adobe Devanagari"/>
          <w:b/>
          <w:spacing w:val="-3"/>
          <w:sz w:val="26"/>
          <w:szCs w:val="26"/>
          <w:lang w:val="en-GB"/>
        </w:rPr>
      </w:pPr>
      <w:r w:rsidRPr="004173B8">
        <w:rPr>
          <w:rFonts w:ascii="Perpetua" w:hAnsi="Perpetua" w:cs="Adobe Devanagari"/>
          <w:b/>
          <w:spacing w:val="-3"/>
          <w:sz w:val="26"/>
          <w:szCs w:val="26"/>
          <w:lang w:val="en-GB"/>
        </w:rPr>
        <w:t>The Shakespearean clown, Feste</w:t>
      </w:r>
    </w:p>
    <w:p w:rsidR="004173B8" w:rsidRDefault="004173B8" w:rsidP="004173B8">
      <w:pPr>
        <w:tabs>
          <w:tab w:val="left" w:pos="-720"/>
          <w:tab w:val="left" w:pos="0"/>
        </w:tabs>
        <w:suppressAutoHyphens/>
        <w:snapToGrid/>
        <w:spacing w:line="276" w:lineRule="auto"/>
        <w:rPr>
          <w:rFonts w:ascii="Perpetua" w:hAnsi="Perpetua" w:cs="Adobe Devanagari"/>
          <w:spacing w:val="-3"/>
          <w:sz w:val="26"/>
          <w:szCs w:val="26"/>
          <w:lang w:val="en-GB"/>
        </w:rPr>
      </w:pPr>
    </w:p>
    <w:p w:rsidR="005F2E54" w:rsidRDefault="005F2E54" w:rsidP="005F2E54">
      <w:pPr>
        <w:tabs>
          <w:tab w:val="left" w:pos="-720"/>
          <w:tab w:val="left" w:pos="0"/>
        </w:tabs>
        <w:suppressAutoHyphens/>
        <w:snapToGrid/>
        <w:spacing w:line="276" w:lineRule="auto"/>
        <w:rPr>
          <w:rFonts w:ascii="Perpetua" w:hAnsi="Perpetua" w:cs="Adobe Devanagari"/>
          <w:spacing w:val="-3"/>
          <w:sz w:val="26"/>
          <w:szCs w:val="26"/>
          <w:lang w:val="en-GB"/>
        </w:rPr>
      </w:pPr>
      <w:r>
        <w:rPr>
          <w:rFonts w:ascii="Perpetua" w:hAnsi="Perpetua" w:cs="Adobe Devanagari"/>
          <w:spacing w:val="-3"/>
          <w:sz w:val="26"/>
          <w:szCs w:val="26"/>
          <w:lang w:val="en-GB"/>
        </w:rPr>
        <w:t xml:space="preserve">Although music features in all Shakespeare’s comedies and romances, in </w:t>
      </w:r>
      <w:r w:rsidRPr="005F2E54">
        <w:rPr>
          <w:rFonts w:ascii="Perpetua" w:hAnsi="Perpetua" w:cs="Adobe Devanagari"/>
          <w:i/>
          <w:spacing w:val="-3"/>
          <w:sz w:val="26"/>
          <w:szCs w:val="26"/>
          <w:lang w:val="en-GB"/>
        </w:rPr>
        <w:t>Twelfth Night</w:t>
      </w:r>
      <w:r>
        <w:rPr>
          <w:rFonts w:ascii="Perpetua" w:hAnsi="Perpetua" w:cs="Adobe Devanagari"/>
          <w:spacing w:val="-3"/>
          <w:sz w:val="26"/>
          <w:szCs w:val="26"/>
          <w:lang w:val="en-GB"/>
        </w:rPr>
        <w:t xml:space="preserve">, uniquely, music begins and ends the play. Consider the varied forms of musical expression in the play, from the opening scene to the poignant and wistful mood of the final song. Consider also the particular role of </w:t>
      </w:r>
      <w:proofErr w:type="spellStart"/>
      <w:r>
        <w:rPr>
          <w:rFonts w:ascii="Perpetua" w:hAnsi="Perpetua" w:cs="Adobe Devanagari"/>
          <w:spacing w:val="-3"/>
          <w:sz w:val="26"/>
          <w:szCs w:val="26"/>
          <w:lang w:val="en-GB"/>
        </w:rPr>
        <w:t>Feste</w:t>
      </w:r>
      <w:proofErr w:type="spellEnd"/>
      <w:r>
        <w:rPr>
          <w:rFonts w:ascii="Perpetua" w:hAnsi="Perpetua" w:cs="Adobe Devanagari"/>
          <w:spacing w:val="-3"/>
          <w:sz w:val="26"/>
          <w:szCs w:val="26"/>
          <w:lang w:val="en-GB"/>
        </w:rPr>
        <w:t>, in relation to music in the play.</w:t>
      </w:r>
    </w:p>
    <w:p w:rsidR="004173B8" w:rsidRDefault="004173B8" w:rsidP="004173B8">
      <w:pPr>
        <w:tabs>
          <w:tab w:val="left" w:pos="-720"/>
          <w:tab w:val="left" w:pos="0"/>
        </w:tabs>
        <w:suppressAutoHyphens/>
        <w:snapToGrid/>
        <w:spacing w:line="276" w:lineRule="auto"/>
        <w:rPr>
          <w:rFonts w:ascii="Perpetua" w:hAnsi="Perpetua" w:cs="Adobe Devanagari"/>
          <w:spacing w:val="-3"/>
          <w:sz w:val="26"/>
          <w:szCs w:val="26"/>
          <w:lang w:val="en-GB"/>
        </w:rPr>
      </w:pPr>
    </w:p>
    <w:p w:rsidR="004173B8" w:rsidRPr="004173B8" w:rsidRDefault="004173B8" w:rsidP="004173B8">
      <w:pPr>
        <w:tabs>
          <w:tab w:val="left" w:pos="-720"/>
          <w:tab w:val="left" w:pos="0"/>
        </w:tabs>
        <w:suppressAutoHyphens/>
        <w:snapToGrid/>
        <w:spacing w:line="276" w:lineRule="auto"/>
        <w:rPr>
          <w:rFonts w:ascii="Perpetua" w:hAnsi="Perpetua" w:cs="Adobe Devanagari"/>
          <w:spacing w:val="-3"/>
          <w:sz w:val="26"/>
          <w:szCs w:val="26"/>
          <w:lang w:val="en-GB"/>
        </w:rPr>
      </w:pPr>
    </w:p>
    <w:p w:rsidR="004173B8" w:rsidRDefault="004173B8" w:rsidP="004173B8">
      <w:pPr>
        <w:pStyle w:val="ListParagraph"/>
        <w:numPr>
          <w:ilvl w:val="0"/>
          <w:numId w:val="6"/>
        </w:numPr>
        <w:tabs>
          <w:tab w:val="left" w:pos="-720"/>
          <w:tab w:val="left" w:pos="0"/>
        </w:tabs>
        <w:suppressAutoHyphens/>
        <w:snapToGrid/>
        <w:spacing w:line="276" w:lineRule="auto"/>
        <w:rPr>
          <w:rFonts w:ascii="Perpetua" w:hAnsi="Perpetua" w:cs="Adobe Devanagari"/>
          <w:b/>
          <w:spacing w:val="-3"/>
          <w:sz w:val="26"/>
          <w:szCs w:val="26"/>
          <w:lang w:val="en-GB"/>
        </w:rPr>
      </w:pPr>
      <w:r w:rsidRPr="004173B8">
        <w:rPr>
          <w:rFonts w:ascii="Perpetua" w:hAnsi="Perpetua" w:cs="Adobe Devanagari"/>
          <w:b/>
          <w:spacing w:val="-3"/>
          <w:sz w:val="26"/>
          <w:szCs w:val="26"/>
          <w:lang w:val="en-GB"/>
        </w:rPr>
        <w:t>Aspects of Illyria: geographical (Mediterranean, in Shakespeare’s time under the rule of the Venetian Republic), Elizabethan England, magical and romantic, a country of the mind</w:t>
      </w:r>
    </w:p>
    <w:p w:rsidR="004173B8" w:rsidRDefault="004173B8" w:rsidP="004173B8">
      <w:pPr>
        <w:tabs>
          <w:tab w:val="left" w:pos="-720"/>
          <w:tab w:val="left" w:pos="0"/>
        </w:tabs>
        <w:suppressAutoHyphens/>
        <w:snapToGrid/>
        <w:spacing w:line="276" w:lineRule="auto"/>
        <w:rPr>
          <w:rFonts w:ascii="Perpetua" w:hAnsi="Perpetua" w:cs="Adobe Devanagari"/>
          <w:spacing w:val="-3"/>
          <w:sz w:val="26"/>
          <w:szCs w:val="26"/>
          <w:lang w:val="en-GB"/>
        </w:rPr>
      </w:pPr>
    </w:p>
    <w:p w:rsidR="004173B8" w:rsidRDefault="00666D12" w:rsidP="004173B8">
      <w:pPr>
        <w:tabs>
          <w:tab w:val="left" w:pos="-720"/>
          <w:tab w:val="left" w:pos="0"/>
        </w:tabs>
        <w:suppressAutoHyphens/>
        <w:snapToGrid/>
        <w:spacing w:line="276" w:lineRule="auto"/>
        <w:rPr>
          <w:rFonts w:ascii="Perpetua" w:hAnsi="Perpetua" w:cs="Adobe Devanagari"/>
          <w:spacing w:val="-3"/>
          <w:sz w:val="26"/>
          <w:szCs w:val="26"/>
          <w:lang w:val="en-GB"/>
        </w:rPr>
      </w:pPr>
      <w:r>
        <w:rPr>
          <w:rFonts w:ascii="Perpetua" w:hAnsi="Perpetua" w:cs="Adobe Devanagari"/>
          <w:spacing w:val="-3"/>
          <w:sz w:val="26"/>
          <w:szCs w:val="26"/>
          <w:lang w:val="en-GB"/>
        </w:rPr>
        <w:t xml:space="preserve">Illyria was the ancient name of an area of the Adriatic coast roughly corresponding to what was for long known as Yugoslavia. In the classical world the area became the Roman province of Illyricum. In the early modern period, during Shakespeare’s lifetime, Illyria was a series of city-states controlled by the Venetian republic. It has been suggested that Shakespeare conceives of </w:t>
      </w:r>
      <w:proofErr w:type="spellStart"/>
      <w:r>
        <w:rPr>
          <w:rFonts w:ascii="Perpetua" w:hAnsi="Perpetua" w:cs="Adobe Devanagari"/>
          <w:spacing w:val="-3"/>
          <w:sz w:val="26"/>
          <w:szCs w:val="26"/>
          <w:lang w:val="en-GB"/>
        </w:rPr>
        <w:t>Orsino</w:t>
      </w:r>
      <w:proofErr w:type="spellEnd"/>
      <w:r>
        <w:rPr>
          <w:rFonts w:ascii="Perpetua" w:hAnsi="Perpetua" w:cs="Adobe Devanagari"/>
          <w:spacing w:val="-3"/>
          <w:sz w:val="26"/>
          <w:szCs w:val="26"/>
          <w:lang w:val="en-GB"/>
        </w:rPr>
        <w:t xml:space="preserve"> and Olivia as neighbouring rulers of these city-states, for whom a marriage alliance might appear natural; yet ‘</w:t>
      </w:r>
      <w:proofErr w:type="spellStart"/>
      <w:r>
        <w:rPr>
          <w:rFonts w:ascii="Perpetua" w:hAnsi="Perpetua" w:cs="Adobe Devanagari"/>
          <w:spacing w:val="-3"/>
          <w:sz w:val="26"/>
          <w:szCs w:val="26"/>
          <w:lang w:val="en-GB"/>
        </w:rPr>
        <w:t>Orsino</w:t>
      </w:r>
      <w:proofErr w:type="spellEnd"/>
      <w:r>
        <w:rPr>
          <w:rFonts w:ascii="Perpetua" w:hAnsi="Perpetua" w:cs="Adobe Devanagari"/>
          <w:spacing w:val="-3"/>
          <w:sz w:val="26"/>
          <w:szCs w:val="26"/>
          <w:lang w:val="en-GB"/>
        </w:rPr>
        <w:t xml:space="preserve"> and Olivia seem just as much to be neighbouring Elizabethan aristocrats’.</w:t>
      </w:r>
      <w:r>
        <w:rPr>
          <w:rStyle w:val="FootnoteReference"/>
          <w:rFonts w:ascii="Perpetua" w:hAnsi="Perpetua" w:cs="Adobe Devanagari"/>
          <w:spacing w:val="-3"/>
          <w:sz w:val="26"/>
          <w:szCs w:val="26"/>
          <w:lang w:val="en-GB"/>
        </w:rPr>
        <w:footnoteReference w:id="14"/>
      </w:r>
    </w:p>
    <w:p w:rsidR="00666D12" w:rsidRDefault="00666D12" w:rsidP="004173B8">
      <w:pPr>
        <w:tabs>
          <w:tab w:val="left" w:pos="-720"/>
          <w:tab w:val="left" w:pos="0"/>
        </w:tabs>
        <w:suppressAutoHyphens/>
        <w:snapToGrid/>
        <w:spacing w:line="276" w:lineRule="auto"/>
        <w:rPr>
          <w:rFonts w:ascii="Perpetua" w:hAnsi="Perpetua" w:cs="Adobe Devanagari"/>
          <w:spacing w:val="-3"/>
          <w:sz w:val="26"/>
          <w:szCs w:val="26"/>
          <w:lang w:val="en-GB"/>
        </w:rPr>
      </w:pPr>
    </w:p>
    <w:p w:rsidR="00666D12" w:rsidRDefault="00666D12" w:rsidP="004173B8">
      <w:pPr>
        <w:tabs>
          <w:tab w:val="left" w:pos="-720"/>
          <w:tab w:val="left" w:pos="0"/>
        </w:tabs>
        <w:suppressAutoHyphens/>
        <w:snapToGrid/>
        <w:spacing w:line="276" w:lineRule="auto"/>
        <w:rPr>
          <w:rFonts w:ascii="Perpetua" w:hAnsi="Perpetua" w:cs="Adobe Devanagari"/>
          <w:spacing w:val="-3"/>
          <w:sz w:val="26"/>
          <w:szCs w:val="26"/>
          <w:lang w:val="en-GB"/>
        </w:rPr>
      </w:pPr>
      <w:r>
        <w:rPr>
          <w:rFonts w:ascii="Perpetua" w:hAnsi="Perpetua" w:cs="Adobe Devanagari"/>
          <w:spacing w:val="-3"/>
          <w:sz w:val="26"/>
          <w:szCs w:val="26"/>
          <w:lang w:val="en-GB"/>
        </w:rPr>
        <w:t>Besides these historical and geographical associations, how do you imagine it possible to think about Illyria in terms of romance or as a country of the mind?</w:t>
      </w:r>
    </w:p>
    <w:p w:rsidR="004173B8" w:rsidRDefault="004173B8" w:rsidP="004173B8">
      <w:pPr>
        <w:tabs>
          <w:tab w:val="left" w:pos="-720"/>
          <w:tab w:val="left" w:pos="0"/>
        </w:tabs>
        <w:suppressAutoHyphens/>
        <w:snapToGrid/>
        <w:spacing w:line="276" w:lineRule="auto"/>
        <w:rPr>
          <w:rFonts w:ascii="Perpetua" w:hAnsi="Perpetua" w:cs="Adobe Devanagari"/>
          <w:spacing w:val="-3"/>
          <w:sz w:val="26"/>
          <w:szCs w:val="26"/>
          <w:lang w:val="en-GB"/>
        </w:rPr>
      </w:pPr>
    </w:p>
    <w:p w:rsidR="004173B8" w:rsidRPr="004173B8" w:rsidRDefault="004173B8" w:rsidP="004173B8">
      <w:pPr>
        <w:tabs>
          <w:tab w:val="left" w:pos="-720"/>
          <w:tab w:val="left" w:pos="0"/>
        </w:tabs>
        <w:suppressAutoHyphens/>
        <w:snapToGrid/>
        <w:spacing w:line="276" w:lineRule="auto"/>
        <w:rPr>
          <w:rFonts w:ascii="Perpetua" w:hAnsi="Perpetua" w:cs="Adobe Devanagari"/>
          <w:spacing w:val="-3"/>
          <w:sz w:val="26"/>
          <w:szCs w:val="26"/>
          <w:lang w:val="en-GB"/>
        </w:rPr>
      </w:pPr>
    </w:p>
    <w:p w:rsidR="004173B8" w:rsidRDefault="004173B8" w:rsidP="004173B8">
      <w:pPr>
        <w:pStyle w:val="ListParagraph"/>
        <w:numPr>
          <w:ilvl w:val="0"/>
          <w:numId w:val="6"/>
        </w:numPr>
        <w:tabs>
          <w:tab w:val="left" w:pos="-720"/>
          <w:tab w:val="left" w:pos="0"/>
        </w:tabs>
        <w:suppressAutoHyphens/>
        <w:snapToGrid/>
        <w:spacing w:line="276" w:lineRule="auto"/>
        <w:rPr>
          <w:rFonts w:ascii="Perpetua" w:hAnsi="Perpetua" w:cs="Adobe Devanagari"/>
          <w:b/>
          <w:spacing w:val="-3"/>
          <w:sz w:val="26"/>
          <w:szCs w:val="26"/>
          <w:lang w:val="en-GB"/>
        </w:rPr>
      </w:pPr>
      <w:r w:rsidRPr="004173B8">
        <w:rPr>
          <w:rFonts w:ascii="Perpetua" w:hAnsi="Perpetua" w:cs="Adobe Devanagari"/>
          <w:b/>
          <w:spacing w:val="-3"/>
          <w:sz w:val="26"/>
          <w:szCs w:val="26"/>
          <w:lang w:val="en-GB"/>
        </w:rPr>
        <w:t>The complex relationships between language and reality; the ability of language to regulate, and even create, what the characters perceive of themselves and of their world</w:t>
      </w:r>
    </w:p>
    <w:p w:rsidR="004173B8" w:rsidRDefault="004173B8" w:rsidP="004173B8">
      <w:pPr>
        <w:tabs>
          <w:tab w:val="left" w:pos="-720"/>
          <w:tab w:val="left" w:pos="0"/>
        </w:tabs>
        <w:suppressAutoHyphens/>
        <w:snapToGrid/>
        <w:spacing w:line="276" w:lineRule="auto"/>
        <w:rPr>
          <w:rFonts w:ascii="Perpetua" w:hAnsi="Perpetua" w:cs="Adobe Devanagari"/>
          <w:spacing w:val="-3"/>
          <w:sz w:val="26"/>
          <w:szCs w:val="26"/>
          <w:lang w:val="en-GB"/>
        </w:rPr>
      </w:pPr>
    </w:p>
    <w:p w:rsidR="004173B8" w:rsidRDefault="009836DA" w:rsidP="004173B8">
      <w:pPr>
        <w:tabs>
          <w:tab w:val="left" w:pos="-720"/>
          <w:tab w:val="left" w:pos="0"/>
        </w:tabs>
        <w:suppressAutoHyphens/>
        <w:snapToGrid/>
        <w:spacing w:line="276" w:lineRule="auto"/>
        <w:rPr>
          <w:rFonts w:ascii="Perpetua" w:hAnsi="Perpetua" w:cs="Adobe Devanagari"/>
          <w:spacing w:val="-3"/>
          <w:sz w:val="26"/>
          <w:szCs w:val="26"/>
          <w:lang w:val="en-GB"/>
        </w:rPr>
      </w:pPr>
      <w:r>
        <w:rPr>
          <w:rFonts w:ascii="Perpetua" w:hAnsi="Perpetua" w:cs="Adobe Devanagari"/>
          <w:spacing w:val="-3"/>
          <w:sz w:val="26"/>
          <w:szCs w:val="26"/>
          <w:lang w:val="en-GB"/>
        </w:rPr>
        <w:t xml:space="preserve">Terry Eagleton has written an essay on ‘[t]he language of </w:t>
      </w:r>
      <w:r>
        <w:rPr>
          <w:rFonts w:ascii="Perpetua" w:hAnsi="Perpetua" w:cs="Adobe Devanagari"/>
          <w:i/>
          <w:spacing w:val="-3"/>
          <w:sz w:val="26"/>
          <w:szCs w:val="26"/>
          <w:lang w:val="en-GB"/>
        </w:rPr>
        <w:t>Twelfth Night</w:t>
      </w:r>
      <w:r>
        <w:rPr>
          <w:rFonts w:ascii="Perpetua" w:hAnsi="Perpetua" w:cs="Adobe Devanagari"/>
          <w:spacing w:val="-3"/>
          <w:sz w:val="26"/>
          <w:szCs w:val="26"/>
          <w:lang w:val="en-GB"/>
        </w:rPr>
        <w:t>, the complex relationships between it and reality, the whole realm of illusion and role-play, the ability of language to regulate, and even create, what the characters perceive of themselves and of their world’.</w:t>
      </w:r>
      <w:r>
        <w:rPr>
          <w:rStyle w:val="FootnoteReference"/>
          <w:rFonts w:ascii="Perpetua" w:hAnsi="Perpetua" w:cs="Adobe Devanagari"/>
          <w:spacing w:val="-3"/>
          <w:sz w:val="26"/>
          <w:szCs w:val="26"/>
          <w:lang w:val="en-GB"/>
        </w:rPr>
        <w:footnoteReference w:id="15"/>
      </w:r>
    </w:p>
    <w:p w:rsidR="004173B8" w:rsidRDefault="004173B8" w:rsidP="004173B8">
      <w:pPr>
        <w:tabs>
          <w:tab w:val="left" w:pos="-720"/>
          <w:tab w:val="left" w:pos="0"/>
        </w:tabs>
        <w:suppressAutoHyphens/>
        <w:snapToGrid/>
        <w:spacing w:line="276" w:lineRule="auto"/>
        <w:rPr>
          <w:rFonts w:ascii="Perpetua" w:hAnsi="Perpetua" w:cs="Adobe Devanagari"/>
          <w:spacing w:val="-3"/>
          <w:sz w:val="26"/>
          <w:szCs w:val="26"/>
          <w:lang w:val="en-GB"/>
        </w:rPr>
      </w:pPr>
    </w:p>
    <w:p w:rsidR="004173B8" w:rsidRDefault="004173B8" w:rsidP="004173B8">
      <w:pPr>
        <w:tabs>
          <w:tab w:val="left" w:pos="-720"/>
          <w:tab w:val="left" w:pos="0"/>
        </w:tabs>
        <w:suppressAutoHyphens/>
        <w:snapToGrid/>
        <w:spacing w:line="276" w:lineRule="auto"/>
        <w:rPr>
          <w:rFonts w:ascii="Perpetua" w:hAnsi="Perpetua" w:cs="Adobe Devanagari"/>
          <w:spacing w:val="-3"/>
          <w:sz w:val="26"/>
          <w:szCs w:val="26"/>
          <w:lang w:val="en-GB"/>
        </w:rPr>
      </w:pPr>
    </w:p>
    <w:p w:rsidR="00D115A0" w:rsidRDefault="00D115A0" w:rsidP="004173B8">
      <w:pPr>
        <w:tabs>
          <w:tab w:val="left" w:pos="-720"/>
          <w:tab w:val="left" w:pos="0"/>
        </w:tabs>
        <w:suppressAutoHyphens/>
        <w:snapToGrid/>
        <w:spacing w:line="276" w:lineRule="auto"/>
        <w:rPr>
          <w:rFonts w:ascii="Perpetua" w:hAnsi="Perpetua" w:cs="Adobe Devanagari"/>
          <w:spacing w:val="-3"/>
          <w:sz w:val="26"/>
          <w:szCs w:val="26"/>
          <w:lang w:val="en-GB"/>
        </w:rPr>
      </w:pPr>
    </w:p>
    <w:p w:rsidR="00D115A0" w:rsidRDefault="00D115A0" w:rsidP="004173B8">
      <w:pPr>
        <w:tabs>
          <w:tab w:val="left" w:pos="-720"/>
          <w:tab w:val="left" w:pos="0"/>
        </w:tabs>
        <w:suppressAutoHyphens/>
        <w:snapToGrid/>
        <w:spacing w:line="276" w:lineRule="auto"/>
        <w:rPr>
          <w:rFonts w:ascii="Perpetua" w:hAnsi="Perpetua" w:cs="Adobe Devanagari"/>
          <w:spacing w:val="-3"/>
          <w:sz w:val="26"/>
          <w:szCs w:val="26"/>
          <w:lang w:val="en-GB"/>
        </w:rPr>
      </w:pPr>
    </w:p>
    <w:p w:rsidR="00D115A0" w:rsidRDefault="00D115A0" w:rsidP="004173B8">
      <w:pPr>
        <w:tabs>
          <w:tab w:val="left" w:pos="-720"/>
          <w:tab w:val="left" w:pos="0"/>
        </w:tabs>
        <w:suppressAutoHyphens/>
        <w:snapToGrid/>
        <w:spacing w:line="276" w:lineRule="auto"/>
        <w:rPr>
          <w:rFonts w:ascii="Perpetua" w:hAnsi="Perpetua" w:cs="Adobe Devanagari"/>
          <w:spacing w:val="-3"/>
          <w:sz w:val="26"/>
          <w:szCs w:val="26"/>
          <w:lang w:val="en-GB"/>
        </w:rPr>
      </w:pPr>
    </w:p>
    <w:p w:rsidR="00D115A0" w:rsidRPr="004173B8" w:rsidRDefault="00D115A0" w:rsidP="004173B8">
      <w:pPr>
        <w:tabs>
          <w:tab w:val="left" w:pos="-720"/>
          <w:tab w:val="left" w:pos="0"/>
        </w:tabs>
        <w:suppressAutoHyphens/>
        <w:snapToGrid/>
        <w:spacing w:line="276" w:lineRule="auto"/>
        <w:rPr>
          <w:rFonts w:ascii="Perpetua" w:hAnsi="Perpetua" w:cs="Adobe Devanagari"/>
          <w:spacing w:val="-3"/>
          <w:sz w:val="26"/>
          <w:szCs w:val="26"/>
          <w:lang w:val="en-GB"/>
        </w:rPr>
      </w:pPr>
    </w:p>
    <w:p w:rsidR="004173B8" w:rsidRDefault="004173B8" w:rsidP="004173B8">
      <w:pPr>
        <w:pStyle w:val="ListParagraph"/>
        <w:numPr>
          <w:ilvl w:val="0"/>
          <w:numId w:val="6"/>
        </w:numPr>
        <w:tabs>
          <w:tab w:val="left" w:pos="-720"/>
          <w:tab w:val="left" w:pos="0"/>
        </w:tabs>
        <w:suppressAutoHyphens/>
        <w:snapToGrid/>
        <w:spacing w:line="276" w:lineRule="auto"/>
        <w:rPr>
          <w:rFonts w:ascii="Perpetua" w:hAnsi="Perpetua" w:cs="Adobe Devanagari"/>
          <w:b/>
          <w:spacing w:val="-3"/>
          <w:sz w:val="26"/>
          <w:szCs w:val="26"/>
          <w:lang w:val="en-GB"/>
        </w:rPr>
      </w:pPr>
      <w:r w:rsidRPr="004173B8">
        <w:rPr>
          <w:rFonts w:ascii="Perpetua" w:hAnsi="Perpetua" w:cs="Adobe Devanagari"/>
          <w:b/>
          <w:spacing w:val="-3"/>
          <w:sz w:val="26"/>
          <w:szCs w:val="26"/>
          <w:lang w:val="en-GB"/>
        </w:rPr>
        <w:lastRenderedPageBreak/>
        <w:t xml:space="preserve">Identity: the capacity for self-deception and the theme of transformation; illusion and role-play; the process of unmasking and of growing self-awareness </w:t>
      </w:r>
    </w:p>
    <w:p w:rsidR="004173B8" w:rsidRDefault="004173B8" w:rsidP="004173B8">
      <w:pPr>
        <w:tabs>
          <w:tab w:val="left" w:pos="-720"/>
          <w:tab w:val="left" w:pos="0"/>
        </w:tabs>
        <w:suppressAutoHyphens/>
        <w:snapToGrid/>
        <w:spacing w:line="276" w:lineRule="auto"/>
        <w:rPr>
          <w:rFonts w:ascii="Perpetua" w:hAnsi="Perpetua" w:cs="Adobe Devanagari"/>
          <w:spacing w:val="-3"/>
          <w:sz w:val="26"/>
          <w:szCs w:val="26"/>
          <w:lang w:val="en-GB"/>
        </w:rPr>
      </w:pPr>
    </w:p>
    <w:p w:rsidR="004173B8" w:rsidRDefault="009836DA" w:rsidP="004173B8">
      <w:pPr>
        <w:tabs>
          <w:tab w:val="left" w:pos="-720"/>
          <w:tab w:val="left" w:pos="0"/>
        </w:tabs>
        <w:suppressAutoHyphens/>
        <w:snapToGrid/>
        <w:spacing w:line="276" w:lineRule="auto"/>
        <w:rPr>
          <w:rFonts w:ascii="Perpetua" w:hAnsi="Perpetua" w:cs="Adobe Devanagari"/>
          <w:spacing w:val="-3"/>
          <w:sz w:val="26"/>
          <w:szCs w:val="26"/>
          <w:lang w:val="en-GB"/>
        </w:rPr>
      </w:pPr>
      <w:r>
        <w:rPr>
          <w:rFonts w:ascii="Perpetua" w:hAnsi="Perpetua" w:cs="Adobe Devanagari"/>
          <w:spacing w:val="-3"/>
          <w:sz w:val="26"/>
          <w:szCs w:val="26"/>
          <w:lang w:val="en-GB"/>
        </w:rPr>
        <w:t>Critics have remarked on the capacity of many of the play’s characters for self-deception, and some see the play’s movement towards resolution as a process of unmasking and of growing self-awareness.</w:t>
      </w:r>
      <w:r>
        <w:rPr>
          <w:rStyle w:val="FootnoteReference"/>
          <w:rFonts w:ascii="Perpetua" w:hAnsi="Perpetua" w:cs="Adobe Devanagari"/>
          <w:spacing w:val="-3"/>
          <w:sz w:val="26"/>
          <w:szCs w:val="26"/>
          <w:lang w:val="en-GB"/>
        </w:rPr>
        <w:footnoteReference w:id="16"/>
      </w:r>
      <w:r w:rsidR="005F2E54">
        <w:rPr>
          <w:rFonts w:ascii="Perpetua" w:hAnsi="Perpetua" w:cs="Adobe Devanagari"/>
          <w:spacing w:val="-3"/>
          <w:sz w:val="26"/>
          <w:szCs w:val="26"/>
          <w:lang w:val="en-GB"/>
        </w:rPr>
        <w:t xml:space="preserve"> Select one character in the play to whom this process applies and consider in detail how it does so. How does your character’s development or transformation relate to the next topic?</w:t>
      </w:r>
    </w:p>
    <w:p w:rsidR="004173B8" w:rsidRPr="004173B8" w:rsidRDefault="004173B8" w:rsidP="004173B8">
      <w:pPr>
        <w:tabs>
          <w:tab w:val="left" w:pos="-720"/>
          <w:tab w:val="left" w:pos="0"/>
        </w:tabs>
        <w:suppressAutoHyphens/>
        <w:snapToGrid/>
        <w:spacing w:line="276" w:lineRule="auto"/>
        <w:rPr>
          <w:rFonts w:ascii="Perpetua" w:hAnsi="Perpetua" w:cs="Adobe Devanagari"/>
          <w:spacing w:val="-3"/>
          <w:sz w:val="26"/>
          <w:szCs w:val="26"/>
          <w:lang w:val="en-GB"/>
        </w:rPr>
      </w:pPr>
    </w:p>
    <w:p w:rsidR="004173B8" w:rsidRDefault="004173B8" w:rsidP="004173B8">
      <w:pPr>
        <w:pStyle w:val="ListParagraph"/>
        <w:numPr>
          <w:ilvl w:val="0"/>
          <w:numId w:val="6"/>
        </w:numPr>
        <w:tabs>
          <w:tab w:val="left" w:pos="-720"/>
          <w:tab w:val="left" w:pos="0"/>
        </w:tabs>
        <w:suppressAutoHyphens/>
        <w:snapToGrid/>
        <w:spacing w:line="276" w:lineRule="auto"/>
        <w:rPr>
          <w:rFonts w:ascii="Perpetua" w:hAnsi="Perpetua" w:cs="Adobe Devanagari"/>
          <w:b/>
          <w:spacing w:val="-3"/>
          <w:sz w:val="26"/>
          <w:szCs w:val="26"/>
          <w:lang w:val="en-GB"/>
        </w:rPr>
      </w:pPr>
      <w:r w:rsidRPr="004173B8">
        <w:rPr>
          <w:rFonts w:ascii="Perpetua" w:hAnsi="Perpetua" w:cs="Adobe Devanagari"/>
          <w:b/>
          <w:spacing w:val="-3"/>
          <w:sz w:val="26"/>
          <w:szCs w:val="26"/>
          <w:lang w:val="en-GB"/>
        </w:rPr>
        <w:t>Love and egocentricity</w:t>
      </w:r>
    </w:p>
    <w:p w:rsidR="004173B8" w:rsidRDefault="004173B8" w:rsidP="004173B8">
      <w:pPr>
        <w:tabs>
          <w:tab w:val="left" w:pos="-720"/>
          <w:tab w:val="left" w:pos="0"/>
        </w:tabs>
        <w:suppressAutoHyphens/>
        <w:snapToGrid/>
        <w:spacing w:line="276" w:lineRule="auto"/>
        <w:rPr>
          <w:rFonts w:ascii="Perpetua" w:hAnsi="Perpetua" w:cs="Adobe Devanagari"/>
          <w:spacing w:val="-3"/>
          <w:sz w:val="26"/>
          <w:szCs w:val="26"/>
          <w:lang w:val="en-GB"/>
        </w:rPr>
      </w:pPr>
    </w:p>
    <w:p w:rsidR="004173B8" w:rsidRPr="004173B8" w:rsidRDefault="004173B8" w:rsidP="004173B8">
      <w:pPr>
        <w:tabs>
          <w:tab w:val="left" w:pos="-720"/>
          <w:tab w:val="left" w:pos="0"/>
        </w:tabs>
        <w:suppressAutoHyphens/>
        <w:snapToGrid/>
        <w:spacing w:line="276" w:lineRule="auto"/>
        <w:rPr>
          <w:rFonts w:ascii="Perpetua" w:hAnsi="Perpetua" w:cs="Adobe Devanagari"/>
          <w:spacing w:val="-3"/>
          <w:sz w:val="26"/>
          <w:szCs w:val="26"/>
          <w:lang w:val="en-GB"/>
        </w:rPr>
      </w:pPr>
      <w:bookmarkStart w:id="0" w:name="_GoBack"/>
      <w:bookmarkEnd w:id="0"/>
    </w:p>
    <w:p w:rsidR="004173B8" w:rsidRPr="004173B8" w:rsidRDefault="004173B8" w:rsidP="004173B8">
      <w:pPr>
        <w:pStyle w:val="ListParagraph"/>
        <w:numPr>
          <w:ilvl w:val="0"/>
          <w:numId w:val="6"/>
        </w:numPr>
        <w:tabs>
          <w:tab w:val="left" w:pos="-720"/>
          <w:tab w:val="left" w:pos="0"/>
        </w:tabs>
        <w:suppressAutoHyphens/>
        <w:snapToGrid/>
        <w:spacing w:line="276" w:lineRule="auto"/>
        <w:rPr>
          <w:rFonts w:ascii="Perpetua" w:hAnsi="Perpetua" w:cs="Adobe Devanagari"/>
          <w:spacing w:val="-3"/>
          <w:sz w:val="26"/>
          <w:szCs w:val="26"/>
          <w:lang w:val="en-GB"/>
        </w:rPr>
      </w:pPr>
      <w:r w:rsidRPr="004173B8">
        <w:rPr>
          <w:rFonts w:ascii="Perpetua" w:hAnsi="Perpetua" w:cs="Adobe Devanagari"/>
          <w:b/>
          <w:spacing w:val="-3"/>
          <w:sz w:val="26"/>
          <w:szCs w:val="26"/>
          <w:lang w:val="en-GB"/>
        </w:rPr>
        <w:t xml:space="preserve">The ambiguous </w:t>
      </w:r>
      <w:proofErr w:type="spellStart"/>
      <w:r w:rsidRPr="004173B8">
        <w:rPr>
          <w:rFonts w:ascii="Perpetua" w:hAnsi="Perpetua" w:cs="Adobe Devanagari"/>
          <w:b/>
          <w:spacing w:val="-3"/>
          <w:sz w:val="26"/>
          <w:szCs w:val="26"/>
          <w:lang w:val="en-GB"/>
        </w:rPr>
        <w:t>erotics</w:t>
      </w:r>
      <w:proofErr w:type="spellEnd"/>
      <w:r w:rsidRPr="004173B8">
        <w:rPr>
          <w:rFonts w:ascii="Perpetua" w:hAnsi="Perpetua" w:cs="Adobe Devanagari"/>
          <w:b/>
          <w:spacing w:val="-3"/>
          <w:sz w:val="26"/>
          <w:szCs w:val="26"/>
          <w:lang w:val="en-GB"/>
        </w:rPr>
        <w:t xml:space="preserve"> of theatrical transvestism</w:t>
      </w:r>
    </w:p>
    <w:p w:rsidR="00FB5C62" w:rsidRDefault="00FB5C62" w:rsidP="004173B8">
      <w:pPr>
        <w:tabs>
          <w:tab w:val="left" w:pos="-720"/>
          <w:tab w:val="left" w:pos="0"/>
        </w:tabs>
        <w:suppressAutoHyphens/>
        <w:spacing w:line="276" w:lineRule="auto"/>
        <w:rPr>
          <w:rFonts w:ascii="Perpetua" w:hAnsi="Perpetua" w:cs="Adobe Devanagari"/>
          <w:spacing w:val="-3"/>
          <w:sz w:val="26"/>
          <w:szCs w:val="26"/>
          <w:lang w:val="en-GB"/>
        </w:rPr>
      </w:pPr>
    </w:p>
    <w:p w:rsidR="00914B9D" w:rsidRDefault="007535B9" w:rsidP="004173B8">
      <w:pPr>
        <w:tabs>
          <w:tab w:val="left" w:pos="-720"/>
          <w:tab w:val="left" w:pos="0"/>
        </w:tabs>
        <w:suppressAutoHyphens/>
        <w:spacing w:line="276" w:lineRule="auto"/>
        <w:rPr>
          <w:rFonts w:ascii="Perpetua" w:hAnsi="Perpetua" w:cs="Adobe Devanagari"/>
          <w:spacing w:val="-3"/>
          <w:sz w:val="26"/>
          <w:szCs w:val="26"/>
          <w:lang w:val="en-GB"/>
        </w:rPr>
      </w:pPr>
      <w:r w:rsidRPr="007535B9">
        <w:rPr>
          <w:rFonts w:ascii="Perpetua" w:hAnsi="Perpetua" w:cs="Adobe Devanagari"/>
          <w:i/>
          <w:spacing w:val="-3"/>
          <w:sz w:val="26"/>
          <w:szCs w:val="26"/>
          <w:lang w:val="en-GB"/>
        </w:rPr>
        <w:t>Twelfth Night</w:t>
      </w:r>
      <w:r>
        <w:rPr>
          <w:rFonts w:ascii="Perpetua" w:hAnsi="Perpetua" w:cs="Adobe Devanagari"/>
          <w:spacing w:val="-3"/>
          <w:sz w:val="26"/>
          <w:szCs w:val="26"/>
          <w:lang w:val="en-GB"/>
        </w:rPr>
        <w:t xml:space="preserve"> is one of a number of plays by Shakespeare, including the pastoral romantic comedy </w:t>
      </w:r>
      <w:r>
        <w:rPr>
          <w:rFonts w:ascii="Perpetua" w:hAnsi="Perpetua" w:cs="Adobe Devanagari"/>
          <w:i/>
          <w:spacing w:val="-3"/>
          <w:sz w:val="26"/>
          <w:szCs w:val="26"/>
          <w:lang w:val="en-GB"/>
        </w:rPr>
        <w:t>As You Like It</w:t>
      </w:r>
      <w:r>
        <w:rPr>
          <w:rFonts w:ascii="Perpetua" w:hAnsi="Perpetua" w:cs="Adobe Devanagari"/>
          <w:spacing w:val="-3"/>
          <w:sz w:val="26"/>
          <w:szCs w:val="26"/>
          <w:lang w:val="en-GB"/>
        </w:rPr>
        <w:t>, that ha</w:t>
      </w:r>
      <w:r w:rsidR="00B97227">
        <w:rPr>
          <w:rFonts w:ascii="Perpetua" w:hAnsi="Perpetua" w:cs="Adobe Devanagari"/>
          <w:spacing w:val="-3"/>
          <w:sz w:val="26"/>
          <w:szCs w:val="26"/>
          <w:lang w:val="en-GB"/>
        </w:rPr>
        <w:t>ve</w:t>
      </w:r>
      <w:r>
        <w:rPr>
          <w:rFonts w:ascii="Perpetua" w:hAnsi="Perpetua" w:cs="Adobe Devanagari"/>
          <w:spacing w:val="-3"/>
          <w:sz w:val="26"/>
          <w:szCs w:val="26"/>
          <w:lang w:val="en-GB"/>
        </w:rPr>
        <w:t xml:space="preserve"> attracted </w:t>
      </w:r>
      <w:r w:rsidR="00B97227">
        <w:rPr>
          <w:rFonts w:ascii="Perpetua" w:hAnsi="Perpetua" w:cs="Adobe Devanagari"/>
          <w:spacing w:val="-3"/>
          <w:sz w:val="26"/>
          <w:szCs w:val="26"/>
          <w:lang w:val="en-GB"/>
        </w:rPr>
        <w:t>analysis of gender</w:t>
      </w:r>
      <w:r w:rsidR="00051EC0">
        <w:rPr>
          <w:rFonts w:ascii="Perpetua" w:hAnsi="Perpetua" w:cs="Adobe Devanagari"/>
          <w:spacing w:val="-3"/>
          <w:sz w:val="26"/>
          <w:szCs w:val="26"/>
          <w:lang w:val="en-GB"/>
        </w:rPr>
        <w:t xml:space="preserve"> and sexuality</w:t>
      </w:r>
      <w:r>
        <w:rPr>
          <w:rFonts w:ascii="Perpetua" w:hAnsi="Perpetua" w:cs="Adobe Devanagari"/>
          <w:spacing w:val="-3"/>
          <w:sz w:val="26"/>
          <w:szCs w:val="26"/>
          <w:lang w:val="en-GB"/>
        </w:rPr>
        <w:t xml:space="preserve"> informed by </w:t>
      </w:r>
      <w:r w:rsidR="00D6676D">
        <w:rPr>
          <w:rFonts w:ascii="Perpetua" w:hAnsi="Perpetua" w:cs="Adobe Devanagari"/>
          <w:spacing w:val="-3"/>
          <w:sz w:val="26"/>
          <w:szCs w:val="26"/>
          <w:lang w:val="en-GB"/>
        </w:rPr>
        <w:t xml:space="preserve">not only by </w:t>
      </w:r>
      <w:r>
        <w:rPr>
          <w:rFonts w:ascii="Perpetua" w:hAnsi="Perpetua" w:cs="Adobe Devanagari"/>
          <w:spacing w:val="-3"/>
          <w:sz w:val="26"/>
          <w:szCs w:val="26"/>
          <w:lang w:val="en-GB"/>
        </w:rPr>
        <w:t xml:space="preserve">feminist </w:t>
      </w:r>
      <w:r w:rsidR="00D6676D">
        <w:rPr>
          <w:rFonts w:ascii="Perpetua" w:hAnsi="Perpetua" w:cs="Adobe Devanagari"/>
          <w:spacing w:val="-3"/>
          <w:sz w:val="26"/>
          <w:szCs w:val="26"/>
          <w:lang w:val="en-GB"/>
        </w:rPr>
        <w:t>but also</w:t>
      </w:r>
      <w:r>
        <w:rPr>
          <w:rFonts w:ascii="Perpetua" w:hAnsi="Perpetua" w:cs="Adobe Devanagari"/>
          <w:spacing w:val="-3"/>
          <w:sz w:val="26"/>
          <w:szCs w:val="26"/>
          <w:lang w:val="en-GB"/>
        </w:rPr>
        <w:t xml:space="preserve"> queer theory. ‘As a mode of textual analysis, queer theory challenges and seeks to destabilize assumptions of the “normative”, seeing all texts as expressive of the conflicts of class, race, gender, and sexuality within social structures that are ideolo</w:t>
      </w:r>
      <w:r w:rsidR="001968C7">
        <w:rPr>
          <w:rFonts w:ascii="Perpetua" w:hAnsi="Perpetua" w:cs="Adobe Devanagari"/>
          <w:spacing w:val="-3"/>
          <w:sz w:val="26"/>
          <w:szCs w:val="26"/>
          <w:lang w:val="en-GB"/>
        </w:rPr>
        <w:t>gically coercive.’</w:t>
      </w:r>
      <w:r w:rsidR="001968C7">
        <w:rPr>
          <w:rStyle w:val="FootnoteReference"/>
          <w:rFonts w:ascii="Perpetua" w:hAnsi="Perpetua" w:cs="Adobe Devanagari"/>
          <w:spacing w:val="-3"/>
          <w:sz w:val="26"/>
          <w:szCs w:val="26"/>
          <w:lang w:val="en-GB"/>
        </w:rPr>
        <w:footnoteReference w:id="17"/>
      </w:r>
      <w:r w:rsidR="00D6676D">
        <w:rPr>
          <w:rFonts w:ascii="Perpetua" w:hAnsi="Perpetua" w:cs="Adobe Devanagari"/>
          <w:spacing w:val="-3"/>
          <w:sz w:val="26"/>
          <w:szCs w:val="26"/>
          <w:lang w:val="en-GB"/>
        </w:rPr>
        <w:t xml:space="preserve"> The relevance to Shakespeare is sometimes seen in identifying gay perspectives within familiar texts. It is important to ask, however, how far the critical methods of Queer theory can be applied to early modern texts.</w:t>
      </w:r>
    </w:p>
    <w:p w:rsidR="00914B9D" w:rsidRDefault="00914B9D" w:rsidP="004173B8">
      <w:pPr>
        <w:tabs>
          <w:tab w:val="left" w:pos="-720"/>
          <w:tab w:val="left" w:pos="0"/>
        </w:tabs>
        <w:suppressAutoHyphens/>
        <w:spacing w:line="276" w:lineRule="auto"/>
        <w:rPr>
          <w:rFonts w:ascii="Perpetua" w:hAnsi="Perpetua" w:cs="Adobe Devanagari"/>
          <w:spacing w:val="-3"/>
          <w:sz w:val="26"/>
          <w:szCs w:val="26"/>
          <w:lang w:val="en-GB"/>
        </w:rPr>
      </w:pPr>
    </w:p>
    <w:p w:rsidR="00E8595D" w:rsidRDefault="00D6676D" w:rsidP="004173B8">
      <w:pPr>
        <w:tabs>
          <w:tab w:val="left" w:pos="-720"/>
          <w:tab w:val="left" w:pos="0"/>
        </w:tabs>
        <w:suppressAutoHyphens/>
        <w:spacing w:line="276" w:lineRule="auto"/>
        <w:rPr>
          <w:rFonts w:ascii="Perpetua" w:hAnsi="Perpetua" w:cs="Adobe Devanagari"/>
          <w:spacing w:val="-3"/>
          <w:sz w:val="26"/>
          <w:szCs w:val="26"/>
          <w:lang w:val="en-GB"/>
        </w:rPr>
      </w:pPr>
      <w:r>
        <w:rPr>
          <w:rFonts w:ascii="Perpetua" w:hAnsi="Perpetua" w:cs="Adobe Devanagari"/>
          <w:spacing w:val="-3"/>
          <w:sz w:val="26"/>
          <w:szCs w:val="26"/>
          <w:lang w:val="en-GB"/>
        </w:rPr>
        <w:t>There is no innocent</w:t>
      </w:r>
      <w:r w:rsidR="00B97227">
        <w:rPr>
          <w:rFonts w:ascii="Perpetua" w:hAnsi="Perpetua" w:cs="Adobe Devanagari"/>
          <w:spacing w:val="-3"/>
          <w:sz w:val="26"/>
          <w:szCs w:val="26"/>
          <w:lang w:val="en-GB"/>
        </w:rPr>
        <w:t xml:space="preserve"> or transparent</w:t>
      </w:r>
      <w:r>
        <w:rPr>
          <w:rFonts w:ascii="Perpetua" w:hAnsi="Perpetua" w:cs="Adobe Devanagari"/>
          <w:spacing w:val="-3"/>
          <w:sz w:val="26"/>
          <w:szCs w:val="26"/>
          <w:lang w:val="en-GB"/>
        </w:rPr>
        <w:t xml:space="preserve"> standpoint from which to interpret </w:t>
      </w:r>
      <w:r w:rsidR="00051EC0">
        <w:rPr>
          <w:rFonts w:ascii="Perpetua" w:hAnsi="Perpetua" w:cs="Adobe Devanagari"/>
          <w:spacing w:val="-3"/>
          <w:sz w:val="26"/>
          <w:szCs w:val="26"/>
          <w:lang w:val="en-GB"/>
        </w:rPr>
        <w:t xml:space="preserve">sexuality and </w:t>
      </w:r>
      <w:r>
        <w:rPr>
          <w:rFonts w:ascii="Perpetua" w:hAnsi="Perpetua" w:cs="Adobe Devanagari"/>
          <w:spacing w:val="-3"/>
          <w:sz w:val="26"/>
          <w:szCs w:val="26"/>
          <w:lang w:val="en-GB"/>
        </w:rPr>
        <w:t>sexual difference on the early modern stage, not least because, even without our own intention and acknowledgement, our modern constructions of sexuality and sexual difference alter and condition the perspectives through which we are able to interpret an earlier culture’s constructions.</w:t>
      </w:r>
      <w:r w:rsidR="00E8595D">
        <w:rPr>
          <w:rFonts w:ascii="Perpetua" w:hAnsi="Perpetua" w:cs="Adobe Devanagari"/>
          <w:spacing w:val="-3"/>
          <w:sz w:val="26"/>
          <w:szCs w:val="26"/>
          <w:lang w:val="en-GB"/>
        </w:rPr>
        <w:t xml:space="preserve"> Although they are interrelated, sexual difference and sexuality are also distinct from each other.</w:t>
      </w:r>
    </w:p>
    <w:p w:rsidR="00E8595D" w:rsidRDefault="00E8595D" w:rsidP="004173B8">
      <w:pPr>
        <w:tabs>
          <w:tab w:val="left" w:pos="-720"/>
          <w:tab w:val="left" w:pos="0"/>
        </w:tabs>
        <w:suppressAutoHyphens/>
        <w:spacing w:line="276" w:lineRule="auto"/>
        <w:rPr>
          <w:rFonts w:ascii="Perpetua" w:hAnsi="Perpetua" w:cs="Adobe Devanagari"/>
          <w:spacing w:val="-3"/>
          <w:sz w:val="26"/>
          <w:szCs w:val="26"/>
          <w:lang w:val="en-GB"/>
        </w:rPr>
      </w:pPr>
    </w:p>
    <w:p w:rsidR="00E8595D" w:rsidRDefault="00E8595D" w:rsidP="00E8595D">
      <w:pPr>
        <w:tabs>
          <w:tab w:val="left" w:pos="-720"/>
          <w:tab w:val="left" w:pos="0"/>
        </w:tabs>
        <w:suppressAutoHyphens/>
        <w:spacing w:line="276" w:lineRule="auto"/>
        <w:rPr>
          <w:rFonts w:ascii="Perpetua" w:hAnsi="Perpetua" w:cs="Adobe Devanagari"/>
          <w:spacing w:val="-3"/>
          <w:sz w:val="26"/>
          <w:szCs w:val="26"/>
          <w:lang w:val="en-GB"/>
        </w:rPr>
      </w:pPr>
      <w:r>
        <w:rPr>
          <w:rFonts w:ascii="Perpetua" w:hAnsi="Perpetua" w:cs="Adobe Devanagari"/>
          <w:spacing w:val="-3"/>
          <w:sz w:val="26"/>
          <w:szCs w:val="26"/>
          <w:lang w:val="en-GB"/>
        </w:rPr>
        <w:t>Both are related to cross-dressing both on and off-stage. Until the theatres reopened following the restoration of the monarchy in 1660, there were no female actors and female roles were played by boy actors. This stage transvestism, especially when combined with textual cross-dressing, has been described as relating very specifically to homoeroticism and to disruptions of gender identity.</w:t>
      </w:r>
      <w:r>
        <w:rPr>
          <w:rStyle w:val="FootnoteReference"/>
          <w:rFonts w:ascii="Perpetua" w:hAnsi="Perpetua" w:cs="Adobe Devanagari"/>
          <w:spacing w:val="-3"/>
          <w:sz w:val="26"/>
          <w:szCs w:val="26"/>
          <w:lang w:val="en-GB"/>
        </w:rPr>
        <w:footnoteReference w:id="18"/>
      </w:r>
      <w:r>
        <w:rPr>
          <w:rFonts w:ascii="Perpetua" w:hAnsi="Perpetua" w:cs="Adobe Devanagari"/>
          <w:spacing w:val="-3"/>
          <w:sz w:val="26"/>
          <w:szCs w:val="26"/>
          <w:lang w:val="en-GB"/>
        </w:rPr>
        <w:t xml:space="preserve"> But this may also be related to contemporary practices outside of the theatre. Lisa Jardine claims, in </w:t>
      </w:r>
      <w:r>
        <w:rPr>
          <w:rFonts w:ascii="Perpetua" w:hAnsi="Perpetua" w:cs="Adobe Devanagari"/>
          <w:i/>
          <w:spacing w:val="-3"/>
          <w:sz w:val="26"/>
          <w:szCs w:val="26"/>
          <w:lang w:val="en-GB"/>
        </w:rPr>
        <w:t>Still Harping on Daughters</w:t>
      </w:r>
      <w:r>
        <w:rPr>
          <w:rFonts w:ascii="Perpetua" w:hAnsi="Perpetua" w:cs="Adobe Devanagari"/>
          <w:spacing w:val="-3"/>
          <w:sz w:val="26"/>
          <w:szCs w:val="26"/>
          <w:lang w:val="en-GB"/>
        </w:rPr>
        <w:t xml:space="preserve">, that fashionable male dress in the period became </w:t>
      </w:r>
      <w:r>
        <w:rPr>
          <w:rFonts w:ascii="Perpetua" w:hAnsi="Perpetua" w:cs="Adobe Devanagari"/>
          <w:spacing w:val="-3"/>
          <w:sz w:val="26"/>
          <w:szCs w:val="26"/>
          <w:lang w:val="en-GB"/>
        </w:rPr>
        <w:lastRenderedPageBreak/>
        <w:t>ornate, elaborate and contrived, and was openly called ‘effeminate’ by those of more modest tastes, while women followed a French vogue for female dress, hairstyles and manners which emulated those of young boys. ‘Whether praising or damning, comment on women in masculine attire was almost always accompanied by remarks on male effeminacy, indicating that the issue went beyond fashion to embrace the compelling question, what really is the difference between men and women?’</w:t>
      </w:r>
      <w:r>
        <w:rPr>
          <w:rStyle w:val="FootnoteReference"/>
          <w:rFonts w:ascii="Perpetua" w:hAnsi="Perpetua" w:cs="Adobe Devanagari"/>
          <w:spacing w:val="-3"/>
          <w:sz w:val="26"/>
          <w:szCs w:val="26"/>
          <w:lang w:val="en-GB"/>
        </w:rPr>
        <w:footnoteReference w:id="19"/>
      </w:r>
      <w:r>
        <w:rPr>
          <w:rFonts w:ascii="Perpetua" w:hAnsi="Perpetua" w:cs="Adobe Devanagari"/>
          <w:spacing w:val="-3"/>
          <w:sz w:val="26"/>
          <w:szCs w:val="26"/>
          <w:lang w:val="en-GB"/>
        </w:rPr>
        <w:t xml:space="preserve"> Partly this question is raised because the distinctions of dress were considered to belong to our essence. This conception obviously assisted the transformation on stage of a boy into a woman.</w:t>
      </w:r>
    </w:p>
    <w:p w:rsidR="00E8595D" w:rsidRDefault="00E8595D" w:rsidP="004173B8">
      <w:pPr>
        <w:tabs>
          <w:tab w:val="left" w:pos="-720"/>
          <w:tab w:val="left" w:pos="0"/>
        </w:tabs>
        <w:suppressAutoHyphens/>
        <w:spacing w:line="276" w:lineRule="auto"/>
        <w:rPr>
          <w:rFonts w:ascii="Perpetua" w:hAnsi="Perpetua" w:cs="Adobe Devanagari"/>
          <w:spacing w:val="-3"/>
          <w:sz w:val="26"/>
          <w:szCs w:val="26"/>
          <w:lang w:val="en-GB"/>
        </w:rPr>
      </w:pPr>
    </w:p>
    <w:p w:rsidR="00D51ACD" w:rsidRPr="0046333F" w:rsidRDefault="00A362FD" w:rsidP="004173B8">
      <w:pPr>
        <w:tabs>
          <w:tab w:val="left" w:pos="-720"/>
          <w:tab w:val="left" w:pos="0"/>
        </w:tabs>
        <w:suppressAutoHyphens/>
        <w:spacing w:line="276" w:lineRule="auto"/>
        <w:rPr>
          <w:rFonts w:ascii="Perpetua" w:hAnsi="Perpetua" w:cs="Adobe Devanagari"/>
          <w:spacing w:val="-3"/>
          <w:sz w:val="26"/>
          <w:szCs w:val="26"/>
          <w:lang w:val="en-GB"/>
        </w:rPr>
      </w:pPr>
      <w:r>
        <w:rPr>
          <w:rFonts w:ascii="Perpetua" w:hAnsi="Perpetua" w:cs="Adobe Devanagari"/>
          <w:spacing w:val="-3"/>
          <w:sz w:val="26"/>
          <w:szCs w:val="26"/>
          <w:lang w:val="en-GB"/>
        </w:rPr>
        <w:t xml:space="preserve">How exactly does this relate to sexuality? </w:t>
      </w:r>
      <w:r w:rsidR="0045595A">
        <w:rPr>
          <w:rFonts w:ascii="Perpetua" w:hAnsi="Perpetua" w:cs="Adobe Devanagari"/>
          <w:spacing w:val="-3"/>
          <w:sz w:val="26"/>
          <w:szCs w:val="26"/>
          <w:lang w:val="en-GB"/>
        </w:rPr>
        <w:t>Although there was no official recognition of homosexuality</w:t>
      </w:r>
      <w:r w:rsidR="00914B9D">
        <w:rPr>
          <w:rFonts w:ascii="Perpetua" w:hAnsi="Perpetua" w:cs="Adobe Devanagari"/>
          <w:spacing w:val="-3"/>
          <w:sz w:val="26"/>
          <w:szCs w:val="26"/>
          <w:lang w:val="en-GB"/>
        </w:rPr>
        <w:t xml:space="preserve"> in early modern England</w:t>
      </w:r>
      <w:r w:rsidR="0045595A">
        <w:rPr>
          <w:rFonts w:ascii="Perpetua" w:hAnsi="Perpetua" w:cs="Adobe Devanagari"/>
          <w:spacing w:val="-3"/>
          <w:sz w:val="26"/>
          <w:szCs w:val="26"/>
          <w:lang w:val="en-GB"/>
        </w:rPr>
        <w:t xml:space="preserve">, there were same-sex relationships. ‘To the educated Elizabethan, classical models sanctioned the love of a mature man for a boy. Stephen </w:t>
      </w:r>
      <w:proofErr w:type="spellStart"/>
      <w:r w:rsidR="0045595A">
        <w:rPr>
          <w:rFonts w:ascii="Perpetua" w:hAnsi="Perpetua" w:cs="Adobe Devanagari"/>
          <w:spacing w:val="-3"/>
          <w:sz w:val="26"/>
          <w:szCs w:val="26"/>
          <w:lang w:val="en-GB"/>
        </w:rPr>
        <w:t>Orgel</w:t>
      </w:r>
      <w:proofErr w:type="spellEnd"/>
      <w:r w:rsidR="0045595A">
        <w:rPr>
          <w:rFonts w:ascii="Perpetua" w:hAnsi="Perpetua" w:cs="Adobe Devanagari"/>
          <w:spacing w:val="-3"/>
          <w:sz w:val="26"/>
          <w:szCs w:val="26"/>
          <w:lang w:val="en-GB"/>
        </w:rPr>
        <w:t xml:space="preserve"> argues that English Renaissance culture did not display “a morbid fear of homoeroticism”: “On the contrary, the love of men for other men was both a fact of life and an essential element in the operation of the patronage system.”’</w:t>
      </w:r>
      <w:r w:rsidR="0045595A">
        <w:rPr>
          <w:rStyle w:val="FootnoteReference"/>
          <w:rFonts w:ascii="Perpetua" w:hAnsi="Perpetua" w:cs="Adobe Devanagari"/>
          <w:spacing w:val="-3"/>
          <w:sz w:val="26"/>
          <w:szCs w:val="26"/>
          <w:lang w:val="en-GB"/>
        </w:rPr>
        <w:footnoteReference w:id="20"/>
      </w:r>
      <w:r w:rsidR="00914B9D">
        <w:rPr>
          <w:rFonts w:ascii="Perpetua" w:hAnsi="Perpetua" w:cs="Adobe Devanagari"/>
          <w:spacing w:val="-3"/>
          <w:sz w:val="26"/>
          <w:szCs w:val="26"/>
          <w:lang w:val="en-GB"/>
        </w:rPr>
        <w:t xml:space="preserve"> Even so people did not identify themselves as either homosexual or heterosexual, or indeed as bisexual</w:t>
      </w:r>
      <w:r w:rsidR="00051EC0">
        <w:rPr>
          <w:rFonts w:ascii="Perpetua" w:hAnsi="Perpetua" w:cs="Adobe Devanagari"/>
          <w:spacing w:val="-3"/>
          <w:sz w:val="26"/>
          <w:szCs w:val="26"/>
          <w:lang w:val="en-GB"/>
        </w:rPr>
        <w:t>, in the way they did identify themselves as a woman or a man</w:t>
      </w:r>
      <w:r w:rsidR="00914B9D">
        <w:rPr>
          <w:rFonts w:ascii="Perpetua" w:hAnsi="Perpetua" w:cs="Adobe Devanagari"/>
          <w:spacing w:val="-3"/>
          <w:sz w:val="26"/>
          <w:szCs w:val="26"/>
          <w:lang w:val="en-GB"/>
        </w:rPr>
        <w:t>. It is now widely acknowledged that the modern concept of sexual identity – sexuality as a mode of identity – is foreign to early modern subjects. Modern ideas of ‘gayness’ or ‘straightness’ simply did not exist.</w:t>
      </w:r>
      <w:r w:rsidR="00051EC0" w:rsidRPr="00051EC0">
        <w:rPr>
          <w:rFonts w:ascii="Perpetua" w:hAnsi="Perpetua" w:cs="Adobe Devanagari"/>
          <w:spacing w:val="-3"/>
          <w:sz w:val="26"/>
          <w:szCs w:val="26"/>
          <w:lang w:val="en-GB"/>
        </w:rPr>
        <w:t xml:space="preserve"> </w:t>
      </w:r>
      <w:r w:rsidR="00051EC0">
        <w:rPr>
          <w:rFonts w:ascii="Perpetua" w:hAnsi="Perpetua" w:cs="Adobe Devanagari"/>
          <w:spacing w:val="-3"/>
          <w:sz w:val="26"/>
          <w:szCs w:val="26"/>
          <w:lang w:val="en-GB"/>
        </w:rPr>
        <w:t>Even homoeroticism, as distinct from homosexuality as a mode of identity, has been described as not being ‘</w:t>
      </w:r>
      <w:proofErr w:type="spellStart"/>
      <w:r w:rsidR="00051EC0">
        <w:rPr>
          <w:rFonts w:ascii="Perpetua" w:hAnsi="Perpetua" w:cs="Adobe Devanagari"/>
          <w:spacing w:val="-3"/>
          <w:sz w:val="26"/>
          <w:szCs w:val="26"/>
          <w:lang w:val="en-GB"/>
        </w:rPr>
        <w:t>unproblematically</w:t>
      </w:r>
      <w:proofErr w:type="spellEnd"/>
      <w:r w:rsidR="00051EC0">
        <w:rPr>
          <w:rFonts w:ascii="Perpetua" w:hAnsi="Perpetua" w:cs="Adobe Devanagari"/>
          <w:spacing w:val="-3"/>
          <w:sz w:val="26"/>
          <w:szCs w:val="26"/>
          <w:lang w:val="en-GB"/>
        </w:rPr>
        <w:t xml:space="preserve"> available to the historically inquiring eye’.</w:t>
      </w:r>
      <w:r w:rsidR="00051EC0">
        <w:rPr>
          <w:rStyle w:val="FootnoteReference"/>
          <w:rFonts w:ascii="Perpetua" w:hAnsi="Perpetua" w:cs="Adobe Devanagari"/>
          <w:spacing w:val="-3"/>
          <w:sz w:val="26"/>
          <w:szCs w:val="26"/>
          <w:lang w:val="en-GB"/>
        </w:rPr>
        <w:footnoteReference w:id="21"/>
      </w:r>
      <w:r w:rsidR="00051EC0">
        <w:rPr>
          <w:rFonts w:ascii="Perpetua" w:hAnsi="Perpetua" w:cs="Adobe Devanagari"/>
          <w:spacing w:val="-3"/>
          <w:sz w:val="26"/>
          <w:szCs w:val="26"/>
          <w:lang w:val="en-GB"/>
        </w:rPr>
        <w:t xml:space="preserve"> Even so, the fact that homoeroticism is mediated by language, political discourse and narrative structures may not put it beyond the reach of analysis, ‘as if it never existed’.</w:t>
      </w:r>
      <w:r w:rsidR="00051EC0">
        <w:rPr>
          <w:rStyle w:val="FootnoteReference"/>
          <w:rFonts w:ascii="Perpetua" w:hAnsi="Perpetua" w:cs="Adobe Devanagari"/>
          <w:spacing w:val="-3"/>
          <w:sz w:val="26"/>
          <w:szCs w:val="26"/>
          <w:lang w:val="en-GB"/>
        </w:rPr>
        <w:footnoteReference w:id="22"/>
      </w:r>
      <w:r>
        <w:rPr>
          <w:rFonts w:ascii="Perpetua" w:hAnsi="Perpetua" w:cs="Adobe Devanagari"/>
          <w:spacing w:val="-3"/>
          <w:sz w:val="26"/>
          <w:szCs w:val="26"/>
          <w:lang w:val="en-GB"/>
        </w:rPr>
        <w:t xml:space="preserve"> Anti-theatrical writing of the Renaissance concerns itself with the disruption of gender brought about by cross-dressing and the erotic potential of these disruptions. The anti-theatricals assume that male spectators will be seduced by the impersonation of women by boys, and losing their reason, will become effeminate, because they will be lusting not after the woman in the drama, which would be bad enough, but after the boy beneath the woman’s costume.</w:t>
      </w:r>
    </w:p>
    <w:p w:rsidR="004173B8" w:rsidRPr="00290B52" w:rsidRDefault="004173B8" w:rsidP="00290B52">
      <w:pPr>
        <w:tabs>
          <w:tab w:val="left" w:pos="-720"/>
          <w:tab w:val="left" w:pos="0"/>
        </w:tabs>
        <w:suppressAutoHyphens/>
        <w:ind w:left="1134" w:right="1134"/>
        <w:rPr>
          <w:rFonts w:ascii="Perpetua" w:hAnsi="Perpetua" w:cs="Adobe Devanagari"/>
          <w:spacing w:val="-3"/>
          <w:szCs w:val="24"/>
          <w:lang w:val="en-GB"/>
        </w:rPr>
      </w:pPr>
    </w:p>
    <w:p w:rsidR="00B97227" w:rsidRPr="00290B52" w:rsidRDefault="00B97227" w:rsidP="00290B52">
      <w:pPr>
        <w:tabs>
          <w:tab w:val="left" w:pos="-720"/>
          <w:tab w:val="left" w:pos="0"/>
        </w:tabs>
        <w:suppressAutoHyphens/>
        <w:ind w:left="1134" w:right="1134"/>
        <w:rPr>
          <w:rFonts w:ascii="Perpetua" w:hAnsi="Perpetua" w:cs="Adobe Devanagari"/>
          <w:spacing w:val="-3"/>
          <w:szCs w:val="24"/>
          <w:lang w:val="en-GB"/>
        </w:rPr>
      </w:pPr>
      <w:r w:rsidRPr="00290B52">
        <w:rPr>
          <w:rFonts w:ascii="Perpetua" w:hAnsi="Perpetua" w:cs="Adobe Devanagari"/>
          <w:spacing w:val="-3"/>
          <w:szCs w:val="24"/>
          <w:lang w:val="en-GB"/>
        </w:rPr>
        <w:t xml:space="preserve">The theatrical position is intriguingly speculative. A number of critics argue that early modern audiences simply accept, unquestioningly, the convention of boys in female roles. Yet </w:t>
      </w:r>
      <w:r w:rsidRPr="00290B52">
        <w:rPr>
          <w:rFonts w:ascii="Perpetua" w:hAnsi="Perpetua" w:cs="Adobe Devanagari"/>
          <w:i/>
          <w:spacing w:val="-3"/>
          <w:szCs w:val="24"/>
          <w:lang w:val="en-GB"/>
        </w:rPr>
        <w:t>Twelfth Night</w:t>
      </w:r>
      <w:r w:rsidRPr="00290B52">
        <w:rPr>
          <w:rFonts w:ascii="Perpetua" w:hAnsi="Perpetua" w:cs="Adobe Devanagari"/>
          <w:spacing w:val="-3"/>
          <w:szCs w:val="24"/>
          <w:lang w:val="en-GB"/>
        </w:rPr>
        <w:t xml:space="preserve"> is a subtle and complex play where Viola constantly draws attention to the falseness of her situation: ‘I am not that I play’</w:t>
      </w:r>
      <w:r w:rsidR="00290B52" w:rsidRPr="00290B52">
        <w:rPr>
          <w:rFonts w:ascii="Perpetua" w:hAnsi="Perpetua" w:cs="Adobe Devanagari"/>
          <w:spacing w:val="-3"/>
          <w:szCs w:val="24"/>
          <w:lang w:val="en-GB"/>
        </w:rPr>
        <w:t xml:space="preserve"> (1.5.179) is a statement that resonates with multiple possibilities. Key critic of this field, Susan Zimmerman, argues that Renaissance theatre enabled the release of transgressive impulses, the cross-dressing beautiful boys liberating anarchic and disturbing potential […]. Catherine </w:t>
      </w:r>
      <w:proofErr w:type="spellStart"/>
      <w:r w:rsidR="00290B52" w:rsidRPr="00290B52">
        <w:rPr>
          <w:rFonts w:ascii="Perpetua" w:hAnsi="Perpetua" w:cs="Adobe Devanagari"/>
          <w:spacing w:val="-3"/>
          <w:szCs w:val="24"/>
          <w:lang w:val="en-GB"/>
        </w:rPr>
        <w:t>Belsey</w:t>
      </w:r>
      <w:proofErr w:type="spellEnd"/>
      <w:r w:rsidR="00290B52" w:rsidRPr="00290B52">
        <w:rPr>
          <w:rFonts w:ascii="Perpetua" w:hAnsi="Perpetua" w:cs="Adobe Devanagari"/>
          <w:spacing w:val="-3"/>
          <w:szCs w:val="24"/>
          <w:lang w:val="en-GB"/>
        </w:rPr>
        <w:t xml:space="preserve"> also suggests that gender difference is radically challenged in the world of Shakespeare’s comedies. The sexual ambiguity of the body acting the female role but assuming male clothing </w:t>
      </w:r>
      <w:r w:rsidR="00290B52" w:rsidRPr="00290B52">
        <w:rPr>
          <w:rFonts w:ascii="Perpetua" w:hAnsi="Perpetua" w:cs="Adobe Devanagari"/>
          <w:spacing w:val="-3"/>
          <w:szCs w:val="24"/>
          <w:lang w:val="en-GB"/>
        </w:rPr>
        <w:lastRenderedPageBreak/>
        <w:t>as a ‘disguise’ could be seen as ‘disrupting sexual difference’, blurring all clear boundaries:</w:t>
      </w:r>
    </w:p>
    <w:p w:rsidR="00290B52" w:rsidRPr="00290B52" w:rsidRDefault="00290B52" w:rsidP="00290B52">
      <w:pPr>
        <w:tabs>
          <w:tab w:val="left" w:pos="-720"/>
          <w:tab w:val="left" w:pos="0"/>
        </w:tabs>
        <w:suppressAutoHyphens/>
        <w:ind w:left="1134" w:right="1134"/>
        <w:rPr>
          <w:rFonts w:ascii="Perpetua" w:hAnsi="Perpetua" w:cs="Adobe Devanagari"/>
          <w:spacing w:val="-3"/>
          <w:szCs w:val="24"/>
          <w:lang w:val="en-GB"/>
        </w:rPr>
      </w:pPr>
    </w:p>
    <w:p w:rsidR="00290B52" w:rsidRPr="00290B52" w:rsidRDefault="00290B52" w:rsidP="00290B52">
      <w:pPr>
        <w:tabs>
          <w:tab w:val="left" w:pos="-720"/>
          <w:tab w:val="left" w:pos="0"/>
        </w:tabs>
        <w:suppressAutoHyphens/>
        <w:ind w:left="1418" w:right="1134"/>
        <w:rPr>
          <w:rFonts w:ascii="Perpetua" w:hAnsi="Perpetua" w:cs="Adobe Devanagari"/>
          <w:spacing w:val="-3"/>
          <w:szCs w:val="24"/>
          <w:lang w:val="en-GB"/>
        </w:rPr>
      </w:pPr>
      <w:r w:rsidRPr="00290B52">
        <w:rPr>
          <w:rFonts w:ascii="Perpetua" w:hAnsi="Perpetua" w:cs="Adobe Devanagari"/>
          <w:spacing w:val="-3"/>
          <w:szCs w:val="24"/>
          <w:lang w:val="en-GB"/>
        </w:rPr>
        <w:t>Of course, the male disguise of these female heroines allows for plenty of dramatic ironies and double meaning, and thus offers the audience the pleasures of a knowingness which depends on a knowledge of sexual difference. But it can also be read as undermining that knowledge from time to time, calling it in question by indicating that it is possible, at least in fiction, to speak from a position which is not that of a full unified, gendered subject.</w:t>
      </w:r>
      <w:r>
        <w:rPr>
          <w:rStyle w:val="FootnoteReference"/>
          <w:rFonts w:ascii="Perpetua" w:hAnsi="Perpetua" w:cs="Adobe Devanagari"/>
          <w:spacing w:val="-3"/>
          <w:szCs w:val="24"/>
          <w:lang w:val="en-GB"/>
        </w:rPr>
        <w:footnoteReference w:id="23"/>
      </w:r>
    </w:p>
    <w:p w:rsidR="0045595A" w:rsidRDefault="0045595A" w:rsidP="004173B8">
      <w:pPr>
        <w:tabs>
          <w:tab w:val="left" w:pos="-720"/>
          <w:tab w:val="left" w:pos="0"/>
        </w:tabs>
        <w:suppressAutoHyphens/>
        <w:spacing w:line="276" w:lineRule="auto"/>
        <w:rPr>
          <w:rFonts w:ascii="Perpetua" w:hAnsi="Perpetua" w:cs="Adobe Devanagari"/>
          <w:spacing w:val="-3"/>
          <w:sz w:val="26"/>
          <w:szCs w:val="26"/>
          <w:lang w:val="en-GB"/>
        </w:rPr>
      </w:pPr>
    </w:p>
    <w:p w:rsidR="00BC097F" w:rsidRPr="00BD1E80" w:rsidRDefault="00BC097F" w:rsidP="00BD1E80">
      <w:pPr>
        <w:tabs>
          <w:tab w:val="left" w:pos="-720"/>
          <w:tab w:val="left" w:pos="0"/>
        </w:tabs>
        <w:suppressAutoHyphens/>
        <w:ind w:left="1134" w:right="1134"/>
        <w:rPr>
          <w:rFonts w:ascii="Perpetua" w:hAnsi="Perpetua" w:cs="Adobe Devanagari"/>
          <w:spacing w:val="-3"/>
          <w:szCs w:val="24"/>
          <w:lang w:val="en-GB"/>
        </w:rPr>
      </w:pPr>
      <w:r w:rsidRPr="00BD1E80">
        <w:rPr>
          <w:rFonts w:ascii="Perpetua" w:hAnsi="Perpetua" w:cs="Adobe Devanagari"/>
          <w:spacing w:val="-3"/>
          <w:szCs w:val="24"/>
          <w:lang w:val="en-GB"/>
        </w:rPr>
        <w:t xml:space="preserve">In </w:t>
      </w:r>
      <w:r w:rsidRPr="00BD1E80">
        <w:rPr>
          <w:rFonts w:ascii="Perpetua" w:hAnsi="Perpetua" w:cs="Adobe Devanagari"/>
          <w:i/>
          <w:spacing w:val="-3"/>
          <w:szCs w:val="24"/>
          <w:lang w:val="en-GB"/>
        </w:rPr>
        <w:t>Twelfth Night</w:t>
      </w:r>
      <w:r w:rsidRPr="00BD1E80">
        <w:rPr>
          <w:rFonts w:ascii="Perpetua" w:hAnsi="Perpetua" w:cs="Adobe Devanagari"/>
          <w:spacing w:val="-3"/>
          <w:szCs w:val="24"/>
          <w:lang w:val="en-GB"/>
        </w:rPr>
        <w:t xml:space="preserve"> there are two specific areas of interest: the possibility of homoeroticism between Antonio and Sebastian, and the complexities caused by ‘</w:t>
      </w:r>
      <w:proofErr w:type="spellStart"/>
      <w:r w:rsidRPr="00BD1E80">
        <w:rPr>
          <w:rFonts w:ascii="Perpetua" w:hAnsi="Perpetua" w:cs="Adobe Devanagari"/>
          <w:spacing w:val="-3"/>
          <w:szCs w:val="24"/>
          <w:lang w:val="en-GB"/>
        </w:rPr>
        <w:t>Cesario</w:t>
      </w:r>
      <w:proofErr w:type="spellEnd"/>
      <w:r w:rsidRPr="00BD1E80">
        <w:rPr>
          <w:rFonts w:ascii="Perpetua" w:hAnsi="Perpetua" w:cs="Adobe Devanagari"/>
          <w:spacing w:val="-3"/>
          <w:szCs w:val="24"/>
          <w:lang w:val="en-GB"/>
        </w:rPr>
        <w:t xml:space="preserve">’. Viola’s role is unique: in disguise she could be seen as the object of two homosexual passions, </w:t>
      </w:r>
      <w:proofErr w:type="spellStart"/>
      <w:r w:rsidRPr="00BD1E80">
        <w:rPr>
          <w:rFonts w:ascii="Perpetua" w:hAnsi="Perpetua" w:cs="Adobe Devanagari"/>
          <w:spacing w:val="-3"/>
          <w:szCs w:val="24"/>
          <w:lang w:val="en-GB"/>
        </w:rPr>
        <w:t>Orsino’s</w:t>
      </w:r>
      <w:proofErr w:type="spellEnd"/>
      <w:r w:rsidRPr="00BD1E80">
        <w:rPr>
          <w:rFonts w:ascii="Perpetua" w:hAnsi="Perpetua" w:cs="Adobe Devanagari"/>
          <w:spacing w:val="-3"/>
          <w:szCs w:val="24"/>
          <w:lang w:val="en-GB"/>
        </w:rPr>
        <w:t xml:space="preserve"> stated fondness for the boy </w:t>
      </w:r>
      <w:proofErr w:type="spellStart"/>
      <w:r w:rsidRPr="00BD1E80">
        <w:rPr>
          <w:rFonts w:ascii="Perpetua" w:hAnsi="Perpetua" w:cs="Adobe Devanagari"/>
          <w:spacing w:val="-3"/>
          <w:szCs w:val="24"/>
          <w:lang w:val="en-GB"/>
        </w:rPr>
        <w:t>Cesario</w:t>
      </w:r>
      <w:proofErr w:type="spellEnd"/>
      <w:r w:rsidRPr="00BD1E80">
        <w:rPr>
          <w:rFonts w:ascii="Perpetua" w:hAnsi="Perpetua" w:cs="Adobe Devanagari"/>
          <w:spacing w:val="-3"/>
          <w:szCs w:val="24"/>
          <w:lang w:val="en-GB"/>
        </w:rPr>
        <w:t xml:space="preserve">, and Olivia’s attraction to the beardless boy, quite possibly a lesbian attraction. Within this dizzying comic virtuosity, Viola is </w:t>
      </w:r>
      <w:proofErr w:type="spellStart"/>
      <w:r w:rsidRPr="00BD1E80">
        <w:rPr>
          <w:rFonts w:ascii="Perpetua" w:hAnsi="Perpetua" w:cs="Adobe Devanagari"/>
          <w:spacing w:val="-3"/>
          <w:szCs w:val="24"/>
          <w:lang w:val="en-GB"/>
        </w:rPr>
        <w:t>consisten</w:t>
      </w:r>
      <w:proofErr w:type="spellEnd"/>
      <w:r w:rsidRPr="00BD1E80">
        <w:rPr>
          <w:rFonts w:ascii="Perpetua" w:hAnsi="Perpetua" w:cs="Adobe Devanagari"/>
          <w:spacing w:val="-3"/>
          <w:szCs w:val="24"/>
          <w:lang w:val="en-GB"/>
        </w:rPr>
        <w:t xml:space="preserve">; unlike Portia [in </w:t>
      </w:r>
      <w:r w:rsidR="00BD1E80" w:rsidRPr="00BD1E80">
        <w:rPr>
          <w:rFonts w:ascii="Perpetua" w:hAnsi="Perpetua" w:cs="Adobe Devanagari"/>
          <w:i/>
          <w:spacing w:val="-3"/>
          <w:szCs w:val="24"/>
          <w:lang w:val="en-GB"/>
        </w:rPr>
        <w:t>The Merchant of Venice</w:t>
      </w:r>
      <w:r w:rsidR="00BD1E80" w:rsidRPr="00BD1E80">
        <w:rPr>
          <w:rFonts w:ascii="Perpetua" w:hAnsi="Perpetua" w:cs="Adobe Devanagari"/>
          <w:spacing w:val="-3"/>
          <w:szCs w:val="24"/>
          <w:lang w:val="en-GB"/>
        </w:rPr>
        <w:t xml:space="preserve">] or Rosalind [in </w:t>
      </w:r>
      <w:r w:rsidR="00BD1E80" w:rsidRPr="00BD1E80">
        <w:rPr>
          <w:rFonts w:ascii="Perpetua" w:hAnsi="Perpetua" w:cs="Adobe Devanagari"/>
          <w:i/>
          <w:spacing w:val="-3"/>
          <w:szCs w:val="24"/>
          <w:lang w:val="en-GB"/>
        </w:rPr>
        <w:t xml:space="preserve">As You </w:t>
      </w:r>
      <w:proofErr w:type="gramStart"/>
      <w:r w:rsidR="00BD1E80" w:rsidRPr="00BD1E80">
        <w:rPr>
          <w:rFonts w:ascii="Perpetua" w:hAnsi="Perpetua" w:cs="Adobe Devanagari"/>
          <w:i/>
          <w:spacing w:val="-3"/>
          <w:szCs w:val="24"/>
          <w:lang w:val="en-GB"/>
        </w:rPr>
        <w:t>Like</w:t>
      </w:r>
      <w:proofErr w:type="gramEnd"/>
      <w:r w:rsidR="00BD1E80" w:rsidRPr="00BD1E80">
        <w:rPr>
          <w:rFonts w:ascii="Perpetua" w:hAnsi="Perpetua" w:cs="Adobe Devanagari"/>
          <w:i/>
          <w:spacing w:val="-3"/>
          <w:szCs w:val="24"/>
          <w:lang w:val="en-GB"/>
        </w:rPr>
        <w:t xml:space="preserve"> It</w:t>
      </w:r>
      <w:r w:rsidR="00BD1E80" w:rsidRPr="00BD1E80">
        <w:rPr>
          <w:rFonts w:ascii="Perpetua" w:hAnsi="Perpetua" w:cs="Adobe Devanagari"/>
          <w:spacing w:val="-3"/>
          <w:szCs w:val="24"/>
          <w:lang w:val="en-GB"/>
        </w:rPr>
        <w:t>], she never takes delight in her disguise – yet her false appearance is precisely what causes confusion in everyone else.</w:t>
      </w:r>
      <w:r w:rsidR="00BD1E80" w:rsidRPr="00BD1E80">
        <w:rPr>
          <w:rStyle w:val="FootnoteReference"/>
          <w:rFonts w:ascii="Perpetua" w:hAnsi="Perpetua" w:cs="Adobe Devanagari"/>
          <w:spacing w:val="-3"/>
          <w:szCs w:val="24"/>
          <w:lang w:val="en-GB"/>
        </w:rPr>
        <w:footnoteReference w:id="24"/>
      </w:r>
    </w:p>
    <w:p w:rsidR="00BD1E80" w:rsidRDefault="00BD1E80" w:rsidP="004173B8">
      <w:pPr>
        <w:tabs>
          <w:tab w:val="left" w:pos="-720"/>
          <w:tab w:val="left" w:pos="0"/>
        </w:tabs>
        <w:suppressAutoHyphens/>
        <w:spacing w:line="276" w:lineRule="auto"/>
        <w:rPr>
          <w:rFonts w:ascii="Perpetua" w:hAnsi="Perpetua" w:cs="Adobe Devanagari"/>
          <w:spacing w:val="-3"/>
          <w:sz w:val="26"/>
          <w:szCs w:val="26"/>
          <w:lang w:val="en-GB"/>
        </w:rPr>
      </w:pPr>
    </w:p>
    <w:p w:rsidR="00BD1E80" w:rsidRPr="00BD1E80" w:rsidRDefault="00A362FD" w:rsidP="004173B8">
      <w:pPr>
        <w:tabs>
          <w:tab w:val="left" w:pos="-720"/>
          <w:tab w:val="left" w:pos="0"/>
        </w:tabs>
        <w:suppressAutoHyphens/>
        <w:spacing w:line="276" w:lineRule="auto"/>
        <w:rPr>
          <w:rFonts w:ascii="Perpetua" w:hAnsi="Perpetua" w:cs="Adobe Devanagari"/>
          <w:spacing w:val="-3"/>
          <w:sz w:val="26"/>
          <w:szCs w:val="26"/>
          <w:lang w:val="en-GB"/>
        </w:rPr>
      </w:pPr>
      <w:r>
        <w:rPr>
          <w:rFonts w:ascii="Perpetua" w:hAnsi="Perpetua" w:cs="Adobe Devanagari"/>
          <w:spacing w:val="-3"/>
          <w:sz w:val="26"/>
          <w:szCs w:val="26"/>
          <w:lang w:val="en-GB"/>
        </w:rPr>
        <w:t>For Antonio and Sebastian, see III.iii.4-13; III.iv.334-37; V.i.213-15.</w:t>
      </w:r>
    </w:p>
    <w:p w:rsidR="004173B8" w:rsidRPr="00A15811" w:rsidRDefault="004173B8" w:rsidP="00A15811">
      <w:pPr>
        <w:tabs>
          <w:tab w:val="left" w:pos="-720"/>
          <w:tab w:val="left" w:pos="0"/>
        </w:tabs>
        <w:suppressAutoHyphens/>
        <w:ind w:left="1134" w:right="1134"/>
        <w:rPr>
          <w:rFonts w:ascii="Perpetua" w:hAnsi="Perpetua" w:cs="Adobe Devanagari"/>
          <w:spacing w:val="-3"/>
          <w:szCs w:val="24"/>
          <w:lang w:val="en-GB"/>
        </w:rPr>
      </w:pPr>
    </w:p>
    <w:p w:rsidR="00A15811" w:rsidRPr="00A15811" w:rsidRDefault="00A15811" w:rsidP="00A15811">
      <w:pPr>
        <w:tabs>
          <w:tab w:val="left" w:pos="-720"/>
          <w:tab w:val="left" w:pos="0"/>
        </w:tabs>
        <w:suppressAutoHyphens/>
        <w:ind w:left="1134" w:right="1134"/>
        <w:rPr>
          <w:rFonts w:ascii="Perpetua" w:hAnsi="Perpetua" w:cs="Adobe Devanagari"/>
          <w:spacing w:val="-3"/>
          <w:szCs w:val="24"/>
          <w:lang w:val="en-GB"/>
        </w:rPr>
      </w:pPr>
      <w:r w:rsidRPr="00A15811">
        <w:rPr>
          <w:rFonts w:ascii="Perpetua" w:hAnsi="Perpetua" w:cs="Adobe Devanagari"/>
          <w:spacing w:val="-3"/>
          <w:szCs w:val="24"/>
          <w:lang w:val="en-GB"/>
        </w:rPr>
        <w:t>After Sebastian’s effusive greeting, no further exchange takes place and Antonio is simply forgotten: Illyria, as he himself has observed, has proved ‘rough and inhospitable’. In this play, with its virtuosic variations upon Shakespeare’s own conventions of romantic comedy, it would be entirely consistent to add to the mix a longing homoerotic passion which will, in any case, be rejected in the final analysis by Sebastian’s willingness to marry Olivia and embrace conventionality, property and position.</w:t>
      </w:r>
      <w:r w:rsidRPr="00A15811">
        <w:rPr>
          <w:rStyle w:val="FootnoteReference"/>
          <w:rFonts w:ascii="Perpetua" w:hAnsi="Perpetua" w:cs="Adobe Devanagari"/>
          <w:spacing w:val="-3"/>
          <w:szCs w:val="24"/>
          <w:lang w:val="en-GB"/>
        </w:rPr>
        <w:footnoteReference w:id="25"/>
      </w:r>
    </w:p>
    <w:p w:rsidR="00A15811" w:rsidRDefault="00A15811" w:rsidP="004173B8">
      <w:pPr>
        <w:tabs>
          <w:tab w:val="left" w:pos="-720"/>
          <w:tab w:val="left" w:pos="0"/>
        </w:tabs>
        <w:suppressAutoHyphens/>
        <w:spacing w:line="276" w:lineRule="auto"/>
        <w:rPr>
          <w:rFonts w:ascii="Perpetua" w:hAnsi="Perpetua" w:cs="Adobe Devanagari"/>
          <w:spacing w:val="-3"/>
          <w:sz w:val="26"/>
          <w:szCs w:val="26"/>
          <w:lang w:val="en-GB"/>
        </w:rPr>
      </w:pPr>
    </w:p>
    <w:p w:rsidR="00A15811" w:rsidRDefault="00A15811" w:rsidP="004173B8">
      <w:pPr>
        <w:tabs>
          <w:tab w:val="left" w:pos="-720"/>
          <w:tab w:val="left" w:pos="0"/>
        </w:tabs>
        <w:suppressAutoHyphens/>
        <w:spacing w:line="276" w:lineRule="auto"/>
        <w:rPr>
          <w:rFonts w:ascii="Perpetua" w:hAnsi="Perpetua" w:cs="Adobe Devanagari"/>
          <w:spacing w:val="-3"/>
          <w:sz w:val="26"/>
          <w:szCs w:val="26"/>
          <w:lang w:val="en-GB"/>
        </w:rPr>
      </w:pPr>
      <w:r>
        <w:rPr>
          <w:rFonts w:ascii="Perpetua" w:hAnsi="Perpetua" w:cs="Adobe Devanagari"/>
          <w:spacing w:val="-3"/>
          <w:sz w:val="26"/>
          <w:szCs w:val="26"/>
          <w:lang w:val="en-GB"/>
        </w:rPr>
        <w:t xml:space="preserve">It is through the disguise of Viola that </w:t>
      </w:r>
      <w:r>
        <w:rPr>
          <w:rFonts w:ascii="Perpetua" w:hAnsi="Perpetua" w:cs="Adobe Devanagari"/>
          <w:i/>
          <w:spacing w:val="-3"/>
          <w:sz w:val="26"/>
          <w:szCs w:val="26"/>
          <w:lang w:val="en-GB"/>
        </w:rPr>
        <w:t>Twelfth Night</w:t>
      </w:r>
      <w:r>
        <w:rPr>
          <w:rFonts w:ascii="Perpetua" w:hAnsi="Perpetua" w:cs="Adobe Devanagari"/>
          <w:spacing w:val="-3"/>
          <w:sz w:val="26"/>
          <w:szCs w:val="26"/>
          <w:lang w:val="en-GB"/>
        </w:rPr>
        <w:t xml:space="preserve"> keeps gender ambiguity at the forefront of the drama. Several characters comment</w:t>
      </w:r>
      <w:r w:rsidR="00BE01B6">
        <w:rPr>
          <w:rFonts w:ascii="Perpetua" w:hAnsi="Perpetua" w:cs="Adobe Devanagari"/>
          <w:spacing w:val="-3"/>
          <w:sz w:val="26"/>
          <w:szCs w:val="26"/>
          <w:lang w:val="en-GB"/>
        </w:rPr>
        <w:t xml:space="preserve"> on </w:t>
      </w:r>
      <w:proofErr w:type="spellStart"/>
      <w:r w:rsidR="00BE01B6">
        <w:rPr>
          <w:rFonts w:ascii="Perpetua" w:hAnsi="Perpetua" w:cs="Adobe Devanagari"/>
          <w:spacing w:val="-3"/>
          <w:sz w:val="26"/>
          <w:szCs w:val="26"/>
          <w:lang w:val="en-GB"/>
        </w:rPr>
        <w:t>Cesario’s</w:t>
      </w:r>
      <w:proofErr w:type="spellEnd"/>
      <w:r w:rsidR="00BE01B6">
        <w:rPr>
          <w:rFonts w:ascii="Perpetua" w:hAnsi="Perpetua" w:cs="Adobe Devanagari"/>
          <w:spacing w:val="-3"/>
          <w:sz w:val="26"/>
          <w:szCs w:val="26"/>
          <w:lang w:val="en-GB"/>
        </w:rPr>
        <w:t xml:space="preserve"> girlishness (see I.iv.30-34). Viola’s disguise is to re-create a lost twin, a scenario that is very resonant in romance (see III.iv.376-80). Viola’s transvestism is a poignant business.</w:t>
      </w:r>
    </w:p>
    <w:p w:rsidR="00BE01B6" w:rsidRPr="00BE01B6" w:rsidRDefault="00BE01B6" w:rsidP="00BE01B6">
      <w:pPr>
        <w:tabs>
          <w:tab w:val="left" w:pos="-720"/>
          <w:tab w:val="left" w:pos="0"/>
        </w:tabs>
        <w:suppressAutoHyphens/>
        <w:ind w:left="1134" w:right="1134"/>
        <w:rPr>
          <w:rFonts w:ascii="Perpetua" w:hAnsi="Perpetua" w:cs="Adobe Devanagari"/>
          <w:spacing w:val="-3"/>
          <w:szCs w:val="24"/>
          <w:lang w:val="en-GB"/>
        </w:rPr>
      </w:pPr>
    </w:p>
    <w:p w:rsidR="00BE01B6" w:rsidRPr="00BE01B6" w:rsidRDefault="00BE01B6" w:rsidP="00BE01B6">
      <w:pPr>
        <w:tabs>
          <w:tab w:val="left" w:pos="-720"/>
          <w:tab w:val="left" w:pos="0"/>
        </w:tabs>
        <w:suppressAutoHyphens/>
        <w:ind w:left="1134" w:right="1134"/>
        <w:rPr>
          <w:rFonts w:ascii="Perpetua" w:hAnsi="Perpetua" w:cs="Adobe Devanagari"/>
          <w:spacing w:val="-3"/>
          <w:szCs w:val="24"/>
          <w:lang w:val="en-GB"/>
        </w:rPr>
      </w:pPr>
      <w:r w:rsidRPr="00BE01B6">
        <w:rPr>
          <w:rFonts w:ascii="Perpetua" w:hAnsi="Perpetua" w:cs="Adobe Devanagari"/>
          <w:spacing w:val="-3"/>
          <w:szCs w:val="24"/>
          <w:lang w:val="en-GB"/>
        </w:rPr>
        <w:t xml:space="preserve">It is intriguing that she initially conceives herself as a ‘eunuch’, a castrated male rather than a girl in a man’s clothes. Later, she dismisses her story as a ‘blank’ – she cannot surmise what might be written on the empty pages of her uncertain narrative. When she terms herself a ‘monster’ she goes further still. On stage, she is never called ‘Viola’ until re-united with her twin, and her name is then passed between them three times in rapid succession. The epiphany implied in the title is the confrontation of these two in the final scene where both look </w:t>
      </w:r>
      <w:r w:rsidRPr="00BE01B6">
        <w:rPr>
          <w:rFonts w:ascii="Perpetua" w:hAnsi="Perpetua" w:cs="Adobe Devanagari"/>
          <w:spacing w:val="-3"/>
          <w:szCs w:val="24"/>
          <w:lang w:val="en-GB"/>
        </w:rPr>
        <w:lastRenderedPageBreak/>
        <w:t>upon their likeness and, in doing so, recover their individual identities. Shakespeare moves beyond theatre time in postponing the moment when Viola can become ‘</w:t>
      </w:r>
      <w:proofErr w:type="spellStart"/>
      <w:r w:rsidRPr="00BE01B6">
        <w:rPr>
          <w:rFonts w:ascii="Perpetua" w:hAnsi="Perpetua" w:cs="Adobe Devanagari"/>
          <w:spacing w:val="-3"/>
          <w:szCs w:val="24"/>
          <w:lang w:val="en-GB"/>
        </w:rPr>
        <w:t>Orsino’s</w:t>
      </w:r>
      <w:proofErr w:type="spellEnd"/>
      <w:r w:rsidRPr="00BE01B6">
        <w:rPr>
          <w:rFonts w:ascii="Perpetua" w:hAnsi="Perpetua" w:cs="Adobe Devanagari"/>
          <w:spacing w:val="-3"/>
          <w:szCs w:val="24"/>
          <w:lang w:val="en-GB"/>
        </w:rPr>
        <w:t xml:space="preserve"> mistress and his fancy’s queen’; neither </w:t>
      </w:r>
      <w:proofErr w:type="spellStart"/>
      <w:r w:rsidRPr="00BE01B6">
        <w:rPr>
          <w:rFonts w:ascii="Perpetua" w:hAnsi="Perpetua" w:cs="Adobe Devanagari"/>
          <w:spacing w:val="-3"/>
          <w:szCs w:val="24"/>
          <w:lang w:val="en-GB"/>
        </w:rPr>
        <w:t>Orsino</w:t>
      </w:r>
      <w:proofErr w:type="spellEnd"/>
      <w:r w:rsidRPr="00BE01B6">
        <w:rPr>
          <w:rFonts w:ascii="Perpetua" w:hAnsi="Perpetua" w:cs="Adobe Devanagari"/>
          <w:spacing w:val="-3"/>
          <w:szCs w:val="24"/>
          <w:lang w:val="en-GB"/>
        </w:rPr>
        <w:t xml:space="preserve"> nor the audience will see her in her female identity, […]. As the couples exit at the end of the play we witness, first, Olivia and Sebastian, the conventional courtly couple, then </w:t>
      </w:r>
      <w:proofErr w:type="spellStart"/>
      <w:r w:rsidRPr="00BE01B6">
        <w:rPr>
          <w:rFonts w:ascii="Perpetua" w:hAnsi="Perpetua" w:cs="Adobe Devanagari"/>
          <w:spacing w:val="-3"/>
          <w:szCs w:val="24"/>
          <w:lang w:val="en-GB"/>
        </w:rPr>
        <w:t>Orsino</w:t>
      </w:r>
      <w:proofErr w:type="spellEnd"/>
      <w:r w:rsidRPr="00BE01B6">
        <w:rPr>
          <w:rFonts w:ascii="Perpetua" w:hAnsi="Perpetua" w:cs="Adobe Devanagari"/>
          <w:spacing w:val="-3"/>
          <w:szCs w:val="24"/>
          <w:lang w:val="en-GB"/>
        </w:rPr>
        <w:t xml:space="preserve"> and </w:t>
      </w:r>
      <w:proofErr w:type="spellStart"/>
      <w:r w:rsidRPr="00BE01B6">
        <w:rPr>
          <w:rFonts w:ascii="Perpetua" w:hAnsi="Perpetua" w:cs="Adobe Devanagari"/>
          <w:spacing w:val="-3"/>
          <w:szCs w:val="24"/>
          <w:lang w:val="en-GB"/>
        </w:rPr>
        <w:t>Cesario</w:t>
      </w:r>
      <w:proofErr w:type="spellEnd"/>
      <w:r w:rsidRPr="00BE01B6">
        <w:rPr>
          <w:rFonts w:ascii="Perpetua" w:hAnsi="Perpetua" w:cs="Adobe Devanagari"/>
          <w:spacing w:val="-3"/>
          <w:szCs w:val="24"/>
          <w:lang w:val="en-GB"/>
        </w:rPr>
        <w:t xml:space="preserve">, the courtly Duke with young attractive male. </w:t>
      </w:r>
      <w:proofErr w:type="spellStart"/>
      <w:r w:rsidRPr="00BE01B6">
        <w:rPr>
          <w:rFonts w:ascii="Perpetua" w:hAnsi="Perpetua" w:cs="Adobe Devanagari"/>
          <w:spacing w:val="-3"/>
          <w:szCs w:val="24"/>
          <w:lang w:val="en-GB"/>
        </w:rPr>
        <w:t>Orsino</w:t>
      </w:r>
      <w:proofErr w:type="spellEnd"/>
      <w:r w:rsidRPr="00BE01B6">
        <w:rPr>
          <w:rFonts w:ascii="Perpetua" w:hAnsi="Perpetua" w:cs="Adobe Devanagari"/>
          <w:spacing w:val="-3"/>
          <w:szCs w:val="24"/>
          <w:lang w:val="en-GB"/>
        </w:rPr>
        <w:t xml:space="preserve"> refers to </w:t>
      </w:r>
      <w:proofErr w:type="spellStart"/>
      <w:r w:rsidRPr="00BE01B6">
        <w:rPr>
          <w:rFonts w:ascii="Perpetua" w:hAnsi="Perpetua" w:cs="Adobe Devanagari"/>
          <w:spacing w:val="-3"/>
          <w:szCs w:val="24"/>
          <w:lang w:val="en-GB"/>
        </w:rPr>
        <w:t>Cesario</w:t>
      </w:r>
      <w:proofErr w:type="spellEnd"/>
      <w:r w:rsidRPr="00BE01B6">
        <w:rPr>
          <w:rFonts w:ascii="Perpetua" w:hAnsi="Perpetua" w:cs="Adobe Devanagari"/>
          <w:spacing w:val="-3"/>
          <w:szCs w:val="24"/>
          <w:lang w:val="en-GB"/>
        </w:rPr>
        <w:t xml:space="preserve"> as ‘the lamb that I do love’ – is he in love with </w:t>
      </w:r>
      <w:proofErr w:type="spellStart"/>
      <w:r w:rsidRPr="00BE01B6">
        <w:rPr>
          <w:rFonts w:ascii="Perpetua" w:hAnsi="Perpetua" w:cs="Adobe Devanagari"/>
          <w:spacing w:val="-3"/>
          <w:szCs w:val="24"/>
          <w:lang w:val="en-GB"/>
        </w:rPr>
        <w:t>Cesario</w:t>
      </w:r>
      <w:proofErr w:type="spellEnd"/>
      <w:r w:rsidRPr="00BE01B6">
        <w:rPr>
          <w:rFonts w:ascii="Perpetua" w:hAnsi="Perpetua" w:cs="Adobe Devanagari"/>
          <w:spacing w:val="-3"/>
          <w:szCs w:val="24"/>
          <w:lang w:val="en-GB"/>
        </w:rPr>
        <w:t>, or with Viola? And does it matter?</w:t>
      </w:r>
      <w:r>
        <w:rPr>
          <w:rStyle w:val="FootnoteReference"/>
          <w:rFonts w:ascii="Perpetua" w:hAnsi="Perpetua" w:cs="Adobe Devanagari"/>
          <w:spacing w:val="-3"/>
          <w:szCs w:val="24"/>
          <w:lang w:val="en-GB"/>
        </w:rPr>
        <w:footnoteReference w:id="26"/>
      </w:r>
    </w:p>
    <w:p w:rsidR="00BE01B6" w:rsidRDefault="00BE01B6" w:rsidP="004173B8">
      <w:pPr>
        <w:tabs>
          <w:tab w:val="left" w:pos="-720"/>
          <w:tab w:val="left" w:pos="0"/>
        </w:tabs>
        <w:suppressAutoHyphens/>
        <w:spacing w:line="276" w:lineRule="auto"/>
        <w:rPr>
          <w:rFonts w:ascii="Perpetua" w:hAnsi="Perpetua" w:cs="Adobe Devanagari"/>
          <w:spacing w:val="-3"/>
          <w:sz w:val="26"/>
          <w:szCs w:val="26"/>
          <w:lang w:val="en-GB"/>
        </w:rPr>
      </w:pPr>
    </w:p>
    <w:p w:rsidR="00BE01B6" w:rsidRPr="00A15811" w:rsidRDefault="00BE01B6" w:rsidP="004173B8">
      <w:pPr>
        <w:tabs>
          <w:tab w:val="left" w:pos="-720"/>
          <w:tab w:val="left" w:pos="0"/>
        </w:tabs>
        <w:suppressAutoHyphens/>
        <w:spacing w:line="276" w:lineRule="auto"/>
        <w:rPr>
          <w:rFonts w:ascii="Perpetua" w:hAnsi="Perpetua" w:cs="Adobe Devanagari"/>
          <w:spacing w:val="-3"/>
          <w:sz w:val="26"/>
          <w:szCs w:val="26"/>
          <w:lang w:val="en-GB"/>
        </w:rPr>
      </w:pPr>
    </w:p>
    <w:sectPr w:rsidR="00BE01B6" w:rsidRPr="00A15811">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F4A38" w:rsidRDefault="004F4A38" w:rsidP="00D43544">
      <w:r>
        <w:separator/>
      </w:r>
    </w:p>
  </w:endnote>
  <w:endnote w:type="continuationSeparator" w:id="0">
    <w:p w:rsidR="004F4A38" w:rsidRDefault="004F4A38" w:rsidP="00D4354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w:panose1 w:val="02070409020205020404"/>
    <w:charset w:val="00"/>
    <w:family w:val="modern"/>
    <w:notTrueType/>
    <w:pitch w:val="fixed"/>
    <w:sig w:usb0="00000003" w:usb1="00000000" w:usb2="00000000" w:usb3="00000000" w:csb0="00000001" w:csb1="00000000"/>
  </w:font>
  <w:font w:name="Courier New">
    <w:panose1 w:val="02070309020205020404"/>
    <w:charset w:val="00"/>
    <w:family w:val="modern"/>
    <w:pitch w:val="fixed"/>
    <w:sig w:usb0="E0002EFF" w:usb1="C0007843" w:usb2="00000009" w:usb3="00000000" w:csb0="000001FF" w:csb1="00000000"/>
  </w:font>
  <w:font w:name="BatangChe">
    <w:charset w:val="81"/>
    <w:family w:val="modern"/>
    <w:pitch w:val="fixed"/>
    <w:sig w:usb0="B00002AF" w:usb1="69D77CFB" w:usb2="00000030" w:usb3="00000000" w:csb0="0008009F" w:csb1="00000000"/>
  </w:font>
  <w:font w:name="Perpetua">
    <w:panose1 w:val="02020502060401020303"/>
    <w:charset w:val="00"/>
    <w:family w:val="roman"/>
    <w:pitch w:val="variable"/>
    <w:sig w:usb0="00000003" w:usb1="00000000" w:usb2="00000000" w:usb3="00000000" w:csb0="00000001" w:csb1="00000000"/>
  </w:font>
  <w:font w:name="Adobe Devanagari">
    <w:altName w:val="Mangal"/>
    <w:panose1 w:val="02040503050201020203"/>
    <w:charset w:val="00"/>
    <w:family w:val="roman"/>
    <w:notTrueType/>
    <w:pitch w:val="variable"/>
    <w:sig w:usb0="00008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90195809"/>
      <w:docPartObj>
        <w:docPartGallery w:val="Page Numbers (Bottom of Page)"/>
        <w:docPartUnique/>
      </w:docPartObj>
    </w:sdtPr>
    <w:sdtEndPr>
      <w:rPr>
        <w:noProof/>
      </w:rPr>
    </w:sdtEndPr>
    <w:sdtContent>
      <w:p w:rsidR="007F0165" w:rsidRDefault="007F0165">
        <w:pPr>
          <w:pStyle w:val="Footer"/>
          <w:jc w:val="center"/>
        </w:pPr>
        <w:r>
          <w:fldChar w:fldCharType="begin"/>
        </w:r>
        <w:r>
          <w:instrText xml:space="preserve"> PAGE   \* MERGEFORMAT </w:instrText>
        </w:r>
        <w:r>
          <w:fldChar w:fldCharType="separate"/>
        </w:r>
        <w:r w:rsidR="00D115A0">
          <w:rPr>
            <w:noProof/>
          </w:rPr>
          <w:t>8</w:t>
        </w:r>
        <w:r>
          <w:rPr>
            <w:noProof/>
          </w:rPr>
          <w:fldChar w:fldCharType="end"/>
        </w:r>
      </w:p>
    </w:sdtContent>
  </w:sdt>
  <w:p w:rsidR="007F0165" w:rsidRDefault="007F01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F4A38" w:rsidRDefault="004F4A38" w:rsidP="00D43544">
      <w:r>
        <w:separator/>
      </w:r>
    </w:p>
  </w:footnote>
  <w:footnote w:type="continuationSeparator" w:id="0">
    <w:p w:rsidR="004F4A38" w:rsidRDefault="004F4A38" w:rsidP="00D43544">
      <w:r>
        <w:continuationSeparator/>
      </w:r>
    </w:p>
  </w:footnote>
  <w:footnote w:id="1">
    <w:p w:rsidR="009B6E78" w:rsidRPr="009B6E78" w:rsidRDefault="009B6E78">
      <w:pPr>
        <w:pStyle w:val="FootnoteText"/>
        <w:rPr>
          <w:rFonts w:ascii="Perpetua" w:hAnsi="Perpetua"/>
          <w:lang w:val="en-GB"/>
        </w:rPr>
      </w:pPr>
      <w:r w:rsidRPr="009B6E78">
        <w:rPr>
          <w:rStyle w:val="FootnoteReference"/>
          <w:rFonts w:ascii="Perpetua" w:hAnsi="Perpetua"/>
        </w:rPr>
        <w:footnoteRef/>
      </w:r>
      <w:r w:rsidRPr="009B6E78">
        <w:rPr>
          <w:rFonts w:ascii="Perpetua" w:hAnsi="Perpetua"/>
        </w:rPr>
        <w:t xml:space="preserve"> </w:t>
      </w:r>
      <w:r>
        <w:rPr>
          <w:rFonts w:ascii="Perpetua" w:hAnsi="Perpetua"/>
        </w:rPr>
        <w:t xml:space="preserve">W.W. Greg, </w:t>
      </w:r>
      <w:r>
        <w:rPr>
          <w:rFonts w:ascii="Perpetua" w:hAnsi="Perpetua"/>
          <w:i/>
        </w:rPr>
        <w:t>The Editorial Problem in Shakespeare: A Survey of the Foundations of the Text</w:t>
      </w:r>
      <w:r>
        <w:rPr>
          <w:rFonts w:ascii="Perpetua" w:hAnsi="Perpetua"/>
        </w:rPr>
        <w:t xml:space="preserve">, The Clark Lectures, Trinity College, Cambridge, Lent Term, 1939, 3rd </w:t>
      </w:r>
      <w:proofErr w:type="spellStart"/>
      <w:r>
        <w:rPr>
          <w:rFonts w:ascii="Perpetua" w:hAnsi="Perpetua"/>
        </w:rPr>
        <w:t>edn</w:t>
      </w:r>
      <w:proofErr w:type="spellEnd"/>
      <w:r>
        <w:rPr>
          <w:rFonts w:ascii="Perpetua" w:hAnsi="Perpetua"/>
        </w:rPr>
        <w:t xml:space="preserve"> (Oxford: Clarendon Press, 1954; </w:t>
      </w:r>
      <w:proofErr w:type="spellStart"/>
      <w:r>
        <w:rPr>
          <w:rFonts w:ascii="Perpetua" w:hAnsi="Perpetua"/>
        </w:rPr>
        <w:t>repr</w:t>
      </w:r>
      <w:proofErr w:type="spellEnd"/>
      <w:r>
        <w:rPr>
          <w:rFonts w:ascii="Perpetua" w:hAnsi="Perpetua"/>
        </w:rPr>
        <w:t>. 1967), p. 145.</w:t>
      </w:r>
    </w:p>
  </w:footnote>
  <w:footnote w:id="2">
    <w:p w:rsidR="00560F3B" w:rsidRPr="00560F3B" w:rsidRDefault="00560F3B">
      <w:pPr>
        <w:pStyle w:val="FootnoteText"/>
        <w:rPr>
          <w:rFonts w:ascii="Perpetua" w:hAnsi="Perpetua"/>
          <w:lang w:val="en-GB"/>
        </w:rPr>
      </w:pPr>
      <w:r w:rsidRPr="00560F3B">
        <w:rPr>
          <w:rStyle w:val="FootnoteReference"/>
          <w:rFonts w:ascii="Perpetua" w:hAnsi="Perpetua"/>
        </w:rPr>
        <w:footnoteRef/>
      </w:r>
      <w:r w:rsidRPr="00560F3B">
        <w:rPr>
          <w:rFonts w:ascii="Perpetua" w:hAnsi="Perpetua"/>
        </w:rPr>
        <w:t xml:space="preserve"> </w:t>
      </w:r>
      <w:r w:rsidR="00CE79C9">
        <w:rPr>
          <w:rFonts w:ascii="Perpetua" w:hAnsi="Perpetua"/>
        </w:rPr>
        <w:t xml:space="preserve">Alan H. Nelson, ‘The Universities and the Inns of Court’, in </w:t>
      </w:r>
      <w:proofErr w:type="gramStart"/>
      <w:r w:rsidR="00CE79C9">
        <w:rPr>
          <w:rFonts w:ascii="Perpetua" w:hAnsi="Perpetua"/>
          <w:i/>
        </w:rPr>
        <w:t>The</w:t>
      </w:r>
      <w:proofErr w:type="gramEnd"/>
      <w:r w:rsidR="00CE79C9">
        <w:rPr>
          <w:rFonts w:ascii="Perpetua" w:hAnsi="Perpetua"/>
          <w:i/>
        </w:rPr>
        <w:t xml:space="preserve"> Oxford Handbook of Early Modern Theatre</w:t>
      </w:r>
      <w:r w:rsidR="00CE79C9">
        <w:rPr>
          <w:rFonts w:ascii="Perpetua" w:hAnsi="Perpetua"/>
        </w:rPr>
        <w:t>, ed. by Richard Dutton (Oxford: Oxford University Press, 2009), pp. 280-91 (p. 285).</w:t>
      </w:r>
    </w:p>
  </w:footnote>
  <w:footnote w:id="3">
    <w:p w:rsidR="00B52DCC" w:rsidRPr="001E6693" w:rsidRDefault="00B52DCC">
      <w:pPr>
        <w:pStyle w:val="FootnoteText"/>
        <w:rPr>
          <w:rFonts w:ascii="Perpetua" w:hAnsi="Perpetua"/>
          <w:lang w:val="en-GB"/>
        </w:rPr>
      </w:pPr>
      <w:r w:rsidRPr="001E6693">
        <w:rPr>
          <w:rStyle w:val="FootnoteReference"/>
          <w:rFonts w:ascii="Perpetua" w:hAnsi="Perpetua"/>
        </w:rPr>
        <w:footnoteRef/>
      </w:r>
      <w:r w:rsidRPr="001E6693">
        <w:rPr>
          <w:rFonts w:ascii="Perpetua" w:hAnsi="Perpetua"/>
        </w:rPr>
        <w:t xml:space="preserve"> </w:t>
      </w:r>
      <w:r w:rsidR="001E6693">
        <w:rPr>
          <w:rFonts w:ascii="Perpetua" w:hAnsi="Perpetua"/>
        </w:rPr>
        <w:t>Nelson, p. 286.</w:t>
      </w:r>
    </w:p>
  </w:footnote>
  <w:footnote w:id="4">
    <w:p w:rsidR="00841815" w:rsidRPr="00841815" w:rsidRDefault="00841815">
      <w:pPr>
        <w:pStyle w:val="FootnoteText"/>
        <w:rPr>
          <w:rFonts w:ascii="Perpetua" w:hAnsi="Perpetua"/>
          <w:lang w:val="en-GB"/>
        </w:rPr>
      </w:pPr>
      <w:r w:rsidRPr="00841815">
        <w:rPr>
          <w:rStyle w:val="FootnoteReference"/>
          <w:rFonts w:ascii="Perpetua" w:hAnsi="Perpetua"/>
        </w:rPr>
        <w:footnoteRef/>
      </w:r>
      <w:r w:rsidRPr="00841815">
        <w:rPr>
          <w:rFonts w:ascii="Perpetua" w:hAnsi="Perpetua"/>
        </w:rPr>
        <w:t xml:space="preserve"> </w:t>
      </w:r>
      <w:r>
        <w:rPr>
          <w:rFonts w:ascii="Perpetua" w:hAnsi="Perpetua"/>
        </w:rPr>
        <w:t xml:space="preserve">Lucy </w:t>
      </w:r>
      <w:proofErr w:type="spellStart"/>
      <w:r>
        <w:rPr>
          <w:rFonts w:ascii="Perpetua" w:hAnsi="Perpetua"/>
        </w:rPr>
        <w:t>Monro</w:t>
      </w:r>
      <w:proofErr w:type="spellEnd"/>
      <w:r>
        <w:rPr>
          <w:rFonts w:ascii="Perpetua" w:hAnsi="Perpetua"/>
        </w:rPr>
        <w:t xml:space="preserve">, ‘Music and Sound’, in </w:t>
      </w:r>
      <w:proofErr w:type="gramStart"/>
      <w:r>
        <w:rPr>
          <w:rFonts w:ascii="Perpetua" w:hAnsi="Perpetua"/>
          <w:i/>
        </w:rPr>
        <w:t>The</w:t>
      </w:r>
      <w:proofErr w:type="gramEnd"/>
      <w:r>
        <w:rPr>
          <w:rFonts w:ascii="Perpetua" w:hAnsi="Perpetua"/>
          <w:i/>
        </w:rPr>
        <w:t xml:space="preserve"> Oxford Handbook of Early Modern Theatre</w:t>
      </w:r>
      <w:r>
        <w:rPr>
          <w:rFonts w:ascii="Perpetua" w:hAnsi="Perpetua"/>
        </w:rPr>
        <w:t>, pp. 543-59 (p. 555).</w:t>
      </w:r>
    </w:p>
  </w:footnote>
  <w:footnote w:id="5">
    <w:p w:rsidR="004B1B88" w:rsidRPr="004B1B88" w:rsidRDefault="004B1B88">
      <w:pPr>
        <w:pStyle w:val="FootnoteText"/>
        <w:rPr>
          <w:rFonts w:ascii="Perpetua" w:hAnsi="Perpetua"/>
          <w:lang w:val="en-GB"/>
        </w:rPr>
      </w:pPr>
      <w:r w:rsidRPr="004B1B88">
        <w:rPr>
          <w:rStyle w:val="FootnoteReference"/>
          <w:rFonts w:ascii="Perpetua" w:hAnsi="Perpetua"/>
        </w:rPr>
        <w:footnoteRef/>
      </w:r>
      <w:r w:rsidRPr="004B1B88">
        <w:rPr>
          <w:rFonts w:ascii="Perpetua" w:hAnsi="Perpetua"/>
        </w:rPr>
        <w:t xml:space="preserve"> </w:t>
      </w:r>
      <w:r>
        <w:rPr>
          <w:rFonts w:ascii="Perpetua" w:hAnsi="Perpetua"/>
        </w:rPr>
        <w:t xml:space="preserve">Tiffany Stern, ‘Actor’s Parts’, in </w:t>
      </w:r>
      <w:r>
        <w:rPr>
          <w:rFonts w:ascii="Perpetua" w:hAnsi="Perpetua"/>
          <w:i/>
        </w:rPr>
        <w:t>The Oxford Handbook of Early Modern Theatre</w:t>
      </w:r>
      <w:r>
        <w:rPr>
          <w:rFonts w:ascii="Perpetua" w:hAnsi="Perpetua"/>
        </w:rPr>
        <w:t xml:space="preserve">, </w:t>
      </w:r>
      <w:r w:rsidR="005C5D15">
        <w:rPr>
          <w:rFonts w:ascii="Perpetua" w:hAnsi="Perpetua"/>
        </w:rPr>
        <w:t>pp. 496-512 (p. 511)</w:t>
      </w:r>
      <w:r w:rsidR="00841815">
        <w:rPr>
          <w:rFonts w:ascii="Perpetua" w:hAnsi="Perpetua"/>
        </w:rPr>
        <w:t>.</w:t>
      </w:r>
    </w:p>
  </w:footnote>
  <w:footnote w:id="6">
    <w:p w:rsidR="005D4EDE" w:rsidRPr="005D4EDE" w:rsidRDefault="005D4EDE">
      <w:pPr>
        <w:pStyle w:val="FootnoteText"/>
        <w:rPr>
          <w:rFonts w:ascii="Perpetua" w:hAnsi="Perpetua"/>
          <w:lang w:val="en-GB"/>
        </w:rPr>
      </w:pPr>
      <w:r w:rsidRPr="005D4EDE">
        <w:rPr>
          <w:rStyle w:val="FootnoteReference"/>
          <w:rFonts w:ascii="Perpetua" w:hAnsi="Perpetua"/>
        </w:rPr>
        <w:footnoteRef/>
      </w:r>
      <w:r w:rsidRPr="005D4EDE">
        <w:rPr>
          <w:rFonts w:ascii="Perpetua" w:hAnsi="Perpetua"/>
        </w:rPr>
        <w:t xml:space="preserve"> </w:t>
      </w:r>
      <w:r>
        <w:rPr>
          <w:rFonts w:ascii="Perpetua" w:hAnsi="Perpetua"/>
        </w:rPr>
        <w:t xml:space="preserve">R.L. Smallwood, ‘The Middle Comedies’, Ch. 6 of </w:t>
      </w:r>
      <w:r>
        <w:rPr>
          <w:rFonts w:ascii="Perpetua" w:hAnsi="Perpetua"/>
          <w:i/>
        </w:rPr>
        <w:t>Shakespeare: A Bibliographical Guide</w:t>
      </w:r>
      <w:r>
        <w:rPr>
          <w:rFonts w:ascii="Perpetua" w:hAnsi="Perpetua"/>
        </w:rPr>
        <w:t xml:space="preserve">, ed. by Stanley Wells (Oxford: Clarendon Press, 1990; </w:t>
      </w:r>
      <w:proofErr w:type="spellStart"/>
      <w:r>
        <w:rPr>
          <w:rFonts w:ascii="Perpetua" w:hAnsi="Perpetua"/>
        </w:rPr>
        <w:t>repr</w:t>
      </w:r>
      <w:proofErr w:type="spellEnd"/>
      <w:r>
        <w:rPr>
          <w:rFonts w:ascii="Perpetua" w:hAnsi="Perpetua"/>
        </w:rPr>
        <w:t>. 1997), pp. 107-35 (p. 125).</w:t>
      </w:r>
    </w:p>
  </w:footnote>
  <w:footnote w:id="7">
    <w:p w:rsidR="001408B8" w:rsidRPr="001408B8" w:rsidRDefault="001408B8">
      <w:pPr>
        <w:pStyle w:val="FootnoteText"/>
        <w:rPr>
          <w:rFonts w:ascii="Perpetua" w:hAnsi="Perpetua"/>
          <w:lang w:val="en-GB"/>
        </w:rPr>
      </w:pPr>
      <w:r w:rsidRPr="001408B8">
        <w:rPr>
          <w:rStyle w:val="FootnoteReference"/>
          <w:rFonts w:ascii="Perpetua" w:hAnsi="Perpetua"/>
        </w:rPr>
        <w:footnoteRef/>
      </w:r>
      <w:r w:rsidRPr="001408B8">
        <w:rPr>
          <w:rFonts w:ascii="Perpetua" w:hAnsi="Perpetua"/>
        </w:rPr>
        <w:t xml:space="preserve"> </w:t>
      </w:r>
      <w:r>
        <w:rPr>
          <w:rFonts w:ascii="Perpetua" w:hAnsi="Perpetua"/>
        </w:rPr>
        <w:t xml:space="preserve">Patrick Collinson, ‘Literature and the Church’, Ch. 12 of </w:t>
      </w:r>
      <w:proofErr w:type="gramStart"/>
      <w:r>
        <w:rPr>
          <w:rFonts w:ascii="Perpetua" w:hAnsi="Perpetua"/>
          <w:i/>
        </w:rPr>
        <w:t>The</w:t>
      </w:r>
      <w:proofErr w:type="gramEnd"/>
      <w:r>
        <w:rPr>
          <w:rFonts w:ascii="Perpetua" w:hAnsi="Perpetua"/>
          <w:i/>
        </w:rPr>
        <w:t xml:space="preserve"> Cambridge History of Early Modern English Literature</w:t>
      </w:r>
      <w:r>
        <w:rPr>
          <w:rFonts w:ascii="Perpetua" w:hAnsi="Perpetua"/>
        </w:rPr>
        <w:t xml:space="preserve">, ed. by David </w:t>
      </w:r>
      <w:proofErr w:type="spellStart"/>
      <w:r>
        <w:rPr>
          <w:rFonts w:ascii="Perpetua" w:hAnsi="Perpetua"/>
        </w:rPr>
        <w:t>Loewenstein</w:t>
      </w:r>
      <w:proofErr w:type="spellEnd"/>
      <w:r>
        <w:rPr>
          <w:rFonts w:ascii="Perpetua" w:hAnsi="Perpetua"/>
        </w:rPr>
        <w:t xml:space="preserve"> and </w:t>
      </w:r>
      <w:proofErr w:type="spellStart"/>
      <w:r>
        <w:rPr>
          <w:rFonts w:ascii="Perpetua" w:hAnsi="Perpetua"/>
        </w:rPr>
        <w:t>Janiel</w:t>
      </w:r>
      <w:proofErr w:type="spellEnd"/>
      <w:r>
        <w:rPr>
          <w:rFonts w:ascii="Perpetua" w:hAnsi="Perpetua"/>
        </w:rPr>
        <w:t xml:space="preserve"> Mueller (Cambridge: Cambridge University Press, 2002), pp. 374-98 (p. 390).</w:t>
      </w:r>
    </w:p>
  </w:footnote>
  <w:footnote w:id="8">
    <w:p w:rsidR="00944C95" w:rsidRPr="00944C95" w:rsidRDefault="00944C95">
      <w:pPr>
        <w:pStyle w:val="FootnoteText"/>
        <w:rPr>
          <w:rFonts w:ascii="Perpetua" w:hAnsi="Perpetua"/>
          <w:lang w:val="en-GB"/>
        </w:rPr>
      </w:pPr>
      <w:r w:rsidRPr="00944C95">
        <w:rPr>
          <w:rStyle w:val="FootnoteReference"/>
          <w:rFonts w:ascii="Perpetua" w:hAnsi="Perpetua"/>
        </w:rPr>
        <w:footnoteRef/>
      </w:r>
      <w:r w:rsidRPr="00944C95">
        <w:rPr>
          <w:rFonts w:ascii="Perpetua" w:hAnsi="Perpetua"/>
        </w:rPr>
        <w:t xml:space="preserve"> </w:t>
      </w:r>
      <w:r>
        <w:rPr>
          <w:rFonts w:ascii="Perpetua" w:hAnsi="Perpetua"/>
        </w:rPr>
        <w:t>Smallwood, p. 125.</w:t>
      </w:r>
    </w:p>
  </w:footnote>
  <w:footnote w:id="9">
    <w:p w:rsidR="00B329B9" w:rsidRPr="00B329B9" w:rsidRDefault="00B329B9">
      <w:pPr>
        <w:pStyle w:val="FootnoteText"/>
        <w:rPr>
          <w:rFonts w:ascii="Perpetua" w:hAnsi="Perpetua"/>
          <w:lang w:val="en-GB"/>
        </w:rPr>
      </w:pPr>
      <w:r w:rsidRPr="00B329B9">
        <w:rPr>
          <w:rStyle w:val="FootnoteReference"/>
          <w:rFonts w:ascii="Perpetua" w:hAnsi="Perpetua"/>
        </w:rPr>
        <w:footnoteRef/>
      </w:r>
      <w:r w:rsidRPr="00B329B9">
        <w:rPr>
          <w:rFonts w:ascii="Perpetua" w:hAnsi="Perpetua"/>
        </w:rPr>
        <w:t xml:space="preserve"> </w:t>
      </w:r>
      <w:r>
        <w:rPr>
          <w:rFonts w:ascii="Perpetua" w:hAnsi="Perpetua"/>
        </w:rPr>
        <w:t>Smallwood, p. 126.</w:t>
      </w:r>
    </w:p>
  </w:footnote>
  <w:footnote w:id="10">
    <w:p w:rsidR="00944C95" w:rsidRPr="00944C95" w:rsidRDefault="00944C95">
      <w:pPr>
        <w:pStyle w:val="FootnoteText"/>
        <w:rPr>
          <w:rFonts w:ascii="Perpetua" w:hAnsi="Perpetua"/>
          <w:lang w:val="en-GB"/>
        </w:rPr>
      </w:pPr>
      <w:r w:rsidRPr="00944C95">
        <w:rPr>
          <w:rStyle w:val="FootnoteReference"/>
          <w:rFonts w:ascii="Perpetua" w:hAnsi="Perpetua"/>
        </w:rPr>
        <w:footnoteRef/>
      </w:r>
      <w:r w:rsidRPr="00944C95">
        <w:rPr>
          <w:rFonts w:ascii="Perpetua" w:hAnsi="Perpetua"/>
        </w:rPr>
        <w:t xml:space="preserve"> </w:t>
      </w:r>
      <w:r>
        <w:rPr>
          <w:rFonts w:ascii="Perpetua" w:hAnsi="Perpetua"/>
        </w:rPr>
        <w:t>Smallwood, p. 126.</w:t>
      </w:r>
    </w:p>
  </w:footnote>
  <w:footnote w:id="11">
    <w:p w:rsidR="00B329B9" w:rsidRPr="00B329B9" w:rsidRDefault="00B329B9">
      <w:pPr>
        <w:pStyle w:val="FootnoteText"/>
        <w:rPr>
          <w:rFonts w:ascii="Perpetua" w:hAnsi="Perpetua"/>
          <w:lang w:val="en-GB"/>
        </w:rPr>
      </w:pPr>
      <w:r w:rsidRPr="00B329B9">
        <w:rPr>
          <w:rStyle w:val="FootnoteReference"/>
          <w:rFonts w:ascii="Perpetua" w:hAnsi="Perpetua"/>
        </w:rPr>
        <w:footnoteRef/>
      </w:r>
      <w:r w:rsidRPr="00B329B9">
        <w:rPr>
          <w:rFonts w:ascii="Perpetua" w:hAnsi="Perpetua"/>
        </w:rPr>
        <w:t xml:space="preserve"> </w:t>
      </w:r>
      <w:r>
        <w:rPr>
          <w:rFonts w:ascii="Perpetua" w:hAnsi="Perpetua"/>
        </w:rPr>
        <w:t xml:space="preserve">Clifford Leech, </w:t>
      </w:r>
      <w:r>
        <w:rPr>
          <w:rFonts w:ascii="Perpetua" w:hAnsi="Perpetua"/>
          <w:i/>
        </w:rPr>
        <w:t>‘Twelfth Night’ and Shakespearian Comedy</w:t>
      </w:r>
      <w:r>
        <w:rPr>
          <w:rFonts w:ascii="Perpetua" w:hAnsi="Perpetua"/>
        </w:rPr>
        <w:t xml:space="preserve"> (Toronto, 1965), cited in Smallwood, p. 126.</w:t>
      </w:r>
    </w:p>
  </w:footnote>
  <w:footnote w:id="12">
    <w:p w:rsidR="00B06EAC" w:rsidRPr="00B06EAC" w:rsidRDefault="00B06EAC">
      <w:pPr>
        <w:pStyle w:val="FootnoteText"/>
        <w:rPr>
          <w:rFonts w:ascii="Perpetua" w:hAnsi="Perpetua"/>
          <w:lang w:val="en-GB"/>
        </w:rPr>
      </w:pPr>
      <w:r w:rsidRPr="00B06EAC">
        <w:rPr>
          <w:rStyle w:val="FootnoteReference"/>
          <w:rFonts w:ascii="Perpetua" w:hAnsi="Perpetua"/>
        </w:rPr>
        <w:footnoteRef/>
      </w:r>
      <w:r w:rsidRPr="00B06EAC">
        <w:rPr>
          <w:rFonts w:ascii="Perpetua" w:hAnsi="Perpetua"/>
        </w:rPr>
        <w:t xml:space="preserve"> </w:t>
      </w:r>
      <w:r>
        <w:rPr>
          <w:rFonts w:ascii="Perpetua" w:hAnsi="Perpetua"/>
        </w:rPr>
        <w:t xml:space="preserve">William Shakespeare, </w:t>
      </w:r>
      <w:r>
        <w:rPr>
          <w:rFonts w:ascii="Perpetua" w:hAnsi="Perpetua"/>
          <w:i/>
        </w:rPr>
        <w:t>Twelfth Night, or What You Will</w:t>
      </w:r>
      <w:r>
        <w:rPr>
          <w:rFonts w:ascii="Perpetua" w:hAnsi="Perpetua"/>
        </w:rPr>
        <w:t>, The World’s Classics series (Oxford: Oxford University Press, 1995), p. 7.</w:t>
      </w:r>
    </w:p>
  </w:footnote>
  <w:footnote w:id="13">
    <w:p w:rsidR="009836DA" w:rsidRPr="00554387" w:rsidRDefault="009836DA">
      <w:pPr>
        <w:pStyle w:val="FootnoteText"/>
        <w:rPr>
          <w:rFonts w:ascii="Perpetua" w:hAnsi="Perpetua"/>
          <w:lang w:val="en-GB"/>
        </w:rPr>
      </w:pPr>
      <w:r w:rsidRPr="00554387">
        <w:rPr>
          <w:rStyle w:val="FootnoteReference"/>
          <w:rFonts w:ascii="Perpetua" w:hAnsi="Perpetua"/>
        </w:rPr>
        <w:footnoteRef/>
      </w:r>
      <w:r w:rsidRPr="00554387">
        <w:rPr>
          <w:rFonts w:ascii="Perpetua" w:hAnsi="Perpetua"/>
        </w:rPr>
        <w:t xml:space="preserve"> </w:t>
      </w:r>
      <w:r w:rsidR="00554387">
        <w:rPr>
          <w:rFonts w:ascii="Perpetua" w:hAnsi="Perpetua"/>
        </w:rPr>
        <w:t>Michael Taylor, ‘</w:t>
      </w:r>
      <w:r w:rsidR="00554387">
        <w:rPr>
          <w:rFonts w:ascii="Perpetua" w:hAnsi="Perpetua"/>
          <w:i/>
        </w:rPr>
        <w:t>Twelfth Night</w:t>
      </w:r>
      <w:r w:rsidR="00554387">
        <w:rPr>
          <w:rFonts w:ascii="Perpetua" w:hAnsi="Perpetua"/>
        </w:rPr>
        <w:t xml:space="preserve"> and </w:t>
      </w:r>
      <w:r w:rsidR="00554387">
        <w:rPr>
          <w:rFonts w:ascii="Perpetua" w:hAnsi="Perpetua"/>
          <w:i/>
        </w:rPr>
        <w:t>What You Will</w:t>
      </w:r>
      <w:r w:rsidR="00554387">
        <w:rPr>
          <w:rFonts w:ascii="Perpetua" w:hAnsi="Perpetua"/>
        </w:rPr>
        <w:t xml:space="preserve">’, </w:t>
      </w:r>
      <w:r w:rsidR="00554387">
        <w:rPr>
          <w:rFonts w:ascii="Perpetua" w:hAnsi="Perpetua"/>
          <w:i/>
        </w:rPr>
        <w:t>Critical Quarterly</w:t>
      </w:r>
      <w:r w:rsidR="00554387">
        <w:rPr>
          <w:rFonts w:ascii="Perpetua" w:hAnsi="Perpetua"/>
        </w:rPr>
        <w:t>, 16 (1974), 71-80, cited in Smallwood, p. 127.</w:t>
      </w:r>
    </w:p>
  </w:footnote>
  <w:footnote w:id="14">
    <w:p w:rsidR="00666D12" w:rsidRPr="00666D12" w:rsidRDefault="00666D12">
      <w:pPr>
        <w:pStyle w:val="FootnoteText"/>
        <w:rPr>
          <w:rFonts w:ascii="Perpetua" w:hAnsi="Perpetua"/>
          <w:lang w:val="en-GB"/>
        </w:rPr>
      </w:pPr>
      <w:r w:rsidRPr="00666D12">
        <w:rPr>
          <w:rStyle w:val="FootnoteReference"/>
          <w:rFonts w:ascii="Perpetua" w:hAnsi="Perpetua"/>
        </w:rPr>
        <w:footnoteRef/>
      </w:r>
      <w:r w:rsidRPr="00666D12">
        <w:rPr>
          <w:rFonts w:ascii="Perpetua" w:hAnsi="Perpetua"/>
        </w:rPr>
        <w:t xml:space="preserve"> </w:t>
      </w:r>
      <w:r>
        <w:rPr>
          <w:rFonts w:ascii="Perpetua" w:hAnsi="Perpetua"/>
        </w:rPr>
        <w:t xml:space="preserve">William Shakespeare, </w:t>
      </w:r>
      <w:r>
        <w:rPr>
          <w:rFonts w:ascii="Perpetua" w:hAnsi="Perpetua"/>
          <w:i/>
        </w:rPr>
        <w:t>Twelfth Night, or What You Will</w:t>
      </w:r>
      <w:r>
        <w:rPr>
          <w:rFonts w:ascii="Perpetua" w:hAnsi="Perpetua"/>
        </w:rPr>
        <w:t xml:space="preserve">, The World’s Classics series (Oxford: Oxford University Press, 1995), p. </w:t>
      </w:r>
      <w:r>
        <w:rPr>
          <w:rFonts w:ascii="Perpetua" w:hAnsi="Perpetua"/>
        </w:rPr>
        <w:t>9</w:t>
      </w:r>
      <w:r>
        <w:rPr>
          <w:rFonts w:ascii="Perpetua" w:hAnsi="Perpetua"/>
        </w:rPr>
        <w:t>.</w:t>
      </w:r>
    </w:p>
  </w:footnote>
  <w:footnote w:id="15">
    <w:p w:rsidR="009836DA" w:rsidRPr="009836DA" w:rsidRDefault="009836DA">
      <w:pPr>
        <w:pStyle w:val="FootnoteText"/>
        <w:rPr>
          <w:rFonts w:ascii="Perpetua" w:hAnsi="Perpetua"/>
          <w:lang w:val="en-GB"/>
        </w:rPr>
      </w:pPr>
      <w:r w:rsidRPr="009836DA">
        <w:rPr>
          <w:rStyle w:val="FootnoteReference"/>
          <w:rFonts w:ascii="Perpetua" w:hAnsi="Perpetua"/>
        </w:rPr>
        <w:footnoteRef/>
      </w:r>
      <w:r w:rsidRPr="009836DA">
        <w:rPr>
          <w:rFonts w:ascii="Perpetua" w:hAnsi="Perpetua"/>
        </w:rPr>
        <w:t xml:space="preserve"> </w:t>
      </w:r>
      <w:r>
        <w:rPr>
          <w:rFonts w:ascii="Perpetua" w:hAnsi="Perpetua"/>
        </w:rPr>
        <w:t xml:space="preserve">Terence Eagleton, ‘Language and Reality in </w:t>
      </w:r>
      <w:r>
        <w:rPr>
          <w:rFonts w:ascii="Perpetua" w:hAnsi="Perpetua"/>
          <w:i/>
        </w:rPr>
        <w:t>Twelfth Night</w:t>
      </w:r>
      <w:r>
        <w:rPr>
          <w:rFonts w:ascii="Perpetua" w:hAnsi="Perpetua"/>
        </w:rPr>
        <w:t xml:space="preserve">’, </w:t>
      </w:r>
      <w:r>
        <w:rPr>
          <w:rFonts w:ascii="Perpetua" w:hAnsi="Perpetua"/>
          <w:i/>
        </w:rPr>
        <w:t>Critical Quarterly</w:t>
      </w:r>
      <w:r>
        <w:rPr>
          <w:rFonts w:ascii="Perpetua" w:hAnsi="Perpetua"/>
        </w:rPr>
        <w:t>, 9 (1968), 217-28, cited in Smallwood, p. 126.</w:t>
      </w:r>
    </w:p>
  </w:footnote>
  <w:footnote w:id="16">
    <w:p w:rsidR="009836DA" w:rsidRPr="009836DA" w:rsidRDefault="009836DA">
      <w:pPr>
        <w:pStyle w:val="FootnoteText"/>
        <w:rPr>
          <w:rFonts w:ascii="Perpetua" w:hAnsi="Perpetua"/>
          <w:lang w:val="en-GB"/>
        </w:rPr>
      </w:pPr>
      <w:r w:rsidRPr="009836DA">
        <w:rPr>
          <w:rStyle w:val="FootnoteReference"/>
          <w:rFonts w:ascii="Perpetua" w:hAnsi="Perpetua"/>
        </w:rPr>
        <w:footnoteRef/>
      </w:r>
      <w:r w:rsidRPr="009836DA">
        <w:rPr>
          <w:rFonts w:ascii="Perpetua" w:hAnsi="Perpetua"/>
        </w:rPr>
        <w:t xml:space="preserve"> </w:t>
      </w:r>
      <w:r>
        <w:rPr>
          <w:rFonts w:ascii="Perpetua" w:hAnsi="Perpetua"/>
        </w:rPr>
        <w:t>Smallwood, p. 126.</w:t>
      </w:r>
    </w:p>
  </w:footnote>
  <w:footnote w:id="17">
    <w:p w:rsidR="001968C7" w:rsidRPr="001968C7" w:rsidRDefault="001968C7">
      <w:pPr>
        <w:pStyle w:val="FootnoteText"/>
        <w:rPr>
          <w:rFonts w:ascii="Perpetua" w:hAnsi="Perpetua"/>
          <w:lang w:val="en-GB"/>
        </w:rPr>
      </w:pPr>
      <w:r w:rsidRPr="001968C7">
        <w:rPr>
          <w:rStyle w:val="FootnoteReference"/>
          <w:rFonts w:ascii="Perpetua" w:hAnsi="Perpetua"/>
        </w:rPr>
        <w:footnoteRef/>
      </w:r>
      <w:r w:rsidRPr="001968C7">
        <w:rPr>
          <w:rFonts w:ascii="Perpetua" w:hAnsi="Perpetua"/>
        </w:rPr>
        <w:t xml:space="preserve"> </w:t>
      </w:r>
      <w:r>
        <w:rPr>
          <w:rFonts w:ascii="Perpetua" w:hAnsi="Perpetua"/>
        </w:rPr>
        <w:t xml:space="preserve">Pamela Bickley and Jenny Stevens, </w:t>
      </w:r>
      <w:r>
        <w:rPr>
          <w:rFonts w:ascii="Perpetua" w:hAnsi="Perpetua"/>
          <w:i/>
        </w:rPr>
        <w:t>Essential Shakespeare: The Arden Guide to Text and Interpretation</w:t>
      </w:r>
      <w:r>
        <w:rPr>
          <w:rFonts w:ascii="Perpetua" w:hAnsi="Perpetua"/>
        </w:rPr>
        <w:t xml:space="preserve"> (London: Bloomsbury, 2013; </w:t>
      </w:r>
      <w:proofErr w:type="spellStart"/>
      <w:r>
        <w:rPr>
          <w:rFonts w:ascii="Perpetua" w:hAnsi="Perpetua"/>
        </w:rPr>
        <w:t>repr</w:t>
      </w:r>
      <w:proofErr w:type="spellEnd"/>
      <w:r>
        <w:rPr>
          <w:rFonts w:ascii="Perpetua" w:hAnsi="Perpetua"/>
        </w:rPr>
        <w:t xml:space="preserve">. 2014), p. </w:t>
      </w:r>
      <w:r w:rsidR="00D6676D">
        <w:rPr>
          <w:rFonts w:ascii="Perpetua" w:hAnsi="Perpetua"/>
        </w:rPr>
        <w:t>54.</w:t>
      </w:r>
    </w:p>
  </w:footnote>
  <w:footnote w:id="18">
    <w:p w:rsidR="00E8595D" w:rsidRPr="00914B9D" w:rsidRDefault="00E8595D" w:rsidP="00E8595D">
      <w:pPr>
        <w:pStyle w:val="FootnoteText"/>
        <w:rPr>
          <w:rFonts w:ascii="Perpetua" w:hAnsi="Perpetua"/>
          <w:lang w:val="en-GB"/>
        </w:rPr>
      </w:pPr>
      <w:r w:rsidRPr="00914B9D">
        <w:rPr>
          <w:rStyle w:val="FootnoteReference"/>
          <w:rFonts w:ascii="Perpetua" w:hAnsi="Perpetua"/>
        </w:rPr>
        <w:footnoteRef/>
      </w:r>
      <w:r w:rsidRPr="00914B9D">
        <w:rPr>
          <w:rFonts w:ascii="Perpetua" w:hAnsi="Perpetua"/>
        </w:rPr>
        <w:t xml:space="preserve"> </w:t>
      </w:r>
      <w:r>
        <w:rPr>
          <w:rFonts w:ascii="Perpetua" w:hAnsi="Perpetua"/>
        </w:rPr>
        <w:t xml:space="preserve">See, for example, Lisa Jardine, </w:t>
      </w:r>
      <w:r>
        <w:rPr>
          <w:rFonts w:ascii="Perpetua" w:hAnsi="Perpetua"/>
          <w:i/>
        </w:rPr>
        <w:t>Still Harping on Daughters: Women and Drama in the Age of Shakespeare</w:t>
      </w:r>
      <w:r>
        <w:rPr>
          <w:rFonts w:ascii="Perpetua" w:hAnsi="Perpetua"/>
        </w:rPr>
        <w:t xml:space="preserve">, 2nd </w:t>
      </w:r>
      <w:proofErr w:type="spellStart"/>
      <w:r>
        <w:rPr>
          <w:rFonts w:ascii="Perpetua" w:hAnsi="Perpetua"/>
        </w:rPr>
        <w:t>edn</w:t>
      </w:r>
      <w:proofErr w:type="spellEnd"/>
      <w:r>
        <w:rPr>
          <w:rFonts w:ascii="Perpetua" w:hAnsi="Perpetua"/>
        </w:rPr>
        <w:t xml:space="preserve"> (London: Harvester Wheatsheaf, 1983); Stephen </w:t>
      </w:r>
      <w:proofErr w:type="spellStart"/>
      <w:r>
        <w:rPr>
          <w:rFonts w:ascii="Perpetua" w:hAnsi="Perpetua"/>
        </w:rPr>
        <w:t>Orgel</w:t>
      </w:r>
      <w:proofErr w:type="spellEnd"/>
      <w:r>
        <w:rPr>
          <w:rFonts w:ascii="Perpetua" w:hAnsi="Perpetua"/>
        </w:rPr>
        <w:t xml:space="preserve">, ‘Nobody’s Perfect: Or Why Did the English Stage Take Boys for Women?’, in </w:t>
      </w:r>
      <w:r>
        <w:rPr>
          <w:rFonts w:ascii="Perpetua" w:hAnsi="Perpetua"/>
          <w:i/>
        </w:rPr>
        <w:t>Displacing Homophobia: Gay Male Perspectives in Literature and Culture</w:t>
      </w:r>
      <w:r>
        <w:rPr>
          <w:rFonts w:ascii="Perpetua" w:hAnsi="Perpetua"/>
        </w:rPr>
        <w:t xml:space="preserve">, ed. by Ronald R. Butters, John M. </w:t>
      </w:r>
      <w:proofErr w:type="spellStart"/>
      <w:r>
        <w:rPr>
          <w:rFonts w:ascii="Perpetua" w:hAnsi="Perpetua"/>
        </w:rPr>
        <w:t>Clum</w:t>
      </w:r>
      <w:proofErr w:type="spellEnd"/>
      <w:r>
        <w:rPr>
          <w:rFonts w:ascii="Perpetua" w:hAnsi="Perpetua"/>
        </w:rPr>
        <w:t>, and Michael Moon (London: Duke University Press, 1989).</w:t>
      </w:r>
    </w:p>
  </w:footnote>
  <w:footnote w:id="19">
    <w:p w:rsidR="00E8595D" w:rsidRPr="0046333F" w:rsidRDefault="00E8595D" w:rsidP="00E8595D">
      <w:pPr>
        <w:pStyle w:val="FootnoteText"/>
        <w:rPr>
          <w:rFonts w:ascii="Perpetua" w:hAnsi="Perpetua"/>
          <w:lang w:val="en-GB"/>
        </w:rPr>
      </w:pPr>
      <w:r w:rsidRPr="0046333F">
        <w:rPr>
          <w:rStyle w:val="FootnoteReference"/>
          <w:rFonts w:ascii="Perpetua" w:hAnsi="Perpetua"/>
        </w:rPr>
        <w:footnoteRef/>
      </w:r>
      <w:r w:rsidRPr="0046333F">
        <w:rPr>
          <w:rFonts w:ascii="Perpetua" w:hAnsi="Perpetua"/>
        </w:rPr>
        <w:t xml:space="preserve"> </w:t>
      </w:r>
      <w:r>
        <w:rPr>
          <w:rFonts w:ascii="Perpetua" w:hAnsi="Perpetua"/>
        </w:rPr>
        <w:t xml:space="preserve">Linda Woodbridge, </w:t>
      </w:r>
      <w:r>
        <w:rPr>
          <w:rFonts w:ascii="Perpetua" w:hAnsi="Perpetua"/>
          <w:i/>
        </w:rPr>
        <w:t>Women and the English Renaissance</w:t>
      </w:r>
      <w:r>
        <w:rPr>
          <w:rFonts w:ascii="Perpetua" w:hAnsi="Perpetua"/>
        </w:rPr>
        <w:t xml:space="preserve"> (1984), p. 139.</w:t>
      </w:r>
    </w:p>
  </w:footnote>
  <w:footnote w:id="20">
    <w:p w:rsidR="0045595A" w:rsidRPr="0045595A" w:rsidRDefault="0045595A">
      <w:pPr>
        <w:pStyle w:val="FootnoteText"/>
        <w:rPr>
          <w:rFonts w:ascii="Perpetua" w:hAnsi="Perpetua"/>
          <w:lang w:val="en-GB"/>
        </w:rPr>
      </w:pPr>
      <w:r w:rsidRPr="0045595A">
        <w:rPr>
          <w:rStyle w:val="FootnoteReference"/>
          <w:rFonts w:ascii="Perpetua" w:hAnsi="Perpetua"/>
        </w:rPr>
        <w:footnoteRef/>
      </w:r>
      <w:r w:rsidRPr="0045595A">
        <w:rPr>
          <w:rFonts w:ascii="Perpetua" w:hAnsi="Perpetua"/>
        </w:rPr>
        <w:t xml:space="preserve"> </w:t>
      </w:r>
      <w:r>
        <w:rPr>
          <w:rFonts w:ascii="Perpetua" w:hAnsi="Perpetua"/>
        </w:rPr>
        <w:t xml:space="preserve">Bickley and Stevens, p. 55. The quote is from Stephen </w:t>
      </w:r>
      <w:proofErr w:type="spellStart"/>
      <w:r>
        <w:rPr>
          <w:rFonts w:ascii="Perpetua" w:hAnsi="Perpetua"/>
        </w:rPr>
        <w:t>Orgel</w:t>
      </w:r>
      <w:proofErr w:type="spellEnd"/>
      <w:r>
        <w:rPr>
          <w:rFonts w:ascii="Perpetua" w:hAnsi="Perpetua"/>
        </w:rPr>
        <w:t xml:space="preserve">, ‘Shakespeare, Sexuality and Gender’, in </w:t>
      </w:r>
      <w:r>
        <w:rPr>
          <w:rFonts w:ascii="Perpetua" w:hAnsi="Perpetua"/>
          <w:i/>
        </w:rPr>
        <w:t>The New Cambridge Companion to Shakespeare</w:t>
      </w:r>
      <w:r>
        <w:rPr>
          <w:rFonts w:ascii="Perpetua" w:hAnsi="Perpetua"/>
        </w:rPr>
        <w:t xml:space="preserve"> (Cambridge: Cambridge University Press, 2010), p. 227.</w:t>
      </w:r>
    </w:p>
  </w:footnote>
  <w:footnote w:id="21">
    <w:p w:rsidR="00051EC0" w:rsidRPr="00051EC0" w:rsidRDefault="00051EC0" w:rsidP="00051EC0">
      <w:pPr>
        <w:pStyle w:val="FootnoteText"/>
        <w:rPr>
          <w:rFonts w:ascii="Perpetua" w:hAnsi="Perpetua"/>
          <w:lang w:val="en-GB"/>
        </w:rPr>
      </w:pPr>
      <w:r w:rsidRPr="00051EC0">
        <w:rPr>
          <w:rStyle w:val="FootnoteReference"/>
          <w:rFonts w:ascii="Perpetua" w:hAnsi="Perpetua"/>
        </w:rPr>
        <w:footnoteRef/>
      </w:r>
      <w:r w:rsidRPr="00051EC0">
        <w:rPr>
          <w:rFonts w:ascii="Perpetua" w:hAnsi="Perpetua"/>
        </w:rPr>
        <w:t xml:space="preserve"> </w:t>
      </w:r>
      <w:r>
        <w:rPr>
          <w:rFonts w:ascii="Perpetua" w:hAnsi="Perpetua"/>
        </w:rPr>
        <w:t xml:space="preserve">Valerie </w:t>
      </w:r>
      <w:proofErr w:type="spellStart"/>
      <w:r>
        <w:rPr>
          <w:rFonts w:ascii="Perpetua" w:hAnsi="Perpetua"/>
        </w:rPr>
        <w:t>Traub</w:t>
      </w:r>
      <w:proofErr w:type="spellEnd"/>
      <w:r>
        <w:rPr>
          <w:rFonts w:ascii="Perpetua" w:hAnsi="Perpetua"/>
        </w:rPr>
        <w:t xml:space="preserve">, </w:t>
      </w:r>
      <w:r>
        <w:rPr>
          <w:rFonts w:ascii="Perpetua" w:hAnsi="Perpetua"/>
          <w:i/>
        </w:rPr>
        <w:t xml:space="preserve">Desire and Anxiety: Circulations of Sexuality in </w:t>
      </w:r>
      <w:proofErr w:type="spellStart"/>
      <w:r>
        <w:rPr>
          <w:rFonts w:ascii="Perpetua" w:hAnsi="Perpetua"/>
          <w:i/>
        </w:rPr>
        <w:t>Shaksepearean</w:t>
      </w:r>
      <w:proofErr w:type="spellEnd"/>
      <w:r>
        <w:rPr>
          <w:rFonts w:ascii="Perpetua" w:hAnsi="Perpetua"/>
          <w:i/>
        </w:rPr>
        <w:t xml:space="preserve"> Drama</w:t>
      </w:r>
      <w:r>
        <w:rPr>
          <w:rFonts w:ascii="Perpetua" w:hAnsi="Perpetua"/>
        </w:rPr>
        <w:t xml:space="preserve"> (London: Routledge, 1992), p. 103.</w:t>
      </w:r>
    </w:p>
  </w:footnote>
  <w:footnote w:id="22">
    <w:p w:rsidR="00051EC0" w:rsidRPr="00051EC0" w:rsidRDefault="00051EC0" w:rsidP="00051EC0">
      <w:pPr>
        <w:pStyle w:val="FootnoteText"/>
        <w:rPr>
          <w:rFonts w:ascii="Perpetua" w:hAnsi="Perpetua"/>
          <w:lang w:val="en-GB"/>
        </w:rPr>
      </w:pPr>
      <w:r w:rsidRPr="00051EC0">
        <w:rPr>
          <w:rStyle w:val="FootnoteReference"/>
          <w:rFonts w:ascii="Perpetua" w:hAnsi="Perpetua"/>
        </w:rPr>
        <w:footnoteRef/>
      </w:r>
      <w:r w:rsidRPr="00051EC0">
        <w:rPr>
          <w:rFonts w:ascii="Perpetua" w:hAnsi="Perpetua"/>
        </w:rPr>
        <w:t xml:space="preserve"> </w:t>
      </w:r>
      <w:proofErr w:type="spellStart"/>
      <w:r>
        <w:rPr>
          <w:rFonts w:ascii="Perpetua" w:hAnsi="Perpetua"/>
        </w:rPr>
        <w:t>Traub</w:t>
      </w:r>
      <w:proofErr w:type="spellEnd"/>
      <w:r>
        <w:rPr>
          <w:rFonts w:ascii="Perpetua" w:hAnsi="Perpetua"/>
        </w:rPr>
        <w:t>, p. 103.</w:t>
      </w:r>
    </w:p>
  </w:footnote>
  <w:footnote w:id="23">
    <w:p w:rsidR="00290B52" w:rsidRPr="00290B52" w:rsidRDefault="00290B52">
      <w:pPr>
        <w:pStyle w:val="FootnoteText"/>
        <w:rPr>
          <w:rFonts w:ascii="Perpetua" w:hAnsi="Perpetua"/>
          <w:lang w:val="en-GB"/>
        </w:rPr>
      </w:pPr>
      <w:r w:rsidRPr="00290B52">
        <w:rPr>
          <w:rStyle w:val="FootnoteReference"/>
          <w:rFonts w:ascii="Perpetua" w:hAnsi="Perpetua"/>
        </w:rPr>
        <w:footnoteRef/>
      </w:r>
      <w:r w:rsidRPr="00290B52">
        <w:rPr>
          <w:rFonts w:ascii="Perpetua" w:hAnsi="Perpetua"/>
        </w:rPr>
        <w:t xml:space="preserve"> </w:t>
      </w:r>
      <w:r>
        <w:rPr>
          <w:rFonts w:ascii="Perpetua" w:hAnsi="Perpetua"/>
        </w:rPr>
        <w:t>Bickley and Stevens, p</w:t>
      </w:r>
      <w:r w:rsidR="00BD1E80">
        <w:rPr>
          <w:rFonts w:ascii="Perpetua" w:hAnsi="Perpetua"/>
        </w:rPr>
        <w:t>p</w:t>
      </w:r>
      <w:r>
        <w:rPr>
          <w:rFonts w:ascii="Perpetua" w:hAnsi="Perpetua"/>
        </w:rPr>
        <w:t>. 55</w:t>
      </w:r>
      <w:r w:rsidR="00BD1E80">
        <w:rPr>
          <w:rFonts w:ascii="Perpetua" w:hAnsi="Perpetua"/>
        </w:rPr>
        <w:t>-56</w:t>
      </w:r>
      <w:r>
        <w:rPr>
          <w:rFonts w:ascii="Perpetua" w:hAnsi="Perpetua"/>
        </w:rPr>
        <w:t xml:space="preserve">. Also cited is </w:t>
      </w:r>
      <w:r w:rsidR="00BC097F">
        <w:rPr>
          <w:rFonts w:ascii="Perpetua" w:hAnsi="Perpetua"/>
        </w:rPr>
        <w:t xml:space="preserve">Susan Zimmerman, </w:t>
      </w:r>
      <w:r w:rsidR="00BC097F">
        <w:rPr>
          <w:rFonts w:ascii="Perpetua" w:hAnsi="Perpetua"/>
          <w:i/>
        </w:rPr>
        <w:t>Erotic Politics: Desire on the Renaissance Stage</w:t>
      </w:r>
      <w:r w:rsidR="00BC097F">
        <w:rPr>
          <w:rFonts w:ascii="Perpetua" w:hAnsi="Perpetua"/>
        </w:rPr>
        <w:t xml:space="preserve"> (London, 1992).</w:t>
      </w:r>
      <w:r>
        <w:rPr>
          <w:rFonts w:ascii="Perpetua" w:hAnsi="Perpetua"/>
        </w:rPr>
        <w:t xml:space="preserve"> The indented quote is from</w:t>
      </w:r>
      <w:r w:rsidR="00BC097F">
        <w:rPr>
          <w:rFonts w:ascii="Perpetua" w:hAnsi="Perpetua"/>
        </w:rPr>
        <w:t xml:space="preserve"> Catherine </w:t>
      </w:r>
      <w:proofErr w:type="spellStart"/>
      <w:r w:rsidR="00BC097F">
        <w:rPr>
          <w:rFonts w:ascii="Perpetua" w:hAnsi="Perpetua"/>
        </w:rPr>
        <w:t>Belsey</w:t>
      </w:r>
      <w:proofErr w:type="spellEnd"/>
      <w:r w:rsidR="00BC097F">
        <w:rPr>
          <w:rFonts w:ascii="Perpetua" w:hAnsi="Perpetua"/>
        </w:rPr>
        <w:t xml:space="preserve">, ‘Disrupting Sexual Difference: Meaning and Gender in the Comedies’, in </w:t>
      </w:r>
      <w:r w:rsidR="00BC097F">
        <w:rPr>
          <w:rFonts w:ascii="Perpetua" w:hAnsi="Perpetua"/>
          <w:i/>
        </w:rPr>
        <w:t xml:space="preserve">Alternative </w:t>
      </w:r>
      <w:proofErr w:type="spellStart"/>
      <w:r w:rsidR="00BC097F">
        <w:rPr>
          <w:rFonts w:ascii="Perpetua" w:hAnsi="Perpetua"/>
          <w:i/>
        </w:rPr>
        <w:t>Shakespeares</w:t>
      </w:r>
      <w:proofErr w:type="spellEnd"/>
      <w:r w:rsidR="00BC097F">
        <w:rPr>
          <w:rFonts w:ascii="Perpetua" w:hAnsi="Perpetua"/>
        </w:rPr>
        <w:t xml:space="preserve">, ed. by John </w:t>
      </w:r>
      <w:proofErr w:type="spellStart"/>
      <w:r w:rsidR="00BC097F">
        <w:rPr>
          <w:rFonts w:ascii="Perpetua" w:hAnsi="Perpetua"/>
        </w:rPr>
        <w:t>Drakakis</w:t>
      </w:r>
      <w:proofErr w:type="spellEnd"/>
      <w:r w:rsidR="00BC097F">
        <w:rPr>
          <w:rFonts w:ascii="Perpetua" w:hAnsi="Perpetua"/>
        </w:rPr>
        <w:t xml:space="preserve"> (London: Methuen, 1985), pp. 166-90 (p.180).</w:t>
      </w:r>
    </w:p>
  </w:footnote>
  <w:footnote w:id="24">
    <w:p w:rsidR="00BD1E80" w:rsidRPr="00BD1E80" w:rsidRDefault="00BD1E80">
      <w:pPr>
        <w:pStyle w:val="FootnoteText"/>
        <w:rPr>
          <w:rFonts w:ascii="Perpetua" w:hAnsi="Perpetua"/>
          <w:lang w:val="en-GB"/>
        </w:rPr>
      </w:pPr>
      <w:r w:rsidRPr="00BD1E80">
        <w:rPr>
          <w:rStyle w:val="FootnoteReference"/>
          <w:rFonts w:ascii="Perpetua" w:hAnsi="Perpetua"/>
        </w:rPr>
        <w:footnoteRef/>
      </w:r>
      <w:r w:rsidRPr="00BD1E80">
        <w:rPr>
          <w:rFonts w:ascii="Perpetua" w:hAnsi="Perpetua"/>
        </w:rPr>
        <w:t xml:space="preserve"> </w:t>
      </w:r>
      <w:r>
        <w:rPr>
          <w:rFonts w:ascii="Perpetua" w:hAnsi="Perpetua"/>
        </w:rPr>
        <w:t>Bickley and Stevens, p. 58.</w:t>
      </w:r>
    </w:p>
  </w:footnote>
  <w:footnote w:id="25">
    <w:p w:rsidR="00A15811" w:rsidRPr="00A15811" w:rsidRDefault="00A15811">
      <w:pPr>
        <w:pStyle w:val="FootnoteText"/>
        <w:rPr>
          <w:rFonts w:ascii="Perpetua" w:hAnsi="Perpetua"/>
          <w:lang w:val="en-GB"/>
        </w:rPr>
      </w:pPr>
      <w:r w:rsidRPr="00A15811">
        <w:rPr>
          <w:rStyle w:val="FootnoteReference"/>
          <w:rFonts w:ascii="Perpetua" w:hAnsi="Perpetua"/>
        </w:rPr>
        <w:footnoteRef/>
      </w:r>
      <w:r w:rsidRPr="00A15811">
        <w:rPr>
          <w:rFonts w:ascii="Perpetua" w:hAnsi="Perpetua"/>
        </w:rPr>
        <w:t xml:space="preserve"> </w:t>
      </w:r>
      <w:r>
        <w:rPr>
          <w:rFonts w:ascii="Perpetua" w:hAnsi="Perpetua"/>
        </w:rPr>
        <w:t>Bickley and Stevens, p. 60.</w:t>
      </w:r>
    </w:p>
  </w:footnote>
  <w:footnote w:id="26">
    <w:p w:rsidR="00BE01B6" w:rsidRPr="00BE01B6" w:rsidRDefault="00BE01B6">
      <w:pPr>
        <w:pStyle w:val="FootnoteText"/>
        <w:rPr>
          <w:rFonts w:ascii="Perpetua" w:hAnsi="Perpetua"/>
          <w:lang w:val="en-GB"/>
        </w:rPr>
      </w:pPr>
      <w:r w:rsidRPr="00BE01B6">
        <w:rPr>
          <w:rStyle w:val="FootnoteReference"/>
          <w:rFonts w:ascii="Perpetua" w:hAnsi="Perpetua"/>
        </w:rPr>
        <w:footnoteRef/>
      </w:r>
      <w:r w:rsidRPr="00BE01B6">
        <w:rPr>
          <w:rFonts w:ascii="Perpetua" w:hAnsi="Perpetua"/>
        </w:rPr>
        <w:t xml:space="preserve"> </w:t>
      </w:r>
      <w:r>
        <w:rPr>
          <w:rFonts w:ascii="Perpetua" w:hAnsi="Perpetua"/>
        </w:rPr>
        <w:t>Bickley and Stevens, p</w:t>
      </w:r>
      <w:r w:rsidR="00F96A8C">
        <w:rPr>
          <w:rFonts w:ascii="Perpetua" w:hAnsi="Perpetua"/>
        </w:rPr>
        <w:t>p</w:t>
      </w:r>
      <w:r>
        <w:rPr>
          <w:rFonts w:ascii="Perpetua" w:hAnsi="Perpetua"/>
        </w:rPr>
        <w:t>. 6</w:t>
      </w:r>
      <w:r w:rsidR="00F96A8C">
        <w:rPr>
          <w:rFonts w:ascii="Perpetua" w:hAnsi="Perpetua"/>
        </w:rPr>
        <w:t>2-63</w:t>
      </w:r>
      <w:r>
        <w:rPr>
          <w:rFonts w:ascii="Perpetua" w:hAnsi="Perpetua"/>
        </w:rPr>
        <w:t>.</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E050D9A"/>
    <w:multiLevelType w:val="hybridMultilevel"/>
    <w:tmpl w:val="DEE218AA"/>
    <w:lvl w:ilvl="0" w:tplc="CB8EC4BC">
      <w:start w:val="1"/>
      <w:numFmt w:val="lowerRoman"/>
      <w:lvlText w:val="(%1)"/>
      <w:lvlJc w:val="left"/>
      <w:pPr>
        <w:ind w:left="1080" w:hanging="72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2076809"/>
    <w:multiLevelType w:val="hybridMultilevel"/>
    <w:tmpl w:val="0C9651A8"/>
    <w:lvl w:ilvl="0" w:tplc="E9F0441C">
      <w:start w:val="1"/>
      <w:numFmt w:val="lowerRoman"/>
      <w:lvlText w:val="(%1)"/>
      <w:lvlJc w:val="left"/>
      <w:pPr>
        <w:ind w:left="1080" w:hanging="720"/>
      </w:pPr>
      <w:rPr>
        <w:rFonts w:hint="default"/>
        <w:b/>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07145DD"/>
    <w:multiLevelType w:val="hybridMultilevel"/>
    <w:tmpl w:val="60028DE4"/>
    <w:lvl w:ilvl="0" w:tplc="FFE20FFA">
      <w:start w:val="1"/>
      <w:numFmt w:val="lowerRoman"/>
      <w:lvlText w:val="(%1)"/>
      <w:lvlJc w:val="left"/>
      <w:pPr>
        <w:ind w:left="1080" w:hanging="720"/>
      </w:pPr>
      <w:rPr>
        <w:strike w:val="0"/>
        <w:dstrike w:val="0"/>
        <w:u w:val="none"/>
        <w:effect w:val="none"/>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52890B05"/>
    <w:multiLevelType w:val="hybridMultilevel"/>
    <w:tmpl w:val="B89E2486"/>
    <w:lvl w:ilvl="0" w:tplc="72908030">
      <w:start w:val="1"/>
      <w:numFmt w:val="lowerRoman"/>
      <w:lvlText w:val="(%1)"/>
      <w:lvlJc w:val="left"/>
      <w:pPr>
        <w:ind w:left="720" w:hanging="360"/>
      </w:pPr>
      <w:rPr>
        <w:rFonts w:hint="default"/>
        <w:sz w:val="26"/>
        <w:szCs w:val="26"/>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AEE2D62"/>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 w15:restartNumberingAfterBreak="0">
    <w:nsid w:val="61A9567D"/>
    <w:multiLevelType w:val="hybridMultilevel"/>
    <w:tmpl w:val="2298A56A"/>
    <w:lvl w:ilvl="0" w:tplc="3F5CFDB6">
      <w:start w:val="1"/>
      <w:numFmt w:val="lowerRoman"/>
      <w:lvlText w:val="(%1)"/>
      <w:lvlJc w:val="left"/>
      <w:pPr>
        <w:ind w:left="1080" w:hanging="720"/>
      </w:pPr>
      <w:rPr>
        <w:rFonts w:hint="default"/>
        <w:b/>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3"/>
  </w:num>
  <w:num w:numId="3">
    <w:abstractNumId w:val="0"/>
  </w:num>
  <w:num w:numId="4">
    <w:abstractNumId w:val="4"/>
  </w:num>
  <w:num w:numId="5">
    <w:abstractNumId w:val="1"/>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4F3E"/>
    <w:rsid w:val="00030B3D"/>
    <w:rsid w:val="00040BAB"/>
    <w:rsid w:val="00040C92"/>
    <w:rsid w:val="00041D72"/>
    <w:rsid w:val="00051EC0"/>
    <w:rsid w:val="000642EE"/>
    <w:rsid w:val="00081373"/>
    <w:rsid w:val="000847E1"/>
    <w:rsid w:val="000C3735"/>
    <w:rsid w:val="000C39A4"/>
    <w:rsid w:val="000C7C45"/>
    <w:rsid w:val="000E0152"/>
    <w:rsid w:val="00111997"/>
    <w:rsid w:val="00116C00"/>
    <w:rsid w:val="00121AB5"/>
    <w:rsid w:val="0013098B"/>
    <w:rsid w:val="001408B8"/>
    <w:rsid w:val="00144577"/>
    <w:rsid w:val="00164B7E"/>
    <w:rsid w:val="001872DF"/>
    <w:rsid w:val="001968C7"/>
    <w:rsid w:val="001A6631"/>
    <w:rsid w:val="001E6693"/>
    <w:rsid w:val="001F1BC6"/>
    <w:rsid w:val="00205DCF"/>
    <w:rsid w:val="0021043B"/>
    <w:rsid w:val="00252392"/>
    <w:rsid w:val="0028126C"/>
    <w:rsid w:val="00290B52"/>
    <w:rsid w:val="002C29BB"/>
    <w:rsid w:val="002C35AF"/>
    <w:rsid w:val="002F11F3"/>
    <w:rsid w:val="003024D7"/>
    <w:rsid w:val="00304638"/>
    <w:rsid w:val="0032766D"/>
    <w:rsid w:val="003402FC"/>
    <w:rsid w:val="00344AFF"/>
    <w:rsid w:val="003617A9"/>
    <w:rsid w:val="00362515"/>
    <w:rsid w:val="00376BC9"/>
    <w:rsid w:val="003B6478"/>
    <w:rsid w:val="003C135A"/>
    <w:rsid w:val="003D4F00"/>
    <w:rsid w:val="003F05EF"/>
    <w:rsid w:val="004136C2"/>
    <w:rsid w:val="00414F3E"/>
    <w:rsid w:val="004173B8"/>
    <w:rsid w:val="00441B1E"/>
    <w:rsid w:val="00446541"/>
    <w:rsid w:val="0044769B"/>
    <w:rsid w:val="0045595A"/>
    <w:rsid w:val="0046333F"/>
    <w:rsid w:val="00473053"/>
    <w:rsid w:val="00473977"/>
    <w:rsid w:val="00493805"/>
    <w:rsid w:val="004A5E54"/>
    <w:rsid w:val="004B1B88"/>
    <w:rsid w:val="004C2FE2"/>
    <w:rsid w:val="004C4735"/>
    <w:rsid w:val="004C49DF"/>
    <w:rsid w:val="004F4A38"/>
    <w:rsid w:val="005158D7"/>
    <w:rsid w:val="00523F23"/>
    <w:rsid w:val="00532181"/>
    <w:rsid w:val="005436BA"/>
    <w:rsid w:val="00554387"/>
    <w:rsid w:val="00560F3B"/>
    <w:rsid w:val="00582163"/>
    <w:rsid w:val="00584894"/>
    <w:rsid w:val="005879BB"/>
    <w:rsid w:val="005A2AC8"/>
    <w:rsid w:val="005C2D87"/>
    <w:rsid w:val="005C45C5"/>
    <w:rsid w:val="005C4889"/>
    <w:rsid w:val="005C5D15"/>
    <w:rsid w:val="005D3B8D"/>
    <w:rsid w:val="005D4EDE"/>
    <w:rsid w:val="005E1F56"/>
    <w:rsid w:val="005F2E54"/>
    <w:rsid w:val="005F2E84"/>
    <w:rsid w:val="00610F51"/>
    <w:rsid w:val="00666D12"/>
    <w:rsid w:val="00691C90"/>
    <w:rsid w:val="006A6615"/>
    <w:rsid w:val="006C50AC"/>
    <w:rsid w:val="006C74E5"/>
    <w:rsid w:val="006D0422"/>
    <w:rsid w:val="006D776F"/>
    <w:rsid w:val="006D79FE"/>
    <w:rsid w:val="006E036B"/>
    <w:rsid w:val="006F6EC3"/>
    <w:rsid w:val="007021CD"/>
    <w:rsid w:val="007049EC"/>
    <w:rsid w:val="00714D7D"/>
    <w:rsid w:val="007322A0"/>
    <w:rsid w:val="00734FB6"/>
    <w:rsid w:val="007535B9"/>
    <w:rsid w:val="007805D1"/>
    <w:rsid w:val="00793735"/>
    <w:rsid w:val="007A71B6"/>
    <w:rsid w:val="007D4D3A"/>
    <w:rsid w:val="007F0165"/>
    <w:rsid w:val="007F55A1"/>
    <w:rsid w:val="007F7AE8"/>
    <w:rsid w:val="00802380"/>
    <w:rsid w:val="008024E3"/>
    <w:rsid w:val="00836460"/>
    <w:rsid w:val="00841815"/>
    <w:rsid w:val="008516A6"/>
    <w:rsid w:val="008669B7"/>
    <w:rsid w:val="008722CA"/>
    <w:rsid w:val="00877EE7"/>
    <w:rsid w:val="0088197F"/>
    <w:rsid w:val="008A5D66"/>
    <w:rsid w:val="008C657F"/>
    <w:rsid w:val="008C6A53"/>
    <w:rsid w:val="008E3AF5"/>
    <w:rsid w:val="00906BFF"/>
    <w:rsid w:val="00910738"/>
    <w:rsid w:val="00914B9D"/>
    <w:rsid w:val="00944C95"/>
    <w:rsid w:val="00954975"/>
    <w:rsid w:val="00966AC3"/>
    <w:rsid w:val="0098071C"/>
    <w:rsid w:val="009836DA"/>
    <w:rsid w:val="009852E5"/>
    <w:rsid w:val="00994F06"/>
    <w:rsid w:val="009B2FD6"/>
    <w:rsid w:val="009B6E78"/>
    <w:rsid w:val="009D341E"/>
    <w:rsid w:val="009D535F"/>
    <w:rsid w:val="009E3AC5"/>
    <w:rsid w:val="00A07491"/>
    <w:rsid w:val="00A15811"/>
    <w:rsid w:val="00A2579B"/>
    <w:rsid w:val="00A260DC"/>
    <w:rsid w:val="00A27DE6"/>
    <w:rsid w:val="00A362FD"/>
    <w:rsid w:val="00A40E7A"/>
    <w:rsid w:val="00A86E9D"/>
    <w:rsid w:val="00AC229C"/>
    <w:rsid w:val="00AC284E"/>
    <w:rsid w:val="00AC77E2"/>
    <w:rsid w:val="00AD3349"/>
    <w:rsid w:val="00AD6D8F"/>
    <w:rsid w:val="00AE18DB"/>
    <w:rsid w:val="00AE1D54"/>
    <w:rsid w:val="00AF7A26"/>
    <w:rsid w:val="00B0571D"/>
    <w:rsid w:val="00B06EAC"/>
    <w:rsid w:val="00B21AC5"/>
    <w:rsid w:val="00B257F5"/>
    <w:rsid w:val="00B329B9"/>
    <w:rsid w:val="00B44211"/>
    <w:rsid w:val="00B52DCC"/>
    <w:rsid w:val="00B5600D"/>
    <w:rsid w:val="00B62A6C"/>
    <w:rsid w:val="00B95530"/>
    <w:rsid w:val="00B97227"/>
    <w:rsid w:val="00BC097F"/>
    <w:rsid w:val="00BC5A98"/>
    <w:rsid w:val="00BD1E80"/>
    <w:rsid w:val="00BE01B6"/>
    <w:rsid w:val="00BE59DB"/>
    <w:rsid w:val="00C05512"/>
    <w:rsid w:val="00C8335C"/>
    <w:rsid w:val="00C84CD8"/>
    <w:rsid w:val="00CC1AB1"/>
    <w:rsid w:val="00CE79C9"/>
    <w:rsid w:val="00D005EF"/>
    <w:rsid w:val="00D115A0"/>
    <w:rsid w:val="00D1349C"/>
    <w:rsid w:val="00D2518B"/>
    <w:rsid w:val="00D3519C"/>
    <w:rsid w:val="00D35D48"/>
    <w:rsid w:val="00D4208B"/>
    <w:rsid w:val="00D43544"/>
    <w:rsid w:val="00D51ACD"/>
    <w:rsid w:val="00D645B1"/>
    <w:rsid w:val="00D6676D"/>
    <w:rsid w:val="00D71475"/>
    <w:rsid w:val="00D91365"/>
    <w:rsid w:val="00D922AA"/>
    <w:rsid w:val="00DC03A6"/>
    <w:rsid w:val="00DD0341"/>
    <w:rsid w:val="00DD39D7"/>
    <w:rsid w:val="00DE5BFA"/>
    <w:rsid w:val="00DF3DDD"/>
    <w:rsid w:val="00DF6B54"/>
    <w:rsid w:val="00E02306"/>
    <w:rsid w:val="00E03895"/>
    <w:rsid w:val="00E04007"/>
    <w:rsid w:val="00E3133E"/>
    <w:rsid w:val="00E54AE8"/>
    <w:rsid w:val="00E554FB"/>
    <w:rsid w:val="00E676A5"/>
    <w:rsid w:val="00E77A5E"/>
    <w:rsid w:val="00E8595D"/>
    <w:rsid w:val="00E87001"/>
    <w:rsid w:val="00E87372"/>
    <w:rsid w:val="00EC0069"/>
    <w:rsid w:val="00EF5BD5"/>
    <w:rsid w:val="00F035B4"/>
    <w:rsid w:val="00F2015D"/>
    <w:rsid w:val="00F63273"/>
    <w:rsid w:val="00F87CCA"/>
    <w:rsid w:val="00F96A8C"/>
    <w:rsid w:val="00FB2656"/>
    <w:rsid w:val="00FB5C62"/>
    <w:rsid w:val="00FC76B9"/>
    <w:rsid w:val="00FE029B"/>
    <w:rsid w:val="00FF5D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33B5CC"/>
  <w15:chartTrackingRefBased/>
  <w15:docId w15:val="{843A9896-20C0-4C02-8E7F-286C5C3429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14F3E"/>
    <w:pPr>
      <w:widowControl w:val="0"/>
      <w:snapToGrid w:val="0"/>
      <w:spacing w:after="0" w:line="240" w:lineRule="auto"/>
    </w:pPr>
    <w:rPr>
      <w:rFonts w:ascii="Courier" w:eastAsia="Times New Roman" w:hAnsi="Courier" w:cs="Times New Roman"/>
      <w:sz w:val="24"/>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14F3E"/>
    <w:pPr>
      <w:ind w:left="720"/>
      <w:contextualSpacing/>
    </w:pPr>
  </w:style>
  <w:style w:type="paragraph" w:styleId="FootnoteText">
    <w:name w:val="footnote text"/>
    <w:basedOn w:val="Normal"/>
    <w:link w:val="FootnoteTextChar"/>
    <w:uiPriority w:val="99"/>
    <w:unhideWhenUsed/>
    <w:rsid w:val="00D43544"/>
    <w:rPr>
      <w:sz w:val="20"/>
    </w:rPr>
  </w:style>
  <w:style w:type="character" w:customStyle="1" w:styleId="FootnoteTextChar">
    <w:name w:val="Footnote Text Char"/>
    <w:basedOn w:val="DefaultParagraphFont"/>
    <w:link w:val="FootnoteText"/>
    <w:uiPriority w:val="99"/>
    <w:rsid w:val="00D43544"/>
    <w:rPr>
      <w:rFonts w:ascii="Courier" w:eastAsia="Times New Roman" w:hAnsi="Courier" w:cs="Times New Roman"/>
      <w:sz w:val="20"/>
      <w:szCs w:val="20"/>
      <w:lang w:val="en-US"/>
    </w:rPr>
  </w:style>
  <w:style w:type="character" w:styleId="FootnoteReference">
    <w:name w:val="footnote reference"/>
    <w:basedOn w:val="DefaultParagraphFont"/>
    <w:uiPriority w:val="99"/>
    <w:unhideWhenUsed/>
    <w:rsid w:val="00D43544"/>
    <w:rPr>
      <w:vertAlign w:val="superscript"/>
    </w:rPr>
  </w:style>
  <w:style w:type="paragraph" w:styleId="Header">
    <w:name w:val="header"/>
    <w:basedOn w:val="Normal"/>
    <w:link w:val="HeaderChar"/>
    <w:uiPriority w:val="99"/>
    <w:unhideWhenUsed/>
    <w:rsid w:val="007F0165"/>
    <w:pPr>
      <w:tabs>
        <w:tab w:val="center" w:pos="4513"/>
        <w:tab w:val="right" w:pos="9026"/>
      </w:tabs>
    </w:pPr>
  </w:style>
  <w:style w:type="character" w:customStyle="1" w:styleId="HeaderChar">
    <w:name w:val="Header Char"/>
    <w:basedOn w:val="DefaultParagraphFont"/>
    <w:link w:val="Header"/>
    <w:uiPriority w:val="99"/>
    <w:rsid w:val="007F0165"/>
    <w:rPr>
      <w:rFonts w:ascii="Courier" w:eastAsia="Times New Roman" w:hAnsi="Courier" w:cs="Times New Roman"/>
      <w:sz w:val="24"/>
      <w:szCs w:val="20"/>
      <w:lang w:val="en-US"/>
    </w:rPr>
  </w:style>
  <w:style w:type="paragraph" w:styleId="Footer">
    <w:name w:val="footer"/>
    <w:basedOn w:val="Normal"/>
    <w:link w:val="FooterChar"/>
    <w:uiPriority w:val="99"/>
    <w:unhideWhenUsed/>
    <w:rsid w:val="007F0165"/>
    <w:pPr>
      <w:tabs>
        <w:tab w:val="center" w:pos="4513"/>
        <w:tab w:val="right" w:pos="9026"/>
      </w:tabs>
    </w:pPr>
  </w:style>
  <w:style w:type="character" w:customStyle="1" w:styleId="FooterChar">
    <w:name w:val="Footer Char"/>
    <w:basedOn w:val="DefaultParagraphFont"/>
    <w:link w:val="Footer"/>
    <w:uiPriority w:val="99"/>
    <w:rsid w:val="007F0165"/>
    <w:rPr>
      <w:rFonts w:ascii="Courier" w:eastAsia="Times New Roman" w:hAnsi="Courier" w:cs="Times New Roman"/>
      <w:sz w:val="24"/>
      <w:szCs w:val="20"/>
      <w:lang w:val="en-US"/>
    </w:rPr>
  </w:style>
  <w:style w:type="paragraph" w:styleId="EndnoteText">
    <w:name w:val="endnote text"/>
    <w:basedOn w:val="Normal"/>
    <w:link w:val="EndnoteTextChar"/>
    <w:uiPriority w:val="99"/>
    <w:rsid w:val="00DE5BFA"/>
    <w:pPr>
      <w:widowControl/>
      <w:overflowPunct w:val="0"/>
      <w:autoSpaceDE w:val="0"/>
      <w:autoSpaceDN w:val="0"/>
      <w:adjustRightInd w:val="0"/>
      <w:snapToGrid/>
      <w:textAlignment w:val="baseline"/>
    </w:pPr>
    <w:rPr>
      <w:rFonts w:ascii="Courier New" w:eastAsia="BatangChe" w:hAnsi="Courier New" w:cs="Courier New"/>
      <w:szCs w:val="24"/>
    </w:rPr>
  </w:style>
  <w:style w:type="character" w:customStyle="1" w:styleId="EndnoteTextChar">
    <w:name w:val="Endnote Text Char"/>
    <w:basedOn w:val="DefaultParagraphFont"/>
    <w:link w:val="EndnoteText"/>
    <w:uiPriority w:val="99"/>
    <w:rsid w:val="00DE5BFA"/>
    <w:rPr>
      <w:rFonts w:ascii="Courier New" w:eastAsia="BatangChe" w:hAnsi="Courier New" w:cs="Courier New"/>
      <w:sz w:val="24"/>
      <w:szCs w:val="24"/>
      <w:lang w:val="en-US"/>
    </w:rPr>
  </w:style>
  <w:style w:type="character" w:styleId="EndnoteReference">
    <w:name w:val="endnote reference"/>
    <w:basedOn w:val="DefaultParagraphFont"/>
    <w:uiPriority w:val="99"/>
    <w:rsid w:val="00DE5BFA"/>
    <w:rPr>
      <w:rFonts w:ascii="BatangChe" w:eastAsia="BatangChe" w:hAnsi="BatangChe" w:cs="BatangChe"/>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37966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228266-F607-423E-82BF-54BACE0F17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371</TotalTime>
  <Pages>8</Pages>
  <Words>2533</Words>
  <Characters>14443</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Peter Mitchell</dc:creator>
  <cp:keywords/>
  <dc:description/>
  <cp:lastModifiedBy>Peter Mitchell</cp:lastModifiedBy>
  <cp:revision>17</cp:revision>
  <dcterms:created xsi:type="dcterms:W3CDTF">2019-05-23T19:26:00Z</dcterms:created>
  <dcterms:modified xsi:type="dcterms:W3CDTF">2019-05-24T08:48:00Z</dcterms:modified>
</cp:coreProperties>
</file>