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CF5650D" w14:textId="3BCA5E27" w:rsidR="004C52CB" w:rsidRDefault="00757B43">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rPr>
        <w:drawing>
          <wp:inline distT="114300" distB="114300" distL="114300" distR="114300" wp14:anchorId="307AB415" wp14:editId="6E5B5215">
            <wp:extent cx="1673062" cy="712247"/>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1673062" cy="712247"/>
                    </a:xfrm>
                    <a:prstGeom prst="rect">
                      <a:avLst/>
                    </a:prstGeom>
                    <a:ln/>
                  </pic:spPr>
                </pic:pic>
              </a:graphicData>
            </a:graphic>
          </wp:inline>
        </w:drawing>
      </w:r>
    </w:p>
    <w:p w14:paraId="2D32771F" w14:textId="77777777" w:rsidR="004C52CB" w:rsidRDefault="004C52CB">
      <w:pPr>
        <w:spacing w:before="200" w:after="200" w:line="360" w:lineRule="auto"/>
        <w:jc w:val="center"/>
        <w:rPr>
          <w:rFonts w:ascii="Times New Roman" w:eastAsia="Times New Roman" w:hAnsi="Times New Roman" w:cs="Times New Roman"/>
          <w:b/>
          <w:bCs/>
          <w:sz w:val="36"/>
          <w:szCs w:val="36"/>
        </w:rPr>
      </w:pPr>
    </w:p>
    <w:p w14:paraId="04109A1C" w14:textId="77777777" w:rsidR="004C52CB" w:rsidRDefault="00757B43">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Programme: CertHE Computing Skills for Workplace</w:t>
      </w:r>
    </w:p>
    <w:p w14:paraId="0BF4E058" w14:textId="77777777" w:rsidR="004C52CB" w:rsidRDefault="00757B43">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Module: Learning in the Digital Era</w:t>
      </w:r>
    </w:p>
    <w:p w14:paraId="4C4F3DF9" w14:textId="77777777" w:rsidR="004C52CB" w:rsidRDefault="00757B43">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Module code: ACCA4025</w:t>
      </w:r>
    </w:p>
    <w:p w14:paraId="17096788" w14:textId="77777777" w:rsidR="004C52CB" w:rsidRDefault="004C52CB">
      <w:pPr>
        <w:spacing w:before="200" w:after="200" w:line="360" w:lineRule="auto"/>
        <w:jc w:val="center"/>
        <w:rPr>
          <w:rFonts w:ascii="Times New Roman" w:eastAsia="Times New Roman" w:hAnsi="Times New Roman" w:cs="Times New Roman"/>
          <w:b/>
          <w:bCs/>
          <w:sz w:val="32"/>
          <w:szCs w:val="32"/>
        </w:rPr>
      </w:pPr>
    </w:p>
    <w:p w14:paraId="5ED5795D" w14:textId="77777777" w:rsidR="004C52CB" w:rsidRDefault="00757B43">
      <w:pPr>
        <w:spacing w:before="200"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Assignment Title: Component 2- Professional Development Plan (PDP)</w:t>
      </w:r>
    </w:p>
    <w:p w14:paraId="3E9DBE06" w14:textId="77777777" w:rsidR="004C52CB" w:rsidRDefault="004C52CB">
      <w:pPr>
        <w:spacing w:before="200" w:after="200" w:line="360" w:lineRule="auto"/>
      </w:pPr>
    </w:p>
    <w:p w14:paraId="448FD2D5" w14:textId="77777777" w:rsidR="004C52CB" w:rsidRDefault="004C52CB">
      <w:pPr>
        <w:spacing w:before="200" w:after="200" w:line="360" w:lineRule="auto"/>
        <w:jc w:val="center"/>
      </w:pPr>
    </w:p>
    <w:p w14:paraId="5C98095F" w14:textId="3EB3E641" w:rsidR="004C52CB" w:rsidRDefault="00757B43">
      <w:pPr>
        <w:spacing w:before="200" w:after="20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Student Name: </w:t>
      </w:r>
      <w:r w:rsidR="004B4F97">
        <w:rPr>
          <w:rFonts w:ascii="Times New Roman" w:eastAsia="Times New Roman" w:hAnsi="Times New Roman" w:cs="Times New Roman"/>
          <w:b/>
          <w:bCs/>
          <w:sz w:val="28"/>
          <w:szCs w:val="28"/>
        </w:rPr>
        <w:t>Badara sanneh</w:t>
      </w:r>
    </w:p>
    <w:p w14:paraId="4FAC731A" w14:textId="1DE01F6B" w:rsidR="004C52CB" w:rsidRDefault="00757B43">
      <w:pPr>
        <w:spacing w:before="200" w:after="200" w:line="360" w:lineRule="auto"/>
        <w:jc w:val="center"/>
      </w:pPr>
      <w:r>
        <w:rPr>
          <w:rFonts w:ascii="Times New Roman" w:eastAsia="Times New Roman" w:hAnsi="Times New Roman" w:cs="Times New Roman"/>
          <w:b/>
          <w:bCs/>
          <w:sz w:val="28"/>
          <w:szCs w:val="28"/>
        </w:rPr>
        <w:t xml:space="preserve">Student ID: </w:t>
      </w:r>
      <w:r w:rsidR="004B4F97">
        <w:rPr>
          <w:rFonts w:ascii="Times New Roman" w:eastAsia="Times New Roman" w:hAnsi="Times New Roman" w:cs="Times New Roman"/>
          <w:b/>
          <w:bCs/>
          <w:sz w:val="28"/>
          <w:szCs w:val="28"/>
        </w:rPr>
        <w:t>2512868</w:t>
      </w:r>
      <w:r>
        <w:br w:type="page"/>
      </w:r>
    </w:p>
    <w:p w14:paraId="25C8945F" w14:textId="7F4C8B57" w:rsidR="004C52CB" w:rsidRDefault="00757B43">
      <w:pPr>
        <w:spacing w:before="200" w:after="200" w:line="360" w:lineRule="auto"/>
        <w:jc w:val="both"/>
        <w:rPr>
          <w:rFonts w:ascii="Times New Roman" w:eastAsia="Times New Roman" w:hAnsi="Times New Roman" w:cs="Times New Roman"/>
          <w:b/>
          <w:bCs/>
          <w:color w:val="073763"/>
          <w:sz w:val="32"/>
          <w:szCs w:val="32"/>
        </w:rPr>
      </w:pPr>
      <w:r>
        <w:rPr>
          <w:rFonts w:ascii="Times New Roman" w:eastAsia="Times New Roman" w:hAnsi="Times New Roman" w:cs="Times New Roman"/>
          <w:b/>
          <w:bCs/>
          <w:color w:val="073763"/>
          <w:sz w:val="32"/>
          <w:szCs w:val="32"/>
        </w:rPr>
        <w:lastRenderedPageBreak/>
        <w:t xml:space="preserve">Table of </w:t>
      </w:r>
      <w:r w:rsidR="005B0CBE">
        <w:rPr>
          <w:rFonts w:ascii="Times New Roman" w:eastAsia="Times New Roman" w:hAnsi="Times New Roman" w:cs="Times New Roman"/>
          <w:b/>
          <w:bCs/>
          <w:color w:val="073763"/>
          <w:sz w:val="32"/>
          <w:szCs w:val="32"/>
        </w:rPr>
        <w:t>Contents</w:t>
      </w:r>
    </w:p>
    <w:sdt>
      <w:sdtPr>
        <w:id w:val="857424580"/>
        <w:docPartObj>
          <w:docPartGallery w:val="Table of Contents"/>
          <w:docPartUnique/>
        </w:docPartObj>
      </w:sdtPr>
      <w:sdtEndPr/>
      <w:sdtContent>
        <w:p w14:paraId="1AF0D7E1" w14:textId="77777777" w:rsidR="004C52CB" w:rsidRDefault="00757B43">
          <w:pPr>
            <w:widowControl w:val="0"/>
            <w:tabs>
              <w:tab w:val="right" w:leader="dot" w:pos="12000"/>
            </w:tabs>
            <w:spacing w:before="60" w:after="200" w:line="360" w:lineRule="auto"/>
            <w:jc w:val="both"/>
            <w:rPr>
              <w:rFonts w:ascii="Times New Roman" w:eastAsia="Times New Roman" w:hAnsi="Times New Roman" w:cs="Times New Roman"/>
              <w:b/>
              <w:bCs/>
              <w:color w:val="000000"/>
              <w:sz w:val="24"/>
              <w:szCs w:val="24"/>
            </w:rPr>
          </w:pPr>
          <w:r>
            <w:fldChar w:fldCharType="begin"/>
          </w:r>
          <w:r>
            <w:instrText xml:space="preserve"> TOC \h \u \z \t "Heading 1,1,Heading 2,2,Heading 3,3,Heading 4,4,Heading 5,5,Heading 6,6,"</w:instrText>
          </w:r>
          <w:r>
            <w:fldChar w:fldCharType="separate"/>
          </w:r>
          <w:hyperlink w:anchor="_30b04lz9kkcz">
            <w:r>
              <w:rPr>
                <w:rFonts w:ascii="Times New Roman" w:eastAsia="Times New Roman" w:hAnsi="Times New Roman" w:cs="Times New Roman"/>
                <w:b/>
                <w:bCs/>
                <w:color w:val="000000"/>
                <w:sz w:val="24"/>
                <w:szCs w:val="24"/>
              </w:rPr>
              <w:t>Introduction</w:t>
            </w:r>
            <w:r>
              <w:rPr>
                <w:rFonts w:ascii="Times New Roman" w:eastAsia="Times New Roman" w:hAnsi="Times New Roman" w:cs="Times New Roman"/>
                <w:b/>
                <w:bCs/>
                <w:color w:val="000000"/>
                <w:sz w:val="24"/>
                <w:szCs w:val="24"/>
              </w:rPr>
              <w:tab/>
              <w:t>3</w:t>
            </w:r>
          </w:hyperlink>
        </w:p>
        <w:p w14:paraId="2496A4A3" w14:textId="77777777" w:rsidR="004C52CB" w:rsidRDefault="00757B43">
          <w:pPr>
            <w:widowControl w:val="0"/>
            <w:tabs>
              <w:tab w:val="right" w:leader="dot" w:pos="12000"/>
            </w:tabs>
            <w:spacing w:before="60" w:after="200" w:line="360" w:lineRule="auto"/>
            <w:ind w:left="360"/>
            <w:jc w:val="both"/>
            <w:rPr>
              <w:rFonts w:ascii="Times New Roman" w:eastAsia="Times New Roman" w:hAnsi="Times New Roman" w:cs="Times New Roman"/>
              <w:color w:val="000000"/>
              <w:sz w:val="24"/>
              <w:szCs w:val="24"/>
            </w:rPr>
          </w:pPr>
          <w:hyperlink w:anchor="_c34ypubbk18u">
            <w:r>
              <w:rPr>
                <w:rFonts w:ascii="Times New Roman" w:eastAsia="Times New Roman" w:hAnsi="Times New Roman" w:cs="Times New Roman"/>
                <w:color w:val="000000"/>
                <w:sz w:val="24"/>
                <w:szCs w:val="24"/>
              </w:rPr>
              <w:t>Task 1: Self-Evaluation</w:t>
            </w:r>
            <w:r>
              <w:rPr>
                <w:rFonts w:ascii="Times New Roman" w:eastAsia="Times New Roman" w:hAnsi="Times New Roman" w:cs="Times New Roman"/>
                <w:color w:val="000000"/>
                <w:sz w:val="24"/>
                <w:szCs w:val="24"/>
              </w:rPr>
              <w:tab/>
              <w:t>3</w:t>
            </w:r>
          </w:hyperlink>
        </w:p>
        <w:p w14:paraId="4236C925" w14:textId="77777777" w:rsidR="004C52CB" w:rsidRDefault="00757B43">
          <w:pPr>
            <w:widowControl w:val="0"/>
            <w:tabs>
              <w:tab w:val="right" w:leader="dot" w:pos="12000"/>
            </w:tabs>
            <w:spacing w:before="60" w:after="200" w:line="360" w:lineRule="auto"/>
            <w:ind w:left="360"/>
            <w:jc w:val="both"/>
            <w:rPr>
              <w:rFonts w:ascii="Times New Roman" w:eastAsia="Times New Roman" w:hAnsi="Times New Roman" w:cs="Times New Roman"/>
              <w:color w:val="000000"/>
              <w:sz w:val="24"/>
              <w:szCs w:val="24"/>
            </w:rPr>
          </w:pPr>
          <w:hyperlink w:anchor="_jcjmybdf8e1b">
            <w:r>
              <w:rPr>
                <w:rFonts w:ascii="Times New Roman" w:eastAsia="Times New Roman" w:hAnsi="Times New Roman" w:cs="Times New Roman"/>
                <w:color w:val="000000"/>
                <w:sz w:val="24"/>
                <w:szCs w:val="24"/>
              </w:rPr>
              <w:t>Task 2: Professional Development Plan (PDP)</w:t>
            </w:r>
            <w:r>
              <w:rPr>
                <w:rFonts w:ascii="Times New Roman" w:eastAsia="Times New Roman" w:hAnsi="Times New Roman" w:cs="Times New Roman"/>
                <w:color w:val="000000"/>
                <w:sz w:val="24"/>
                <w:szCs w:val="24"/>
              </w:rPr>
              <w:tab/>
              <w:t>5</w:t>
            </w:r>
          </w:hyperlink>
        </w:p>
        <w:p w14:paraId="4ACF78AB" w14:textId="77777777" w:rsidR="004C52CB" w:rsidRDefault="00757B43">
          <w:pPr>
            <w:widowControl w:val="0"/>
            <w:tabs>
              <w:tab w:val="right" w:leader="dot" w:pos="12000"/>
            </w:tabs>
            <w:spacing w:before="60" w:after="200" w:line="360" w:lineRule="auto"/>
            <w:ind w:left="360"/>
            <w:jc w:val="both"/>
            <w:rPr>
              <w:rFonts w:ascii="Times New Roman" w:eastAsia="Times New Roman" w:hAnsi="Times New Roman" w:cs="Times New Roman"/>
              <w:color w:val="000000"/>
              <w:sz w:val="24"/>
              <w:szCs w:val="24"/>
            </w:rPr>
          </w:pPr>
          <w:hyperlink w:anchor="_ioz5ywwlqv7">
            <w:r>
              <w:rPr>
                <w:rFonts w:ascii="Times New Roman" w:eastAsia="Times New Roman" w:hAnsi="Times New Roman" w:cs="Times New Roman"/>
                <w:color w:val="000000"/>
                <w:sz w:val="24"/>
                <w:szCs w:val="24"/>
              </w:rPr>
              <w:t>Task 3: Becoming a Lifelong Learner</w:t>
            </w:r>
            <w:r>
              <w:rPr>
                <w:rFonts w:ascii="Times New Roman" w:eastAsia="Times New Roman" w:hAnsi="Times New Roman" w:cs="Times New Roman"/>
                <w:color w:val="000000"/>
                <w:sz w:val="24"/>
                <w:szCs w:val="24"/>
              </w:rPr>
              <w:tab/>
              <w:t>8</w:t>
            </w:r>
          </w:hyperlink>
        </w:p>
        <w:p w14:paraId="14550500" w14:textId="77777777" w:rsidR="004C52CB" w:rsidRDefault="00757B43">
          <w:pPr>
            <w:widowControl w:val="0"/>
            <w:tabs>
              <w:tab w:val="right" w:leader="dot" w:pos="12000"/>
            </w:tabs>
            <w:spacing w:before="60" w:after="200" w:line="360" w:lineRule="auto"/>
            <w:jc w:val="both"/>
            <w:rPr>
              <w:rFonts w:ascii="Times New Roman" w:eastAsia="Times New Roman" w:hAnsi="Times New Roman" w:cs="Times New Roman"/>
              <w:b/>
              <w:bCs/>
              <w:color w:val="000000"/>
              <w:sz w:val="24"/>
              <w:szCs w:val="24"/>
            </w:rPr>
          </w:pPr>
          <w:hyperlink w:anchor="_niajp5v4dki4">
            <w:r>
              <w:rPr>
                <w:rFonts w:ascii="Times New Roman" w:eastAsia="Times New Roman" w:hAnsi="Times New Roman" w:cs="Times New Roman"/>
                <w:b/>
                <w:bCs/>
                <w:color w:val="000000"/>
                <w:sz w:val="24"/>
                <w:szCs w:val="24"/>
              </w:rPr>
              <w:t>Conclusion</w:t>
            </w:r>
            <w:r>
              <w:rPr>
                <w:rFonts w:ascii="Times New Roman" w:eastAsia="Times New Roman" w:hAnsi="Times New Roman" w:cs="Times New Roman"/>
                <w:b/>
                <w:bCs/>
                <w:color w:val="000000"/>
                <w:sz w:val="24"/>
                <w:szCs w:val="24"/>
              </w:rPr>
              <w:tab/>
              <w:t>10</w:t>
            </w:r>
          </w:hyperlink>
        </w:p>
        <w:p w14:paraId="1CAD926A" w14:textId="77777777" w:rsidR="004C52CB" w:rsidRDefault="00757B43">
          <w:pPr>
            <w:widowControl w:val="0"/>
            <w:tabs>
              <w:tab w:val="right" w:leader="dot" w:pos="12000"/>
            </w:tabs>
            <w:spacing w:before="60" w:after="200" w:line="360" w:lineRule="auto"/>
            <w:jc w:val="both"/>
            <w:rPr>
              <w:rFonts w:ascii="Times New Roman" w:eastAsia="Times New Roman" w:hAnsi="Times New Roman" w:cs="Times New Roman"/>
              <w:b/>
              <w:bCs/>
              <w:color w:val="000000"/>
              <w:sz w:val="24"/>
              <w:szCs w:val="24"/>
            </w:rPr>
          </w:pPr>
          <w:hyperlink w:anchor="_y7k57tq5tbqj">
            <w:r>
              <w:rPr>
                <w:rFonts w:ascii="Times New Roman" w:eastAsia="Times New Roman" w:hAnsi="Times New Roman" w:cs="Times New Roman"/>
                <w:b/>
                <w:bCs/>
                <w:color w:val="000000"/>
                <w:sz w:val="24"/>
                <w:szCs w:val="24"/>
              </w:rPr>
              <w:t>References</w:t>
            </w:r>
            <w:r>
              <w:rPr>
                <w:rFonts w:ascii="Times New Roman" w:eastAsia="Times New Roman" w:hAnsi="Times New Roman" w:cs="Times New Roman"/>
                <w:b/>
                <w:bCs/>
                <w:color w:val="000000"/>
                <w:sz w:val="24"/>
                <w:szCs w:val="24"/>
              </w:rPr>
              <w:tab/>
              <w:t>12</w:t>
            </w:r>
          </w:hyperlink>
          <w:r>
            <w:fldChar w:fldCharType="end"/>
          </w:r>
        </w:p>
      </w:sdtContent>
    </w:sdt>
    <w:p w14:paraId="49D6B5F0" w14:textId="77777777" w:rsidR="004C52CB" w:rsidRDefault="00757B43">
      <w:pPr>
        <w:spacing w:before="200" w:after="200" w:line="360" w:lineRule="auto"/>
        <w:jc w:val="both"/>
      </w:pPr>
      <w:r>
        <w:br w:type="page"/>
      </w:r>
    </w:p>
    <w:p w14:paraId="4D0E9253" w14:textId="77777777" w:rsidR="004C52CB" w:rsidRDefault="00757B43">
      <w:pPr>
        <w:pStyle w:val="Heading1"/>
      </w:pPr>
      <w:bookmarkStart w:id="0" w:name="_30b04lz9kkcz" w:colFirst="0" w:colLast="0"/>
      <w:bookmarkEnd w:id="0"/>
      <w:r>
        <w:lastRenderedPageBreak/>
        <w:t>Introduction</w:t>
      </w:r>
    </w:p>
    <w:p w14:paraId="431067B3" w14:textId="4EDBFD7A"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is a reflection </w:t>
      </w:r>
      <w:r w:rsidR="005B0CBE">
        <w:rPr>
          <w:rFonts w:ascii="Times New Roman" w:eastAsia="Times New Roman" w:hAnsi="Times New Roman" w:cs="Times New Roman"/>
          <w:sz w:val="24"/>
          <w:szCs w:val="24"/>
        </w:rPr>
        <w:t>on my current capabilities, learning patterns, and areas for development, based on self-assessment</w:t>
      </w:r>
      <w:r>
        <w:rPr>
          <w:rFonts w:ascii="Times New Roman" w:eastAsia="Times New Roman" w:hAnsi="Times New Roman" w:cs="Times New Roman"/>
          <w:sz w:val="24"/>
          <w:szCs w:val="24"/>
        </w:rPr>
        <w:t xml:space="preserve"> instruments. It </w:t>
      </w:r>
      <w:r w:rsidR="005B0CBE">
        <w:rPr>
          <w:rFonts w:ascii="Times New Roman" w:eastAsia="Times New Roman" w:hAnsi="Times New Roman" w:cs="Times New Roman"/>
          <w:sz w:val="24"/>
          <w:szCs w:val="24"/>
        </w:rPr>
        <w:t>identifies the primary strengths and weaknesses that impact</w:t>
      </w:r>
      <w:r>
        <w:rPr>
          <w:rFonts w:ascii="Times New Roman" w:eastAsia="Times New Roman" w:hAnsi="Times New Roman" w:cs="Times New Roman"/>
          <w:sz w:val="24"/>
          <w:szCs w:val="24"/>
        </w:rPr>
        <w:t xml:space="preserve"> my academic and professional development. The knowledge formed a Professional Development Plan that includes SMART and a summary of a Unit 4 concept to enable lifelong learning.</w:t>
      </w:r>
    </w:p>
    <w:p w14:paraId="676706EE" w14:textId="77777777" w:rsidR="004C52CB" w:rsidRDefault="00757B43">
      <w:pPr>
        <w:pStyle w:val="Heading2"/>
        <w:keepNext w:val="0"/>
        <w:keepLines w:val="0"/>
      </w:pPr>
      <w:bookmarkStart w:id="1" w:name="_c34ypubbk18u" w:colFirst="0" w:colLast="0"/>
      <w:bookmarkEnd w:id="1"/>
      <w:r>
        <w:t>Task 1: Self-Evaluation</w:t>
      </w:r>
    </w:p>
    <w:p w14:paraId="7681CE8B"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068E245" wp14:editId="12BD479D">
            <wp:extent cx="5376863" cy="3027835"/>
            <wp:effectExtent l="0" t="0" r="0" b="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7"/>
                    <a:srcRect/>
                    <a:stretch>
                      <a:fillRect/>
                    </a:stretch>
                  </pic:blipFill>
                  <pic:spPr>
                    <a:xfrm>
                      <a:off x="0" y="0"/>
                      <a:ext cx="5376863" cy="3027835"/>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0270FDA6" wp14:editId="43BF71D7">
            <wp:extent cx="5731200" cy="3225800"/>
            <wp:effectExtent l="0" t="0" r="0" b="0"/>
            <wp:docPr id="12"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6CDDB4E3"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27F2937" wp14:editId="035CE0E0">
            <wp:extent cx="5731200" cy="3225800"/>
            <wp:effectExtent l="0" t="0" r="0" b="0"/>
            <wp:docPr id="5"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66DDDB7E" w14:textId="5FD074D9" w:rsidR="004C52CB" w:rsidRDefault="005B0CB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Self-reflection</w:t>
      </w:r>
      <w:r w:rsidR="00757B43">
        <w:rPr>
          <w:rFonts w:ascii="Times New Roman" w:eastAsia="Times New Roman" w:hAnsi="Times New Roman" w:cs="Times New Roman"/>
          <w:sz w:val="24"/>
          <w:szCs w:val="24"/>
        </w:rPr>
        <w:t xml:space="preserve"> has enabled me to come up with a more understandable perception of my learning behaviour and professional attributes. According to the VARK learning styles questionnaire, most of my preference was in visual and read/write learning styles</w:t>
      </w:r>
      <w:r>
        <w:rPr>
          <w:rFonts w:ascii="Times New Roman" w:eastAsia="Times New Roman" w:hAnsi="Times New Roman" w:cs="Times New Roman"/>
          <w:sz w:val="24"/>
          <w:szCs w:val="24"/>
        </w:rPr>
        <w:t>,</w:t>
      </w:r>
      <w:r w:rsidR="00757B43">
        <w:rPr>
          <w:rFonts w:ascii="Times New Roman" w:eastAsia="Times New Roman" w:hAnsi="Times New Roman" w:cs="Times New Roman"/>
          <w:sz w:val="24"/>
          <w:szCs w:val="24"/>
        </w:rPr>
        <w:t xml:space="preserve"> and this implies that things that I can grasp best are visuals, </w:t>
      </w:r>
      <w:r>
        <w:rPr>
          <w:rFonts w:ascii="Times New Roman" w:eastAsia="Times New Roman" w:hAnsi="Times New Roman" w:cs="Times New Roman"/>
          <w:sz w:val="24"/>
          <w:szCs w:val="24"/>
        </w:rPr>
        <w:t>organised</w:t>
      </w:r>
      <w:r w:rsidR="00757B43">
        <w:rPr>
          <w:rFonts w:ascii="Times New Roman" w:eastAsia="Times New Roman" w:hAnsi="Times New Roman" w:cs="Times New Roman"/>
          <w:sz w:val="24"/>
          <w:szCs w:val="24"/>
        </w:rPr>
        <w:t xml:space="preserve"> notes and systematically arranged information [1]. It is also in line with my independent learning strengths, </w:t>
      </w:r>
      <w:r>
        <w:rPr>
          <w:rFonts w:ascii="Times New Roman" w:eastAsia="Times New Roman" w:hAnsi="Times New Roman" w:cs="Times New Roman"/>
          <w:sz w:val="24"/>
          <w:szCs w:val="24"/>
        </w:rPr>
        <w:t xml:space="preserve">a </w:t>
      </w:r>
      <w:r w:rsidR="00757B43">
        <w:rPr>
          <w:rFonts w:ascii="Times New Roman" w:eastAsia="Times New Roman" w:hAnsi="Times New Roman" w:cs="Times New Roman"/>
          <w:sz w:val="24"/>
          <w:szCs w:val="24"/>
        </w:rPr>
        <w:t>high degree of organisation and time management.</w:t>
      </w:r>
    </w:p>
    <w:p w14:paraId="683A4E6F" w14:textId="15AB6016"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evaluation also brought some weaknesses and areas of development. Verbal communication can make me feel low in confidence</w:t>
      </w:r>
      <w:r w:rsidR="005B0C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especially when I am interacting with a group</w:t>
      </w:r>
      <w:r w:rsidR="005B0C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this may limit my input when working towards a common goal. I also tend to multitask a lot when studying, and this decreases the level of focus and productivity. Kolb's Experiential Learning Theory shows that it is always important to know the preferences of learning in order to know areas that can be improved upon [2].</w:t>
      </w:r>
    </w:p>
    <w:p w14:paraId="1FDFD41D" w14:textId="6C201F46"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 deficiencies were further highlighted by </w:t>
      </w:r>
      <w:r w:rsidR="005B0CBE">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 xml:space="preserve">analysis of a SWOT, which revealed that key areas that need improvement are areas of communication and focus that have developed as </w:t>
      </w:r>
      <w:r w:rsidR="005B0CBE">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result of a SWOT analysis. Guidance provided by ChatGPT, the OpenAI, was used to inform some reflections in this section</w:t>
      </w:r>
      <w:r w:rsidR="005B0C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aiding with reflectiveness [8].</w:t>
      </w:r>
    </w:p>
    <w:p w14:paraId="68D92391" w14:textId="2D4A40D9"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Such self-assessment reflections are specific contributors to whatever I have set in my PDP</w:t>
      </w:r>
      <w:r w:rsidR="005B0C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since each goal is a social response to my perceived needs.</w:t>
      </w:r>
    </w:p>
    <w:p w14:paraId="6D365301" w14:textId="77777777" w:rsidR="004C52CB" w:rsidRDefault="00757B43">
      <w:pPr>
        <w:pStyle w:val="Heading2"/>
      </w:pPr>
      <w:bookmarkStart w:id="2" w:name="_jcjmybdf8e1b" w:colFirst="0" w:colLast="0"/>
      <w:bookmarkEnd w:id="2"/>
      <w:r>
        <w:lastRenderedPageBreak/>
        <w:t>Task 2: Professional Development Plan (PDP)</w:t>
      </w:r>
    </w:p>
    <w:p w14:paraId="581B4BB1"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D2BA634" wp14:editId="2E93CE8A">
            <wp:extent cx="5731200" cy="3225800"/>
            <wp:effectExtent l="0" t="0" r="0" b="0"/>
            <wp:docPr id="13"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77676011" wp14:editId="53DD6782">
            <wp:extent cx="5731200" cy="3225800"/>
            <wp:effectExtent l="0" t="0" r="0" b="0"/>
            <wp:docPr id="1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noProof/>
          <w:sz w:val="24"/>
          <w:szCs w:val="24"/>
        </w:rPr>
        <w:lastRenderedPageBreak/>
        <w:drawing>
          <wp:inline distT="114300" distB="114300" distL="114300" distR="114300" wp14:anchorId="6FD8BF77" wp14:editId="69361EE1">
            <wp:extent cx="5731200" cy="3225800"/>
            <wp:effectExtent l="0" t="0" r="0" b="0"/>
            <wp:docPr id="10"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5C4B983F" wp14:editId="5B1C820D">
            <wp:extent cx="5731200" cy="32258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2A33A8BB" w14:textId="738ED933" w:rsidR="004C52CB" w:rsidRDefault="005B0CB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t>
      </w:r>
      <w:r w:rsidR="00757B43">
        <w:rPr>
          <w:rFonts w:ascii="Times New Roman" w:eastAsia="Times New Roman" w:hAnsi="Times New Roman" w:cs="Times New Roman"/>
          <w:sz w:val="24"/>
          <w:szCs w:val="24"/>
        </w:rPr>
        <w:t xml:space="preserve"> overcome the specified skill gaps, I designed a coherent PDP with the help of the SMART model. SMART objectives are clear, have measurable results and achievable deadlines, which make them more successful [3]. Moreover, the Reflective Cycle by Gibbs will facilitate the continued assessment through the frequent review of the progress, problems and modifications [4].</w:t>
      </w:r>
    </w:p>
    <w:p w14:paraId="1ADCE933" w14:textId="77777777" w:rsidR="004C52CB" w:rsidRDefault="00757B43">
      <w:pPr>
        <w:spacing w:before="20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Professional Development Plan (PDP Table)</w:t>
      </w:r>
    </w:p>
    <w:tbl>
      <w:tblPr>
        <w:tblStyle w:val="a"/>
        <w:tblW w:w="931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1755"/>
        <w:gridCol w:w="1395"/>
        <w:gridCol w:w="1335"/>
        <w:gridCol w:w="2145"/>
        <w:gridCol w:w="1050"/>
        <w:gridCol w:w="1635"/>
      </w:tblGrid>
      <w:tr w:rsidR="004C52CB" w14:paraId="69C33C9A" w14:textId="77777777">
        <w:trPr>
          <w:trHeight w:val="830"/>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EB0625" w14:textId="77777777" w:rsidR="004C52CB" w:rsidRDefault="00757B43">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Development Need</w:t>
            </w:r>
          </w:p>
        </w:tc>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579141" w14:textId="77777777" w:rsidR="004C52CB" w:rsidRDefault="00757B43">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SMART Goal</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6C6653" w14:textId="77777777" w:rsidR="004C52CB" w:rsidRDefault="00757B43">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Actions</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9E2D6E" w14:textId="77777777" w:rsidR="004C52CB" w:rsidRDefault="00757B43">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Resources Needed</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41C668" w14:textId="77777777" w:rsidR="004C52CB" w:rsidRDefault="00757B43">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Timeline</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6542E0" w14:textId="77777777" w:rsidR="004C52CB" w:rsidRDefault="00757B43">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Success Indicators</w:t>
            </w:r>
          </w:p>
        </w:tc>
      </w:tr>
      <w:tr w:rsidR="004C52CB" w14:paraId="470A65B7" w14:textId="77777777">
        <w:trPr>
          <w:trHeight w:val="2330"/>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F8C6C0"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Verbal communication</w:t>
            </w:r>
          </w:p>
        </w:tc>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ED6F51"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confidence in group discussions</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D45FC8"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Attend two UWTSD workshops; practise speaking once per tutorial</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6B2E9B"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Workshops, peer feedback</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E7DDEE"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March 2026</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39C369"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verbal participation, improved feedback</w:t>
            </w:r>
          </w:p>
        </w:tc>
      </w:tr>
      <w:tr w:rsidR="004C52CB" w14:paraId="4E7C5C89" w14:textId="77777777">
        <w:trPr>
          <w:trHeight w:val="2030"/>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ECFDC3"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 multitasking</w:t>
            </w:r>
          </w:p>
        </w:tc>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D00B57"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concentration</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4FD8DB" w14:textId="61B318D9"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 </w:t>
            </w:r>
            <w:r w:rsidR="005B0CB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Pomodoro Technique; maintain </w:t>
            </w:r>
            <w:r w:rsidR="005B0CBE">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study journal</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3F11A5"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Timer app, reflective journal</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949060"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 weeks</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739DDF"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Fewer task-switching episodes, completed logs</w:t>
            </w:r>
          </w:p>
        </w:tc>
      </w:tr>
      <w:tr w:rsidR="004C52CB" w14:paraId="5D3E847D" w14:textId="77777777">
        <w:trPr>
          <w:trHeight w:val="1430"/>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F6DC86"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literacy</w:t>
            </w:r>
          </w:p>
        </w:tc>
        <w:tc>
          <w:tcPr>
            <w:tcW w:w="13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76B19D"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digital tool competence</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887899"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 two micro-courses</w:t>
            </w:r>
          </w:p>
        </w:tc>
        <w:tc>
          <w:tcPr>
            <w:tcW w:w="21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8777FF"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FutureLearn/Coursera</w:t>
            </w:r>
          </w:p>
        </w:tc>
        <w:tc>
          <w:tcPr>
            <w:tcW w:w="10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1364F5"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April 2026</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14AD06"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Certificates achieved, improved tool use</w:t>
            </w:r>
          </w:p>
        </w:tc>
      </w:tr>
    </w:tbl>
    <w:p w14:paraId="426DA0ED" w14:textId="34AC64C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goals are quite optimistic and in keeping with the identified skill gaps in my self-assessment</w:t>
      </w:r>
      <w:r w:rsidR="005B0C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will be tracked every month to maintain consistent progress.</w:t>
      </w:r>
    </w:p>
    <w:p w14:paraId="6664CC52" w14:textId="77777777" w:rsidR="00D5383B" w:rsidRDefault="00757B43" w:rsidP="00D5383B">
      <w:pPr>
        <w:pStyle w:val="Heading2"/>
      </w:pPr>
      <w:bookmarkStart w:id="3" w:name="_ioz5ywwlqv7" w:colFirst="0" w:colLast="0"/>
      <w:bookmarkEnd w:id="3"/>
      <w:r>
        <w:lastRenderedPageBreak/>
        <w:t>Task 3: Becoming a Lifelong Learner</w:t>
      </w:r>
    </w:p>
    <w:p w14:paraId="348EBA43" w14:textId="77777777" w:rsidR="00D5383B" w:rsidRDefault="00757B43" w:rsidP="00D5383B">
      <w:r>
        <w:rPr>
          <w:noProof/>
        </w:rPr>
        <w:drawing>
          <wp:inline distT="114300" distB="114300" distL="114300" distR="114300" wp14:anchorId="6FB60C67" wp14:editId="3606C9E6">
            <wp:extent cx="5731200" cy="3225800"/>
            <wp:effectExtent l="0" t="0" r="0" b="0"/>
            <wp:docPr id="4"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7198E922" w14:textId="77777777" w:rsidR="00D5383B" w:rsidRDefault="00D5383B" w:rsidP="00D5383B">
      <w:pPr>
        <w:rPr>
          <w:sz w:val="28"/>
          <w:szCs w:val="28"/>
        </w:rPr>
      </w:pPr>
    </w:p>
    <w:p w14:paraId="09E61E88" w14:textId="77777777" w:rsidR="00D5383B" w:rsidRDefault="00757B43" w:rsidP="00D5383B">
      <w:pPr>
        <w:rPr>
          <w:sz w:val="28"/>
          <w:szCs w:val="28"/>
        </w:rPr>
      </w:pPr>
      <w:r>
        <w:rPr>
          <w:noProof/>
        </w:rPr>
        <w:drawing>
          <wp:inline distT="114300" distB="114300" distL="114300" distR="114300" wp14:anchorId="3D7C4769" wp14:editId="63CC4C3A">
            <wp:extent cx="5731200" cy="3225800"/>
            <wp:effectExtent l="0" t="0" r="0" b="0"/>
            <wp:docPr id="2"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6DD06AE4" w14:textId="3CF38B80" w:rsidR="00B603D8" w:rsidRDefault="00B603D8" w:rsidP="00D5383B">
      <w:pPr>
        <w:rPr>
          <w:sz w:val="28"/>
          <w:szCs w:val="28"/>
        </w:rPr>
      </w:pPr>
      <w:r>
        <w:object w:dxaOrig="1520" w:dyaOrig="985" w14:anchorId="047CA5D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6" o:title=""/>
          </v:shape>
          <o:OLEObject Type="Embed" ProgID="Package" ShapeID="_x0000_i1025" DrawAspect="Icon" ObjectID="_1826359731" r:id="rId17"/>
        </w:object>
      </w:r>
    </w:p>
    <w:p w14:paraId="21D44593" w14:textId="1234AD39" w:rsidR="004C52CB" w:rsidRPr="00D5383B" w:rsidRDefault="00757B43" w:rsidP="00D5383B">
      <w:pPr>
        <w:rPr>
          <w:sz w:val="28"/>
          <w:szCs w:val="28"/>
        </w:rPr>
      </w:pPr>
      <w:r>
        <w:rPr>
          <w:noProof/>
        </w:rPr>
        <w:lastRenderedPageBreak/>
        <w:drawing>
          <wp:inline distT="114300" distB="114300" distL="114300" distR="114300" wp14:anchorId="2F95390B" wp14:editId="0ABA2B06">
            <wp:extent cx="5731200" cy="3225800"/>
            <wp:effectExtent l="0" t="0" r="0" b="0"/>
            <wp:docPr id="6"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677DE9ED" w14:textId="3F51A23B"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major concepts gained during Unit 4 is the growth mindset</w:t>
      </w:r>
      <w:r w:rsidR="005B0C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5B0CBE">
        <w:rPr>
          <w:rFonts w:ascii="Times New Roman" w:eastAsia="Times New Roman" w:hAnsi="Times New Roman" w:cs="Times New Roman"/>
          <w:sz w:val="24"/>
          <w:szCs w:val="24"/>
        </w:rPr>
        <w:t>which</w:t>
      </w:r>
      <w:r>
        <w:rPr>
          <w:rFonts w:ascii="Times New Roman" w:eastAsia="Times New Roman" w:hAnsi="Times New Roman" w:cs="Times New Roman"/>
          <w:sz w:val="24"/>
          <w:szCs w:val="24"/>
        </w:rPr>
        <w:t xml:space="preserve"> is defined as the notion that one can become stronger by means of effort, practice, and reflection [5]. The associated attitude is resilient</w:t>
      </w:r>
      <w:r w:rsidR="005B0C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it also educates the learners to accept the challenges instead of evading them [7]. Reflective practice, digital literacy and continuous professional development are also areas that are identified in the unit as crucial elements of lifelong learning.</w:t>
      </w:r>
    </w:p>
    <w:p w14:paraId="64840B8D" w14:textId="3149A79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studies propose that lifelong learning is gaining relevance in a digital age wherein the demands of the workplace and technologies are ever-changing [6]. This is highly connected to my PDP in that better communication, digital and reflective habits will be achieved by long-term learning and willingness to evolve. Through lifelong learning approaches, I can become more adaptable and employable in the </w:t>
      </w:r>
      <w:r w:rsidR="005B0CBE">
        <w:rPr>
          <w:rFonts w:ascii="Times New Roman" w:eastAsia="Times New Roman" w:hAnsi="Times New Roman" w:cs="Times New Roman"/>
          <w:sz w:val="24"/>
          <w:szCs w:val="24"/>
        </w:rPr>
        <w:t>long run</w:t>
      </w:r>
      <w:r>
        <w:rPr>
          <w:rFonts w:ascii="Times New Roman" w:eastAsia="Times New Roman" w:hAnsi="Times New Roman" w:cs="Times New Roman"/>
          <w:sz w:val="24"/>
          <w:szCs w:val="24"/>
        </w:rPr>
        <w:t>.</w:t>
      </w:r>
    </w:p>
    <w:p w14:paraId="6ABE8A4C" w14:textId="77777777" w:rsidR="005B0CBE" w:rsidRDefault="005B0CBE">
      <w:pPr>
        <w:rPr>
          <w:rFonts w:ascii="Times New Roman" w:eastAsia="Times New Roman" w:hAnsi="Times New Roman" w:cs="Times New Roman"/>
          <w:b/>
          <w:bCs/>
          <w:color w:val="073763"/>
          <w:sz w:val="32"/>
          <w:szCs w:val="32"/>
        </w:rPr>
      </w:pPr>
      <w:bookmarkStart w:id="4" w:name="_niajp5v4dki4" w:colFirst="0" w:colLast="0"/>
      <w:bookmarkEnd w:id="4"/>
      <w:r>
        <w:br w:type="page"/>
      </w:r>
    </w:p>
    <w:p w14:paraId="38BC13FD" w14:textId="08B6E010" w:rsidR="004C52CB" w:rsidRDefault="00757B43">
      <w:pPr>
        <w:pStyle w:val="Heading1"/>
        <w:keepNext w:val="0"/>
        <w:keepLines w:val="0"/>
      </w:pPr>
      <w:r>
        <w:lastRenderedPageBreak/>
        <w:t>Conclusion</w:t>
      </w:r>
    </w:p>
    <w:p w14:paraId="22579CBD"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311385C" wp14:editId="66ABD738">
            <wp:extent cx="5731200" cy="3225800"/>
            <wp:effectExtent l="0" t="0" r="0" b="0"/>
            <wp:docPr id="8"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1624D19C"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indicates that self-evaluation, planning and lifelong learning are helpful elements in my academic and professional growth. Following the PDP gives specific steps that will enhance communication, focus and digital literacy, whereas a growth mindset will support resilience. All these measures will improve my growth during my studies and future career.</w:t>
      </w:r>
    </w:p>
    <w:p w14:paraId="1D8A0412" w14:textId="77777777" w:rsidR="004C52CB" w:rsidRDefault="00757B43">
      <w:pPr>
        <w:pStyle w:val="Heading1"/>
      </w:pPr>
      <w:bookmarkStart w:id="5" w:name="_9es5yjiwte2" w:colFirst="0" w:colLast="0"/>
      <w:bookmarkEnd w:id="5"/>
      <w:r>
        <w:br w:type="page"/>
      </w:r>
    </w:p>
    <w:p w14:paraId="52CAFB6F" w14:textId="77777777" w:rsidR="004C52CB" w:rsidRDefault="00757B43">
      <w:pPr>
        <w:pStyle w:val="Heading1"/>
      </w:pPr>
      <w:bookmarkStart w:id="6" w:name="_y7k57tq5tbqj" w:colFirst="0" w:colLast="0"/>
      <w:bookmarkEnd w:id="6"/>
      <w:r>
        <w:lastRenderedPageBreak/>
        <w:t>References</w:t>
      </w:r>
    </w:p>
    <w:p w14:paraId="501CA372"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96C6937" wp14:editId="7F0D5611">
            <wp:extent cx="5731200" cy="3225800"/>
            <wp:effectExtent l="0" t="0" r="0" b="0"/>
            <wp:docPr id="9"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75B7293F"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p w14:paraId="0EB6581E"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 Thepsatitporn and C. Pichitpornchai, “Visual event-related potential studies supporting the validity of VARK learning styles’ visual and read/write learners,” </w:t>
      </w:r>
      <w:r>
        <w:rPr>
          <w:rFonts w:ascii="Times New Roman" w:eastAsia="Times New Roman" w:hAnsi="Times New Roman" w:cs="Times New Roman"/>
          <w:i/>
          <w:iCs/>
          <w:sz w:val="24"/>
          <w:szCs w:val="24"/>
        </w:rPr>
        <w:t>Advances in Physiology Education</w:t>
      </w:r>
      <w:r>
        <w:rPr>
          <w:rFonts w:ascii="Times New Roman" w:eastAsia="Times New Roman" w:hAnsi="Times New Roman" w:cs="Times New Roman"/>
          <w:sz w:val="24"/>
          <w:szCs w:val="24"/>
        </w:rPr>
        <w:t>, vol. 40, no. 2, pp. 206–212, Jun. 2016, doi: https://doi.org/10.1152/advan.00081.2015</w:t>
      </w:r>
    </w:p>
    <w:p w14:paraId="045F1EB0"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p w14:paraId="50290AB9"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 H. Morris, “Experiential Learning - a Systematic Review and Revision of Kolb’s Model,” </w:t>
      </w:r>
      <w:r>
        <w:rPr>
          <w:rFonts w:ascii="Times New Roman" w:eastAsia="Times New Roman" w:hAnsi="Times New Roman" w:cs="Times New Roman"/>
          <w:i/>
          <w:iCs/>
          <w:sz w:val="24"/>
          <w:szCs w:val="24"/>
        </w:rPr>
        <w:t>Interactive Learning Environments</w:t>
      </w:r>
      <w:r>
        <w:rPr>
          <w:rFonts w:ascii="Times New Roman" w:eastAsia="Times New Roman" w:hAnsi="Times New Roman" w:cs="Times New Roman"/>
          <w:sz w:val="24"/>
          <w:szCs w:val="24"/>
        </w:rPr>
        <w:t>, vol. 28, no. 8, pp. 1064–1077, 2020, doi: https://doi.org/10.1080/10494820.2019.1570279</w:t>
      </w:r>
    </w:p>
    <w:p w14:paraId="518D2B4E"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p w14:paraId="2FC32FD8" w14:textId="29BC060F"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 R. Mogan, “Aligning SMART with </w:t>
      </w:r>
      <w:r w:rsidR="005B0CBE">
        <w:rPr>
          <w:rFonts w:ascii="Times New Roman" w:eastAsia="Times New Roman" w:hAnsi="Times New Roman" w:cs="Times New Roman"/>
          <w:sz w:val="24"/>
          <w:szCs w:val="24"/>
        </w:rPr>
        <w:t>Organisational</w:t>
      </w:r>
      <w:r>
        <w:rPr>
          <w:rFonts w:ascii="Times New Roman" w:eastAsia="Times New Roman" w:hAnsi="Times New Roman" w:cs="Times New Roman"/>
          <w:sz w:val="24"/>
          <w:szCs w:val="24"/>
        </w:rPr>
        <w:t xml:space="preserve"> Goals,” </w:t>
      </w:r>
      <w:r>
        <w:rPr>
          <w:rFonts w:ascii="Times New Roman" w:eastAsia="Times New Roman" w:hAnsi="Times New Roman" w:cs="Times New Roman"/>
          <w:i/>
          <w:iCs/>
          <w:sz w:val="24"/>
          <w:szCs w:val="24"/>
        </w:rPr>
        <w:t>Proquest</w:t>
      </w:r>
      <w:r>
        <w:rPr>
          <w:rFonts w:ascii="Times New Roman" w:eastAsia="Times New Roman" w:hAnsi="Times New Roman" w:cs="Times New Roman"/>
          <w:sz w:val="24"/>
          <w:szCs w:val="24"/>
        </w:rPr>
        <w:t>, Jun. 2020. Available: https://www.proquest.com/openview/90a079711a57885cf6c851c61be17ae1/1?pq-origsite=gscholar&amp;cbl=51922&amp;diss=y</w:t>
      </w:r>
    </w:p>
    <w:p w14:paraId="6E0F4982"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p w14:paraId="5B83EA79"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 Dutta, M. He, and D. C. W. Tsang, “Reflection and peer assessment to promote self-directed learning in higher education,” </w:t>
      </w:r>
      <w:r>
        <w:rPr>
          <w:rFonts w:ascii="Times New Roman" w:eastAsia="Times New Roman" w:hAnsi="Times New Roman" w:cs="Times New Roman"/>
          <w:i/>
          <w:iCs/>
          <w:sz w:val="24"/>
          <w:szCs w:val="24"/>
        </w:rPr>
        <w:t>Journal of Educational Research and Reviews</w:t>
      </w:r>
      <w:r>
        <w:rPr>
          <w:rFonts w:ascii="Times New Roman" w:eastAsia="Times New Roman" w:hAnsi="Times New Roman" w:cs="Times New Roman"/>
          <w:sz w:val="24"/>
          <w:szCs w:val="24"/>
        </w:rPr>
        <w:t>, vol. 11, no. 3, pp. 35–46, Mar. 2023, doi: https://doi.org/10.33495/jerr_v11i3.23.111</w:t>
      </w:r>
    </w:p>
    <w:p w14:paraId="6EC713AC"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p w14:paraId="664AA704"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Campbell, T. Craig, and B. Collier-Reed, “A framework for using learning theories to inform ‘growth mindset’ activities,” </w:t>
      </w:r>
      <w:r>
        <w:rPr>
          <w:rFonts w:ascii="Times New Roman" w:eastAsia="Times New Roman" w:hAnsi="Times New Roman" w:cs="Times New Roman"/>
          <w:i/>
          <w:iCs/>
          <w:sz w:val="24"/>
          <w:szCs w:val="24"/>
        </w:rPr>
        <w:t>International Journal of Mathematical Education in Science and Technology</w:t>
      </w:r>
      <w:r>
        <w:rPr>
          <w:rFonts w:ascii="Times New Roman" w:eastAsia="Times New Roman" w:hAnsi="Times New Roman" w:cs="Times New Roman"/>
          <w:sz w:val="24"/>
          <w:szCs w:val="24"/>
        </w:rPr>
        <w:t>, vol. 51, no. 1, pp. 26–43, Jan. 2019, doi: https://doi.org/10.1080/0020739x.2018.1562118</w:t>
      </w:r>
    </w:p>
    <w:p w14:paraId="58F63645"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p w14:paraId="788CCB88"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Niyomves, N. Kunacheva, and S. Kenaphoom, “The Role of Lifelong Learning in Navigating the Future of Work,” </w:t>
      </w:r>
      <w:r>
        <w:rPr>
          <w:rFonts w:ascii="Times New Roman" w:eastAsia="Times New Roman" w:hAnsi="Times New Roman" w:cs="Times New Roman"/>
          <w:i/>
          <w:iCs/>
          <w:sz w:val="24"/>
          <w:szCs w:val="24"/>
        </w:rPr>
        <w:t>Advances in Business Strategy and Competitive Advantage</w:t>
      </w:r>
      <w:r>
        <w:rPr>
          <w:rFonts w:ascii="Times New Roman" w:eastAsia="Times New Roman" w:hAnsi="Times New Roman" w:cs="Times New Roman"/>
          <w:sz w:val="24"/>
          <w:szCs w:val="24"/>
        </w:rPr>
        <w:t>, pp. 297–316, Aug. 2024, doi: https://doi.org/10.4018/979-8-3693-6720-9.ch011. Available: https://typeset.io/papers/the-role-of-lifelong-learning-in-navigating-the-future-of-134txljg7smn</w:t>
      </w:r>
    </w:p>
    <w:p w14:paraId="4C6911C6"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VII, “Building Resilience in Students and Educators,” vol. 11, no. 1, pp. 1–7, Aug. 2025, doi: https://doi.org/10.59298/INOSRHSS/2025/111.1700. Available: https://www.researchgate.net/publication/394403821_Building_Resilience_in_Students_and_Educators</w:t>
      </w:r>
    </w:p>
    <w:p w14:paraId="75DBAC06"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p w14:paraId="07634CE2"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OpenAI’s ChatGPT, private communication, Nov. 2025.</w:t>
      </w:r>
    </w:p>
    <w:p w14:paraId="07892065"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p w14:paraId="32AC6F33" w14:textId="522B3D55"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Titiwoot Weerawong, “Business team meeting present, investor colleagues consultation and conference new strategy plan business and market growth on financial document graph report, Meeting and Talking.” </w:t>
      </w:r>
      <w:r>
        <w:rPr>
          <w:rFonts w:ascii="Times New Roman" w:eastAsia="Times New Roman" w:hAnsi="Times New Roman" w:cs="Times New Roman"/>
          <w:i/>
          <w:iCs/>
          <w:sz w:val="24"/>
          <w:szCs w:val="24"/>
        </w:rPr>
        <w:t>Vecteezy</w:t>
      </w:r>
      <w:r>
        <w:rPr>
          <w:rFonts w:ascii="Times New Roman" w:eastAsia="Times New Roman" w:hAnsi="Times New Roman" w:cs="Times New Roman"/>
          <w:sz w:val="24"/>
          <w:szCs w:val="24"/>
        </w:rPr>
        <w:t>, 2025. Available: https://www.vecteezy.com/video/34994008-business-team-meeting-present-investor-colleagues-consultation-and-conference-new-strategy-plan-business-and-market-growth-on-financial-document-graph-report-meeting-and-talking</w:t>
      </w:r>
    </w:p>
    <w:p w14:paraId="1C32CD53"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p w14:paraId="63FB9BCD"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Barış Bingöl, “What is a Professional Development Plan? Benefits, Use Cases + [Free Template],” </w:t>
      </w:r>
      <w:r>
        <w:rPr>
          <w:rFonts w:ascii="Times New Roman" w:eastAsia="Times New Roman" w:hAnsi="Times New Roman" w:cs="Times New Roman"/>
          <w:i/>
          <w:iCs/>
          <w:sz w:val="24"/>
          <w:szCs w:val="24"/>
        </w:rPr>
        <w:t>Sertifier</w:t>
      </w:r>
      <w:r>
        <w:rPr>
          <w:rFonts w:ascii="Times New Roman" w:eastAsia="Times New Roman" w:hAnsi="Times New Roman" w:cs="Times New Roman"/>
          <w:sz w:val="24"/>
          <w:szCs w:val="24"/>
        </w:rPr>
        <w:t>, Nov. 03, 2024. Available: https://sertifier.com/blog/what-is-a-professional-development-plan/</w:t>
      </w:r>
    </w:p>
    <w:p w14:paraId="4694FF95"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p w14:paraId="5D1DD77C" w14:textId="77777777" w:rsidR="004C52CB" w:rsidRDefault="00757B4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Pear Core Solutions, “Employee Career Development - PEAR Core Solutions, Inc.,” </w:t>
      </w:r>
      <w:r>
        <w:rPr>
          <w:rFonts w:ascii="Times New Roman" w:eastAsia="Times New Roman" w:hAnsi="Times New Roman" w:cs="Times New Roman"/>
          <w:i/>
          <w:iCs/>
          <w:sz w:val="24"/>
          <w:szCs w:val="24"/>
        </w:rPr>
        <w:t>PEAR Core Solutions, Inc. - Solving workplace challenges since 2003</w:t>
      </w:r>
      <w:r>
        <w:rPr>
          <w:rFonts w:ascii="Times New Roman" w:eastAsia="Times New Roman" w:hAnsi="Times New Roman" w:cs="Times New Roman"/>
          <w:sz w:val="24"/>
          <w:szCs w:val="24"/>
        </w:rPr>
        <w:t>, Dec. 30, 2022. Available: https://pearcoresolutions.com/2022/12/30/employee-career-development/.</w:t>
      </w:r>
    </w:p>
    <w:p w14:paraId="5CE0A083" w14:textId="77777777" w:rsidR="004C52CB" w:rsidRDefault="004C52CB">
      <w:pPr>
        <w:spacing w:line="360" w:lineRule="auto"/>
        <w:jc w:val="both"/>
        <w:rPr>
          <w:rFonts w:ascii="Times New Roman" w:eastAsia="Times New Roman" w:hAnsi="Times New Roman" w:cs="Times New Roman"/>
          <w:sz w:val="24"/>
          <w:szCs w:val="24"/>
        </w:rPr>
      </w:pPr>
    </w:p>
    <w:sectPr w:rsidR="004C52CB">
      <w:headerReference w:type="default" r:id="rId20"/>
      <w:footerReference w:type="default" r:id="rId21"/>
      <w:headerReference w:type="first" r:id="rId22"/>
      <w:footerReference w:type="first" r:id="rId23"/>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B9E8D" w14:textId="77777777" w:rsidR="00A43294" w:rsidRDefault="00A43294">
      <w:pPr>
        <w:spacing w:line="240" w:lineRule="auto"/>
      </w:pPr>
      <w:r>
        <w:separator/>
      </w:r>
    </w:p>
  </w:endnote>
  <w:endnote w:type="continuationSeparator" w:id="0">
    <w:p w14:paraId="1B9604A3" w14:textId="77777777" w:rsidR="00A43294" w:rsidRDefault="00A432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8D0D714-BD27-4573-9BB7-F56E607A8EF2}"/>
  </w:font>
  <w:font w:name="Cambria">
    <w:panose1 w:val="02040503050406030204"/>
    <w:charset w:val="00"/>
    <w:family w:val="roman"/>
    <w:pitch w:val="variable"/>
    <w:sig w:usb0="E00006FF" w:usb1="420024FF" w:usb2="02000000" w:usb3="00000000" w:csb0="0000019F" w:csb1="00000000"/>
    <w:embedRegular r:id="rId2" w:fontKey="{F0B3BBEB-04A9-4C28-A46F-8F341739889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99B84" w14:textId="77777777" w:rsidR="004C52CB" w:rsidRDefault="00757B43">
    <w:pPr>
      <w:jc w:val="cente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5B0CBE">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FD8A1B" w14:textId="77777777" w:rsidR="004C52CB" w:rsidRDefault="004C52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15B3D" w14:textId="77777777" w:rsidR="00A43294" w:rsidRDefault="00A43294">
      <w:pPr>
        <w:spacing w:line="240" w:lineRule="auto"/>
      </w:pPr>
      <w:r>
        <w:separator/>
      </w:r>
    </w:p>
  </w:footnote>
  <w:footnote w:type="continuationSeparator" w:id="0">
    <w:p w14:paraId="6A0DF23E" w14:textId="77777777" w:rsidR="00A43294" w:rsidRDefault="00A4329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81D6A3" w14:textId="77777777" w:rsidR="004C52CB" w:rsidRDefault="004C52CB"/>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8A4948" w14:textId="77777777" w:rsidR="004C52CB" w:rsidRDefault="004C52C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2CB"/>
    <w:rsid w:val="00303AB4"/>
    <w:rsid w:val="004B4F97"/>
    <w:rsid w:val="004C52CB"/>
    <w:rsid w:val="005B0CBE"/>
    <w:rsid w:val="00757B43"/>
    <w:rsid w:val="00800011"/>
    <w:rsid w:val="00A43294"/>
    <w:rsid w:val="00B603D8"/>
    <w:rsid w:val="00D538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DB897"/>
  <w15:docId w15:val="{DDCA8C54-DD25-48C9-A2A7-481D5AACF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bCs/>
      <w:color w:val="073763"/>
      <w:sz w:val="32"/>
      <w:szCs w:val="32"/>
    </w:rPr>
  </w:style>
  <w:style w:type="paragraph" w:styleId="Heading2">
    <w:name w:val="heading 2"/>
    <w:basedOn w:val="Normal"/>
    <w:next w:val="Normal"/>
    <w:uiPriority w:val="9"/>
    <w:unhideWhenUsed/>
    <w:qFormat/>
    <w:pPr>
      <w:keepNext/>
      <w:keepLines/>
      <w:spacing w:before="200" w:after="200" w:line="360" w:lineRule="auto"/>
      <w:jc w:val="both"/>
      <w:outlineLvl w:val="1"/>
    </w:pPr>
    <w:rPr>
      <w:rFonts w:ascii="Times New Roman" w:eastAsia="Times New Roman" w:hAnsi="Times New Roman" w:cs="Times New Roman"/>
      <w:b/>
      <w:bCs/>
      <w:color w:val="741B47"/>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2.jp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oleObject" Target="embeddings/oleObject1.bin"/><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emf"/><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jpg"/><Relationship Id="rId23" Type="http://schemas.openxmlformats.org/officeDocument/2006/relationships/footer" Target="footer2.xml"/><Relationship Id="rId10" Type="http://schemas.openxmlformats.org/officeDocument/2006/relationships/image" Target="media/image5.jpg"/><Relationship Id="rId19" Type="http://schemas.openxmlformats.org/officeDocument/2006/relationships/image" Target="media/image13.jp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header" Target="head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1203</Words>
  <Characters>6860</Characters>
  <Application>Microsoft Office Word</Application>
  <DocSecurity>0</DocSecurity>
  <Lines>57</Lines>
  <Paragraphs>16</Paragraphs>
  <ScaleCrop>false</ScaleCrop>
  <Company/>
  <LinksUpToDate>false</LinksUpToDate>
  <CharactersWithSpaces>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badara sanneh</cp:lastModifiedBy>
  <cp:revision>2</cp:revision>
  <dcterms:created xsi:type="dcterms:W3CDTF">2025-12-04T13:22:00Z</dcterms:created>
  <dcterms:modified xsi:type="dcterms:W3CDTF">2025-12-04T13:22:00Z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73d2deb4-9793-475e-9adc-5fa6ee6fc00f</vt:lpwstr>
  </property>
  <property fmtid="{D5CDD505-2E9C-101B-9397-08002B2CF9AE}" pid="3" name="_DocHome">
    <vt:i4>2070056123</vt:i4>
  </property>
</Properties>
</file>