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56DA7" w14:textId="0BB07C00" w:rsidR="00F80678" w:rsidRDefault="00CC585F" w:rsidP="00BD3696">
      <w:pPr>
        <w:pStyle w:val="NormalWeb"/>
        <w:spacing w:before="96" w:beforeAutospacing="0" w:after="0" w:afterAutospacing="0"/>
        <w:rPr>
          <w:rFonts w:ascii="Trebuchet MS" w:eastAsia="+mn-ea" w:hAnsi="Trebuchet MS" w:cs="+mn-cs"/>
          <w:color w:val="000000"/>
          <w:kern w:val="24"/>
          <w:sz w:val="40"/>
          <w:szCs w:val="40"/>
        </w:rPr>
      </w:pPr>
      <w:r w:rsidRPr="00A406E5">
        <w:rPr>
          <w:rFonts w:ascii="Arial" w:hAnsi="Arial" w:cs="Arial"/>
          <w:noProof/>
        </w:rPr>
        <w:drawing>
          <wp:anchor distT="0" distB="0" distL="114300" distR="114300" simplePos="0" relativeHeight="251659264" behindDoc="0" locked="0" layoutInCell="1" allowOverlap="1" wp14:anchorId="2AFB6DFF" wp14:editId="527E98C2">
            <wp:simplePos x="0" y="0"/>
            <wp:positionH relativeFrom="column">
              <wp:posOffset>-260350</wp:posOffset>
            </wp:positionH>
            <wp:positionV relativeFrom="paragraph">
              <wp:posOffset>123190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7B0D66" w14:textId="262A8B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15FB334E" w14:textId="63A634C3"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5795E879" w14:textId="1A2ED60D"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1822755A" w14:textId="27699028"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415B0AF5" w14:textId="00AD1A47" w:rsidR="00C51C4B" w:rsidRDefault="00F80901" w:rsidP="00CC585F">
      <w:pPr>
        <w:pStyle w:val="NormalWeb"/>
        <w:spacing w:before="96" w:beforeAutospacing="0" w:after="0" w:afterAutospacing="0"/>
        <w:ind w:left="0"/>
        <w:rPr>
          <w:rFonts w:ascii="Arial" w:eastAsia="+mn-ea" w:hAnsi="Arial" w:cs="Arial"/>
          <w:b/>
          <w:bCs/>
          <w:color w:val="000000"/>
          <w:kern w:val="24"/>
          <w:sz w:val="32"/>
          <w:szCs w:val="32"/>
        </w:rPr>
      </w:pPr>
      <w:r w:rsidRPr="00465D94">
        <w:rPr>
          <w:rFonts w:ascii="Arial" w:eastAsia="+mn-ea" w:hAnsi="Arial" w:cs="Arial"/>
          <w:b/>
          <w:bCs/>
          <w:color w:val="000000"/>
          <w:kern w:val="24"/>
          <w:sz w:val="32"/>
          <w:szCs w:val="32"/>
        </w:rPr>
        <w:t xml:space="preserve">Component 1 </w:t>
      </w:r>
      <w:r w:rsidR="0032303D" w:rsidRPr="00465D94">
        <w:rPr>
          <w:rFonts w:ascii="Arial" w:eastAsia="+mn-ea" w:hAnsi="Arial" w:cs="Arial"/>
          <w:b/>
          <w:bCs/>
          <w:color w:val="000000"/>
          <w:kern w:val="24"/>
          <w:sz w:val="32"/>
          <w:szCs w:val="32"/>
        </w:rPr>
        <w:t>portfoli</w:t>
      </w:r>
      <w:r w:rsidR="000C04AB" w:rsidRPr="00465D94">
        <w:rPr>
          <w:rFonts w:ascii="Arial" w:eastAsia="+mn-ea" w:hAnsi="Arial" w:cs="Arial"/>
          <w:b/>
          <w:bCs/>
          <w:color w:val="000000"/>
          <w:kern w:val="24"/>
          <w:sz w:val="32"/>
          <w:szCs w:val="32"/>
        </w:rPr>
        <w:t>o</w:t>
      </w:r>
    </w:p>
    <w:p w14:paraId="6D694F5C" w14:textId="77777777" w:rsidR="001B1837" w:rsidRDefault="001B1837" w:rsidP="00BD3696">
      <w:pPr>
        <w:pStyle w:val="NormalWeb"/>
        <w:spacing w:before="96" w:beforeAutospacing="0" w:after="0" w:afterAutospacing="0"/>
        <w:rPr>
          <w:rFonts w:ascii="Arial" w:eastAsia="+mn-ea" w:hAnsi="Arial" w:cs="Arial"/>
          <w:b/>
          <w:bCs/>
          <w:color w:val="000000"/>
          <w:kern w:val="24"/>
          <w:sz w:val="32"/>
          <w:szCs w:val="32"/>
        </w:rPr>
      </w:pPr>
    </w:p>
    <w:p w14:paraId="0470269E" w14:textId="7B49873A" w:rsidR="001B1837" w:rsidRPr="00E84BAF" w:rsidRDefault="002004AB" w:rsidP="00BD3696">
      <w:pPr>
        <w:pStyle w:val="NormalWeb"/>
        <w:spacing w:before="96" w:beforeAutospacing="0" w:after="0" w:afterAutospacing="0"/>
        <w:rPr>
          <w:rFonts w:ascii="Arial" w:eastAsia="+mn-ea" w:hAnsi="Arial" w:cs="Arial"/>
          <w:b/>
          <w:bCs/>
          <w:color w:val="000000"/>
          <w:kern w:val="24"/>
          <w:sz w:val="48"/>
          <w:szCs w:val="48"/>
        </w:rPr>
      </w:pPr>
      <w:r w:rsidRPr="00E84BAF">
        <w:rPr>
          <w:rFonts w:ascii="Arial" w:eastAsia="+mn-ea" w:hAnsi="Arial" w:cs="Arial"/>
          <w:b/>
          <w:bCs/>
          <w:color w:val="000000"/>
          <w:kern w:val="24"/>
          <w:sz w:val="48"/>
          <w:szCs w:val="48"/>
        </w:rPr>
        <w:t>Anjumben Virani - 2535117</w:t>
      </w:r>
    </w:p>
    <w:p w14:paraId="2AA97E55" w14:textId="01A6EFAE" w:rsidR="00AF11A7" w:rsidRPr="00E84BAF" w:rsidRDefault="000F4B97" w:rsidP="000F4B97">
      <w:pPr>
        <w:pStyle w:val="NormalWeb"/>
        <w:spacing w:before="96" w:beforeAutospacing="0" w:after="0" w:afterAutospacing="0"/>
        <w:ind w:left="0"/>
        <w:rPr>
          <w:rFonts w:ascii="Arial" w:eastAsia="+mn-ea" w:hAnsi="Arial" w:cs="Arial"/>
          <w:color w:val="000000"/>
          <w:kern w:val="24"/>
          <w:sz w:val="28"/>
          <w:szCs w:val="28"/>
        </w:rPr>
      </w:pPr>
      <w:r>
        <w:rPr>
          <w:rFonts w:ascii="Arial" w:eastAsia="+mn-ea" w:hAnsi="Arial" w:cs="Arial"/>
          <w:color w:val="000000"/>
          <w:kern w:val="24"/>
          <w:sz w:val="22"/>
          <w:szCs w:val="22"/>
        </w:rPr>
        <w:t xml:space="preserve">            </w:t>
      </w:r>
      <w:r w:rsidR="00637447" w:rsidRPr="00E84BAF">
        <w:rPr>
          <w:rFonts w:ascii="Arial" w:eastAsia="+mn-ea" w:hAnsi="Arial" w:cs="Arial"/>
          <w:color w:val="000000"/>
          <w:kern w:val="24"/>
          <w:sz w:val="28"/>
          <w:szCs w:val="28"/>
        </w:rPr>
        <w:t>Mod</w:t>
      </w:r>
      <w:r w:rsidR="004011D3" w:rsidRPr="00E84BAF">
        <w:rPr>
          <w:rFonts w:ascii="Arial" w:eastAsia="+mn-ea" w:hAnsi="Arial" w:cs="Arial"/>
          <w:color w:val="000000"/>
          <w:kern w:val="24"/>
          <w:sz w:val="28"/>
          <w:szCs w:val="28"/>
        </w:rPr>
        <w:t xml:space="preserve">ule: </w:t>
      </w:r>
      <w:r w:rsidR="0028695B" w:rsidRPr="00E84BAF">
        <w:rPr>
          <w:rFonts w:ascii="Arial" w:hAnsi="Arial" w:cs="Arial"/>
          <w:b/>
          <w:bCs/>
          <w:sz w:val="28"/>
          <w:szCs w:val="28"/>
        </w:rPr>
        <w:t>Introduction to Health and Social Care</w:t>
      </w:r>
    </w:p>
    <w:p w14:paraId="590167C4" w14:textId="77777777" w:rsidR="000F4B97" w:rsidRDefault="00637447" w:rsidP="000F4B97">
      <w:pPr>
        <w:pStyle w:val="NormalWeb"/>
        <w:spacing w:before="96" w:beforeAutospacing="0" w:after="0" w:afterAutospacing="0"/>
        <w:rPr>
          <w:rFonts w:ascii="Arial" w:hAnsi="Arial" w:cs="Arial"/>
          <w:b/>
          <w:sz w:val="28"/>
          <w:szCs w:val="28"/>
        </w:rPr>
      </w:pPr>
      <w:r w:rsidRPr="00E84BAF">
        <w:rPr>
          <w:rFonts w:ascii="Arial" w:eastAsia="+mn-ea" w:hAnsi="Arial" w:cs="Arial"/>
          <w:color w:val="000000"/>
          <w:kern w:val="24"/>
          <w:sz w:val="28"/>
          <w:szCs w:val="28"/>
        </w:rPr>
        <w:t>Module</w:t>
      </w:r>
      <w:r w:rsidR="00743F94" w:rsidRPr="00E84BAF">
        <w:rPr>
          <w:rFonts w:ascii="Arial" w:eastAsia="+mn-ea" w:hAnsi="Arial" w:cs="Arial"/>
          <w:color w:val="000000"/>
          <w:kern w:val="24"/>
          <w:sz w:val="28"/>
          <w:szCs w:val="28"/>
        </w:rPr>
        <w:t xml:space="preserve"> code: </w:t>
      </w:r>
      <w:r w:rsidRPr="00E84BAF">
        <w:rPr>
          <w:rFonts w:ascii="Arial" w:hAnsi="Arial" w:cs="Arial"/>
          <w:b/>
          <w:sz w:val="28"/>
          <w:szCs w:val="28"/>
        </w:rPr>
        <w:t>LCHS4003</w:t>
      </w:r>
      <w:r w:rsidR="009944ED" w:rsidRPr="00E84BAF">
        <w:rPr>
          <w:rFonts w:ascii="Arial" w:hAnsi="Arial" w:cs="Arial"/>
          <w:b/>
          <w:sz w:val="28"/>
          <w:szCs w:val="28"/>
        </w:rPr>
        <w:t xml:space="preserve">Lecture: </w:t>
      </w:r>
    </w:p>
    <w:p w14:paraId="5D108F0A" w14:textId="34A5D5A2" w:rsidR="009944ED" w:rsidRPr="00E84BAF" w:rsidRDefault="009944ED" w:rsidP="000F4B97">
      <w:pPr>
        <w:pStyle w:val="NormalWeb"/>
        <w:spacing w:before="96" w:beforeAutospacing="0" w:after="0" w:afterAutospacing="0"/>
        <w:rPr>
          <w:rFonts w:ascii="Arial" w:hAnsi="Arial" w:cs="Arial"/>
          <w:b/>
          <w:sz w:val="28"/>
          <w:szCs w:val="28"/>
        </w:rPr>
      </w:pPr>
      <w:r w:rsidRPr="00E84BAF">
        <w:rPr>
          <w:rFonts w:ascii="Arial" w:hAnsi="Arial" w:cs="Arial"/>
          <w:b/>
          <w:bCs/>
          <w:sz w:val="28"/>
          <w:szCs w:val="28"/>
          <w:lang w:val="fr-FR"/>
        </w:rPr>
        <w:t>Dr Helen Parsons (Module Lead)</w:t>
      </w:r>
    </w:p>
    <w:p w14:paraId="13DB8564" w14:textId="33984547" w:rsidR="009944ED" w:rsidRDefault="009944ED" w:rsidP="00BD3696">
      <w:pPr>
        <w:pStyle w:val="NormalWeb"/>
        <w:spacing w:before="96" w:beforeAutospacing="0" w:after="0" w:afterAutospacing="0"/>
        <w:rPr>
          <w:rFonts w:ascii="Arial" w:hAnsi="Arial" w:cs="Arial"/>
          <w:b/>
          <w:sz w:val="22"/>
          <w:szCs w:val="22"/>
        </w:rPr>
      </w:pPr>
    </w:p>
    <w:p w14:paraId="3C8C79A0" w14:textId="77777777" w:rsidR="00CF4204" w:rsidRDefault="00CF4204" w:rsidP="00BD3696">
      <w:pPr>
        <w:pStyle w:val="NormalWeb"/>
        <w:spacing w:before="96" w:beforeAutospacing="0" w:after="0" w:afterAutospacing="0"/>
        <w:rPr>
          <w:rFonts w:ascii="Arial" w:eastAsia="+mn-ea" w:hAnsi="Arial" w:cs="Arial"/>
          <w:color w:val="000000"/>
          <w:kern w:val="24"/>
          <w:sz w:val="22"/>
          <w:szCs w:val="22"/>
        </w:rPr>
      </w:pPr>
    </w:p>
    <w:p w14:paraId="00384D50" w14:textId="77777777" w:rsidR="000C04AB" w:rsidRDefault="000C04AB" w:rsidP="00BD3696">
      <w:pPr>
        <w:pStyle w:val="NormalWeb"/>
        <w:spacing w:before="96" w:beforeAutospacing="0" w:after="0" w:afterAutospacing="0"/>
        <w:rPr>
          <w:rFonts w:ascii="Arial" w:eastAsia="+mn-ea" w:hAnsi="Arial" w:cs="Arial"/>
          <w:color w:val="000000"/>
          <w:kern w:val="24"/>
          <w:sz w:val="22"/>
          <w:szCs w:val="22"/>
        </w:rPr>
      </w:pPr>
    </w:p>
    <w:p w14:paraId="2A5C73A0" w14:textId="77777777" w:rsidR="00F80901" w:rsidRDefault="00F80901" w:rsidP="00BD3696">
      <w:pPr>
        <w:pStyle w:val="NormalWeb"/>
        <w:spacing w:before="96" w:beforeAutospacing="0" w:after="0" w:afterAutospacing="0"/>
        <w:rPr>
          <w:rFonts w:ascii="Arial" w:eastAsia="+mn-ea" w:hAnsi="Arial" w:cs="Arial"/>
          <w:color w:val="000000"/>
          <w:kern w:val="24"/>
          <w:sz w:val="22"/>
          <w:szCs w:val="22"/>
        </w:rPr>
      </w:pPr>
    </w:p>
    <w:p w14:paraId="52D60C60"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04A6CD3C"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6721AD09"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750F132B"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07C60C19"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2557C1A6"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2BA6D98A"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46D9E518"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6740B856" w14:textId="77777777" w:rsidR="00184CCD" w:rsidRDefault="00184CCD" w:rsidP="00184CCD">
      <w:pPr>
        <w:ind w:left="0"/>
        <w:rPr>
          <w:rFonts w:ascii="Arial" w:eastAsia="Arial" w:hAnsi="Arial" w:cs="Arial"/>
          <w:b/>
          <w:bCs/>
          <w:sz w:val="36"/>
          <w:szCs w:val="36"/>
        </w:rPr>
      </w:pPr>
    </w:p>
    <w:p w14:paraId="6B2AE9BE" w14:textId="77777777" w:rsidR="00184CCD" w:rsidRDefault="00184CCD" w:rsidP="00184CCD">
      <w:pPr>
        <w:ind w:left="0"/>
        <w:rPr>
          <w:rFonts w:ascii="Arial" w:eastAsia="Arial" w:hAnsi="Arial" w:cs="Arial"/>
          <w:b/>
          <w:bCs/>
          <w:sz w:val="36"/>
          <w:szCs w:val="36"/>
        </w:rPr>
      </w:pPr>
    </w:p>
    <w:p w14:paraId="46E45615" w14:textId="77777777" w:rsidR="00184CCD" w:rsidRDefault="00184CCD" w:rsidP="00184CCD">
      <w:pPr>
        <w:ind w:left="0"/>
        <w:rPr>
          <w:rFonts w:ascii="Arial" w:eastAsia="Arial" w:hAnsi="Arial" w:cs="Arial"/>
          <w:b/>
          <w:bCs/>
          <w:sz w:val="36"/>
          <w:szCs w:val="36"/>
        </w:rPr>
      </w:pPr>
    </w:p>
    <w:p w14:paraId="3537E5A8" w14:textId="77777777" w:rsidR="00184CCD" w:rsidRDefault="00184CCD" w:rsidP="00184CCD">
      <w:pPr>
        <w:ind w:left="0"/>
        <w:rPr>
          <w:rFonts w:ascii="Arial" w:eastAsia="Arial" w:hAnsi="Arial" w:cs="Arial"/>
          <w:b/>
          <w:bCs/>
          <w:sz w:val="36"/>
          <w:szCs w:val="36"/>
        </w:rPr>
      </w:pPr>
    </w:p>
    <w:p w14:paraId="75A031EB" w14:textId="40C7348D" w:rsidR="00415C33" w:rsidRPr="00CC0F6E" w:rsidRDefault="00415C33" w:rsidP="00184CCD">
      <w:pPr>
        <w:ind w:left="0"/>
        <w:rPr>
          <w:rFonts w:ascii="Arial" w:eastAsia="Arial" w:hAnsi="Arial" w:cs="Arial"/>
          <w:color w:val="000000" w:themeColor="text1"/>
          <w:sz w:val="36"/>
          <w:szCs w:val="36"/>
        </w:rPr>
      </w:pPr>
      <w:r w:rsidRPr="00CC0F6E">
        <w:rPr>
          <w:rFonts w:ascii="Arial" w:eastAsia="Arial" w:hAnsi="Arial" w:cs="Arial"/>
          <w:b/>
          <w:bCs/>
          <w:sz w:val="36"/>
          <w:szCs w:val="36"/>
        </w:rPr>
        <w:lastRenderedPageBreak/>
        <w:t xml:space="preserve">Task 1: </w:t>
      </w:r>
      <w:r w:rsidR="003E7CA6" w:rsidRPr="00CC0F6E">
        <w:rPr>
          <w:rFonts w:ascii="Arial" w:eastAsia="Arial" w:hAnsi="Arial" w:cs="Arial"/>
          <w:b/>
          <w:bCs/>
          <w:sz w:val="36"/>
          <w:szCs w:val="36"/>
        </w:rPr>
        <w:t xml:space="preserve">A </w:t>
      </w:r>
      <w:r w:rsidR="00CC0F6E" w:rsidRPr="00CC0F6E">
        <w:rPr>
          <w:rFonts w:ascii="Arial" w:eastAsia="Arial" w:hAnsi="Arial" w:cs="Arial"/>
          <w:b/>
          <w:bCs/>
          <w:sz w:val="36"/>
          <w:szCs w:val="36"/>
        </w:rPr>
        <w:t>mini report</w:t>
      </w:r>
      <w:r w:rsidRPr="00CC0F6E">
        <w:rPr>
          <w:rFonts w:ascii="Arial" w:eastAsia="Arial" w:hAnsi="Arial" w:cs="Arial"/>
          <w:b/>
          <w:bCs/>
          <w:sz w:val="36"/>
          <w:szCs w:val="36"/>
        </w:rPr>
        <w:t xml:space="preserve"> </w:t>
      </w:r>
    </w:p>
    <w:p w14:paraId="60798E7D" w14:textId="77777777" w:rsidR="00415C33" w:rsidRPr="00442F05" w:rsidRDefault="00415C33" w:rsidP="00BD3696">
      <w:pPr>
        <w:pStyle w:val="NormalWeb"/>
        <w:spacing w:before="96" w:beforeAutospacing="0" w:after="0" w:afterAutospacing="0"/>
        <w:rPr>
          <w:rFonts w:ascii="Arial" w:eastAsia="+mn-ea" w:hAnsi="Arial" w:cs="Arial"/>
          <w:color w:val="000000"/>
          <w:kern w:val="24"/>
          <w:sz w:val="22"/>
          <w:szCs w:val="22"/>
        </w:rPr>
      </w:pPr>
    </w:p>
    <w:p w14:paraId="53282A83" w14:textId="54EF86EC" w:rsidR="00D116AC" w:rsidRPr="00442F05" w:rsidRDefault="00D116AC" w:rsidP="00203884">
      <w:pPr>
        <w:pStyle w:val="NormalWeb"/>
        <w:spacing w:before="96" w:beforeAutospacing="0" w:after="0" w:afterAutospacing="0"/>
        <w:rPr>
          <w:rFonts w:ascii="Arial" w:eastAsia="+mn-ea" w:hAnsi="Arial" w:cs="Arial"/>
          <w:color w:val="000000"/>
          <w:kern w:val="24"/>
          <w:sz w:val="22"/>
          <w:szCs w:val="22"/>
        </w:rPr>
      </w:pPr>
    </w:p>
    <w:p w14:paraId="64777806" w14:textId="1E3F3FA5" w:rsidR="007D7CB7" w:rsidRPr="0045499F" w:rsidRDefault="0045499F" w:rsidP="00CC585F">
      <w:pPr>
        <w:pStyle w:val="NormalWeb"/>
        <w:spacing w:before="96" w:beforeAutospacing="0" w:after="0" w:afterAutospacing="0"/>
        <w:rPr>
          <w:rFonts w:ascii="Arial" w:hAnsi="Arial" w:cs="Arial"/>
          <w:b/>
          <w:bCs/>
          <w:color w:val="1D1D1D"/>
          <w:sz w:val="40"/>
          <w:szCs w:val="40"/>
        </w:rPr>
      </w:pPr>
      <w:r>
        <w:rPr>
          <w:rFonts w:ascii="Arial" w:hAnsi="Arial" w:cs="Arial"/>
          <w:b/>
          <w:bCs/>
          <w:color w:val="1D1D1D"/>
          <w:sz w:val="40"/>
          <w:szCs w:val="40"/>
        </w:rPr>
        <w:t>An a</w:t>
      </w:r>
      <w:r w:rsidR="74F41A2C" w:rsidRPr="0045499F">
        <w:rPr>
          <w:rFonts w:ascii="Arial" w:hAnsi="Arial" w:cs="Arial"/>
          <w:b/>
          <w:bCs/>
          <w:color w:val="1D1D1D"/>
          <w:sz w:val="40"/>
          <w:szCs w:val="40"/>
        </w:rPr>
        <w:t>dvisory Report to a Local Councillor</w:t>
      </w:r>
    </w:p>
    <w:p w14:paraId="56446C40"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p>
    <w:p w14:paraId="514E7800" w14:textId="77777777" w:rsidR="007A6C5A"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To: Councillor Liam Preece</w:t>
      </w:r>
    </w:p>
    <w:p w14:paraId="7B85CA59" w14:textId="0478D95D" w:rsidR="007A6C5A" w:rsidRDefault="00427211"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r>
        <w:rPr>
          <w:rFonts w:ascii="Arial" w:hAnsi="Arial" w:cs="Arial"/>
          <w:color w:val="1D1D1D"/>
          <w:sz w:val="22"/>
          <w:szCs w:val="22"/>
        </w:rPr>
        <w:t xml:space="preserve"> (</w:t>
      </w:r>
      <w:r w:rsidR="003669F6">
        <w:rPr>
          <w:rFonts w:ascii="Arial" w:hAnsi="Arial" w:cs="Arial"/>
          <w:color w:val="1D1D1D"/>
          <w:sz w:val="22"/>
          <w:szCs w:val="22"/>
        </w:rPr>
        <w:t xml:space="preserve">Ward: </w:t>
      </w:r>
      <w:r w:rsidR="007D7CB7" w:rsidRPr="00442F05">
        <w:rPr>
          <w:rFonts w:ascii="Arial" w:hAnsi="Arial" w:cs="Arial"/>
          <w:color w:val="1D1D1D"/>
          <w:sz w:val="22"/>
          <w:szCs w:val="22"/>
        </w:rPr>
        <w:t>West Bromwich Central</w:t>
      </w:r>
      <w:r w:rsidR="007A6C5A">
        <w:rPr>
          <w:rFonts w:ascii="Arial" w:hAnsi="Arial" w:cs="Arial"/>
          <w:color w:val="1D1D1D"/>
          <w:sz w:val="22"/>
          <w:szCs w:val="22"/>
        </w:rPr>
        <w:t>, S</w:t>
      </w:r>
      <w:r w:rsidR="007D7CB7" w:rsidRPr="00442F05">
        <w:rPr>
          <w:rFonts w:ascii="Arial" w:hAnsi="Arial" w:cs="Arial"/>
          <w:color w:val="1D1D1D"/>
          <w:sz w:val="22"/>
          <w:szCs w:val="22"/>
        </w:rPr>
        <w:t>andwell Metropolitan Borough</w:t>
      </w:r>
      <w:r w:rsidR="007A6C5A">
        <w:rPr>
          <w:rFonts w:ascii="Arial" w:hAnsi="Arial" w:cs="Arial"/>
          <w:color w:val="1D1D1D"/>
          <w:sz w:val="22"/>
          <w:szCs w:val="22"/>
        </w:rPr>
        <w:t xml:space="preserve"> Council</w:t>
      </w:r>
      <w:r w:rsidR="007A6C5A" w:rsidRPr="00442F05">
        <w:rPr>
          <w:rFonts w:ascii="Arial" w:hAnsi="Arial" w:cs="Arial"/>
          <w:color w:val="1D1D1D"/>
          <w:sz w:val="22"/>
          <w:szCs w:val="22"/>
        </w:rPr>
        <w:t>)</w:t>
      </w:r>
    </w:p>
    <w:p w14:paraId="064D536A" w14:textId="44B554DF"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Sandwell Council House</w:t>
      </w:r>
    </w:p>
    <w:p w14:paraId="5F85AE5F" w14:textId="5E8D4811" w:rsidR="007D7CB7" w:rsidRPr="00442F05" w:rsidRDefault="00567911"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r>
        <w:rPr>
          <w:rFonts w:ascii="Arial" w:hAnsi="Arial" w:cs="Arial"/>
          <w:color w:val="1D1D1D"/>
          <w:sz w:val="22"/>
          <w:szCs w:val="22"/>
        </w:rPr>
        <w:t xml:space="preserve"> </w:t>
      </w:r>
      <w:r w:rsidR="007D7CB7" w:rsidRPr="00442F05">
        <w:rPr>
          <w:rFonts w:ascii="Arial" w:hAnsi="Arial" w:cs="Arial"/>
          <w:color w:val="1D1D1D"/>
          <w:sz w:val="22"/>
          <w:szCs w:val="22"/>
        </w:rPr>
        <w:t>Freeth Street</w:t>
      </w:r>
    </w:p>
    <w:p w14:paraId="267F5A70"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Oldbury</w:t>
      </w:r>
    </w:p>
    <w:p w14:paraId="0D16BC80" w14:textId="5D4E9602" w:rsidR="007D7CB7" w:rsidRDefault="74F41A2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rPr>
          <w:rFonts w:ascii="Arial" w:hAnsi="Arial" w:cs="Arial"/>
          <w:color w:val="1D1D1D"/>
          <w:sz w:val="22"/>
          <w:szCs w:val="22"/>
        </w:rPr>
      </w:pPr>
      <w:r w:rsidRPr="00442F05">
        <w:rPr>
          <w:rFonts w:ascii="Arial" w:hAnsi="Arial" w:cs="Arial"/>
          <w:color w:val="1D1D1D"/>
          <w:sz w:val="22"/>
          <w:szCs w:val="22"/>
        </w:rPr>
        <w:t>B69 3DE</w:t>
      </w:r>
    </w:p>
    <w:p w14:paraId="66BF0F8E" w14:textId="77777777" w:rsidR="00CC0F6E" w:rsidRDefault="00CC0F6E"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rPr>
          <w:rFonts w:ascii="Arial" w:hAnsi="Arial" w:cs="Arial"/>
          <w:color w:val="1D1D1D"/>
          <w:sz w:val="22"/>
          <w:szCs w:val="22"/>
        </w:rPr>
      </w:pPr>
    </w:p>
    <w:p w14:paraId="755BEA4A" w14:textId="77777777" w:rsidR="00CC0F6E" w:rsidRPr="00442F05" w:rsidRDefault="00CC0F6E"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rPr>
          <w:rFonts w:ascii="Arial" w:hAnsi="Arial" w:cs="Arial"/>
          <w:sz w:val="22"/>
          <w:szCs w:val="22"/>
        </w:rPr>
      </w:pPr>
    </w:p>
    <w:p w14:paraId="1C88EF8E" w14:textId="154F5DD6" w:rsidR="007D7CB7" w:rsidRPr="00214E45" w:rsidRDefault="74F41A2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rPr>
          <w:rFonts w:ascii="Arial" w:hAnsi="Arial" w:cs="Arial"/>
          <w:b/>
          <w:bCs/>
          <w:color w:val="1D1D1D"/>
          <w:sz w:val="28"/>
          <w:szCs w:val="28"/>
        </w:rPr>
      </w:pPr>
      <w:r w:rsidRPr="00214E45">
        <w:rPr>
          <w:rFonts w:ascii="Arial" w:hAnsi="Arial" w:cs="Arial"/>
          <w:b/>
          <w:bCs/>
          <w:color w:val="1D1D1D"/>
          <w:sz w:val="40"/>
          <w:szCs w:val="40"/>
        </w:rPr>
        <w:t xml:space="preserve">Subject: </w:t>
      </w:r>
      <w:r w:rsidRPr="00214E45">
        <w:rPr>
          <w:rFonts w:ascii="Arial" w:hAnsi="Arial" w:cs="Arial"/>
          <w:b/>
          <w:bCs/>
          <w:color w:val="1D1D1D"/>
          <w:sz w:val="28"/>
          <w:szCs w:val="28"/>
        </w:rPr>
        <w:t xml:space="preserve">Shortage of Residential Care Home Services within the </w:t>
      </w:r>
      <w:r w:rsidR="003B36F0">
        <w:rPr>
          <w:rFonts w:ascii="Arial" w:hAnsi="Arial" w:cs="Arial"/>
          <w:b/>
          <w:bCs/>
          <w:color w:val="1D1D1D"/>
          <w:sz w:val="28"/>
          <w:szCs w:val="28"/>
        </w:rPr>
        <w:t>Sandwell</w:t>
      </w:r>
      <w:r w:rsidRPr="00214E45">
        <w:rPr>
          <w:rFonts w:ascii="Arial" w:hAnsi="Arial" w:cs="Arial"/>
          <w:b/>
          <w:bCs/>
          <w:color w:val="1D1D1D"/>
          <w:sz w:val="28"/>
          <w:szCs w:val="28"/>
        </w:rPr>
        <w:t xml:space="preserve"> Local Community</w:t>
      </w:r>
    </w:p>
    <w:p w14:paraId="4C5AE36A"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rPr>
          <w:rFonts w:ascii="Arial" w:hAnsi="Arial" w:cs="Arial"/>
          <w:color w:val="1D1D1D"/>
          <w:sz w:val="22"/>
          <w:szCs w:val="22"/>
        </w:rPr>
      </w:pPr>
    </w:p>
    <w:p w14:paraId="25960A47" w14:textId="2627ACDA" w:rsidR="007D7CB7" w:rsidRPr="00442F05" w:rsidRDefault="4FEE8A20"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rPr>
          <w:rFonts w:ascii="Arial" w:hAnsi="Arial" w:cs="Arial"/>
          <w:b/>
          <w:bCs/>
          <w:color w:val="1D1D1D"/>
          <w:sz w:val="22"/>
          <w:szCs w:val="22"/>
        </w:rPr>
      </w:pPr>
      <w:r w:rsidRPr="00442F05">
        <w:rPr>
          <w:rFonts w:ascii="Arial" w:hAnsi="Arial" w:cs="Arial"/>
          <w:b/>
          <w:bCs/>
          <w:color w:val="1D1D1D"/>
          <w:sz w:val="22"/>
          <w:szCs w:val="22"/>
        </w:rPr>
        <w:t xml:space="preserve"> Introduction</w:t>
      </w:r>
    </w:p>
    <w:p w14:paraId="2A6EBDED" w14:textId="46E53776" w:rsidR="007D7CB7" w:rsidRPr="00442F05" w:rsidRDefault="74F41A2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Residential care homes provide accommodation, personal care, supervision and support for people who cannot safely live independently at home. They support older people, people with dementia, physical disabilities and individuals with complex care needs.</w:t>
      </w:r>
    </w:p>
    <w:p w14:paraId="3C8813D4" w14:textId="18877247" w:rsidR="007D7CB7" w:rsidRPr="00442F05" w:rsidRDefault="74F41A2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There is concern about the availability of residential care services in</w:t>
      </w:r>
      <w:r w:rsidR="003B36F0">
        <w:rPr>
          <w:rFonts w:ascii="Arial" w:hAnsi="Arial" w:cs="Arial"/>
          <w:color w:val="1D1D1D"/>
          <w:sz w:val="22"/>
          <w:szCs w:val="22"/>
        </w:rPr>
        <w:t xml:space="preserve"> </w:t>
      </w:r>
      <w:proofErr w:type="spellStart"/>
      <w:r w:rsidR="003B36F0">
        <w:rPr>
          <w:rFonts w:ascii="Arial" w:hAnsi="Arial" w:cs="Arial"/>
          <w:color w:val="1D1D1D"/>
          <w:sz w:val="22"/>
          <w:szCs w:val="22"/>
        </w:rPr>
        <w:t>sandwell</w:t>
      </w:r>
      <w:proofErr w:type="spellEnd"/>
      <w:r w:rsidRPr="00442F05">
        <w:rPr>
          <w:rFonts w:ascii="Arial" w:hAnsi="Arial" w:cs="Arial"/>
          <w:color w:val="1D1D1D"/>
          <w:sz w:val="22"/>
          <w:szCs w:val="22"/>
        </w:rPr>
        <w:t xml:space="preserve"> because demand for adult social care is increasing. The Care Quality Commission (CQC, 2025) has reported continuing pressures on adult social care, including demand for services and difficulties with capacity.</w:t>
      </w:r>
    </w:p>
    <w:p w14:paraId="1B7068EA" w14:textId="6B0FCBFF" w:rsidR="007D7CB7" w:rsidRPr="00442F05" w:rsidRDefault="74F41A2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color w:val="1D1D1D"/>
          <w:sz w:val="22"/>
          <w:szCs w:val="22"/>
        </w:rPr>
        <w:lastRenderedPageBreak/>
        <w:t>The Care Act 2014 places individual wellbeing, prevention and meeting care and support needs at the centre of adult social care. This report explains why residential care is needed, how shortages affect the local community and what Sandwell Council could do to improve services.</w:t>
      </w:r>
    </w:p>
    <w:p w14:paraId="1FBDE9C4" w14:textId="32379177" w:rsidR="007D7CB7" w:rsidRPr="00442F05" w:rsidRDefault="00AE0954"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Pr>
          <w:rFonts w:ascii="Arial" w:hAnsi="Arial" w:cs="Arial"/>
          <w:b/>
          <w:bCs/>
          <w:color w:val="1D1D1D"/>
          <w:sz w:val="22"/>
          <w:szCs w:val="22"/>
        </w:rPr>
        <w:t xml:space="preserve">Importance of care home </w:t>
      </w:r>
    </w:p>
    <w:p w14:paraId="21170622" w14:textId="2C728111"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Residential care is important for people who cannot manage everyday activities safely at home. Care homes can provide help with washing, dressing, eating, medication, mobility and other daily needs. They can also provide a safe environment for people with dementia, disabilities and complex needs.</w:t>
      </w:r>
    </w:p>
    <w:p w14:paraId="0C71A739" w14:textId="693F47D4"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Residential care can promote individual wellbeing. The Care Act 2014 states that wellbeing includes dignity, physical and mental health, protection from abuse, control over daily life, relationships and participation in the community (Department of Health and Social Care, 2025).</w:t>
      </w:r>
    </w:p>
    <w:p w14:paraId="5DC615EB" w14:textId="46E69FAE"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homes can also help people maintain their independence. Staff can encourage residents to make choices and take part in activities rather than doing everything for them. This can help residents maintain their skills and confidence.</w:t>
      </w:r>
    </w:p>
    <w:p w14:paraId="2B6861A1"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6B43484" w14:textId="3E5496FD"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Effects of the Shortage</w:t>
      </w:r>
    </w:p>
    <w:p w14:paraId="7A4F947A"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A shortage of suitable residential care places can cause delays in people receiving the care they need. Some people may remain in hospital for longer because an appropriate care placement has not been found. The CQC (2025) has identified social care capacity as one factor affecting hospital discharge.</w:t>
      </w:r>
    </w:p>
    <w:p w14:paraId="726E472B" w14:textId="48340D22"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 xml:space="preserve">A shortage may also increase social isolation. If a person </w:t>
      </w:r>
      <w:proofErr w:type="gramStart"/>
      <w:r w:rsidRPr="00442F05">
        <w:rPr>
          <w:rFonts w:ascii="Arial" w:hAnsi="Arial" w:cs="Arial"/>
          <w:color w:val="1D1D1D"/>
          <w:sz w:val="22"/>
          <w:szCs w:val="22"/>
        </w:rPr>
        <w:t>has to</w:t>
      </w:r>
      <w:proofErr w:type="gramEnd"/>
      <w:r w:rsidRPr="00442F05">
        <w:rPr>
          <w:rFonts w:ascii="Arial" w:hAnsi="Arial" w:cs="Arial"/>
          <w:color w:val="1D1D1D"/>
          <w:sz w:val="22"/>
          <w:szCs w:val="22"/>
        </w:rPr>
        <w:t xml:space="preserve"> move outside West Bromwich to find a suitable care home, it may become more difficult for family and friends to visit regularly.</w:t>
      </w:r>
    </w:p>
    <w:p w14:paraId="0BAD419F"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Limited services can also affect people with more complex needs, including dementia and disabilities. A wider range of local services would provide greater choice and help people receive care that meets their individual needs.</w:t>
      </w:r>
    </w:p>
    <w:p w14:paraId="10BB3420"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2F57BA97" w14:textId="4541876D"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Recommendations</w:t>
      </w:r>
    </w:p>
    <w:p w14:paraId="7006A998" w14:textId="0C25F042"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Assess Local Demand</w:t>
      </w:r>
    </w:p>
    <w:p w14:paraId="79ED46EC" w14:textId="0D90DE08" w:rsidR="57F5A9E2"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Sandwell Council should regularly assess the need for residential care in West Bromwich. This should include the number of available places, occupancy levels, waiting times and the types of care required. Future population changes should also be considered.</w:t>
      </w:r>
    </w:p>
    <w:p w14:paraId="0EC094C9" w14:textId="6FC5BBC1"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b/>
          <w:bCs/>
          <w:color w:val="1D1D1D"/>
          <w:sz w:val="22"/>
          <w:szCs w:val="22"/>
        </w:rPr>
        <w:t>Increase Care Provision</w:t>
      </w:r>
    </w:p>
    <w:p w14:paraId="78C8A39A" w14:textId="23641B05"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color w:val="1D1D1D"/>
          <w:sz w:val="22"/>
          <w:szCs w:val="22"/>
        </w:rPr>
        <w:t xml:space="preserve">The council should work with care providers, housing organisations, the NHS and voluntary organisations to increase suitable residential and supported-living services. </w:t>
      </w:r>
    </w:p>
    <w:p w14:paraId="78F975AB" w14:textId="4FB21C8F"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b/>
          <w:bCs/>
          <w:color w:val="1D1D1D"/>
          <w:sz w:val="22"/>
          <w:szCs w:val="22"/>
        </w:rPr>
        <w:t>Improve the Care Workforce</w:t>
      </w:r>
    </w:p>
    <w:p w14:paraId="1DDE85F0" w14:textId="04507356"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A well-trained workforce is essential for safe and effective care. Skills for Care (2025) reported around 111,000 vacant adult social care posts in England in 2024/25. Local services should therefore support recruitment, training, career development and staff retention.</w:t>
      </w:r>
    </w:p>
    <w:p w14:paraId="7CC4F9A3"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06CB891" w14:textId="74C5112C"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Invest in Prevention</w:t>
      </w:r>
    </w:p>
    <w:p w14:paraId="255C297D" w14:textId="2717D5B7"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More support should be provided for falls prevention, rehabilitation, reablement, community services and unpaid carers. Early intervention can help people remain independent and may delay the need for residential care.</w:t>
      </w:r>
    </w:p>
    <w:p w14:paraId="16EDD8DF" w14:textId="5347ECC0"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Involve Residents and Carers</w:t>
      </w:r>
    </w:p>
    <w:p w14:paraId="3DA5A77F"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People who use care services and their families should be involved in planning new services. Their experiences can help the council understand local needs and develop person-centred services.</w:t>
      </w:r>
    </w:p>
    <w:p w14:paraId="17178DBA"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9ACF212" w14:textId="134B506B"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lastRenderedPageBreak/>
        <w:t xml:space="preserve"> Care Act 2014 Principles</w:t>
      </w:r>
    </w:p>
    <w:p w14:paraId="42D2465C" w14:textId="1849E875"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 recommendations support the Care Act 2014 by:</w:t>
      </w:r>
    </w:p>
    <w:p w14:paraId="17E21768"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Promoting wellbeing: providing safe, dignified and person-centred care.</w:t>
      </w:r>
    </w:p>
    <w:p w14:paraId="57A8BE68"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Preventing increasing needs: providing early support, rehabilitation and reablement.</w:t>
      </w:r>
    </w:p>
    <w:p w14:paraId="7F9D7C83"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Meeting care needs: ensuring suitable residential services are available.</w:t>
      </w:r>
    </w:p>
    <w:p w14:paraId="57BE9A89"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Supporting independence: helping residents make choices and maintain daily skills.</w:t>
      </w:r>
    </w:p>
    <w:p w14:paraId="463B57CE"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Reducing isolation: helping people remain close to family, friends and their local community.</w:t>
      </w:r>
    </w:p>
    <w:p w14:paraId="6DA45219"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0ED4915" w14:textId="286226FB"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 xml:space="preserve"> Conclusion</w:t>
      </w:r>
    </w:p>
    <w:p w14:paraId="285BF915" w14:textId="34F4EAD5" w:rsidR="007D7CB7" w:rsidRPr="00442F05" w:rsidRDefault="57F5A9E2"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 shortage of residential care services can affect individuals, families and the wider health and social care system. It may contribute to delays in receiving care, pressure on unpaid carers and increased social isolation.</w:t>
      </w:r>
    </w:p>
    <w:p w14:paraId="6B6F56D5"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Sandwell Council should assess local demand, increase suitable care provision, support the care workforce and invest in prevention. Involving residents and carers in planning would also help ensure that services meet local needs. These actions would support the Care Act 2014 principles of wellbeing, prevention, independence and appropriate care and support.</w:t>
      </w:r>
    </w:p>
    <w:p w14:paraId="2963146A"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E2068A3" w14:textId="77777777" w:rsidR="00442F05" w:rsidRDefault="00442F05"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7B8F5016" w14:textId="77777777" w:rsidR="00EC456C" w:rsidRDefault="00EC456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ACCD3B5" w14:textId="77777777" w:rsidR="00EC456C" w:rsidRDefault="00EC456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6D8DD28" w14:textId="77777777" w:rsidR="00EC456C" w:rsidRDefault="00EC456C"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912FF72" w14:textId="7EE29E1E" w:rsidR="007D7CB7" w:rsidRPr="00442F05" w:rsidRDefault="1E35546E" w:rsidP="003B36F0">
      <w:pPr>
        <w:pStyle w:val="df"/>
        <w:pBdr>
          <w:top w:val="single" w:sz="2" w:space="0" w:color="F0F3F5"/>
          <w:left w:val="single" w:sz="2" w:space="31" w:color="F0F3F5"/>
          <w:bottom w:val="single" w:sz="2" w:space="0" w:color="F0F3F5"/>
          <w:right w:val="single" w:sz="2" w:space="0" w:color="F0F3F5"/>
        </w:pBdr>
        <w:shd w:val="clear" w:color="auto" w:fill="FFFFFF" w:themeFill="background1"/>
        <w:spacing w:line="360" w:lineRule="auto"/>
        <w:rPr>
          <w:rFonts w:ascii="Arial" w:hAnsi="Arial" w:cs="Arial"/>
          <w:b/>
          <w:bCs/>
          <w:color w:val="FF0000"/>
          <w:sz w:val="22"/>
          <w:szCs w:val="22"/>
        </w:rPr>
      </w:pPr>
      <w:r w:rsidRPr="00442F05">
        <w:rPr>
          <w:rFonts w:ascii="Arial" w:hAnsi="Arial" w:cs="Arial"/>
          <w:b/>
          <w:bCs/>
          <w:color w:val="1D1D1D"/>
          <w:sz w:val="22"/>
          <w:szCs w:val="22"/>
        </w:rPr>
        <w:lastRenderedPageBreak/>
        <w:t>References</w:t>
      </w:r>
    </w:p>
    <w:p w14:paraId="48DEA98E"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211B9111" w14:textId="77777777" w:rsidR="007D7CB7"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Act 2014 (2014) Care Act 2014. London: The Stationery Office.</w:t>
      </w:r>
    </w:p>
    <w:p w14:paraId="399902E8" w14:textId="43FC01B0" w:rsidR="007D7CB7" w:rsidRPr="00442F05" w:rsidRDefault="004651C3" w:rsidP="004651C3">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9" w:history="1">
        <w:r w:rsidRPr="004651C3">
          <w:rPr>
            <w:rStyle w:val="Hyperlink"/>
            <w:rFonts w:ascii="Arial" w:hAnsi="Arial" w:cs="Arial"/>
            <w:sz w:val="22"/>
            <w:szCs w:val="22"/>
          </w:rPr>
          <w:t>Care Act 2014 (c. 23)</w:t>
        </w:r>
      </w:hyperlink>
    </w:p>
    <w:p w14:paraId="3E114DEE" w14:textId="77777777"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Quality Commission (CQC) (2025) The state of health care and adult social care in England 2024/25. London: Care Quality Commission.</w:t>
      </w:r>
    </w:p>
    <w:p w14:paraId="38E78086" w14:textId="5B5382A8" w:rsidR="007D7CB7" w:rsidRPr="00442F05" w:rsidRDefault="00FB1C82"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0" w:history="1">
        <w:r w:rsidRPr="00FB1C82">
          <w:rPr>
            <w:rStyle w:val="Hyperlink"/>
            <w:rFonts w:ascii="Arial" w:hAnsi="Arial" w:cs="Arial"/>
            <w:sz w:val="22"/>
            <w:szCs w:val="22"/>
          </w:rPr>
          <w:t>Adult social care - Care Quality Commission</w:t>
        </w:r>
      </w:hyperlink>
    </w:p>
    <w:p w14:paraId="243A5F16" w14:textId="77777777" w:rsidR="007D7CB7"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Department of Health and Social Care (2025) Care and support statutory guidance. London: Department of Health and Social Care.</w:t>
      </w:r>
    </w:p>
    <w:p w14:paraId="6E5E90A0" w14:textId="2869F5D5" w:rsidR="007D7CB7" w:rsidRPr="00442F05" w:rsidRDefault="007A37D7" w:rsidP="007A37D7">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1" w:history="1">
        <w:r w:rsidRPr="007A37D7">
          <w:rPr>
            <w:rStyle w:val="Hyperlink"/>
            <w:rFonts w:ascii="Arial" w:hAnsi="Arial" w:cs="Arial"/>
            <w:sz w:val="22"/>
            <w:szCs w:val="22"/>
          </w:rPr>
          <w:t>Care and support statutory guidance - GOV.UK</w:t>
        </w:r>
      </w:hyperlink>
    </w:p>
    <w:p w14:paraId="5DDFC280" w14:textId="6E5C310A" w:rsidR="007D7CB7" w:rsidRPr="00442F05" w:rsidRDefault="007D7CB7"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Skills for Care (2025) The state of the adult social care sector and workforce in England, 2025. Leeds: Skills for Care.</w:t>
      </w:r>
    </w:p>
    <w:p w14:paraId="5770D263"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4179FE0"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53337A1"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1FF8E7E"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76BCDEE"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8D50C9C"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0538774" w14:textId="77777777" w:rsidR="00847CED" w:rsidRPr="00442F05" w:rsidRDefault="00847CED" w:rsidP="003B36F0">
      <w:pPr>
        <w:pStyle w:val="df"/>
        <w:pBdr>
          <w:top w:val="single" w:sz="2" w:space="0" w:color="F0F3F5"/>
          <w:left w:val="single" w:sz="2" w:space="31"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C0E8CAC" w14:textId="77777777" w:rsidR="00503EBE" w:rsidRDefault="00503EBE"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ind w:left="0"/>
        <w:rPr>
          <w:rFonts w:ascii="Arial" w:hAnsi="Arial" w:cs="Arial"/>
          <w:b/>
          <w:bCs/>
          <w:color w:val="1D1D1D"/>
          <w:sz w:val="32"/>
          <w:szCs w:val="32"/>
        </w:rPr>
      </w:pPr>
    </w:p>
    <w:p w14:paraId="50F07C8D" w14:textId="77777777" w:rsidR="00503EBE" w:rsidRDefault="00503EBE"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ind w:left="0"/>
        <w:rPr>
          <w:rFonts w:ascii="Arial" w:hAnsi="Arial" w:cs="Arial"/>
          <w:b/>
          <w:bCs/>
          <w:color w:val="1D1D1D"/>
          <w:sz w:val="32"/>
          <w:szCs w:val="32"/>
        </w:rPr>
      </w:pPr>
    </w:p>
    <w:p w14:paraId="4BA3577C" w14:textId="553798DF" w:rsidR="00847CED" w:rsidRPr="006A75BE" w:rsidRDefault="002E508F"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ind w:left="0"/>
        <w:rPr>
          <w:rFonts w:ascii="Arial" w:hAnsi="Arial" w:cs="Arial"/>
          <w:b/>
          <w:bCs/>
          <w:color w:val="1D1D1D"/>
          <w:sz w:val="32"/>
          <w:szCs w:val="32"/>
        </w:rPr>
      </w:pPr>
      <w:r w:rsidRPr="006A75BE">
        <w:rPr>
          <w:rFonts w:ascii="Arial" w:hAnsi="Arial" w:cs="Arial"/>
          <w:b/>
          <w:bCs/>
          <w:color w:val="1D1D1D"/>
          <w:sz w:val="32"/>
          <w:szCs w:val="32"/>
        </w:rPr>
        <w:lastRenderedPageBreak/>
        <w:t xml:space="preserve">Task </w:t>
      </w:r>
      <w:r w:rsidR="005B32E9" w:rsidRPr="006A75BE">
        <w:rPr>
          <w:rFonts w:ascii="Arial" w:hAnsi="Arial" w:cs="Arial"/>
          <w:b/>
          <w:bCs/>
          <w:color w:val="1D1D1D"/>
          <w:sz w:val="32"/>
          <w:szCs w:val="32"/>
        </w:rPr>
        <w:t xml:space="preserve">2: </w:t>
      </w:r>
      <w:r w:rsidRPr="006A75BE">
        <w:rPr>
          <w:rFonts w:ascii="Arial" w:hAnsi="Arial" w:cs="Arial"/>
          <w:b/>
          <w:bCs/>
          <w:color w:val="1D1D1D"/>
          <w:sz w:val="32"/>
          <w:szCs w:val="32"/>
        </w:rPr>
        <w:t xml:space="preserve"> </w:t>
      </w:r>
      <w:r w:rsidR="00847CED" w:rsidRPr="006A75BE">
        <w:rPr>
          <w:rFonts w:ascii="Arial" w:hAnsi="Arial" w:cs="Arial"/>
          <w:b/>
          <w:bCs/>
          <w:color w:val="1D1D1D"/>
          <w:sz w:val="32"/>
          <w:szCs w:val="32"/>
        </w:rPr>
        <w:t>Community Antenatal Midwifery Services</w:t>
      </w:r>
    </w:p>
    <w:p w14:paraId="54601965"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5BB205F" w14:textId="77777777" w:rsidR="00847CED" w:rsidRPr="006A75BE"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rPr>
      </w:pPr>
      <w:r w:rsidRPr="006A75BE">
        <w:rPr>
          <w:rFonts w:ascii="Arial" w:hAnsi="Arial" w:cs="Arial"/>
          <w:b/>
          <w:bCs/>
          <w:color w:val="1D1D1D"/>
        </w:rPr>
        <w:t>Introduction</w:t>
      </w:r>
    </w:p>
    <w:p w14:paraId="76D5867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8949F0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Community antenatal midwifery services provide care, advice and support to women throughout pregnancy. The main aim is to protect the health and wellbeing of the mother and unborn baby. Community midwives provide care in community clinics, GP practices and maternity services. Antenatal care includes health checks, screening, health education, emotional support and referrals when specialist care is needed. NICE (2021) recommends that women have early access to antenatal care and that care should be personalised according to individual needs. The Care Act 2014 is also relevant because it promotes wellbeing, prevention and partnership working, although it mainly applies to adult social care rather than maternity services (Care Act 2014).</w:t>
      </w:r>
    </w:p>
    <w:p w14:paraId="78A4DB7A"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6784C9BC" w14:textId="77777777"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865657">
        <w:rPr>
          <w:rFonts w:ascii="Arial" w:hAnsi="Arial" w:cs="Arial"/>
          <w:b/>
          <w:bCs/>
          <w:color w:val="1D1D1D"/>
          <w:sz w:val="22"/>
          <w:szCs w:val="22"/>
        </w:rPr>
        <w:t>Historical Context and Current Function</w:t>
      </w:r>
    </w:p>
    <w:p w14:paraId="6C3C193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8A07712" w14:textId="3CAED67E" w:rsidR="00847CED"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Midwifery has traditionally been an important community service. In the past, experienced women provided support during pregnancy and childbirth. The Midwives Act 1902 was an important development because it introduced formal regulation and training for midwives in England and Wales (Royal College of Midwives, 2022). The development of the NHS in 1948 further improved access to maternity healthcare.</w:t>
      </w:r>
      <w:r w:rsidR="00173C5B">
        <w:rPr>
          <w:rFonts w:ascii="Arial" w:hAnsi="Arial" w:cs="Arial"/>
          <w:color w:val="1D1D1D"/>
          <w:sz w:val="22"/>
          <w:szCs w:val="22"/>
        </w:rPr>
        <w:t xml:space="preserve"> </w:t>
      </w:r>
    </w:p>
    <w:p w14:paraId="0D0500FB" w14:textId="59698779" w:rsidR="00173C5B" w:rsidRPr="00442F05" w:rsidRDefault="00C70FEF"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Pr>
          <w:rFonts w:ascii="Arial" w:hAnsi="Arial" w:cs="Arial"/>
          <w:color w:val="1D1D1D"/>
          <w:sz w:val="22"/>
          <w:szCs w:val="22"/>
        </w:rPr>
        <w:t xml:space="preserve">Community </w:t>
      </w:r>
      <w:r w:rsidR="00DD03BD">
        <w:rPr>
          <w:rFonts w:ascii="Arial" w:hAnsi="Arial" w:cs="Arial"/>
          <w:color w:val="1D1D1D"/>
          <w:sz w:val="22"/>
          <w:szCs w:val="22"/>
        </w:rPr>
        <w:t xml:space="preserve">antenatal midwifery </w:t>
      </w:r>
      <w:r w:rsidR="00787F6C">
        <w:rPr>
          <w:rFonts w:ascii="Arial" w:hAnsi="Arial" w:cs="Arial"/>
          <w:color w:val="1D1D1D"/>
          <w:sz w:val="22"/>
          <w:szCs w:val="22"/>
        </w:rPr>
        <w:t xml:space="preserve">services have developed </w:t>
      </w:r>
      <w:r w:rsidR="00412C3A">
        <w:rPr>
          <w:rFonts w:ascii="Arial" w:hAnsi="Arial" w:cs="Arial"/>
          <w:color w:val="1D1D1D"/>
          <w:sz w:val="22"/>
          <w:szCs w:val="22"/>
        </w:rPr>
        <w:t>significantly</w:t>
      </w:r>
      <w:r w:rsidR="00787F6C">
        <w:rPr>
          <w:rFonts w:ascii="Arial" w:hAnsi="Arial" w:cs="Arial"/>
          <w:color w:val="1D1D1D"/>
          <w:sz w:val="22"/>
          <w:szCs w:val="22"/>
        </w:rPr>
        <w:t xml:space="preserve"> </w:t>
      </w:r>
      <w:r w:rsidR="00412C3A">
        <w:rPr>
          <w:rFonts w:ascii="Arial" w:hAnsi="Arial" w:cs="Arial"/>
          <w:color w:val="1D1D1D"/>
          <w:sz w:val="22"/>
          <w:szCs w:val="22"/>
        </w:rPr>
        <w:t xml:space="preserve">over time. The midwives act 1902 </w:t>
      </w:r>
      <w:r w:rsidR="009D0FF4">
        <w:rPr>
          <w:rFonts w:ascii="Arial" w:hAnsi="Arial" w:cs="Arial"/>
          <w:color w:val="1D1D1D"/>
          <w:sz w:val="22"/>
          <w:szCs w:val="22"/>
        </w:rPr>
        <w:t>introduce</w:t>
      </w:r>
      <w:r w:rsidR="007D6A74">
        <w:rPr>
          <w:rFonts w:ascii="Arial" w:hAnsi="Arial" w:cs="Arial"/>
          <w:color w:val="1D1D1D"/>
          <w:sz w:val="22"/>
          <w:szCs w:val="22"/>
        </w:rPr>
        <w:t>d p</w:t>
      </w:r>
      <w:r w:rsidR="009D0FF4">
        <w:rPr>
          <w:rFonts w:ascii="Arial" w:hAnsi="Arial" w:cs="Arial"/>
          <w:color w:val="1D1D1D"/>
          <w:sz w:val="22"/>
          <w:szCs w:val="22"/>
        </w:rPr>
        <w:t>r</w:t>
      </w:r>
      <w:r w:rsidR="00BA0939">
        <w:rPr>
          <w:rFonts w:ascii="Arial" w:hAnsi="Arial" w:cs="Arial"/>
          <w:color w:val="1D1D1D"/>
          <w:sz w:val="22"/>
          <w:szCs w:val="22"/>
        </w:rPr>
        <w:t xml:space="preserve">ofessional </w:t>
      </w:r>
      <w:r w:rsidR="007D6A74">
        <w:rPr>
          <w:rFonts w:ascii="Arial" w:hAnsi="Arial" w:cs="Arial"/>
          <w:color w:val="1D1D1D"/>
          <w:sz w:val="22"/>
          <w:szCs w:val="22"/>
        </w:rPr>
        <w:t xml:space="preserve">registration to </w:t>
      </w:r>
      <w:r w:rsidR="00357D31">
        <w:rPr>
          <w:rFonts w:ascii="Arial" w:hAnsi="Arial" w:cs="Arial"/>
          <w:color w:val="1D1D1D"/>
          <w:sz w:val="22"/>
          <w:szCs w:val="22"/>
        </w:rPr>
        <w:t>improve</w:t>
      </w:r>
      <w:r w:rsidR="00CF2F4E">
        <w:rPr>
          <w:rFonts w:ascii="Arial" w:hAnsi="Arial" w:cs="Arial"/>
          <w:color w:val="1D1D1D"/>
          <w:sz w:val="22"/>
          <w:szCs w:val="22"/>
        </w:rPr>
        <w:t xml:space="preserve"> midwives’ training and standard</w:t>
      </w:r>
      <w:r w:rsidR="007528A9">
        <w:rPr>
          <w:rFonts w:ascii="Arial" w:hAnsi="Arial" w:cs="Arial"/>
          <w:color w:val="1D1D1D"/>
          <w:sz w:val="22"/>
          <w:szCs w:val="22"/>
        </w:rPr>
        <w:t xml:space="preserve">. The midwives Act 1936 supported </w:t>
      </w:r>
      <w:r w:rsidR="00B007B9">
        <w:rPr>
          <w:rFonts w:ascii="Arial" w:hAnsi="Arial" w:cs="Arial"/>
          <w:color w:val="1D1D1D"/>
          <w:sz w:val="22"/>
          <w:szCs w:val="22"/>
        </w:rPr>
        <w:t>the development</w:t>
      </w:r>
      <w:r w:rsidR="007D5D57">
        <w:rPr>
          <w:rFonts w:ascii="Arial" w:hAnsi="Arial" w:cs="Arial"/>
          <w:color w:val="1D1D1D"/>
          <w:sz w:val="22"/>
          <w:szCs w:val="22"/>
        </w:rPr>
        <w:t xml:space="preserve"> of local community</w:t>
      </w:r>
      <w:r w:rsidR="007D5187">
        <w:rPr>
          <w:rFonts w:ascii="Arial" w:hAnsi="Arial" w:cs="Arial"/>
          <w:color w:val="1D1D1D"/>
          <w:sz w:val="22"/>
          <w:szCs w:val="22"/>
        </w:rPr>
        <w:t xml:space="preserve"> midwifery services. The peel report </w:t>
      </w:r>
      <w:r w:rsidR="001400DB">
        <w:rPr>
          <w:rFonts w:ascii="Arial" w:hAnsi="Arial" w:cs="Arial"/>
          <w:color w:val="1D1D1D"/>
          <w:sz w:val="22"/>
          <w:szCs w:val="22"/>
        </w:rPr>
        <w:t>(</w:t>
      </w:r>
      <w:r w:rsidR="007D5187">
        <w:rPr>
          <w:rFonts w:ascii="Arial" w:hAnsi="Arial" w:cs="Arial"/>
          <w:color w:val="1D1D1D"/>
          <w:sz w:val="22"/>
          <w:szCs w:val="22"/>
        </w:rPr>
        <w:t>1070</w:t>
      </w:r>
      <w:r w:rsidR="001400DB">
        <w:rPr>
          <w:rFonts w:ascii="Arial" w:hAnsi="Arial" w:cs="Arial"/>
          <w:color w:val="1D1D1D"/>
          <w:sz w:val="22"/>
          <w:szCs w:val="22"/>
        </w:rPr>
        <w:t xml:space="preserve">) encouraged </w:t>
      </w:r>
      <w:r w:rsidR="00C831D1">
        <w:rPr>
          <w:rFonts w:ascii="Arial" w:hAnsi="Arial" w:cs="Arial"/>
          <w:color w:val="1D1D1D"/>
          <w:sz w:val="22"/>
          <w:szCs w:val="22"/>
        </w:rPr>
        <w:t>more hospital births to improve</w:t>
      </w:r>
      <w:r w:rsidR="002D254B">
        <w:rPr>
          <w:rFonts w:ascii="Arial" w:hAnsi="Arial" w:cs="Arial"/>
          <w:color w:val="1D1D1D"/>
          <w:sz w:val="22"/>
          <w:szCs w:val="22"/>
        </w:rPr>
        <w:t xml:space="preserve"> safety</w:t>
      </w:r>
      <w:r w:rsidR="00381226">
        <w:rPr>
          <w:rFonts w:ascii="Arial" w:hAnsi="Arial" w:cs="Arial"/>
          <w:color w:val="1D1D1D"/>
          <w:sz w:val="22"/>
          <w:szCs w:val="22"/>
        </w:rPr>
        <w:t xml:space="preserve">. In </w:t>
      </w:r>
      <w:r w:rsidR="008B496E">
        <w:rPr>
          <w:rFonts w:ascii="Arial" w:hAnsi="Arial" w:cs="Arial"/>
          <w:color w:val="1D1D1D"/>
          <w:sz w:val="22"/>
          <w:szCs w:val="22"/>
        </w:rPr>
        <w:t xml:space="preserve">1993, the Changing Childbirth Report </w:t>
      </w:r>
      <w:r w:rsidR="00ED4AE2">
        <w:rPr>
          <w:rFonts w:ascii="Arial" w:hAnsi="Arial" w:cs="Arial"/>
          <w:color w:val="1D1D1D"/>
          <w:sz w:val="22"/>
          <w:szCs w:val="22"/>
        </w:rPr>
        <w:t>promoted women’s c</w:t>
      </w:r>
      <w:r w:rsidR="00FD7E63">
        <w:rPr>
          <w:rFonts w:ascii="Arial" w:hAnsi="Arial" w:cs="Arial"/>
          <w:color w:val="1D1D1D"/>
          <w:sz w:val="22"/>
          <w:szCs w:val="22"/>
        </w:rPr>
        <w:t xml:space="preserve">hoice, </w:t>
      </w:r>
      <w:r w:rsidR="00FD7E63">
        <w:rPr>
          <w:rFonts w:ascii="Arial" w:hAnsi="Arial" w:cs="Arial"/>
          <w:color w:val="1D1D1D"/>
          <w:sz w:val="22"/>
          <w:szCs w:val="22"/>
        </w:rPr>
        <w:lastRenderedPageBreak/>
        <w:t xml:space="preserve">control and personalised </w:t>
      </w:r>
      <w:r w:rsidR="004177D8">
        <w:rPr>
          <w:rFonts w:ascii="Arial" w:hAnsi="Arial" w:cs="Arial"/>
          <w:color w:val="1D1D1D"/>
          <w:sz w:val="22"/>
          <w:szCs w:val="22"/>
        </w:rPr>
        <w:t>maternity care. In 2016 Better Birth</w:t>
      </w:r>
      <w:r w:rsidR="00FD703F">
        <w:rPr>
          <w:rFonts w:ascii="Arial" w:hAnsi="Arial" w:cs="Arial"/>
          <w:color w:val="1D1D1D"/>
          <w:sz w:val="22"/>
          <w:szCs w:val="22"/>
        </w:rPr>
        <w:t xml:space="preserve">s aimed to improve safety continuity </w:t>
      </w:r>
      <w:r w:rsidR="005678FF">
        <w:rPr>
          <w:rFonts w:ascii="Arial" w:hAnsi="Arial" w:cs="Arial"/>
          <w:color w:val="1D1D1D"/>
          <w:sz w:val="22"/>
          <w:szCs w:val="22"/>
        </w:rPr>
        <w:t xml:space="preserve">of care and women’s </w:t>
      </w:r>
      <w:r w:rsidR="005D0D7E">
        <w:rPr>
          <w:rFonts w:ascii="Arial" w:hAnsi="Arial" w:cs="Arial"/>
          <w:color w:val="1D1D1D"/>
          <w:sz w:val="22"/>
          <w:szCs w:val="22"/>
        </w:rPr>
        <w:t>experiences.</w:t>
      </w:r>
    </w:p>
    <w:p w14:paraId="1F04E5F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4C3890A0" w14:textId="7BBD669D" w:rsidR="0056023A"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xml:space="preserve">Today, community midwives provide regular </w:t>
      </w:r>
      <w:r w:rsidR="000A3BD8">
        <w:rPr>
          <w:rFonts w:ascii="Arial" w:hAnsi="Arial" w:cs="Arial"/>
          <w:color w:val="1D1D1D"/>
          <w:sz w:val="22"/>
          <w:szCs w:val="22"/>
        </w:rPr>
        <w:t xml:space="preserve">checks, health care advice, emotional </w:t>
      </w:r>
      <w:r w:rsidR="008E7DBC">
        <w:rPr>
          <w:rFonts w:ascii="Arial" w:hAnsi="Arial" w:cs="Arial"/>
          <w:color w:val="1D1D1D"/>
          <w:sz w:val="22"/>
          <w:szCs w:val="22"/>
        </w:rPr>
        <w:t>support</w:t>
      </w:r>
      <w:r w:rsidR="009F7EDC">
        <w:rPr>
          <w:rFonts w:ascii="Arial" w:hAnsi="Arial" w:cs="Arial"/>
          <w:color w:val="1D1D1D"/>
          <w:sz w:val="22"/>
          <w:szCs w:val="22"/>
        </w:rPr>
        <w:t xml:space="preserve"> and early identification </w:t>
      </w:r>
      <w:r w:rsidR="008E221D">
        <w:rPr>
          <w:rFonts w:ascii="Arial" w:hAnsi="Arial" w:cs="Arial"/>
          <w:color w:val="1D1D1D"/>
          <w:sz w:val="22"/>
          <w:szCs w:val="22"/>
        </w:rPr>
        <w:t>of complications</w:t>
      </w:r>
      <w:r w:rsidR="00D35C67">
        <w:rPr>
          <w:rFonts w:ascii="Arial" w:hAnsi="Arial" w:cs="Arial"/>
          <w:color w:val="1D1D1D"/>
          <w:sz w:val="22"/>
          <w:szCs w:val="22"/>
        </w:rPr>
        <w:t xml:space="preserve">. Current services aim to provide safe, respectful </w:t>
      </w:r>
      <w:r w:rsidR="0099655D">
        <w:rPr>
          <w:rFonts w:ascii="Arial" w:hAnsi="Arial" w:cs="Arial"/>
          <w:color w:val="1D1D1D"/>
          <w:sz w:val="22"/>
          <w:szCs w:val="22"/>
        </w:rPr>
        <w:t>and individualised care</w:t>
      </w:r>
      <w:r w:rsidR="004A1A71">
        <w:rPr>
          <w:rFonts w:ascii="Arial" w:hAnsi="Arial" w:cs="Arial"/>
          <w:color w:val="1D1D1D"/>
          <w:sz w:val="22"/>
          <w:szCs w:val="22"/>
        </w:rPr>
        <w:t xml:space="preserve"> while reducing inequalities </w:t>
      </w:r>
      <w:r w:rsidR="00742548">
        <w:rPr>
          <w:rFonts w:ascii="Arial" w:hAnsi="Arial" w:cs="Arial"/>
          <w:color w:val="1D1D1D"/>
          <w:sz w:val="22"/>
          <w:szCs w:val="22"/>
        </w:rPr>
        <w:t>and ensuring women’s voices are heard through</w:t>
      </w:r>
      <w:r w:rsidR="0076403C">
        <w:rPr>
          <w:rFonts w:ascii="Arial" w:hAnsi="Arial" w:cs="Arial"/>
          <w:color w:val="1D1D1D"/>
          <w:sz w:val="22"/>
          <w:szCs w:val="22"/>
        </w:rPr>
        <w:t>out pregnancy and childbirth.</w:t>
      </w:r>
    </w:p>
    <w:p w14:paraId="7CF0661E" w14:textId="77777777" w:rsidR="0056023A" w:rsidRDefault="0056023A"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19F67126" w14:textId="14807EAC" w:rsidR="00847CED" w:rsidRPr="00442F05" w:rsidRDefault="0032529F"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Pr>
          <w:rFonts w:ascii="Arial" w:hAnsi="Arial" w:cs="Arial"/>
          <w:color w:val="1D1D1D"/>
          <w:sz w:val="22"/>
          <w:szCs w:val="22"/>
        </w:rPr>
        <w:t xml:space="preserve">Midwives also provide </w:t>
      </w:r>
      <w:r w:rsidR="00847CED" w:rsidRPr="00442F05">
        <w:rPr>
          <w:rFonts w:ascii="Arial" w:hAnsi="Arial" w:cs="Arial"/>
          <w:color w:val="1D1D1D"/>
          <w:sz w:val="22"/>
          <w:szCs w:val="22"/>
        </w:rPr>
        <w:t>antenatal appointments to monitor the health of mothers and babies. NICE (2021) recommends 10 routine appointments for women having their first baby and 7 appointments for women who have previously given birth. During appointments, midwives may check blood pressure and urine, arrange blood tests and screening, monitor the baby’s development and provide advice about healthy eating, exercise, vitamins, smoking and alcohol. They also discuss birth, breastfeeding and emotional wellbeing. If problems are identified, women may be referred to GPs, obstetricians, mental health professionals or other services. Midwives therefore work as part of a wider multidisciplinary team (NMC, 2019).</w:t>
      </w:r>
    </w:p>
    <w:p w14:paraId="1E5F786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6E63289" w14:textId="77777777" w:rsidR="00E763A8" w:rsidRDefault="00E763A8"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6A0086EC" w14:textId="77777777" w:rsidR="00E763A8" w:rsidRDefault="00E763A8"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4F9BBB39" w14:textId="582DA42F"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865657">
        <w:rPr>
          <w:rFonts w:ascii="Arial" w:hAnsi="Arial" w:cs="Arial"/>
          <w:b/>
          <w:bCs/>
          <w:color w:val="1D1D1D"/>
          <w:sz w:val="22"/>
          <w:szCs w:val="22"/>
        </w:rPr>
        <w:t>Critical Evaluation and Significance for Service Users</w:t>
      </w:r>
    </w:p>
    <w:p w14:paraId="246A5A71" w14:textId="77777777"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1F1C67A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Community antenatal midwifery is important because it supports prevention and early intervention. Regular appointments can identify health problems at an early stage and allow appropriate treatment or referral. This can reduce risks to both mother and baby. Midwives also provide emotional support and information, helping women make informed decisions about their pregnancy and care.</w:t>
      </w:r>
    </w:p>
    <w:p w14:paraId="1FC08FB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9570FF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The Care Act 2014 supports the importance of wellbeing. Section 1 identifies wellbeing, including physical and mental health, emotional wellbeing, dignity and control over decisions, as important principles (Care Act 2014, s.1). These principles can be reflected in antenatal care because midwives should provide respectful, individualised and person-centred support. Section 2 focuses on preventing or delaying care and support needs, which relates to the early identification of physical, emotional and social difficulties (Care Act 2014, s.2). Section 3 also promotes cooperation between health and care services (Care Act 2014, s.3).</w:t>
      </w:r>
    </w:p>
    <w:p w14:paraId="5C0D3DF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30E290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However, there are limitations. Some women may experience difficulties accessing antenatal services because of language barriers, transport, poverty or social circumstances. NICE (2021) highlights the importance of adapting antenatal care to individual needs. Staffing pressures and differences in local services can also affect continuity and accessibility.</w:t>
      </w:r>
    </w:p>
    <w:p w14:paraId="5147FF20"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21360D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Overall, the strengths of community antenatal midwifery include early intervention, health education, monitoring, emotional support and personalised care. However, improving accessibility and ensuring adequate staffing are important to reduce inequalities.</w:t>
      </w:r>
    </w:p>
    <w:p w14:paraId="4C761BE0"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6A183411" w14:textId="77777777" w:rsidR="00847CED" w:rsidRPr="00067FF6"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067FF6">
        <w:rPr>
          <w:rFonts w:ascii="Arial" w:hAnsi="Arial" w:cs="Arial"/>
          <w:b/>
          <w:bCs/>
          <w:color w:val="1D1D1D"/>
          <w:sz w:val="22"/>
          <w:szCs w:val="22"/>
        </w:rPr>
        <w:t>Conclusion</w:t>
      </w:r>
    </w:p>
    <w:p w14:paraId="3D926C42"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DEC270D" w14:textId="01FD1E70" w:rsidR="00067FF6" w:rsidRPr="00B36AC0" w:rsidRDefault="00847CED" w:rsidP="00B36AC0">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xml:space="preserve">Community antenatal midwifery services play an important role in protecting the health and wellbeing of mothers and babies. The service has developed from traditional community-based midwifery into a regulated professional service. Modern midwives provide monitoring, screening, health education and emotional support. The Care Act 2014 provides useful principles of wellbeing, prevention and </w:t>
      </w:r>
      <w:r w:rsidRPr="00442F05">
        <w:rPr>
          <w:rFonts w:ascii="Arial" w:hAnsi="Arial" w:cs="Arial"/>
          <w:color w:val="1D1D1D"/>
          <w:sz w:val="22"/>
          <w:szCs w:val="22"/>
        </w:rPr>
        <w:lastRenderedPageBreak/>
        <w:t>partnership working. Although the Act mainly concerns adult social care, these principles can support evaluation of antenatal services. Accessible and person-centred midwifery care can help identify problems early and improve pregnancy experiences and outcomes.</w:t>
      </w:r>
    </w:p>
    <w:p w14:paraId="78807640"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4B9ACABF"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7A039A88"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1E22ABCE" w14:textId="77777777" w:rsidR="00024FBB" w:rsidRDefault="00847CED" w:rsidP="00024FBB">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067FF6">
        <w:rPr>
          <w:rFonts w:ascii="Arial" w:hAnsi="Arial" w:cs="Arial"/>
          <w:b/>
          <w:bCs/>
          <w:color w:val="1D1D1D"/>
          <w:sz w:val="22"/>
          <w:szCs w:val="22"/>
        </w:rPr>
        <w:t>Reference List</w:t>
      </w:r>
    </w:p>
    <w:p w14:paraId="5D6ADAF3" w14:textId="2881FF0F" w:rsidR="00847CED" w:rsidRDefault="00847CED" w:rsidP="00024FBB">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Act 2014 (c.23). London: The Stationery Office.</w:t>
      </w:r>
    </w:p>
    <w:p w14:paraId="675E8939" w14:textId="68A7D1BF" w:rsidR="00847CED" w:rsidRPr="00715296" w:rsidRDefault="00715296" w:rsidP="00715296">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hyperlink r:id="rId12" w:history="1">
        <w:r w:rsidRPr="00715296">
          <w:rPr>
            <w:rStyle w:val="Hyperlink"/>
            <w:rFonts w:ascii="Arial" w:hAnsi="Arial" w:cs="Arial"/>
            <w:b/>
            <w:bCs/>
            <w:sz w:val="22"/>
            <w:szCs w:val="22"/>
          </w:rPr>
          <w:t>Care Act 2014 (c. 23)</w:t>
        </w:r>
      </w:hyperlink>
    </w:p>
    <w:p w14:paraId="30C32D98" w14:textId="77777777" w:rsidR="00847CED"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NICE (2021) Antenatal care: NICE guideline NG201. Available at: NICE Antenatal Care</w:t>
      </w:r>
      <w:r w:rsidRPr="00442F05">
        <w:rPr>
          <w:rFonts w:ascii="Segoe UI Symbol" w:hAnsi="Segoe UI Symbol" w:cs="Segoe UI Symbol"/>
          <w:color w:val="1D1D1D"/>
          <w:sz w:val="22"/>
          <w:szCs w:val="22"/>
        </w:rPr>
        <w:t>⁠</w:t>
      </w:r>
      <w:r w:rsidRPr="00442F05">
        <w:rPr>
          <w:rFonts w:ascii="Arial" w:hAnsi="Arial" w:cs="Arial"/>
          <w:color w:val="1D1D1D"/>
          <w:sz w:val="22"/>
          <w:szCs w:val="22"/>
        </w:rPr>
        <w:t>￼ (Accessed: 7 October 2026).</w:t>
      </w:r>
    </w:p>
    <w:p w14:paraId="4AB8EA8C" w14:textId="699DD483" w:rsidR="00847CED" w:rsidRPr="00442F05" w:rsidRDefault="00715296" w:rsidP="00715296">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3" w:history="1">
        <w:r w:rsidRPr="00715296">
          <w:rPr>
            <w:rStyle w:val="Hyperlink"/>
            <w:rFonts w:ascii="Arial" w:hAnsi="Arial" w:cs="Arial"/>
            <w:sz w:val="22"/>
            <w:szCs w:val="22"/>
          </w:rPr>
          <w:t>Overview | Antenatal care | Guidance | NICE</w:t>
        </w:r>
      </w:hyperlink>
    </w:p>
    <w:p w14:paraId="330ADDE5" w14:textId="77777777" w:rsidR="00847CED"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Nursing and Midwifery Council (NMC) (2019) Standards of proficiency for midwives. London: NMC.</w:t>
      </w:r>
    </w:p>
    <w:p w14:paraId="42EF5649" w14:textId="510B6EBE" w:rsidR="00847CED" w:rsidRPr="00442F05" w:rsidRDefault="006B729C" w:rsidP="006B729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4" w:history="1">
        <w:r w:rsidRPr="006B729C">
          <w:rPr>
            <w:rStyle w:val="Hyperlink"/>
            <w:rFonts w:ascii="Arial" w:hAnsi="Arial" w:cs="Arial"/>
            <w:sz w:val="22"/>
            <w:szCs w:val="22"/>
          </w:rPr>
          <w:t>Standards for midwives - The Nursing and Midwifery Council</w:t>
        </w:r>
      </w:hyperlink>
    </w:p>
    <w:p w14:paraId="72CDFBEB" w14:textId="77777777" w:rsidR="00847CED"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Royal College of Midwives (2022) 120 years of the Midwives Act in England and Wales. London: Royal College of Midwives.</w:t>
      </w:r>
    </w:p>
    <w:p w14:paraId="30FE7C14" w14:textId="5074BECD" w:rsidR="00E910CB" w:rsidRPr="00442F05" w:rsidRDefault="00B36AC0" w:rsidP="00B36AC0">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5" w:history="1">
        <w:r w:rsidRPr="00B36AC0">
          <w:rPr>
            <w:rStyle w:val="Hyperlink"/>
            <w:rFonts w:ascii="Arial" w:hAnsi="Arial" w:cs="Arial"/>
            <w:sz w:val="22"/>
            <w:szCs w:val="22"/>
          </w:rPr>
          <w:t>120 years of the Midwives Act in England and Wales - Royal College of Midwives</w:t>
        </w:r>
      </w:hyperlink>
    </w:p>
    <w:p w14:paraId="5A4929C4" w14:textId="77777777" w:rsidR="00B36AC0" w:rsidRDefault="00847CED" w:rsidP="00B36AC0">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World Health Organization (2016) WHO recommendations on antenatal care for a positive pregnancy experience. Geneva: World Health Organization.</w:t>
      </w:r>
    </w:p>
    <w:p w14:paraId="0E3CB0E9" w14:textId="04DCE76B" w:rsidR="00BD3696" w:rsidRPr="00B36AC0" w:rsidRDefault="00E910CB" w:rsidP="00B36AC0">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hyperlink r:id="rId16" w:anchor="/guideline/LwvpGj" w:history="1">
        <w:r w:rsidRPr="00E910CB">
          <w:rPr>
            <w:rStyle w:val="Hyperlink"/>
            <w:rFonts w:ascii="Arial" w:hAnsi="Arial" w:cs="Arial"/>
            <w:sz w:val="22"/>
            <w:szCs w:val="22"/>
          </w:rPr>
          <w:t>MAGICapp - Makin</w:t>
        </w:r>
        <w:r w:rsidRPr="00E910CB">
          <w:rPr>
            <w:rStyle w:val="Hyperlink"/>
            <w:rFonts w:ascii="Arial" w:hAnsi="Arial" w:cs="Arial"/>
            <w:sz w:val="22"/>
            <w:szCs w:val="22"/>
          </w:rPr>
          <w:t>g</w:t>
        </w:r>
        <w:r w:rsidRPr="00E910CB">
          <w:rPr>
            <w:rStyle w:val="Hyperlink"/>
            <w:rFonts w:ascii="Arial" w:hAnsi="Arial" w:cs="Arial"/>
            <w:sz w:val="22"/>
            <w:szCs w:val="22"/>
          </w:rPr>
          <w:t xml:space="preserve"> GRADE the Irresistible Choice - Guidelines and Recommendations</w:t>
        </w:r>
      </w:hyperlink>
    </w:p>
    <w:sectPr w:rsidR="00BD3696" w:rsidRPr="00B36AC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51DE6" w14:textId="77777777" w:rsidR="00556647" w:rsidRDefault="00556647">
      <w:pPr>
        <w:spacing w:before="0" w:line="240" w:lineRule="auto"/>
      </w:pPr>
      <w:r>
        <w:separator/>
      </w:r>
    </w:p>
  </w:endnote>
  <w:endnote w:type="continuationSeparator" w:id="0">
    <w:p w14:paraId="052E2D9C" w14:textId="77777777" w:rsidR="00556647" w:rsidRDefault="0055664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F03370" w14:paraId="04BFE038" w14:textId="77777777" w:rsidTr="3DF03370">
      <w:trPr>
        <w:trHeight w:val="300"/>
      </w:trPr>
      <w:tc>
        <w:tcPr>
          <w:tcW w:w="3005" w:type="dxa"/>
        </w:tcPr>
        <w:p w14:paraId="60EFC919" w14:textId="587B8CB2" w:rsidR="3DF03370" w:rsidRDefault="3DF03370" w:rsidP="3DF03370">
          <w:pPr>
            <w:pStyle w:val="Header"/>
            <w:ind w:left="-115"/>
          </w:pPr>
        </w:p>
      </w:tc>
      <w:tc>
        <w:tcPr>
          <w:tcW w:w="3005" w:type="dxa"/>
        </w:tcPr>
        <w:p w14:paraId="382376C3" w14:textId="32719BEA" w:rsidR="3DF03370" w:rsidRDefault="3DF03370" w:rsidP="3DF03370">
          <w:pPr>
            <w:pStyle w:val="Header"/>
            <w:jc w:val="center"/>
          </w:pPr>
        </w:p>
      </w:tc>
      <w:tc>
        <w:tcPr>
          <w:tcW w:w="3005" w:type="dxa"/>
        </w:tcPr>
        <w:p w14:paraId="47527DF6" w14:textId="60DA1D7B" w:rsidR="3DF03370" w:rsidRDefault="3DF03370" w:rsidP="3DF03370">
          <w:pPr>
            <w:pStyle w:val="Header"/>
            <w:ind w:right="-115"/>
            <w:jc w:val="right"/>
          </w:pPr>
        </w:p>
      </w:tc>
    </w:tr>
  </w:tbl>
  <w:p w14:paraId="0CF7BA44" w14:textId="7567E9AB" w:rsidR="3DF03370" w:rsidRDefault="3DF03370" w:rsidP="3DF03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6AF1F" w14:textId="77777777" w:rsidR="00556647" w:rsidRDefault="00556647">
      <w:pPr>
        <w:spacing w:before="0" w:line="240" w:lineRule="auto"/>
      </w:pPr>
      <w:r>
        <w:separator/>
      </w:r>
    </w:p>
  </w:footnote>
  <w:footnote w:type="continuationSeparator" w:id="0">
    <w:p w14:paraId="6B6E3B18" w14:textId="77777777" w:rsidR="00556647" w:rsidRDefault="00556647">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F03370" w14:paraId="6A82395D" w14:textId="77777777" w:rsidTr="3DF03370">
      <w:trPr>
        <w:trHeight w:val="300"/>
      </w:trPr>
      <w:tc>
        <w:tcPr>
          <w:tcW w:w="3005" w:type="dxa"/>
        </w:tcPr>
        <w:p w14:paraId="4C960F30" w14:textId="52FE80FD" w:rsidR="3DF03370" w:rsidRDefault="3DF03370" w:rsidP="3DF03370">
          <w:pPr>
            <w:pStyle w:val="Header"/>
            <w:ind w:left="-115"/>
          </w:pPr>
        </w:p>
      </w:tc>
      <w:tc>
        <w:tcPr>
          <w:tcW w:w="3005" w:type="dxa"/>
        </w:tcPr>
        <w:p w14:paraId="364B6737" w14:textId="668CA2F3" w:rsidR="3DF03370" w:rsidRDefault="3DF03370" w:rsidP="3DF03370">
          <w:pPr>
            <w:pStyle w:val="Header"/>
            <w:jc w:val="center"/>
          </w:pPr>
        </w:p>
      </w:tc>
      <w:tc>
        <w:tcPr>
          <w:tcW w:w="3005" w:type="dxa"/>
        </w:tcPr>
        <w:p w14:paraId="13B3A67B" w14:textId="1601FA26" w:rsidR="3DF03370" w:rsidRDefault="3DF03370" w:rsidP="3DF03370">
          <w:pPr>
            <w:pStyle w:val="Header"/>
            <w:ind w:right="-115"/>
            <w:jc w:val="right"/>
          </w:pPr>
        </w:p>
      </w:tc>
    </w:tr>
  </w:tbl>
  <w:p w14:paraId="0E4EFEC2" w14:textId="5C29ACDB" w:rsidR="3DF03370" w:rsidRDefault="3DF03370" w:rsidP="3DF033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73E56"/>
    <w:multiLevelType w:val="multilevel"/>
    <w:tmpl w:val="6F384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96FA4"/>
    <w:multiLevelType w:val="multilevel"/>
    <w:tmpl w:val="81BA5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55C75"/>
    <w:multiLevelType w:val="multilevel"/>
    <w:tmpl w:val="6576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782512">
    <w:abstractNumId w:val="2"/>
  </w:num>
  <w:num w:numId="2" w16cid:durableId="1946502910">
    <w:abstractNumId w:val="0"/>
  </w:num>
  <w:num w:numId="3" w16cid:durableId="1115095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696"/>
    <w:rsid w:val="000128D7"/>
    <w:rsid w:val="00024FBB"/>
    <w:rsid w:val="00025C1A"/>
    <w:rsid w:val="000576EB"/>
    <w:rsid w:val="00067FF6"/>
    <w:rsid w:val="00084F63"/>
    <w:rsid w:val="000A3BD8"/>
    <w:rsid w:val="000A6CBA"/>
    <w:rsid w:val="000C04AB"/>
    <w:rsid w:val="000F4B97"/>
    <w:rsid w:val="000F6A8E"/>
    <w:rsid w:val="001013C6"/>
    <w:rsid w:val="00106EA3"/>
    <w:rsid w:val="001400DB"/>
    <w:rsid w:val="00143829"/>
    <w:rsid w:val="00147196"/>
    <w:rsid w:val="00153C34"/>
    <w:rsid w:val="00173C5B"/>
    <w:rsid w:val="00177C8C"/>
    <w:rsid w:val="00184CCD"/>
    <w:rsid w:val="001B1837"/>
    <w:rsid w:val="002004AB"/>
    <w:rsid w:val="00203884"/>
    <w:rsid w:val="00214E45"/>
    <w:rsid w:val="0028695B"/>
    <w:rsid w:val="002A2160"/>
    <w:rsid w:val="002B2F1F"/>
    <w:rsid w:val="002B5370"/>
    <w:rsid w:val="002C301C"/>
    <w:rsid w:val="002D254B"/>
    <w:rsid w:val="002D6DBF"/>
    <w:rsid w:val="002E508F"/>
    <w:rsid w:val="00315DE1"/>
    <w:rsid w:val="0032303D"/>
    <w:rsid w:val="0032529F"/>
    <w:rsid w:val="00327BE0"/>
    <w:rsid w:val="00357D31"/>
    <w:rsid w:val="003669F6"/>
    <w:rsid w:val="00366D95"/>
    <w:rsid w:val="00381226"/>
    <w:rsid w:val="003B36F0"/>
    <w:rsid w:val="003E67AA"/>
    <w:rsid w:val="003E7CA6"/>
    <w:rsid w:val="004011D3"/>
    <w:rsid w:val="00411E3F"/>
    <w:rsid w:val="00412C3A"/>
    <w:rsid w:val="00415C33"/>
    <w:rsid w:val="00417316"/>
    <w:rsid w:val="004177D8"/>
    <w:rsid w:val="00427211"/>
    <w:rsid w:val="00442F05"/>
    <w:rsid w:val="004438A2"/>
    <w:rsid w:val="0045499F"/>
    <w:rsid w:val="00455CD1"/>
    <w:rsid w:val="004651C3"/>
    <w:rsid w:val="00465D94"/>
    <w:rsid w:val="00476C7B"/>
    <w:rsid w:val="004A1A71"/>
    <w:rsid w:val="004B6E08"/>
    <w:rsid w:val="00503EBE"/>
    <w:rsid w:val="00522EEC"/>
    <w:rsid w:val="00556647"/>
    <w:rsid w:val="0056023A"/>
    <w:rsid w:val="005678FF"/>
    <w:rsid w:val="00567911"/>
    <w:rsid w:val="00573DF4"/>
    <w:rsid w:val="00585FF3"/>
    <w:rsid w:val="005B32E9"/>
    <w:rsid w:val="005D0D7E"/>
    <w:rsid w:val="005D3761"/>
    <w:rsid w:val="00603D44"/>
    <w:rsid w:val="00613D52"/>
    <w:rsid w:val="006215FA"/>
    <w:rsid w:val="00637447"/>
    <w:rsid w:val="006A75BE"/>
    <w:rsid w:val="006B729C"/>
    <w:rsid w:val="006D75E6"/>
    <w:rsid w:val="006F4C35"/>
    <w:rsid w:val="00715296"/>
    <w:rsid w:val="00742548"/>
    <w:rsid w:val="00743F94"/>
    <w:rsid w:val="007528A9"/>
    <w:rsid w:val="0076403C"/>
    <w:rsid w:val="00787F6C"/>
    <w:rsid w:val="00790C86"/>
    <w:rsid w:val="007A37D7"/>
    <w:rsid w:val="007A6C5A"/>
    <w:rsid w:val="007D5187"/>
    <w:rsid w:val="007D5D57"/>
    <w:rsid w:val="007D6A74"/>
    <w:rsid w:val="007D7CB7"/>
    <w:rsid w:val="0082431E"/>
    <w:rsid w:val="00847076"/>
    <w:rsid w:val="00847CED"/>
    <w:rsid w:val="00865657"/>
    <w:rsid w:val="00880B77"/>
    <w:rsid w:val="008917BE"/>
    <w:rsid w:val="008B496E"/>
    <w:rsid w:val="008C14A6"/>
    <w:rsid w:val="008D5D85"/>
    <w:rsid w:val="008E221D"/>
    <w:rsid w:val="008E7DBC"/>
    <w:rsid w:val="00957884"/>
    <w:rsid w:val="009944ED"/>
    <w:rsid w:val="0099655D"/>
    <w:rsid w:val="009A4519"/>
    <w:rsid w:val="009D0FF4"/>
    <w:rsid w:val="009E2DEB"/>
    <w:rsid w:val="009F7EDC"/>
    <w:rsid w:val="00A03CF2"/>
    <w:rsid w:val="00A42C6E"/>
    <w:rsid w:val="00A45842"/>
    <w:rsid w:val="00A7399B"/>
    <w:rsid w:val="00A97058"/>
    <w:rsid w:val="00AD4682"/>
    <w:rsid w:val="00AE0954"/>
    <w:rsid w:val="00AF11A7"/>
    <w:rsid w:val="00B007B9"/>
    <w:rsid w:val="00B36AC0"/>
    <w:rsid w:val="00B41155"/>
    <w:rsid w:val="00B62ACD"/>
    <w:rsid w:val="00BA0939"/>
    <w:rsid w:val="00BB5D76"/>
    <w:rsid w:val="00BD3696"/>
    <w:rsid w:val="00C0546F"/>
    <w:rsid w:val="00C22503"/>
    <w:rsid w:val="00C31A4B"/>
    <w:rsid w:val="00C51C4B"/>
    <w:rsid w:val="00C53A8A"/>
    <w:rsid w:val="00C623FD"/>
    <w:rsid w:val="00C70FEF"/>
    <w:rsid w:val="00C831D1"/>
    <w:rsid w:val="00CB6A40"/>
    <w:rsid w:val="00CC0F6E"/>
    <w:rsid w:val="00CC3FC7"/>
    <w:rsid w:val="00CC585F"/>
    <w:rsid w:val="00CF2F4E"/>
    <w:rsid w:val="00CF4204"/>
    <w:rsid w:val="00D116AC"/>
    <w:rsid w:val="00D1581E"/>
    <w:rsid w:val="00D35C67"/>
    <w:rsid w:val="00D563B5"/>
    <w:rsid w:val="00DD03BD"/>
    <w:rsid w:val="00E176E4"/>
    <w:rsid w:val="00E43240"/>
    <w:rsid w:val="00E71D0A"/>
    <w:rsid w:val="00E763A8"/>
    <w:rsid w:val="00E84BAF"/>
    <w:rsid w:val="00E910CB"/>
    <w:rsid w:val="00E93C6A"/>
    <w:rsid w:val="00EB1259"/>
    <w:rsid w:val="00EB1E7C"/>
    <w:rsid w:val="00EC456C"/>
    <w:rsid w:val="00EC5361"/>
    <w:rsid w:val="00ED4AE2"/>
    <w:rsid w:val="00F00724"/>
    <w:rsid w:val="00F01C75"/>
    <w:rsid w:val="00F1293B"/>
    <w:rsid w:val="00F17F0D"/>
    <w:rsid w:val="00F22577"/>
    <w:rsid w:val="00F510E4"/>
    <w:rsid w:val="00F56B80"/>
    <w:rsid w:val="00F80678"/>
    <w:rsid w:val="00F80901"/>
    <w:rsid w:val="00F91D69"/>
    <w:rsid w:val="00FB1C82"/>
    <w:rsid w:val="00FD703F"/>
    <w:rsid w:val="00FD771D"/>
    <w:rsid w:val="00FD7E63"/>
    <w:rsid w:val="00FF3E1F"/>
    <w:rsid w:val="0C152BCB"/>
    <w:rsid w:val="0F00A74F"/>
    <w:rsid w:val="0F687DA2"/>
    <w:rsid w:val="1E35546E"/>
    <w:rsid w:val="223DE4DC"/>
    <w:rsid w:val="284BB012"/>
    <w:rsid w:val="2FEECC7C"/>
    <w:rsid w:val="32689805"/>
    <w:rsid w:val="390770BC"/>
    <w:rsid w:val="3DF03370"/>
    <w:rsid w:val="4525B226"/>
    <w:rsid w:val="4B888350"/>
    <w:rsid w:val="4E9BE57F"/>
    <w:rsid w:val="4FEE8A20"/>
    <w:rsid w:val="57EF6D6D"/>
    <w:rsid w:val="57F5A9E2"/>
    <w:rsid w:val="57FD0C2D"/>
    <w:rsid w:val="57FDE245"/>
    <w:rsid w:val="590820B6"/>
    <w:rsid w:val="598FB9CF"/>
    <w:rsid w:val="5EC73C78"/>
    <w:rsid w:val="6E1E3C8A"/>
    <w:rsid w:val="74F41A2C"/>
    <w:rsid w:val="7829FD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DD48E"/>
  <w15:chartTrackingRefBased/>
  <w15:docId w15:val="{A7A9A205-974E-492C-B031-31F88FACB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6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36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36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36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36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36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6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6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6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6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36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36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36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36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3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696"/>
    <w:rPr>
      <w:rFonts w:eastAsiaTheme="majorEastAsia" w:cstheme="majorBidi"/>
      <w:color w:val="272727" w:themeColor="text1" w:themeTint="D8"/>
    </w:rPr>
  </w:style>
  <w:style w:type="paragraph" w:styleId="Title">
    <w:name w:val="Title"/>
    <w:basedOn w:val="Normal"/>
    <w:next w:val="Normal"/>
    <w:link w:val="TitleChar"/>
    <w:uiPriority w:val="10"/>
    <w:qFormat/>
    <w:rsid w:val="00BD3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696"/>
    <w:pPr>
      <w:numPr>
        <w:ilvl w:val="1"/>
      </w:numPr>
      <w:spacing w:after="160"/>
      <w:ind w:left="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6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696"/>
    <w:pPr>
      <w:spacing w:before="160" w:after="160"/>
    </w:pPr>
    <w:rPr>
      <w:i/>
      <w:iCs/>
      <w:color w:val="404040" w:themeColor="text1" w:themeTint="BF"/>
    </w:rPr>
  </w:style>
  <w:style w:type="character" w:customStyle="1" w:styleId="QuoteChar">
    <w:name w:val="Quote Char"/>
    <w:basedOn w:val="DefaultParagraphFont"/>
    <w:link w:val="Quote"/>
    <w:uiPriority w:val="29"/>
    <w:rsid w:val="00BD3696"/>
    <w:rPr>
      <w:i/>
      <w:iCs/>
      <w:color w:val="404040" w:themeColor="text1" w:themeTint="BF"/>
    </w:rPr>
  </w:style>
  <w:style w:type="paragraph" w:styleId="ListParagraph">
    <w:name w:val="List Paragraph"/>
    <w:basedOn w:val="Normal"/>
    <w:uiPriority w:val="34"/>
    <w:qFormat/>
    <w:rsid w:val="00BD3696"/>
    <w:pPr>
      <w:contextualSpacing/>
    </w:pPr>
  </w:style>
  <w:style w:type="character" w:styleId="IntenseEmphasis">
    <w:name w:val="Intense Emphasis"/>
    <w:basedOn w:val="DefaultParagraphFont"/>
    <w:uiPriority w:val="21"/>
    <w:qFormat/>
    <w:rsid w:val="00BD3696"/>
    <w:rPr>
      <w:i/>
      <w:iCs/>
      <w:color w:val="0F4761" w:themeColor="accent1" w:themeShade="BF"/>
    </w:rPr>
  </w:style>
  <w:style w:type="paragraph" w:styleId="IntenseQuote">
    <w:name w:val="Intense Quote"/>
    <w:basedOn w:val="Normal"/>
    <w:next w:val="Normal"/>
    <w:link w:val="IntenseQuoteChar"/>
    <w:uiPriority w:val="30"/>
    <w:qFormat/>
    <w:rsid w:val="00BD3696"/>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BD3696"/>
    <w:rPr>
      <w:i/>
      <w:iCs/>
      <w:color w:val="0F4761" w:themeColor="accent1" w:themeShade="BF"/>
    </w:rPr>
  </w:style>
  <w:style w:type="character" w:styleId="IntenseReference">
    <w:name w:val="Intense Reference"/>
    <w:basedOn w:val="DefaultParagraphFont"/>
    <w:uiPriority w:val="32"/>
    <w:qFormat/>
    <w:rsid w:val="00BD3696"/>
    <w:rPr>
      <w:b/>
      <w:bCs/>
      <w:smallCaps/>
      <w:color w:val="0F4761" w:themeColor="accent1" w:themeShade="BF"/>
      <w:spacing w:val="5"/>
    </w:rPr>
  </w:style>
  <w:style w:type="paragraph" w:styleId="NormalWeb">
    <w:name w:val="Normal (Web)"/>
    <w:basedOn w:val="Normal"/>
    <w:uiPriority w:val="99"/>
    <w:unhideWhenUsed/>
    <w:rsid w:val="00BD3696"/>
    <w:pPr>
      <w:spacing w:line="240" w:lineRule="auto"/>
    </w:pPr>
    <w:rPr>
      <w:rFonts w:ascii="Times New Roman" w:eastAsia="Times New Roman" w:hAnsi="Times New Roman" w:cs="Times New Roman"/>
      <w:kern w:val="0"/>
      <w:lang w:eastAsia="en-GB"/>
      <w14:ligatures w14:val="none"/>
    </w:rPr>
  </w:style>
  <w:style w:type="paragraph" w:customStyle="1" w:styleId="df">
    <w:name w:val="d_f"/>
    <w:basedOn w:val="Normal"/>
    <w:rsid w:val="00585FF3"/>
    <w:pPr>
      <w:spacing w:line="240" w:lineRule="auto"/>
    </w:pPr>
    <w:rPr>
      <w:rFonts w:ascii="Times New Roman" w:eastAsia="Times New Roman" w:hAnsi="Times New Roman" w:cs="Times New Roman"/>
      <w:kern w:val="0"/>
      <w:lang w:eastAsia="en-GB"/>
      <w14:ligatures w14:val="none"/>
    </w:rPr>
  </w:style>
  <w:style w:type="paragraph" w:styleId="Header">
    <w:name w:val="header"/>
    <w:basedOn w:val="Normal"/>
    <w:uiPriority w:val="99"/>
    <w:unhideWhenUsed/>
    <w:rsid w:val="3DF03370"/>
    <w:pPr>
      <w:tabs>
        <w:tab w:val="center" w:pos="4680"/>
        <w:tab w:val="right" w:pos="9360"/>
      </w:tabs>
      <w:spacing w:line="240" w:lineRule="auto"/>
    </w:pPr>
  </w:style>
  <w:style w:type="paragraph" w:styleId="Footer">
    <w:name w:val="footer"/>
    <w:basedOn w:val="Normal"/>
    <w:uiPriority w:val="99"/>
    <w:unhideWhenUsed/>
    <w:rsid w:val="3DF03370"/>
    <w:pPr>
      <w:tabs>
        <w:tab w:val="center" w:pos="4680"/>
        <w:tab w:val="right" w:pos="9360"/>
      </w:tabs>
      <w:spacing w:line="240" w:lineRule="auto"/>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910CB"/>
    <w:rPr>
      <w:color w:val="467886" w:themeColor="hyperlink"/>
      <w:u w:val="single"/>
    </w:rPr>
  </w:style>
  <w:style w:type="character" w:styleId="UnresolvedMention">
    <w:name w:val="Unresolved Mention"/>
    <w:basedOn w:val="DefaultParagraphFont"/>
    <w:uiPriority w:val="99"/>
    <w:semiHidden/>
    <w:unhideWhenUsed/>
    <w:rsid w:val="00E910CB"/>
    <w:rPr>
      <w:color w:val="605E5C"/>
      <w:shd w:val="clear" w:color="auto" w:fill="E1DFDD"/>
    </w:rPr>
  </w:style>
  <w:style w:type="character" w:styleId="FollowedHyperlink">
    <w:name w:val="FollowedHyperlink"/>
    <w:basedOn w:val="DefaultParagraphFont"/>
    <w:uiPriority w:val="99"/>
    <w:semiHidden/>
    <w:unhideWhenUsed/>
    <w:rsid w:val="00E910C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201"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4/23/data.xht?wrap=tru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pp.magicapp.or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footnotes" Target="footnotes.xml"/><Relationship Id="rId15" Type="http://schemas.openxmlformats.org/officeDocument/2006/relationships/hyperlink" Target="https://rcm.org.uk/blog/2022/07/120-years-of-the-midwives-act-in-england-and-wales/" TargetMode="External"/><Relationship Id="rId10" Type="http://schemas.openxmlformats.org/officeDocument/2006/relationships/hyperlink" Target="https://www.cqc.org.uk/publications/major-report/state-care/2024-2025/access/asc"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2014/23/data.xht?wrap=true" TargetMode="External"/><Relationship Id="rId14" Type="http://schemas.openxmlformats.org/officeDocument/2006/relationships/hyperlink" Target="https://www.nmc.org.uk/standards/standards-for-midw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603</TotalTime>
  <Pages>10</Pages>
  <Words>1870</Words>
  <Characters>10662</Characters>
  <Application>Microsoft Office Word</Application>
  <DocSecurity>0</DocSecurity>
  <Lines>88</Lines>
  <Paragraphs>25</Paragraphs>
  <ScaleCrop>false</ScaleCrop>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Anjumben Virani (2535117)</dc:creator>
  <cp:keywords/>
  <dc:description/>
  <cp:lastModifiedBy>Anjumben Virani (2535117)</cp:lastModifiedBy>
  <cp:revision>64</cp:revision>
  <dcterms:created xsi:type="dcterms:W3CDTF">2026-10-08T22:29:00Z</dcterms:created>
  <dcterms:modified xsi:type="dcterms:W3CDTF">2026-10-18T21:17:00Z</dcterms:modified>
</cp:coreProperties>
</file>