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A6551" w14:textId="77777777" w:rsidR="00BA10CD" w:rsidRPr="001B1AAD" w:rsidRDefault="00E009A4" w:rsidP="00EE6C1B">
      <w:pPr>
        <w:rPr>
          <w:color w:val="auto"/>
        </w:rPr>
      </w:pPr>
      <w:r w:rsidRPr="001B1AAD">
        <w:rPr>
          <w:noProof/>
          <w:color w:val="auto"/>
          <w:lang w:val="en-IN"/>
        </w:rPr>
        <w:drawing>
          <wp:inline distT="0" distB="0" distL="0" distR="0" wp14:anchorId="3A54E479" wp14:editId="65CDCF1F">
            <wp:extent cx="1865483" cy="803910"/>
            <wp:effectExtent l="0" t="0" r="0" b="0"/>
            <wp:docPr id="1260274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74620" name=""/>
                    <pic:cNvPicPr/>
                  </pic:nvPicPr>
                  <pic:blipFill>
                    <a:blip r:embed="rId11"/>
                    <a:stretch>
                      <a:fillRect/>
                    </a:stretch>
                  </pic:blipFill>
                  <pic:spPr>
                    <a:xfrm>
                      <a:off x="0" y="0"/>
                      <a:ext cx="1889756" cy="814370"/>
                    </a:xfrm>
                    <a:prstGeom prst="rect">
                      <a:avLst/>
                    </a:prstGeom>
                  </pic:spPr>
                </pic:pic>
              </a:graphicData>
            </a:graphic>
          </wp:inline>
        </w:drawing>
      </w:r>
    </w:p>
    <w:p w14:paraId="50ADA6EC" w14:textId="77777777" w:rsidR="00BA10CD" w:rsidRPr="001B1AAD" w:rsidRDefault="00BA10CD" w:rsidP="001333CA">
      <w:pPr>
        <w:jc w:val="center"/>
        <w:rPr>
          <w:color w:val="auto"/>
        </w:rPr>
      </w:pPr>
    </w:p>
    <w:p w14:paraId="30E9850D" w14:textId="77777777" w:rsidR="00331D9C" w:rsidRPr="001B1AAD" w:rsidRDefault="00331D9C" w:rsidP="00E009A4">
      <w:pPr>
        <w:rPr>
          <w:b/>
          <w:bCs/>
          <w:color w:val="auto"/>
          <w:sz w:val="52"/>
          <w:szCs w:val="52"/>
        </w:rPr>
      </w:pPr>
      <w:r w:rsidRPr="001B1AAD">
        <w:rPr>
          <w:b/>
          <w:bCs/>
          <w:color w:val="auto"/>
          <w:sz w:val="52"/>
          <w:szCs w:val="52"/>
        </w:rPr>
        <w:t>Community Care and Management of Longer-term Conditions</w:t>
      </w:r>
    </w:p>
    <w:p w14:paraId="09A20AFC" w14:textId="77777777" w:rsidR="00E009A4" w:rsidRPr="001B1AAD" w:rsidRDefault="00E009A4" w:rsidP="00E009A4">
      <w:pPr>
        <w:rPr>
          <w:b/>
          <w:bCs/>
          <w:color w:val="auto"/>
          <w:sz w:val="32"/>
          <w:szCs w:val="32"/>
        </w:rPr>
      </w:pPr>
    </w:p>
    <w:p w14:paraId="288C0F0F" w14:textId="77777777" w:rsidR="008A1D1A" w:rsidRPr="001B1AAD" w:rsidRDefault="00B52008" w:rsidP="00B52008">
      <w:pPr>
        <w:rPr>
          <w:b/>
          <w:bCs/>
          <w:color w:val="auto"/>
          <w:sz w:val="36"/>
          <w:szCs w:val="36"/>
        </w:rPr>
      </w:pPr>
      <w:r w:rsidRPr="001B1AAD">
        <w:rPr>
          <w:b/>
          <w:bCs/>
          <w:color w:val="auto"/>
          <w:sz w:val="36"/>
          <w:szCs w:val="36"/>
        </w:rPr>
        <w:t xml:space="preserve">Module: </w:t>
      </w:r>
      <w:r w:rsidR="00331D9C" w:rsidRPr="001B1AAD">
        <w:rPr>
          <w:b/>
          <w:bCs/>
          <w:color w:val="auto"/>
          <w:sz w:val="36"/>
          <w:szCs w:val="36"/>
        </w:rPr>
        <w:t>LCHS7003</w:t>
      </w:r>
    </w:p>
    <w:p w14:paraId="202A7E0E" w14:textId="77777777" w:rsidR="00BA10CD" w:rsidRPr="001B1AAD" w:rsidRDefault="00345667" w:rsidP="00B52008">
      <w:pPr>
        <w:rPr>
          <w:b/>
          <w:bCs/>
          <w:color w:val="auto"/>
          <w:sz w:val="36"/>
          <w:szCs w:val="36"/>
        </w:rPr>
      </w:pPr>
      <w:r w:rsidRPr="001B1AAD">
        <w:rPr>
          <w:b/>
          <w:bCs/>
          <w:color w:val="auto"/>
          <w:sz w:val="36"/>
          <w:szCs w:val="36"/>
        </w:rPr>
        <w:t>Student</w:t>
      </w:r>
      <w:r w:rsidR="00CD7273" w:rsidRPr="001B1AAD">
        <w:rPr>
          <w:b/>
          <w:bCs/>
          <w:color w:val="auto"/>
          <w:sz w:val="36"/>
          <w:szCs w:val="36"/>
        </w:rPr>
        <w:t>’</w:t>
      </w:r>
      <w:r w:rsidRPr="001B1AAD">
        <w:rPr>
          <w:b/>
          <w:bCs/>
          <w:color w:val="auto"/>
          <w:sz w:val="36"/>
          <w:szCs w:val="36"/>
        </w:rPr>
        <w:t xml:space="preserve">s </w:t>
      </w:r>
      <w:r w:rsidR="00BA10CD" w:rsidRPr="001B1AAD">
        <w:rPr>
          <w:b/>
          <w:bCs/>
          <w:color w:val="auto"/>
          <w:sz w:val="36"/>
          <w:szCs w:val="36"/>
        </w:rPr>
        <w:t>Name:</w:t>
      </w:r>
      <w:r w:rsidR="008A1D1A" w:rsidRPr="001B1AAD">
        <w:rPr>
          <w:b/>
          <w:bCs/>
          <w:color w:val="auto"/>
          <w:sz w:val="36"/>
          <w:szCs w:val="36"/>
        </w:rPr>
        <w:t xml:space="preserve"> Galina Bleidere</w:t>
      </w:r>
    </w:p>
    <w:p w14:paraId="19329D21" w14:textId="1FF8A32B" w:rsidR="00D543D9" w:rsidRPr="001B1AAD" w:rsidRDefault="008A1D1A" w:rsidP="008A1D1A">
      <w:pPr>
        <w:rPr>
          <w:b/>
          <w:bCs/>
          <w:color w:val="auto"/>
          <w:sz w:val="36"/>
          <w:szCs w:val="36"/>
        </w:rPr>
      </w:pPr>
      <w:r w:rsidRPr="001B1AAD">
        <w:rPr>
          <w:b/>
          <w:bCs/>
          <w:color w:val="auto"/>
          <w:sz w:val="36"/>
          <w:szCs w:val="36"/>
        </w:rPr>
        <w:t>Number</w:t>
      </w:r>
      <w:r w:rsidR="00E009A4" w:rsidRPr="001B1AAD">
        <w:rPr>
          <w:b/>
          <w:bCs/>
          <w:color w:val="auto"/>
          <w:sz w:val="36"/>
          <w:szCs w:val="36"/>
        </w:rPr>
        <w:t xml:space="preserve"> ID</w:t>
      </w:r>
      <w:r w:rsidR="00BA10CD" w:rsidRPr="001B1AAD">
        <w:rPr>
          <w:b/>
          <w:bCs/>
          <w:color w:val="auto"/>
          <w:sz w:val="36"/>
          <w:szCs w:val="36"/>
        </w:rPr>
        <w:t>:</w:t>
      </w:r>
      <w:r w:rsidRPr="001B1AAD">
        <w:rPr>
          <w:b/>
          <w:bCs/>
          <w:color w:val="auto"/>
          <w:sz w:val="36"/>
          <w:szCs w:val="36"/>
        </w:rPr>
        <w:t xml:space="preserve"> 2244841</w:t>
      </w:r>
    </w:p>
    <w:p w14:paraId="45C2BDC0" w14:textId="77777777" w:rsidR="00D543D9" w:rsidRPr="001B1AAD" w:rsidRDefault="00345667" w:rsidP="00D543D9">
      <w:pPr>
        <w:rPr>
          <w:color w:val="auto"/>
        </w:rPr>
      </w:pPr>
      <w:r w:rsidRPr="001B1AAD">
        <w:rPr>
          <w:b/>
          <w:bCs/>
          <w:color w:val="auto"/>
          <w:sz w:val="36"/>
          <w:szCs w:val="36"/>
        </w:rPr>
        <w:t>Lecturer</w:t>
      </w:r>
      <w:r w:rsidR="00CD7273" w:rsidRPr="001B1AAD">
        <w:rPr>
          <w:b/>
          <w:bCs/>
          <w:color w:val="auto"/>
          <w:sz w:val="36"/>
          <w:szCs w:val="36"/>
        </w:rPr>
        <w:t>’</w:t>
      </w:r>
      <w:r w:rsidRPr="001B1AAD">
        <w:rPr>
          <w:b/>
          <w:bCs/>
          <w:color w:val="auto"/>
          <w:sz w:val="36"/>
          <w:szCs w:val="36"/>
        </w:rPr>
        <w:t>s Name:</w:t>
      </w:r>
      <w:r w:rsidR="00D543D9" w:rsidRPr="001B1AAD">
        <w:rPr>
          <w:rFonts w:eastAsiaTheme="minorHAnsi" w:cstheme="minorBidi"/>
          <w:color w:val="auto"/>
          <w:szCs w:val="22"/>
        </w:rPr>
        <w:t> </w:t>
      </w:r>
      <w:r w:rsidR="00D543D9" w:rsidRPr="001B1AAD">
        <w:rPr>
          <w:rFonts w:eastAsiaTheme="minorHAnsi" w:cstheme="minorBidi"/>
          <w:b/>
          <w:bCs/>
          <w:color w:val="auto"/>
          <w:sz w:val="36"/>
          <w:szCs w:val="36"/>
        </w:rPr>
        <w:t>Muhammed Khan</w:t>
      </w:r>
    </w:p>
    <w:p w14:paraId="5AF64285" w14:textId="77777777" w:rsidR="00164881" w:rsidRPr="001B1AAD" w:rsidRDefault="00164881" w:rsidP="00D543D9">
      <w:pPr>
        <w:rPr>
          <w:rFonts w:eastAsiaTheme="minorHAnsi" w:cstheme="minorBidi"/>
          <w:color w:val="auto"/>
          <w:szCs w:val="22"/>
        </w:rPr>
      </w:pPr>
    </w:p>
    <w:p w14:paraId="3462C501" w14:textId="77777777" w:rsidR="00164881" w:rsidRPr="001B1AAD" w:rsidRDefault="00164881" w:rsidP="00D543D9">
      <w:pPr>
        <w:rPr>
          <w:rFonts w:eastAsiaTheme="minorHAnsi" w:cstheme="minorBidi"/>
          <w:color w:val="auto"/>
          <w:szCs w:val="22"/>
        </w:rPr>
      </w:pPr>
    </w:p>
    <w:p w14:paraId="4C2C854A" w14:textId="77777777" w:rsidR="00164881" w:rsidRPr="001B1AAD" w:rsidRDefault="00164881" w:rsidP="00D543D9">
      <w:pPr>
        <w:rPr>
          <w:rFonts w:eastAsiaTheme="minorHAnsi" w:cstheme="minorBidi"/>
          <w:color w:val="auto"/>
          <w:szCs w:val="22"/>
        </w:rPr>
      </w:pPr>
    </w:p>
    <w:p w14:paraId="63023E20" w14:textId="77777777" w:rsidR="00164881" w:rsidRPr="001B1AAD" w:rsidRDefault="00164881" w:rsidP="00D543D9">
      <w:pPr>
        <w:rPr>
          <w:rFonts w:eastAsiaTheme="minorHAnsi" w:cstheme="minorBidi"/>
          <w:color w:val="auto"/>
          <w:szCs w:val="22"/>
        </w:rPr>
      </w:pPr>
    </w:p>
    <w:p w14:paraId="68162E16" w14:textId="77777777" w:rsidR="00164881" w:rsidRPr="001B1AAD" w:rsidRDefault="00164881" w:rsidP="00D543D9">
      <w:pPr>
        <w:rPr>
          <w:rFonts w:eastAsiaTheme="minorHAnsi" w:cstheme="minorBidi"/>
          <w:color w:val="auto"/>
          <w:szCs w:val="22"/>
        </w:rPr>
      </w:pPr>
    </w:p>
    <w:p w14:paraId="35F2E160" w14:textId="77777777" w:rsidR="00164881" w:rsidRPr="001B1AAD" w:rsidRDefault="00164881" w:rsidP="00D543D9">
      <w:pPr>
        <w:rPr>
          <w:rFonts w:eastAsiaTheme="minorHAnsi" w:cstheme="minorBidi"/>
          <w:color w:val="auto"/>
          <w:szCs w:val="22"/>
        </w:rPr>
      </w:pPr>
    </w:p>
    <w:p w14:paraId="41BD027B" w14:textId="77777777" w:rsidR="00164881" w:rsidRPr="001B1AAD" w:rsidRDefault="00164881" w:rsidP="00D543D9">
      <w:pPr>
        <w:rPr>
          <w:rFonts w:eastAsiaTheme="minorHAnsi" w:cstheme="minorBidi"/>
          <w:color w:val="auto"/>
          <w:szCs w:val="22"/>
        </w:rPr>
      </w:pPr>
    </w:p>
    <w:p w14:paraId="0B150406" w14:textId="77777777" w:rsidR="00164881" w:rsidRPr="001B1AAD" w:rsidRDefault="00164881" w:rsidP="00D543D9">
      <w:pPr>
        <w:rPr>
          <w:rFonts w:eastAsiaTheme="minorHAnsi" w:cstheme="minorBidi"/>
          <w:color w:val="auto"/>
          <w:szCs w:val="22"/>
        </w:rPr>
      </w:pPr>
    </w:p>
    <w:p w14:paraId="40481DC4" w14:textId="77777777" w:rsidR="00164881" w:rsidRPr="001B1AAD" w:rsidRDefault="00164881" w:rsidP="00D543D9">
      <w:pPr>
        <w:rPr>
          <w:color w:val="auto"/>
        </w:rPr>
      </w:pPr>
    </w:p>
    <w:sdt>
      <w:sdtPr>
        <w:rPr>
          <w:rFonts w:ascii="Arial" w:eastAsiaTheme="minorHAnsi" w:hAnsi="Arial" w:cstheme="minorBidi"/>
          <w:b w:val="0"/>
          <w:bCs w:val="0"/>
          <w:color w:val="auto"/>
          <w:sz w:val="24"/>
          <w:szCs w:val="22"/>
          <w:lang w:val="en-GB"/>
        </w:rPr>
        <w:id w:val="125316923"/>
        <w:docPartObj>
          <w:docPartGallery w:val="Table of Contents"/>
          <w:docPartUnique/>
        </w:docPartObj>
      </w:sdtPr>
      <w:sdtEndPr>
        <w:rPr>
          <w:rFonts w:eastAsia="Times New Roman" w:cs="Arial"/>
          <w:szCs w:val="24"/>
        </w:rPr>
      </w:sdtEndPr>
      <w:sdtContent>
        <w:p w14:paraId="29AABBE6" w14:textId="77777777" w:rsidR="00495D39" w:rsidRPr="001B1AAD" w:rsidRDefault="00495D39" w:rsidP="00CB1C95">
          <w:pPr>
            <w:pStyle w:val="TOCHeading"/>
            <w:spacing w:line="360" w:lineRule="auto"/>
            <w:jc w:val="center"/>
            <w:rPr>
              <w:rFonts w:ascii="Arial" w:hAnsi="Arial"/>
              <w:color w:val="auto"/>
              <w:sz w:val="24"/>
              <w:szCs w:val="24"/>
              <w:lang w:val="en-GB"/>
            </w:rPr>
          </w:pPr>
          <w:r w:rsidRPr="001B1AAD">
            <w:rPr>
              <w:rFonts w:ascii="Arial" w:hAnsi="Arial"/>
              <w:color w:val="auto"/>
              <w:sz w:val="24"/>
              <w:szCs w:val="24"/>
              <w:lang w:val="en-GB"/>
            </w:rPr>
            <w:t>Table of Contents</w:t>
          </w:r>
        </w:p>
        <w:p w14:paraId="294B5554" w14:textId="15CCD2AA" w:rsidR="00384A8E" w:rsidRPr="001B1AAD" w:rsidRDefault="00B64D2D">
          <w:pPr>
            <w:pStyle w:val="TOC1"/>
            <w:tabs>
              <w:tab w:val="right" w:leader="dot" w:pos="9016"/>
            </w:tabs>
            <w:rPr>
              <w:rFonts w:asciiTheme="minorHAnsi" w:eastAsiaTheme="minorEastAsia" w:hAnsiTheme="minorHAnsi" w:cstheme="minorBidi"/>
              <w:noProof/>
              <w:color w:val="auto"/>
              <w:kern w:val="2"/>
              <w:lang w:val="en-IN"/>
              <w14:ligatures w14:val="standardContextual"/>
            </w:rPr>
          </w:pPr>
          <w:r w:rsidRPr="001B1AAD">
            <w:rPr>
              <w:color w:val="auto"/>
            </w:rPr>
            <w:fldChar w:fldCharType="begin"/>
          </w:r>
          <w:r w:rsidR="00495D39" w:rsidRPr="001B1AAD">
            <w:rPr>
              <w:color w:val="auto"/>
            </w:rPr>
            <w:instrText xml:space="preserve"> TOC \o "1-3" \h \z \u </w:instrText>
          </w:r>
          <w:r w:rsidRPr="001B1AAD">
            <w:rPr>
              <w:color w:val="auto"/>
            </w:rPr>
            <w:fldChar w:fldCharType="separate"/>
          </w:r>
          <w:hyperlink w:anchor="_Toc234689664" w:history="1">
            <w:r w:rsidR="00384A8E" w:rsidRPr="001B1AAD">
              <w:rPr>
                <w:rStyle w:val="Hyperlink"/>
                <w:noProof/>
                <w:color w:val="auto"/>
              </w:rPr>
              <w:t>List of Figures</w:t>
            </w:r>
            <w:r w:rsidR="00384A8E" w:rsidRPr="001B1AAD">
              <w:rPr>
                <w:noProof/>
                <w:webHidden/>
                <w:color w:val="auto"/>
              </w:rPr>
              <w:tab/>
            </w:r>
            <w:r w:rsidR="00384A8E" w:rsidRPr="001B1AAD">
              <w:rPr>
                <w:noProof/>
                <w:webHidden/>
                <w:color w:val="auto"/>
              </w:rPr>
              <w:fldChar w:fldCharType="begin"/>
            </w:r>
            <w:r w:rsidR="00384A8E" w:rsidRPr="001B1AAD">
              <w:rPr>
                <w:noProof/>
                <w:webHidden/>
                <w:color w:val="auto"/>
              </w:rPr>
              <w:instrText xml:space="preserve"> PAGEREF _Toc234689664 \h </w:instrText>
            </w:r>
            <w:r w:rsidR="00384A8E" w:rsidRPr="001B1AAD">
              <w:rPr>
                <w:noProof/>
                <w:webHidden/>
                <w:color w:val="auto"/>
              </w:rPr>
            </w:r>
            <w:r w:rsidR="00384A8E" w:rsidRPr="001B1AAD">
              <w:rPr>
                <w:noProof/>
                <w:webHidden/>
                <w:color w:val="auto"/>
              </w:rPr>
              <w:fldChar w:fldCharType="separate"/>
            </w:r>
            <w:r w:rsidR="00384A8E" w:rsidRPr="001B1AAD">
              <w:rPr>
                <w:noProof/>
                <w:webHidden/>
                <w:color w:val="auto"/>
              </w:rPr>
              <w:t>2</w:t>
            </w:r>
            <w:r w:rsidR="00384A8E" w:rsidRPr="001B1AAD">
              <w:rPr>
                <w:noProof/>
                <w:webHidden/>
                <w:color w:val="auto"/>
              </w:rPr>
              <w:fldChar w:fldCharType="end"/>
            </w:r>
          </w:hyperlink>
        </w:p>
        <w:p w14:paraId="4A154404" w14:textId="278DF2AD"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5" w:history="1">
            <w:r w:rsidRPr="001B1AAD">
              <w:rPr>
                <w:rStyle w:val="Hyperlink"/>
                <w:noProof/>
                <w:color w:val="auto"/>
              </w:rPr>
              <w:t>1. Introduction</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_Toc234689665 \h </w:instrText>
            </w:r>
            <w:r w:rsidRPr="001B1AAD">
              <w:rPr>
                <w:noProof/>
                <w:webHidden/>
                <w:color w:val="auto"/>
              </w:rPr>
            </w:r>
            <w:r w:rsidRPr="001B1AAD">
              <w:rPr>
                <w:noProof/>
                <w:webHidden/>
                <w:color w:val="auto"/>
              </w:rPr>
              <w:fldChar w:fldCharType="separate"/>
            </w:r>
            <w:r w:rsidRPr="001B1AAD">
              <w:rPr>
                <w:noProof/>
                <w:webHidden/>
                <w:color w:val="auto"/>
              </w:rPr>
              <w:t>1</w:t>
            </w:r>
            <w:r w:rsidRPr="001B1AAD">
              <w:rPr>
                <w:noProof/>
                <w:webHidden/>
                <w:color w:val="auto"/>
              </w:rPr>
              <w:fldChar w:fldCharType="end"/>
            </w:r>
          </w:hyperlink>
        </w:p>
        <w:p w14:paraId="2CDF38C0" w14:textId="1D4BD4D3"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6" w:history="1">
            <w:r w:rsidRPr="001B1AAD">
              <w:rPr>
                <w:rStyle w:val="Hyperlink"/>
                <w:noProof/>
                <w:color w:val="auto"/>
              </w:rPr>
              <w:t>2. Overview, Prevalence and Risk Factors for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_Toc234689666 \h </w:instrText>
            </w:r>
            <w:r w:rsidRPr="001B1AAD">
              <w:rPr>
                <w:noProof/>
                <w:webHidden/>
                <w:color w:val="auto"/>
              </w:rPr>
            </w:r>
            <w:r w:rsidRPr="001B1AAD">
              <w:rPr>
                <w:noProof/>
                <w:webHidden/>
                <w:color w:val="auto"/>
              </w:rPr>
              <w:fldChar w:fldCharType="separate"/>
            </w:r>
            <w:r w:rsidRPr="001B1AAD">
              <w:rPr>
                <w:noProof/>
                <w:webHidden/>
                <w:color w:val="auto"/>
              </w:rPr>
              <w:t>1</w:t>
            </w:r>
            <w:r w:rsidRPr="001B1AAD">
              <w:rPr>
                <w:noProof/>
                <w:webHidden/>
                <w:color w:val="auto"/>
              </w:rPr>
              <w:fldChar w:fldCharType="end"/>
            </w:r>
          </w:hyperlink>
        </w:p>
        <w:p w14:paraId="0A90FBCA" w14:textId="396D1EBE"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7" w:history="1">
            <w:r w:rsidRPr="001B1AAD">
              <w:rPr>
                <w:rStyle w:val="Hyperlink"/>
                <w:noProof/>
                <w:color w:val="auto"/>
              </w:rPr>
              <w:t>3. Impact and Evidence-Based Management of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_Toc234689667 \h </w:instrText>
            </w:r>
            <w:r w:rsidRPr="001B1AAD">
              <w:rPr>
                <w:noProof/>
                <w:webHidden/>
                <w:color w:val="auto"/>
              </w:rPr>
            </w:r>
            <w:r w:rsidRPr="001B1AAD">
              <w:rPr>
                <w:noProof/>
                <w:webHidden/>
                <w:color w:val="auto"/>
              </w:rPr>
              <w:fldChar w:fldCharType="separate"/>
            </w:r>
            <w:r w:rsidRPr="001B1AAD">
              <w:rPr>
                <w:noProof/>
                <w:webHidden/>
                <w:color w:val="auto"/>
              </w:rPr>
              <w:t>4</w:t>
            </w:r>
            <w:r w:rsidRPr="001B1AAD">
              <w:rPr>
                <w:noProof/>
                <w:webHidden/>
                <w:color w:val="auto"/>
              </w:rPr>
              <w:fldChar w:fldCharType="end"/>
            </w:r>
          </w:hyperlink>
        </w:p>
        <w:p w14:paraId="77182648" w14:textId="3BC840BD"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8" w:history="1">
            <w:r w:rsidR="003D70D5">
              <w:rPr>
                <w:rStyle w:val="Hyperlink"/>
                <w:noProof/>
                <w:color w:val="auto"/>
              </w:rPr>
              <w:t>4. Social Implications</w:t>
            </w:r>
            <w:r w:rsidR="003D70D5">
              <w:rPr>
                <w:rStyle w:val="Hyperlink"/>
                <w:noProof/>
                <w:color w:val="auto"/>
              </w:rPr>
              <w:tab/>
              <w:t>5</w:t>
            </w:r>
          </w:hyperlink>
        </w:p>
        <w:p w14:paraId="7481974F" w14:textId="25B9C791"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9" w:history="1">
            <w:r w:rsidRPr="001B1AAD">
              <w:rPr>
                <w:rStyle w:val="Hyperlink"/>
                <w:noProof/>
                <w:color w:val="auto"/>
              </w:rPr>
              <w:t>5. Evidence-based treatments which are available in the UK through the NHS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_Toc234689669 \h </w:instrText>
            </w:r>
            <w:r w:rsidRPr="001B1AAD">
              <w:rPr>
                <w:noProof/>
                <w:webHidden/>
                <w:color w:val="auto"/>
              </w:rPr>
            </w:r>
            <w:r w:rsidRPr="001B1AAD">
              <w:rPr>
                <w:noProof/>
                <w:webHidden/>
                <w:color w:val="auto"/>
              </w:rPr>
              <w:fldChar w:fldCharType="separate"/>
            </w:r>
            <w:r w:rsidRPr="001B1AAD">
              <w:rPr>
                <w:noProof/>
                <w:webHidden/>
                <w:color w:val="auto"/>
              </w:rPr>
              <w:t>6</w:t>
            </w:r>
            <w:r w:rsidRPr="001B1AAD">
              <w:rPr>
                <w:noProof/>
                <w:webHidden/>
                <w:color w:val="auto"/>
              </w:rPr>
              <w:fldChar w:fldCharType="end"/>
            </w:r>
          </w:hyperlink>
        </w:p>
        <w:p w14:paraId="2A9694FB" w14:textId="57A765AD"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0" w:history="1">
            <w:r w:rsidRPr="001B1AAD">
              <w:rPr>
                <w:rStyle w:val="Hyperlink"/>
                <w:noProof/>
                <w:color w:val="auto"/>
              </w:rPr>
              <w:t>6. Theoretical Models and Frameworks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_Toc234689670 \h </w:instrText>
            </w:r>
            <w:r w:rsidRPr="001B1AAD">
              <w:rPr>
                <w:noProof/>
                <w:webHidden/>
                <w:color w:val="auto"/>
              </w:rPr>
            </w:r>
            <w:r w:rsidRPr="001B1AAD">
              <w:rPr>
                <w:noProof/>
                <w:webHidden/>
                <w:color w:val="auto"/>
              </w:rPr>
              <w:fldChar w:fldCharType="separate"/>
            </w:r>
            <w:r w:rsidRPr="001B1AAD">
              <w:rPr>
                <w:noProof/>
                <w:webHidden/>
                <w:color w:val="auto"/>
              </w:rPr>
              <w:t>7</w:t>
            </w:r>
            <w:r w:rsidRPr="001B1AAD">
              <w:rPr>
                <w:noProof/>
                <w:webHidden/>
                <w:color w:val="auto"/>
              </w:rPr>
              <w:fldChar w:fldCharType="end"/>
            </w:r>
          </w:hyperlink>
        </w:p>
        <w:p w14:paraId="6DDE2E95" w14:textId="7F8BCAFB"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1" w:history="1">
            <w:r w:rsidRPr="001B1AAD">
              <w:rPr>
                <w:rStyle w:val="Hyperlink"/>
                <w:noProof/>
                <w:color w:val="auto"/>
              </w:rPr>
              <w:t>International theoretical model</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_Toc234689671 \h </w:instrText>
            </w:r>
            <w:r w:rsidRPr="001B1AAD">
              <w:rPr>
                <w:noProof/>
                <w:webHidden/>
                <w:color w:val="auto"/>
              </w:rPr>
            </w:r>
            <w:r w:rsidRPr="001B1AAD">
              <w:rPr>
                <w:noProof/>
                <w:webHidden/>
                <w:color w:val="auto"/>
              </w:rPr>
              <w:fldChar w:fldCharType="separate"/>
            </w:r>
            <w:r w:rsidRPr="001B1AAD">
              <w:rPr>
                <w:noProof/>
                <w:webHidden/>
                <w:color w:val="auto"/>
              </w:rPr>
              <w:t>8</w:t>
            </w:r>
            <w:r w:rsidRPr="001B1AAD">
              <w:rPr>
                <w:noProof/>
                <w:webHidden/>
                <w:color w:val="auto"/>
              </w:rPr>
              <w:fldChar w:fldCharType="end"/>
            </w:r>
          </w:hyperlink>
        </w:p>
        <w:p w14:paraId="7FADFC51" w14:textId="0F0686D6"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2" w:history="1">
            <w:r w:rsidRPr="001B1AAD">
              <w:rPr>
                <w:rStyle w:val="Hyperlink"/>
                <w:noProof/>
                <w:color w:val="auto"/>
              </w:rPr>
              <w:t>7. Health and Social Care Policy regarding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_Toc234689672 \h </w:instrText>
            </w:r>
            <w:r w:rsidRPr="001B1AAD">
              <w:rPr>
                <w:noProof/>
                <w:webHidden/>
                <w:color w:val="auto"/>
              </w:rPr>
            </w:r>
            <w:r w:rsidRPr="001B1AAD">
              <w:rPr>
                <w:noProof/>
                <w:webHidden/>
                <w:color w:val="auto"/>
              </w:rPr>
              <w:fldChar w:fldCharType="separate"/>
            </w:r>
            <w:r w:rsidRPr="001B1AAD">
              <w:rPr>
                <w:noProof/>
                <w:webHidden/>
                <w:color w:val="auto"/>
              </w:rPr>
              <w:t>8</w:t>
            </w:r>
            <w:r w:rsidRPr="001B1AAD">
              <w:rPr>
                <w:noProof/>
                <w:webHidden/>
                <w:color w:val="auto"/>
              </w:rPr>
              <w:fldChar w:fldCharType="end"/>
            </w:r>
          </w:hyperlink>
        </w:p>
        <w:p w14:paraId="50B5A8BC" w14:textId="36566082"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3" w:history="1">
            <w:r w:rsidRPr="001B1AAD">
              <w:rPr>
                <w:rStyle w:val="Hyperlink"/>
                <w:noProof/>
                <w:color w:val="auto"/>
              </w:rPr>
              <w:t>National Policies and Frameworks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_Toc234689673 \h </w:instrText>
            </w:r>
            <w:r w:rsidRPr="001B1AAD">
              <w:rPr>
                <w:noProof/>
                <w:webHidden/>
                <w:color w:val="auto"/>
              </w:rPr>
            </w:r>
            <w:r w:rsidRPr="001B1AAD">
              <w:rPr>
                <w:noProof/>
                <w:webHidden/>
                <w:color w:val="auto"/>
              </w:rPr>
              <w:fldChar w:fldCharType="separate"/>
            </w:r>
            <w:r w:rsidRPr="001B1AAD">
              <w:rPr>
                <w:noProof/>
                <w:webHidden/>
                <w:color w:val="auto"/>
              </w:rPr>
              <w:t>9</w:t>
            </w:r>
            <w:r w:rsidRPr="001B1AAD">
              <w:rPr>
                <w:noProof/>
                <w:webHidden/>
                <w:color w:val="auto"/>
              </w:rPr>
              <w:fldChar w:fldCharType="end"/>
            </w:r>
          </w:hyperlink>
        </w:p>
        <w:p w14:paraId="64171122" w14:textId="5079C638"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4" w:history="1">
            <w:r w:rsidRPr="001B1AAD">
              <w:rPr>
                <w:rStyle w:val="Hyperlink"/>
                <w:noProof/>
                <w:color w:val="auto"/>
              </w:rPr>
              <w:t>Local Policies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_Toc234689674 \h </w:instrText>
            </w:r>
            <w:r w:rsidRPr="001B1AAD">
              <w:rPr>
                <w:noProof/>
                <w:webHidden/>
                <w:color w:val="auto"/>
              </w:rPr>
            </w:r>
            <w:r w:rsidRPr="001B1AAD">
              <w:rPr>
                <w:noProof/>
                <w:webHidden/>
                <w:color w:val="auto"/>
              </w:rPr>
              <w:fldChar w:fldCharType="separate"/>
            </w:r>
            <w:r w:rsidRPr="001B1AAD">
              <w:rPr>
                <w:noProof/>
                <w:webHidden/>
                <w:color w:val="auto"/>
              </w:rPr>
              <w:t>10</w:t>
            </w:r>
            <w:r w:rsidRPr="001B1AAD">
              <w:rPr>
                <w:noProof/>
                <w:webHidden/>
                <w:color w:val="auto"/>
              </w:rPr>
              <w:fldChar w:fldCharType="end"/>
            </w:r>
          </w:hyperlink>
        </w:p>
        <w:p w14:paraId="63F92136" w14:textId="6A6DB15F"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5" w:history="1">
            <w:r w:rsidRPr="001B1AAD">
              <w:rPr>
                <w:rStyle w:val="Hyperlink"/>
                <w:noProof/>
                <w:color w:val="auto"/>
              </w:rPr>
              <w:t>8. Social Care Agendas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_Toc234689675 \h </w:instrText>
            </w:r>
            <w:r w:rsidRPr="001B1AAD">
              <w:rPr>
                <w:noProof/>
                <w:webHidden/>
                <w:color w:val="auto"/>
              </w:rPr>
            </w:r>
            <w:r w:rsidRPr="001B1AAD">
              <w:rPr>
                <w:noProof/>
                <w:webHidden/>
                <w:color w:val="auto"/>
              </w:rPr>
              <w:fldChar w:fldCharType="separate"/>
            </w:r>
            <w:r w:rsidRPr="001B1AAD">
              <w:rPr>
                <w:noProof/>
                <w:webHidden/>
                <w:color w:val="auto"/>
              </w:rPr>
              <w:t>11</w:t>
            </w:r>
            <w:r w:rsidRPr="001B1AAD">
              <w:rPr>
                <w:noProof/>
                <w:webHidden/>
                <w:color w:val="auto"/>
              </w:rPr>
              <w:fldChar w:fldCharType="end"/>
            </w:r>
          </w:hyperlink>
        </w:p>
        <w:p w14:paraId="677C08FB" w14:textId="18FBAC14"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6" w:history="1">
            <w:r w:rsidRPr="001B1AAD">
              <w:rPr>
                <w:rStyle w:val="Hyperlink"/>
                <w:noProof/>
                <w:color w:val="auto"/>
              </w:rPr>
              <w:t>9. Recommendations for Person-Centred Care</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_Toc234689676 \h </w:instrText>
            </w:r>
            <w:r w:rsidRPr="001B1AAD">
              <w:rPr>
                <w:noProof/>
                <w:webHidden/>
                <w:color w:val="auto"/>
              </w:rPr>
            </w:r>
            <w:r w:rsidRPr="001B1AAD">
              <w:rPr>
                <w:noProof/>
                <w:webHidden/>
                <w:color w:val="auto"/>
              </w:rPr>
              <w:fldChar w:fldCharType="separate"/>
            </w:r>
            <w:r w:rsidRPr="001B1AAD">
              <w:rPr>
                <w:noProof/>
                <w:webHidden/>
                <w:color w:val="auto"/>
              </w:rPr>
              <w:t>12</w:t>
            </w:r>
            <w:r w:rsidRPr="001B1AAD">
              <w:rPr>
                <w:noProof/>
                <w:webHidden/>
                <w:color w:val="auto"/>
              </w:rPr>
              <w:fldChar w:fldCharType="end"/>
            </w:r>
          </w:hyperlink>
        </w:p>
        <w:p w14:paraId="1C716266" w14:textId="062C4630"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7" w:history="1">
            <w:r w:rsidRPr="001B1AAD">
              <w:rPr>
                <w:rStyle w:val="Hyperlink"/>
                <w:noProof/>
                <w:color w:val="auto"/>
              </w:rPr>
              <w:t>Person-centred care</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_Toc234689677 \h </w:instrText>
            </w:r>
            <w:r w:rsidRPr="001B1AAD">
              <w:rPr>
                <w:noProof/>
                <w:webHidden/>
                <w:color w:val="auto"/>
              </w:rPr>
            </w:r>
            <w:r w:rsidRPr="001B1AAD">
              <w:rPr>
                <w:noProof/>
                <w:webHidden/>
                <w:color w:val="auto"/>
              </w:rPr>
              <w:fldChar w:fldCharType="separate"/>
            </w:r>
            <w:r w:rsidRPr="001B1AAD">
              <w:rPr>
                <w:noProof/>
                <w:webHidden/>
                <w:color w:val="auto"/>
              </w:rPr>
              <w:t>12</w:t>
            </w:r>
            <w:r w:rsidRPr="001B1AAD">
              <w:rPr>
                <w:noProof/>
                <w:webHidden/>
                <w:color w:val="auto"/>
              </w:rPr>
              <w:fldChar w:fldCharType="end"/>
            </w:r>
          </w:hyperlink>
        </w:p>
        <w:p w14:paraId="44D89508" w14:textId="2781CEE1"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8" w:history="1">
            <w:r w:rsidRPr="001B1AAD">
              <w:rPr>
                <w:rStyle w:val="Hyperlink"/>
                <w:noProof/>
                <w:color w:val="auto"/>
              </w:rPr>
              <w:t>Self-management</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_Toc234689678 \h </w:instrText>
            </w:r>
            <w:r w:rsidRPr="001B1AAD">
              <w:rPr>
                <w:noProof/>
                <w:webHidden/>
                <w:color w:val="auto"/>
              </w:rPr>
            </w:r>
            <w:r w:rsidRPr="001B1AAD">
              <w:rPr>
                <w:noProof/>
                <w:webHidden/>
                <w:color w:val="auto"/>
              </w:rPr>
              <w:fldChar w:fldCharType="separate"/>
            </w:r>
            <w:r w:rsidRPr="001B1AAD">
              <w:rPr>
                <w:noProof/>
                <w:webHidden/>
                <w:color w:val="auto"/>
              </w:rPr>
              <w:t>13</w:t>
            </w:r>
            <w:r w:rsidRPr="001B1AAD">
              <w:rPr>
                <w:noProof/>
                <w:webHidden/>
                <w:color w:val="auto"/>
              </w:rPr>
              <w:fldChar w:fldCharType="end"/>
            </w:r>
          </w:hyperlink>
        </w:p>
        <w:p w14:paraId="43DA33AA" w14:textId="6F863697"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9" w:history="1">
            <w:r w:rsidRPr="001B1AAD">
              <w:rPr>
                <w:rStyle w:val="Hyperlink"/>
                <w:noProof/>
                <w:color w:val="auto"/>
              </w:rPr>
              <w:t>11. Conclusion</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_Toc234689679 \h </w:instrText>
            </w:r>
            <w:r w:rsidRPr="001B1AAD">
              <w:rPr>
                <w:noProof/>
                <w:webHidden/>
                <w:color w:val="auto"/>
              </w:rPr>
            </w:r>
            <w:r w:rsidRPr="001B1AAD">
              <w:rPr>
                <w:noProof/>
                <w:webHidden/>
                <w:color w:val="auto"/>
              </w:rPr>
              <w:fldChar w:fldCharType="separate"/>
            </w:r>
            <w:r w:rsidRPr="001B1AAD">
              <w:rPr>
                <w:noProof/>
                <w:webHidden/>
                <w:color w:val="auto"/>
              </w:rPr>
              <w:t>13</w:t>
            </w:r>
            <w:r w:rsidRPr="001B1AAD">
              <w:rPr>
                <w:noProof/>
                <w:webHidden/>
                <w:color w:val="auto"/>
              </w:rPr>
              <w:fldChar w:fldCharType="end"/>
            </w:r>
          </w:hyperlink>
        </w:p>
        <w:p w14:paraId="24FCDFD8" w14:textId="31A36E82"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80" w:history="1">
            <w:r w:rsidRPr="001B1AAD">
              <w:rPr>
                <w:rStyle w:val="Hyperlink"/>
                <w:noProof/>
                <w:color w:val="auto"/>
              </w:rPr>
              <w:t>References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_Toc234689680 \h </w:instrText>
            </w:r>
            <w:r w:rsidRPr="001B1AAD">
              <w:rPr>
                <w:noProof/>
                <w:webHidden/>
                <w:color w:val="auto"/>
              </w:rPr>
            </w:r>
            <w:r w:rsidRPr="001B1AAD">
              <w:rPr>
                <w:noProof/>
                <w:webHidden/>
                <w:color w:val="auto"/>
              </w:rPr>
              <w:fldChar w:fldCharType="separate"/>
            </w:r>
            <w:r w:rsidRPr="001B1AAD">
              <w:rPr>
                <w:noProof/>
                <w:webHidden/>
                <w:color w:val="auto"/>
              </w:rPr>
              <w:t>15</w:t>
            </w:r>
            <w:r w:rsidRPr="001B1AAD">
              <w:rPr>
                <w:noProof/>
                <w:webHidden/>
                <w:color w:val="auto"/>
              </w:rPr>
              <w:fldChar w:fldCharType="end"/>
            </w:r>
          </w:hyperlink>
        </w:p>
        <w:p w14:paraId="158BAB82" w14:textId="14242834" w:rsidR="009D4CE9" w:rsidRPr="001B1AAD" w:rsidRDefault="00B64D2D" w:rsidP="009D4CE9">
          <w:pPr>
            <w:rPr>
              <w:color w:val="auto"/>
            </w:rPr>
          </w:pPr>
          <w:r w:rsidRPr="001B1AAD">
            <w:rPr>
              <w:color w:val="auto"/>
            </w:rPr>
            <w:fldChar w:fldCharType="end"/>
          </w:r>
        </w:p>
      </w:sdtContent>
    </w:sdt>
    <w:p w14:paraId="2A3F5A97" w14:textId="77777777" w:rsidR="00AA20DE" w:rsidRPr="001B1AAD" w:rsidRDefault="00480ED2" w:rsidP="00191157">
      <w:pPr>
        <w:rPr>
          <w:b/>
          <w:bCs/>
          <w:color w:val="auto"/>
        </w:rPr>
      </w:pPr>
      <w:r w:rsidRPr="001B1AAD">
        <w:rPr>
          <w:color w:val="auto"/>
        </w:rPr>
        <w:br w:type="page"/>
      </w:r>
    </w:p>
    <w:p w14:paraId="5B832DD1" w14:textId="77777777" w:rsidR="006F17A7" w:rsidRPr="001B1AAD" w:rsidRDefault="00480ED2" w:rsidP="00364D64">
      <w:pPr>
        <w:pStyle w:val="Heading1"/>
      </w:pPr>
      <w:bookmarkStart w:id="0" w:name="_Toc234689664"/>
      <w:r w:rsidRPr="001B1AAD">
        <w:lastRenderedPageBreak/>
        <w:t>List of Figures</w:t>
      </w:r>
      <w:bookmarkEnd w:id="0"/>
    </w:p>
    <w:p w14:paraId="503AF53D" w14:textId="46C1B97A" w:rsidR="00384A8E" w:rsidRPr="001B1AAD" w:rsidRDefault="00B64D2D">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r w:rsidRPr="001B1AAD">
        <w:rPr>
          <w:color w:val="auto"/>
        </w:rPr>
        <w:fldChar w:fldCharType="begin"/>
      </w:r>
      <w:r w:rsidR="00364D64" w:rsidRPr="001B1AAD">
        <w:rPr>
          <w:color w:val="auto"/>
        </w:rPr>
        <w:instrText xml:space="preserve"> TOC \h \z \c "Figure" </w:instrText>
      </w:r>
      <w:r w:rsidRPr="001B1AAD">
        <w:rPr>
          <w:color w:val="auto"/>
        </w:rPr>
        <w:fldChar w:fldCharType="separate"/>
      </w:r>
      <w:hyperlink w:anchor="_Toc234689688" w:history="1">
        <w:r w:rsidR="00384A8E" w:rsidRPr="001B1AAD">
          <w:rPr>
            <w:rStyle w:val="Hyperlink"/>
            <w:noProof/>
            <w:color w:val="auto"/>
          </w:rPr>
          <w:t>Figure 1: Overview of the inflammatory mediators in OA</w:t>
        </w:r>
        <w:r w:rsidR="00384A8E" w:rsidRPr="001B1AAD">
          <w:rPr>
            <w:noProof/>
            <w:webHidden/>
            <w:color w:val="auto"/>
          </w:rPr>
          <w:tab/>
        </w:r>
        <w:r w:rsidR="00384A8E" w:rsidRPr="001B1AAD">
          <w:rPr>
            <w:noProof/>
            <w:webHidden/>
            <w:color w:val="auto"/>
          </w:rPr>
          <w:fldChar w:fldCharType="begin"/>
        </w:r>
        <w:r w:rsidR="00384A8E" w:rsidRPr="001B1AAD">
          <w:rPr>
            <w:noProof/>
            <w:webHidden/>
            <w:color w:val="auto"/>
          </w:rPr>
          <w:instrText xml:space="preserve"> PAGEREF _Toc234689688 \h </w:instrText>
        </w:r>
        <w:r w:rsidR="00384A8E" w:rsidRPr="001B1AAD">
          <w:rPr>
            <w:noProof/>
            <w:webHidden/>
            <w:color w:val="auto"/>
          </w:rPr>
        </w:r>
        <w:r w:rsidR="00384A8E" w:rsidRPr="001B1AAD">
          <w:rPr>
            <w:noProof/>
            <w:webHidden/>
            <w:color w:val="auto"/>
          </w:rPr>
          <w:fldChar w:fldCharType="separate"/>
        </w:r>
        <w:r w:rsidR="00384A8E" w:rsidRPr="001B1AAD">
          <w:rPr>
            <w:noProof/>
            <w:webHidden/>
            <w:color w:val="auto"/>
          </w:rPr>
          <w:t>1</w:t>
        </w:r>
        <w:r w:rsidR="00384A8E" w:rsidRPr="001B1AAD">
          <w:rPr>
            <w:noProof/>
            <w:webHidden/>
            <w:color w:val="auto"/>
          </w:rPr>
          <w:fldChar w:fldCharType="end"/>
        </w:r>
      </w:hyperlink>
    </w:p>
    <w:p w14:paraId="00DF0E24" w14:textId="2EF27382"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89" w:history="1">
        <w:r w:rsidRPr="001B1AAD">
          <w:rPr>
            <w:rStyle w:val="Hyperlink"/>
            <w:noProof/>
            <w:color w:val="auto"/>
          </w:rPr>
          <w:t>Figure 2: Contribution of different osteoarthritis globally</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_Toc234689689 \h </w:instrText>
        </w:r>
        <w:r w:rsidRPr="001B1AAD">
          <w:rPr>
            <w:noProof/>
            <w:webHidden/>
            <w:color w:val="auto"/>
          </w:rPr>
        </w:r>
        <w:r w:rsidRPr="001B1AAD">
          <w:rPr>
            <w:noProof/>
            <w:webHidden/>
            <w:color w:val="auto"/>
          </w:rPr>
          <w:fldChar w:fldCharType="separate"/>
        </w:r>
        <w:r w:rsidRPr="001B1AAD">
          <w:rPr>
            <w:noProof/>
            <w:webHidden/>
            <w:color w:val="auto"/>
          </w:rPr>
          <w:t>2</w:t>
        </w:r>
        <w:r w:rsidRPr="001B1AAD">
          <w:rPr>
            <w:noProof/>
            <w:webHidden/>
            <w:color w:val="auto"/>
          </w:rPr>
          <w:fldChar w:fldCharType="end"/>
        </w:r>
      </w:hyperlink>
    </w:p>
    <w:p w14:paraId="082E1A8D" w14:textId="6862445B"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0" w:history="1">
        <w:r w:rsidRPr="001B1AAD">
          <w:rPr>
            <w:rStyle w:val="Hyperlink"/>
            <w:noProof/>
            <w:color w:val="auto"/>
          </w:rPr>
          <w:t>Figure 3: Global Burden of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_Toc234689690 \h </w:instrText>
        </w:r>
        <w:r w:rsidRPr="001B1AAD">
          <w:rPr>
            <w:noProof/>
            <w:webHidden/>
            <w:color w:val="auto"/>
          </w:rPr>
        </w:r>
        <w:r w:rsidRPr="001B1AAD">
          <w:rPr>
            <w:noProof/>
            <w:webHidden/>
            <w:color w:val="auto"/>
          </w:rPr>
          <w:fldChar w:fldCharType="separate"/>
        </w:r>
        <w:r w:rsidRPr="001B1AAD">
          <w:rPr>
            <w:noProof/>
            <w:webHidden/>
            <w:color w:val="auto"/>
          </w:rPr>
          <w:t>3</w:t>
        </w:r>
        <w:r w:rsidRPr="001B1AAD">
          <w:rPr>
            <w:noProof/>
            <w:webHidden/>
            <w:color w:val="auto"/>
          </w:rPr>
          <w:fldChar w:fldCharType="end"/>
        </w:r>
      </w:hyperlink>
    </w:p>
    <w:p w14:paraId="6BBD51C9" w14:textId="255FD65E"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1" w:history="1">
        <w:r w:rsidRPr="001B1AAD">
          <w:rPr>
            <w:rStyle w:val="Hyperlink"/>
            <w:noProof/>
            <w:color w:val="auto"/>
          </w:rPr>
          <w:t>Figure 4: Prevalence of general practitioner (GP)-diagnosed osteoarthritis in the UK</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_Toc234689691 \h </w:instrText>
        </w:r>
        <w:r w:rsidRPr="001B1AAD">
          <w:rPr>
            <w:noProof/>
            <w:webHidden/>
            <w:color w:val="auto"/>
          </w:rPr>
        </w:r>
        <w:r w:rsidRPr="001B1AAD">
          <w:rPr>
            <w:noProof/>
            <w:webHidden/>
            <w:color w:val="auto"/>
          </w:rPr>
          <w:fldChar w:fldCharType="separate"/>
        </w:r>
        <w:r w:rsidRPr="001B1AAD">
          <w:rPr>
            <w:noProof/>
            <w:webHidden/>
            <w:color w:val="auto"/>
          </w:rPr>
          <w:t>3</w:t>
        </w:r>
        <w:r w:rsidRPr="001B1AAD">
          <w:rPr>
            <w:noProof/>
            <w:webHidden/>
            <w:color w:val="auto"/>
          </w:rPr>
          <w:fldChar w:fldCharType="end"/>
        </w:r>
      </w:hyperlink>
    </w:p>
    <w:p w14:paraId="58F78B0F" w14:textId="338AD8EC"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2" w:history="1">
        <w:r w:rsidRPr="001B1AAD">
          <w:rPr>
            <w:rStyle w:val="Hyperlink"/>
            <w:noProof/>
            <w:color w:val="auto"/>
          </w:rPr>
          <w:t>Figure 5: Regional Distribution of Osteoarthritis across the UK</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_Toc234689692 \h </w:instrText>
        </w:r>
        <w:r w:rsidRPr="001B1AAD">
          <w:rPr>
            <w:noProof/>
            <w:webHidden/>
            <w:color w:val="auto"/>
          </w:rPr>
        </w:r>
        <w:r w:rsidRPr="001B1AAD">
          <w:rPr>
            <w:noProof/>
            <w:webHidden/>
            <w:color w:val="auto"/>
          </w:rPr>
          <w:fldChar w:fldCharType="separate"/>
        </w:r>
        <w:r w:rsidRPr="001B1AAD">
          <w:rPr>
            <w:noProof/>
            <w:webHidden/>
            <w:color w:val="auto"/>
          </w:rPr>
          <w:t>3</w:t>
        </w:r>
        <w:r w:rsidRPr="001B1AAD">
          <w:rPr>
            <w:noProof/>
            <w:webHidden/>
            <w:color w:val="auto"/>
          </w:rPr>
          <w:fldChar w:fldCharType="end"/>
        </w:r>
      </w:hyperlink>
    </w:p>
    <w:p w14:paraId="2B9EAA6C" w14:textId="464C4090"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3" w:history="1">
        <w:r w:rsidRPr="001B1AAD">
          <w:rPr>
            <w:rStyle w:val="Hyperlink"/>
            <w:noProof/>
            <w:color w:val="auto"/>
          </w:rPr>
          <w:t>Figure 7: Incidence and prevalence of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_Toc234689693 \h </w:instrText>
        </w:r>
        <w:r w:rsidRPr="001B1AAD">
          <w:rPr>
            <w:noProof/>
            <w:webHidden/>
            <w:color w:val="auto"/>
          </w:rPr>
        </w:r>
        <w:r w:rsidRPr="001B1AAD">
          <w:rPr>
            <w:noProof/>
            <w:webHidden/>
            <w:color w:val="auto"/>
          </w:rPr>
          <w:fldChar w:fldCharType="separate"/>
        </w:r>
        <w:r w:rsidRPr="001B1AAD">
          <w:rPr>
            <w:noProof/>
            <w:webHidden/>
            <w:color w:val="auto"/>
          </w:rPr>
          <w:t>9</w:t>
        </w:r>
        <w:r w:rsidRPr="001B1AAD">
          <w:rPr>
            <w:noProof/>
            <w:webHidden/>
            <w:color w:val="auto"/>
          </w:rPr>
          <w:fldChar w:fldCharType="end"/>
        </w:r>
      </w:hyperlink>
    </w:p>
    <w:p w14:paraId="00FCC143" w14:textId="527F4363"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4" w:history="1">
        <w:r w:rsidRPr="001B1AAD">
          <w:rPr>
            <w:rStyle w:val="Hyperlink"/>
            <w:noProof/>
            <w:color w:val="auto"/>
          </w:rPr>
          <w:t>Figure 8: Healthcare resource utilisation and expenditures in knee</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_Toc234689694 \h </w:instrText>
        </w:r>
        <w:r w:rsidRPr="001B1AAD">
          <w:rPr>
            <w:noProof/>
            <w:webHidden/>
            <w:color w:val="auto"/>
          </w:rPr>
        </w:r>
        <w:r w:rsidRPr="001B1AAD">
          <w:rPr>
            <w:noProof/>
            <w:webHidden/>
            <w:color w:val="auto"/>
          </w:rPr>
          <w:fldChar w:fldCharType="separate"/>
        </w:r>
        <w:r w:rsidRPr="001B1AAD">
          <w:rPr>
            <w:noProof/>
            <w:webHidden/>
            <w:color w:val="auto"/>
          </w:rPr>
          <w:t>12</w:t>
        </w:r>
        <w:r w:rsidRPr="001B1AAD">
          <w:rPr>
            <w:noProof/>
            <w:webHidden/>
            <w:color w:val="auto"/>
          </w:rPr>
          <w:fldChar w:fldCharType="end"/>
        </w:r>
      </w:hyperlink>
    </w:p>
    <w:p w14:paraId="352C27D2" w14:textId="7B8EDA83" w:rsidR="00480ED2" w:rsidRPr="001B1AAD" w:rsidRDefault="00B64D2D" w:rsidP="00EE6C1B">
      <w:pPr>
        <w:rPr>
          <w:color w:val="auto"/>
        </w:rPr>
      </w:pPr>
      <w:r w:rsidRPr="001B1AAD">
        <w:rPr>
          <w:color w:val="auto"/>
        </w:rPr>
        <w:fldChar w:fldCharType="end"/>
      </w:r>
    </w:p>
    <w:p w14:paraId="7A006167" w14:textId="77777777" w:rsidR="006F17A7" w:rsidRPr="001B1AAD" w:rsidRDefault="006F17A7" w:rsidP="00EE6C1B">
      <w:pPr>
        <w:rPr>
          <w:color w:val="auto"/>
        </w:rPr>
      </w:pPr>
    </w:p>
    <w:p w14:paraId="7BA59C82" w14:textId="77777777" w:rsidR="006F17A7" w:rsidRPr="001B1AAD" w:rsidRDefault="006F17A7" w:rsidP="00EE6C1B">
      <w:pPr>
        <w:rPr>
          <w:color w:val="auto"/>
        </w:rPr>
      </w:pPr>
    </w:p>
    <w:p w14:paraId="1B721D3E" w14:textId="77777777" w:rsidR="006F17A7" w:rsidRPr="001B1AAD" w:rsidRDefault="006F17A7" w:rsidP="00EE6C1B">
      <w:pPr>
        <w:rPr>
          <w:color w:val="auto"/>
        </w:rPr>
      </w:pPr>
    </w:p>
    <w:p w14:paraId="03D88A4D" w14:textId="77777777" w:rsidR="006F17A7" w:rsidRPr="001B1AAD" w:rsidRDefault="006F17A7" w:rsidP="00EE6C1B">
      <w:pPr>
        <w:rPr>
          <w:color w:val="auto"/>
        </w:rPr>
      </w:pPr>
    </w:p>
    <w:p w14:paraId="253E56FC" w14:textId="77777777" w:rsidR="001C4562" w:rsidRPr="001B1AAD" w:rsidRDefault="001C4562" w:rsidP="00EE6C1B">
      <w:pPr>
        <w:rPr>
          <w:color w:val="auto"/>
        </w:rPr>
      </w:pPr>
    </w:p>
    <w:p w14:paraId="639BBF10" w14:textId="77777777" w:rsidR="001C4562" w:rsidRPr="001B1AAD" w:rsidRDefault="001C4562" w:rsidP="00EE6C1B">
      <w:pPr>
        <w:rPr>
          <w:color w:val="auto"/>
        </w:rPr>
      </w:pPr>
    </w:p>
    <w:p w14:paraId="68FDA785" w14:textId="77777777" w:rsidR="001C4562" w:rsidRPr="001B1AAD" w:rsidRDefault="001C4562" w:rsidP="00EE6C1B">
      <w:pPr>
        <w:rPr>
          <w:color w:val="auto"/>
        </w:rPr>
      </w:pPr>
    </w:p>
    <w:p w14:paraId="661089EE" w14:textId="77777777" w:rsidR="001C4562" w:rsidRPr="001B1AAD" w:rsidRDefault="001C4562" w:rsidP="00EE6C1B">
      <w:pPr>
        <w:rPr>
          <w:color w:val="auto"/>
        </w:rPr>
      </w:pPr>
    </w:p>
    <w:p w14:paraId="23886FE4" w14:textId="77777777" w:rsidR="006F17A7" w:rsidRPr="001B1AAD" w:rsidRDefault="006F17A7" w:rsidP="00EE6C1B">
      <w:pPr>
        <w:rPr>
          <w:color w:val="auto"/>
        </w:rPr>
      </w:pPr>
    </w:p>
    <w:p w14:paraId="44393E0B" w14:textId="77777777" w:rsidR="00191157" w:rsidRPr="001B1AAD" w:rsidRDefault="00191157" w:rsidP="00EE6C1B">
      <w:pPr>
        <w:rPr>
          <w:color w:val="auto"/>
        </w:rPr>
      </w:pPr>
    </w:p>
    <w:p w14:paraId="630DF905" w14:textId="77777777" w:rsidR="00191157" w:rsidRPr="001B1AAD" w:rsidRDefault="00191157" w:rsidP="00EE6C1B">
      <w:pPr>
        <w:rPr>
          <w:color w:val="auto"/>
        </w:rPr>
      </w:pPr>
    </w:p>
    <w:p w14:paraId="0F4DD7F8" w14:textId="77777777" w:rsidR="00B272AF" w:rsidRPr="001B1AAD" w:rsidRDefault="00B272AF">
      <w:pPr>
        <w:spacing w:after="160" w:line="259" w:lineRule="auto"/>
        <w:jc w:val="left"/>
        <w:rPr>
          <w:b/>
          <w:bCs/>
          <w:color w:val="auto"/>
        </w:rPr>
      </w:pPr>
      <w:r w:rsidRPr="001B1AAD">
        <w:rPr>
          <w:b/>
          <w:bCs/>
          <w:color w:val="auto"/>
        </w:rPr>
        <w:br w:type="page"/>
      </w:r>
    </w:p>
    <w:p w14:paraId="7863D722" w14:textId="77777777" w:rsidR="00F65099" w:rsidRDefault="00F65099" w:rsidP="001C4562">
      <w:pPr>
        <w:rPr>
          <w:b/>
          <w:bCs/>
          <w:color w:val="auto"/>
        </w:rPr>
      </w:pPr>
    </w:p>
    <w:p w14:paraId="4307FB7E" w14:textId="77777777" w:rsidR="00F65099" w:rsidRDefault="00F65099" w:rsidP="001C4562">
      <w:pPr>
        <w:rPr>
          <w:b/>
          <w:bCs/>
          <w:color w:val="auto"/>
        </w:rPr>
      </w:pPr>
    </w:p>
    <w:p w14:paraId="7470CCAE" w14:textId="77777777" w:rsidR="00F65099" w:rsidRDefault="00F65099" w:rsidP="001C4562">
      <w:pPr>
        <w:rPr>
          <w:b/>
          <w:bCs/>
          <w:color w:val="auto"/>
        </w:rPr>
      </w:pPr>
    </w:p>
    <w:p w14:paraId="2BD6ECA2" w14:textId="77777777" w:rsidR="00F65099" w:rsidRDefault="00F65099" w:rsidP="001C4562">
      <w:pPr>
        <w:rPr>
          <w:b/>
          <w:bCs/>
          <w:color w:val="auto"/>
        </w:rPr>
      </w:pPr>
    </w:p>
    <w:p w14:paraId="24F7F424" w14:textId="77777777" w:rsidR="00F65099" w:rsidRDefault="00F65099" w:rsidP="001C4562">
      <w:pPr>
        <w:rPr>
          <w:b/>
          <w:bCs/>
          <w:color w:val="auto"/>
        </w:rPr>
      </w:pPr>
    </w:p>
    <w:p w14:paraId="447E8995" w14:textId="77777777" w:rsidR="00F65099" w:rsidRDefault="00F65099" w:rsidP="001C4562">
      <w:pPr>
        <w:rPr>
          <w:b/>
          <w:bCs/>
          <w:color w:val="auto"/>
        </w:rPr>
      </w:pPr>
    </w:p>
    <w:p w14:paraId="1925E5C5" w14:textId="77777777" w:rsidR="00F65099" w:rsidRDefault="00F65099" w:rsidP="001C4562">
      <w:pPr>
        <w:rPr>
          <w:b/>
          <w:bCs/>
          <w:color w:val="auto"/>
        </w:rPr>
      </w:pPr>
    </w:p>
    <w:p w14:paraId="519BBA71" w14:textId="77777777" w:rsidR="00F65099" w:rsidRDefault="00F65099" w:rsidP="001C4562">
      <w:pPr>
        <w:rPr>
          <w:b/>
          <w:bCs/>
          <w:color w:val="auto"/>
        </w:rPr>
      </w:pPr>
    </w:p>
    <w:p w14:paraId="35EB0499" w14:textId="77777777" w:rsidR="00F65099" w:rsidRDefault="00F65099" w:rsidP="001C4562">
      <w:pPr>
        <w:rPr>
          <w:b/>
          <w:bCs/>
          <w:color w:val="auto"/>
        </w:rPr>
      </w:pPr>
    </w:p>
    <w:p w14:paraId="1B2EA3C1" w14:textId="77777777" w:rsidR="00F65099" w:rsidRDefault="00F65099" w:rsidP="001C4562">
      <w:pPr>
        <w:rPr>
          <w:b/>
          <w:bCs/>
          <w:color w:val="auto"/>
        </w:rPr>
      </w:pPr>
    </w:p>
    <w:p w14:paraId="093037C6" w14:textId="77777777" w:rsidR="00F65099" w:rsidRDefault="00F65099" w:rsidP="001C4562">
      <w:pPr>
        <w:rPr>
          <w:b/>
          <w:bCs/>
          <w:color w:val="auto"/>
        </w:rPr>
      </w:pPr>
    </w:p>
    <w:p w14:paraId="1C16D932" w14:textId="77777777" w:rsidR="00F65099" w:rsidRDefault="00F65099" w:rsidP="001C4562">
      <w:pPr>
        <w:rPr>
          <w:b/>
          <w:bCs/>
          <w:color w:val="auto"/>
        </w:rPr>
      </w:pPr>
    </w:p>
    <w:p w14:paraId="4858E009" w14:textId="77777777" w:rsidR="00F65099" w:rsidRDefault="00F65099" w:rsidP="001C4562">
      <w:pPr>
        <w:rPr>
          <w:b/>
          <w:bCs/>
          <w:color w:val="auto"/>
        </w:rPr>
      </w:pPr>
    </w:p>
    <w:p w14:paraId="18888D1A" w14:textId="77777777" w:rsidR="00F65099" w:rsidRDefault="00F65099" w:rsidP="001C4562">
      <w:pPr>
        <w:rPr>
          <w:b/>
          <w:bCs/>
          <w:color w:val="auto"/>
        </w:rPr>
      </w:pPr>
    </w:p>
    <w:p w14:paraId="2EB509C9" w14:textId="77777777" w:rsidR="00F65099" w:rsidRDefault="00F65099" w:rsidP="001C4562">
      <w:pPr>
        <w:rPr>
          <w:b/>
          <w:bCs/>
          <w:color w:val="auto"/>
        </w:rPr>
      </w:pPr>
    </w:p>
    <w:p w14:paraId="629FD268" w14:textId="77777777" w:rsidR="00F65099" w:rsidRDefault="00F65099" w:rsidP="001C4562">
      <w:pPr>
        <w:rPr>
          <w:b/>
          <w:bCs/>
          <w:color w:val="auto"/>
        </w:rPr>
      </w:pPr>
    </w:p>
    <w:p w14:paraId="4ADA3F04" w14:textId="77777777" w:rsidR="00F65099" w:rsidRDefault="00F65099" w:rsidP="001C4562">
      <w:pPr>
        <w:rPr>
          <w:b/>
          <w:bCs/>
          <w:color w:val="auto"/>
        </w:rPr>
      </w:pPr>
    </w:p>
    <w:p w14:paraId="56277EB1" w14:textId="77777777" w:rsidR="00F65099" w:rsidRDefault="00F65099" w:rsidP="001C4562">
      <w:pPr>
        <w:rPr>
          <w:b/>
          <w:bCs/>
          <w:color w:val="auto"/>
        </w:rPr>
      </w:pPr>
    </w:p>
    <w:p w14:paraId="2A172A88" w14:textId="31B05E89" w:rsidR="001C4562" w:rsidRPr="001B1AAD" w:rsidRDefault="001C4562" w:rsidP="001C4562">
      <w:pPr>
        <w:rPr>
          <w:color w:val="auto"/>
        </w:rPr>
      </w:pPr>
      <w:r w:rsidRPr="001B1AAD">
        <w:rPr>
          <w:b/>
          <w:bCs/>
          <w:color w:val="auto"/>
        </w:rPr>
        <w:t>Acknowledgement of the use of AI tools</w:t>
      </w:r>
      <w:r w:rsidRPr="001B1AAD">
        <w:rPr>
          <w:color w:val="auto"/>
        </w:rPr>
        <w:t>​  </w:t>
      </w:r>
    </w:p>
    <w:p w14:paraId="55C76498" w14:textId="77777777" w:rsidR="001C4562" w:rsidRPr="001B1AAD" w:rsidRDefault="001C4562" w:rsidP="00B272AF">
      <w:pPr>
        <w:spacing w:after="160" w:line="259" w:lineRule="auto"/>
        <w:rPr>
          <w:color w:val="auto"/>
        </w:rPr>
      </w:pPr>
      <w:r w:rsidRPr="001B1AAD">
        <w:rPr>
          <w:color w:val="auto"/>
        </w:rPr>
        <w:t>I confirm that I have not used any AI tools in the research and creation of this assignment. I confirm that I have not presented any AI-generated materials as my own work. I confirm I have copies of my drafts, notes, and other resources I used, which I may be asked to provide as evidence.​  </w:t>
      </w:r>
    </w:p>
    <w:p w14:paraId="5D6AF61B" w14:textId="77777777" w:rsidR="006F17A7" w:rsidRPr="001B1AAD" w:rsidRDefault="006F17A7" w:rsidP="00EE6C1B">
      <w:pPr>
        <w:rPr>
          <w:color w:val="auto"/>
        </w:rPr>
      </w:pPr>
    </w:p>
    <w:p w14:paraId="6B70504F" w14:textId="77777777" w:rsidR="006F17A7" w:rsidRPr="001B1AAD" w:rsidRDefault="006F17A7" w:rsidP="00EE6C1B">
      <w:pPr>
        <w:rPr>
          <w:color w:val="auto"/>
        </w:rPr>
      </w:pPr>
    </w:p>
    <w:p w14:paraId="4EC5D31F" w14:textId="77777777" w:rsidR="00772138" w:rsidRPr="001B1AAD" w:rsidRDefault="00772138" w:rsidP="006F17A7">
      <w:pPr>
        <w:rPr>
          <w:color w:val="auto"/>
        </w:rPr>
        <w:sectPr w:rsidR="00772138" w:rsidRPr="001B1AAD" w:rsidSect="00734CD6">
          <w:footerReference w:type="default" r:id="rId12"/>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pgNumType w:start="0"/>
          <w:cols w:space="708"/>
          <w:titlePg/>
          <w:docGrid w:linePitch="360"/>
        </w:sectPr>
      </w:pPr>
    </w:p>
    <w:p w14:paraId="5B6E0FFB" w14:textId="4D88D6FE" w:rsidR="003E4197" w:rsidRPr="0085304F" w:rsidRDefault="008B70FD" w:rsidP="0085304F">
      <w:pPr>
        <w:pStyle w:val="Heading1"/>
      </w:pPr>
      <w:bookmarkStart w:id="1" w:name="_Toc234689665"/>
      <w:r w:rsidRPr="0085304F">
        <w:lastRenderedPageBreak/>
        <w:t xml:space="preserve">1. </w:t>
      </w:r>
      <w:r w:rsidR="008B48BF" w:rsidRPr="0085304F">
        <w:t>Introduction</w:t>
      </w:r>
      <w:bookmarkEnd w:id="1"/>
    </w:p>
    <w:p w14:paraId="2867EA79" w14:textId="7202D6DB" w:rsidR="001333CA" w:rsidRPr="001B1AAD" w:rsidRDefault="001333CA" w:rsidP="00CB1C95">
      <w:pPr>
        <w:rPr>
          <w:color w:val="auto"/>
        </w:rPr>
      </w:pPr>
      <w:r w:rsidRPr="001B1AAD">
        <w:rPr>
          <w:color w:val="auto"/>
        </w:rPr>
        <w:t xml:space="preserve">The information </w:t>
      </w:r>
      <w:r w:rsidR="00004869" w:rsidRPr="001B1AAD">
        <w:rPr>
          <w:color w:val="auto"/>
        </w:rPr>
        <w:t>booklet</w:t>
      </w:r>
      <w:r w:rsidRPr="001B1AAD">
        <w:rPr>
          <w:color w:val="auto"/>
        </w:rPr>
        <w:t xml:space="preserve"> will provide a comprehensive description of osteoarthritis, a chronic disease that affects millions of people worldwide and in the United Kingdom. </w:t>
      </w:r>
      <w:r w:rsidR="00CF5BB4" w:rsidRPr="001B1AAD">
        <w:rPr>
          <w:color w:val="auto"/>
        </w:rPr>
        <w:t>I</w:t>
      </w:r>
      <w:r w:rsidRPr="001B1AAD">
        <w:rPr>
          <w:color w:val="auto"/>
        </w:rPr>
        <w:t>t will examine the impact osteoarthritis has on individuals and their families, including its physical, psychological, and social effects. Moreover, it will cover the evidence-based treatments for osteoarthritis offered by the NHS, along with existing theoretical models from the UK and abroad.</w:t>
      </w:r>
    </w:p>
    <w:p w14:paraId="359AF914" w14:textId="77777777" w:rsidR="008B48BF" w:rsidRPr="001B1AAD" w:rsidRDefault="000F61AC" w:rsidP="005B4749">
      <w:pPr>
        <w:pStyle w:val="Heading1"/>
      </w:pPr>
      <w:bookmarkStart w:id="2" w:name="_Toc234689666"/>
      <w:r w:rsidRPr="001B1AAD">
        <w:t xml:space="preserve">2. </w:t>
      </w:r>
      <w:r w:rsidR="008B48BF" w:rsidRPr="001B1AAD">
        <w:t>Overview, Prevalence and Risk Factors for Osteoarthritis</w:t>
      </w:r>
      <w:bookmarkEnd w:id="2"/>
    </w:p>
    <w:p w14:paraId="155234EF" w14:textId="77777777" w:rsidR="008B48BF" w:rsidRPr="001B1AAD" w:rsidRDefault="008B48BF" w:rsidP="00CB1C95">
      <w:pPr>
        <w:jc w:val="center"/>
        <w:rPr>
          <w:color w:val="auto"/>
        </w:rPr>
      </w:pPr>
      <w:r w:rsidRPr="001B1AAD">
        <w:rPr>
          <w:noProof/>
          <w:color w:val="auto"/>
          <w:lang w:val="en-IN"/>
        </w:rPr>
        <w:drawing>
          <wp:inline distT="0" distB="0" distL="0" distR="0" wp14:anchorId="238FB7F2" wp14:editId="5B909707">
            <wp:extent cx="2887980" cy="2011680"/>
            <wp:effectExtent l="0" t="0" r="0" b="0"/>
            <wp:docPr id="20710353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7980" cy="2011680"/>
                    </a:xfrm>
                    <a:prstGeom prst="rect">
                      <a:avLst/>
                    </a:prstGeom>
                    <a:noFill/>
                    <a:ln>
                      <a:noFill/>
                    </a:ln>
                  </pic:spPr>
                </pic:pic>
              </a:graphicData>
            </a:graphic>
          </wp:inline>
        </w:drawing>
      </w:r>
    </w:p>
    <w:p w14:paraId="0DC55EF0" w14:textId="35C323E0" w:rsidR="008B48BF" w:rsidRPr="001B1AAD" w:rsidRDefault="008E07E2" w:rsidP="008E07E2">
      <w:pPr>
        <w:pStyle w:val="Caption"/>
        <w:rPr>
          <w:color w:val="auto"/>
        </w:rPr>
      </w:pPr>
      <w:bookmarkStart w:id="3" w:name="_Toc234689688"/>
      <w:r w:rsidRPr="001B1AAD">
        <w:rPr>
          <w:color w:val="auto"/>
        </w:rPr>
        <w:t xml:space="preserve">Figure </w:t>
      </w:r>
      <w:r w:rsidRPr="001B1AAD">
        <w:rPr>
          <w:color w:val="auto"/>
        </w:rPr>
        <w:fldChar w:fldCharType="begin"/>
      </w:r>
      <w:r w:rsidRPr="001B1AAD">
        <w:rPr>
          <w:color w:val="auto"/>
        </w:rPr>
        <w:instrText xml:space="preserve"> SEQ Figure \* ARABIC </w:instrText>
      </w:r>
      <w:r w:rsidRPr="001B1AAD">
        <w:rPr>
          <w:color w:val="auto"/>
        </w:rPr>
        <w:fldChar w:fldCharType="separate"/>
      </w:r>
      <w:r w:rsidR="004A5E8E" w:rsidRPr="001B1AAD">
        <w:rPr>
          <w:color w:val="auto"/>
        </w:rPr>
        <w:t>1</w:t>
      </w:r>
      <w:r w:rsidRPr="001B1AAD">
        <w:rPr>
          <w:color w:val="auto"/>
        </w:rPr>
        <w:fldChar w:fldCharType="end"/>
      </w:r>
      <w:r w:rsidRPr="001B1AAD">
        <w:rPr>
          <w:color w:val="auto"/>
        </w:rPr>
        <w:t>: Overview of the inflammatory mediators in OA</w:t>
      </w:r>
      <w:bookmarkEnd w:id="3"/>
    </w:p>
    <w:p w14:paraId="67D7D3CF" w14:textId="77777777" w:rsidR="008B48BF" w:rsidRPr="001B1AAD" w:rsidRDefault="008B48BF" w:rsidP="001333CA">
      <w:pPr>
        <w:jc w:val="center"/>
        <w:rPr>
          <w:color w:val="auto"/>
        </w:rPr>
      </w:pPr>
      <w:r w:rsidRPr="001B1AAD">
        <w:rPr>
          <w:color w:val="auto"/>
        </w:rPr>
        <w:t xml:space="preserve">(Source: De Roover </w:t>
      </w:r>
      <w:r w:rsidR="00B1716A" w:rsidRPr="001B1AAD">
        <w:rPr>
          <w:i/>
          <w:iCs/>
          <w:color w:val="auto"/>
        </w:rPr>
        <w:t>et al</w:t>
      </w:r>
      <w:r w:rsidRPr="001B1AAD">
        <w:rPr>
          <w:color w:val="auto"/>
        </w:rPr>
        <w:t>., 2023)</w:t>
      </w:r>
    </w:p>
    <w:p w14:paraId="5DE595FF" w14:textId="33D367C5" w:rsidR="008B48BF" w:rsidRPr="001B1AAD" w:rsidRDefault="008B48BF" w:rsidP="00CB1C95">
      <w:pPr>
        <w:rPr>
          <w:color w:val="auto"/>
        </w:rPr>
      </w:pPr>
      <w:r w:rsidRPr="001B1AAD">
        <w:rPr>
          <w:color w:val="auto"/>
        </w:rPr>
        <w:t>As</w:t>
      </w:r>
      <w:r w:rsidR="0002361B" w:rsidRPr="001B1AAD">
        <w:rPr>
          <w:color w:val="auto"/>
        </w:rPr>
        <w:t xml:space="preserve"> defin</w:t>
      </w:r>
      <w:r w:rsidRPr="001B1AAD">
        <w:rPr>
          <w:color w:val="auto"/>
        </w:rPr>
        <w:t xml:space="preserve">ed by De Roover </w:t>
      </w:r>
      <w:r w:rsidR="00B1716A" w:rsidRPr="001B1AAD">
        <w:rPr>
          <w:i/>
          <w:iCs/>
          <w:color w:val="auto"/>
        </w:rPr>
        <w:t>et al</w:t>
      </w:r>
      <w:r w:rsidRPr="001B1AAD">
        <w:rPr>
          <w:color w:val="auto"/>
        </w:rPr>
        <w:t xml:space="preserve">. (2023), Osteoarthritis (OA) is </w:t>
      </w:r>
      <w:r w:rsidR="002C3ACA">
        <w:rPr>
          <w:color w:val="auto"/>
        </w:rPr>
        <w:t>a complex, multifactorial disorder affecting the whole joint</w:t>
      </w:r>
      <w:r w:rsidRPr="001B1AAD">
        <w:rPr>
          <w:color w:val="auto"/>
        </w:rPr>
        <w:t xml:space="preserve">. It is characterised by </w:t>
      </w:r>
      <w:r w:rsidRPr="001B1AAD">
        <w:rPr>
          <w:color w:val="auto"/>
        </w:rPr>
        <w:t>persistent, low-grade inflammation, mainly mediated by the innate immune system. This complex inflammatory process is initiated early in the course of OA and involves all tissues of the joint and plays a direct role in the progressive joint pain and structural damage associated with OA.</w:t>
      </w:r>
    </w:p>
    <w:p w14:paraId="770C476F" w14:textId="0F9F7FFA" w:rsidR="003E4197" w:rsidRPr="001B1AAD" w:rsidRDefault="00C96A5B" w:rsidP="00CB1C95">
      <w:pPr>
        <w:rPr>
          <w:color w:val="auto"/>
        </w:rPr>
      </w:pPr>
      <w:r w:rsidRPr="001B1AAD">
        <w:rPr>
          <w:b/>
          <w:bCs/>
          <w:color w:val="auto"/>
        </w:rPr>
        <w:t>Osteoarthritis (OA)</w:t>
      </w:r>
      <w:r w:rsidRPr="001B1AAD">
        <w:rPr>
          <w:color w:val="auto"/>
        </w:rPr>
        <w:t xml:space="preserve"> is the most prevalent chronic musculoskeletal condition, which is characterised by the degeneration of articular cartilage, bone changes in the subchondral layer, inflammation of the synovium, and osteophyte development. Unlike previous beliefs that OA was just a "wear and tear" condition, modern scientific evidence shows that osteoarthritis is a complicated multifactorial disease associated with biomechanical, inflammatory, metabolic, and genetic factors that affect the entire joint structure (De Roover </w:t>
      </w:r>
      <w:r w:rsidRPr="001B1AAD">
        <w:rPr>
          <w:i/>
          <w:iCs/>
          <w:color w:val="auto"/>
        </w:rPr>
        <w:t>et al</w:t>
      </w:r>
      <w:r w:rsidRPr="001B1AAD">
        <w:rPr>
          <w:color w:val="auto"/>
        </w:rPr>
        <w:t>., 2023; NICE, 2022). As a result of pathological changes, a person experiences chronic pain, joint stiffness, decreased mobility and functional abilities, and poor quality of life (The Lancet Rheumatology, 2023). This chronic condition primarily occurs in weight-bearing joints, such as knees and hips, and less commonly in hands, spine, and feet.</w:t>
      </w:r>
    </w:p>
    <w:p w14:paraId="2D1D64FC" w14:textId="77777777" w:rsidR="008B48BF" w:rsidRPr="001B1AAD" w:rsidRDefault="008B48BF" w:rsidP="001333CA">
      <w:pPr>
        <w:jc w:val="center"/>
        <w:rPr>
          <w:color w:val="auto"/>
        </w:rPr>
      </w:pPr>
      <w:r w:rsidRPr="001B1AAD">
        <w:rPr>
          <w:noProof/>
          <w:color w:val="auto"/>
          <w:lang w:val="en-IN"/>
        </w:rPr>
        <w:lastRenderedPageBreak/>
        <w:drawing>
          <wp:inline distT="0" distB="0" distL="0" distR="0" wp14:anchorId="54FED8C2" wp14:editId="4FCE75EC">
            <wp:extent cx="2857500" cy="3840480"/>
            <wp:effectExtent l="0" t="0" r="0" b="0"/>
            <wp:docPr id="10636452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57500" cy="3840480"/>
                    </a:xfrm>
                    <a:prstGeom prst="rect">
                      <a:avLst/>
                    </a:prstGeom>
                    <a:noFill/>
                    <a:ln>
                      <a:noFill/>
                    </a:ln>
                  </pic:spPr>
                </pic:pic>
              </a:graphicData>
            </a:graphic>
          </wp:inline>
        </w:drawing>
      </w:r>
    </w:p>
    <w:p w14:paraId="5BB7F488" w14:textId="07DD99CB" w:rsidR="008B48BF" w:rsidRPr="001B1AAD" w:rsidRDefault="008B48BF" w:rsidP="001333CA">
      <w:pPr>
        <w:pStyle w:val="Caption"/>
        <w:rPr>
          <w:color w:val="auto"/>
        </w:rPr>
      </w:pPr>
      <w:bookmarkStart w:id="4" w:name="_Toc234689689"/>
      <w:r w:rsidRPr="001B1AAD">
        <w:rPr>
          <w:color w:val="auto"/>
        </w:rPr>
        <w:t xml:space="preserve">Figure </w:t>
      </w:r>
      <w:r w:rsidR="00B64D2D" w:rsidRPr="001B1AAD">
        <w:rPr>
          <w:color w:val="auto"/>
        </w:rPr>
        <w:fldChar w:fldCharType="begin"/>
      </w:r>
      <w:r w:rsidR="00476DB2" w:rsidRPr="001B1AAD">
        <w:rPr>
          <w:color w:val="auto"/>
        </w:rPr>
        <w:instrText xml:space="preserve"> SEQ Figure \* ARABIC </w:instrText>
      </w:r>
      <w:r w:rsidR="00B64D2D" w:rsidRPr="001B1AAD">
        <w:rPr>
          <w:color w:val="auto"/>
        </w:rPr>
        <w:fldChar w:fldCharType="separate"/>
      </w:r>
      <w:r w:rsidR="004A5E8E" w:rsidRPr="001B1AAD">
        <w:rPr>
          <w:color w:val="auto"/>
        </w:rPr>
        <w:t>2</w:t>
      </w:r>
      <w:r w:rsidR="00B64D2D" w:rsidRPr="001B1AAD">
        <w:rPr>
          <w:color w:val="auto"/>
        </w:rPr>
        <w:fldChar w:fldCharType="end"/>
      </w:r>
      <w:r w:rsidRPr="001B1AAD">
        <w:rPr>
          <w:color w:val="auto"/>
        </w:rPr>
        <w:t>: Contribution of different osteoarthritis globally</w:t>
      </w:r>
      <w:bookmarkEnd w:id="4"/>
    </w:p>
    <w:p w14:paraId="3B2CEF35" w14:textId="77777777" w:rsidR="008B48BF" w:rsidRPr="001B1AAD" w:rsidRDefault="008B48BF" w:rsidP="00CB1C95">
      <w:pPr>
        <w:jc w:val="center"/>
        <w:rPr>
          <w:color w:val="auto"/>
        </w:rPr>
      </w:pPr>
      <w:r w:rsidRPr="001B1AAD">
        <w:rPr>
          <w:color w:val="auto"/>
        </w:rPr>
        <w:t>(</w:t>
      </w:r>
      <w:r w:rsidR="00CB1C95" w:rsidRPr="001B1AAD">
        <w:rPr>
          <w:color w:val="auto"/>
        </w:rPr>
        <w:t xml:space="preserve">Source: </w:t>
      </w:r>
      <w:r w:rsidRPr="001B1AAD">
        <w:rPr>
          <w:color w:val="auto"/>
        </w:rPr>
        <w:t>The Lancet Rheumatology, 2023)</w:t>
      </w:r>
    </w:p>
    <w:p w14:paraId="45E18A03" w14:textId="77777777" w:rsidR="004C0050" w:rsidRPr="001B1AAD" w:rsidRDefault="0017491A" w:rsidP="00CB1C95">
      <w:pPr>
        <w:jc w:val="center"/>
        <w:rPr>
          <w:b/>
          <w:bCs/>
          <w:color w:val="auto"/>
        </w:rPr>
      </w:pPr>
      <w:r w:rsidRPr="001B1AAD">
        <w:rPr>
          <w:b/>
          <w:bCs/>
          <w:color w:val="auto"/>
        </w:rPr>
        <w:t>Worldwide prevalence</w:t>
      </w:r>
    </w:p>
    <w:p w14:paraId="7878730C" w14:textId="77777777" w:rsidR="00DA4451" w:rsidRPr="001B1AAD" w:rsidRDefault="008B48BF" w:rsidP="00DA4451">
      <w:pPr>
        <w:rPr>
          <w:color w:val="auto"/>
        </w:rPr>
      </w:pPr>
      <w:r w:rsidRPr="001B1AAD">
        <w:rPr>
          <w:color w:val="auto"/>
        </w:rPr>
        <w:t xml:space="preserve">Osteoarthritis is a </w:t>
      </w:r>
      <w:r w:rsidR="00A61AE2" w:rsidRPr="001B1AAD">
        <w:rPr>
          <w:color w:val="auto"/>
        </w:rPr>
        <w:t>significant</w:t>
      </w:r>
      <w:r w:rsidRPr="001B1AAD">
        <w:rPr>
          <w:color w:val="auto"/>
        </w:rPr>
        <w:t xml:space="preserve"> public health </w:t>
      </w:r>
      <w:r w:rsidR="00143181" w:rsidRPr="001B1AAD">
        <w:rPr>
          <w:color w:val="auto"/>
        </w:rPr>
        <w:t>concern</w:t>
      </w:r>
      <w:r w:rsidRPr="001B1AAD">
        <w:rPr>
          <w:color w:val="auto"/>
        </w:rPr>
        <w:t xml:space="preserve"> and is a major cause of physical disability and health care costs worldwide. For example, according to the study published in The Lancet Rheumatology (2023), about 595 million people suffer from osteoarthritis worldwide. This is equivalent to around 7.6% of the world</w:t>
      </w:r>
      <w:r w:rsidR="00CD7273" w:rsidRPr="001B1AAD">
        <w:rPr>
          <w:color w:val="auto"/>
        </w:rPr>
        <w:t>’</w:t>
      </w:r>
      <w:r w:rsidRPr="001B1AAD">
        <w:rPr>
          <w:color w:val="auto"/>
        </w:rPr>
        <w:t xml:space="preserve">s population, and a 132% rise in the number of cases since 1990. It is noted that there is a large regional </w:t>
      </w:r>
      <w:r w:rsidRPr="001B1AAD">
        <w:rPr>
          <w:color w:val="auto"/>
        </w:rPr>
        <w:t xml:space="preserve">variation, as illustrated above, especially as related to knee versus hand joint involvement (The Lancet Rheumatology, 2023). Knee osteoarthritis is the predominant contributor in most regions, but is at its lowest regional level in Central Asia (66.2% (63.6–69.2%) vs 34.6% (32.2–37.8%)). The only two geographical exceptions where knee osteoarthritis is not the largest contributor are </w:t>
      </w:r>
      <w:r w:rsidR="00CB594E" w:rsidRPr="001B1AAD">
        <w:rPr>
          <w:color w:val="auto"/>
        </w:rPr>
        <w:t>C</w:t>
      </w:r>
      <w:r w:rsidRPr="001B1AAD">
        <w:rPr>
          <w:color w:val="auto"/>
        </w:rPr>
        <w:t>entral Asia and Eastern Europe. The influence of hand osteoarthritis on global disease burden ranges between a minimum of 21.0% (18.9–22.6) in East Asia and a maximum of 50.0% (47.2–51.4) in Central Asia.</w:t>
      </w:r>
    </w:p>
    <w:p w14:paraId="3FE28B05" w14:textId="77777777" w:rsidR="00DA4451" w:rsidRPr="001B1AAD" w:rsidRDefault="00DA4451" w:rsidP="00DA4451">
      <w:pPr>
        <w:rPr>
          <w:color w:val="auto"/>
        </w:rPr>
      </w:pPr>
      <w:r w:rsidRPr="001B1AAD">
        <w:rPr>
          <w:noProof/>
          <w:color w:val="auto"/>
          <w:lang w:val="en-IN"/>
        </w:rPr>
        <w:drawing>
          <wp:inline distT="0" distB="0" distL="0" distR="0" wp14:anchorId="3E8ECAB5" wp14:editId="070351C8">
            <wp:extent cx="2614295" cy="2529840"/>
            <wp:effectExtent l="0" t="0" r="0" b="0"/>
            <wp:docPr id="1456561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61053" name=""/>
                    <pic:cNvPicPr/>
                  </pic:nvPicPr>
                  <pic:blipFill>
                    <a:blip r:embed="rId15"/>
                    <a:stretch>
                      <a:fillRect/>
                    </a:stretch>
                  </pic:blipFill>
                  <pic:spPr>
                    <a:xfrm>
                      <a:off x="0" y="0"/>
                      <a:ext cx="2632432" cy="2547391"/>
                    </a:xfrm>
                    <a:prstGeom prst="rect">
                      <a:avLst/>
                    </a:prstGeom>
                  </pic:spPr>
                </pic:pic>
              </a:graphicData>
            </a:graphic>
          </wp:inline>
        </w:drawing>
      </w:r>
    </w:p>
    <w:p w14:paraId="70FC1BCD" w14:textId="77777777" w:rsidR="00DA4451" w:rsidRPr="001B1AAD" w:rsidRDefault="00DA4451" w:rsidP="00DA4451">
      <w:pPr>
        <w:jc w:val="center"/>
        <w:rPr>
          <w:color w:val="auto"/>
        </w:rPr>
      </w:pPr>
      <w:r w:rsidRPr="001B1AAD">
        <w:rPr>
          <w:noProof/>
          <w:color w:val="auto"/>
          <w:lang w:val="en-IN"/>
        </w:rPr>
        <w:lastRenderedPageBreak/>
        <w:drawing>
          <wp:inline distT="0" distB="0" distL="0" distR="0" wp14:anchorId="256518D6" wp14:editId="32767F8B">
            <wp:extent cx="2849880" cy="3321685"/>
            <wp:effectExtent l="0" t="0" r="0" b="0"/>
            <wp:docPr id="1044485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85820" name=""/>
                    <pic:cNvPicPr/>
                  </pic:nvPicPr>
                  <pic:blipFill>
                    <a:blip r:embed="rId16"/>
                    <a:stretch>
                      <a:fillRect/>
                    </a:stretch>
                  </pic:blipFill>
                  <pic:spPr>
                    <a:xfrm>
                      <a:off x="0" y="0"/>
                      <a:ext cx="2849880" cy="3321685"/>
                    </a:xfrm>
                    <a:prstGeom prst="rect">
                      <a:avLst/>
                    </a:prstGeom>
                  </pic:spPr>
                </pic:pic>
              </a:graphicData>
            </a:graphic>
          </wp:inline>
        </w:drawing>
      </w:r>
    </w:p>
    <w:p w14:paraId="12C37146" w14:textId="4293B20A" w:rsidR="00DA4451" w:rsidRPr="001B1AAD" w:rsidRDefault="00DA4451" w:rsidP="00DA4451">
      <w:pPr>
        <w:pStyle w:val="Caption"/>
        <w:rPr>
          <w:b w:val="0"/>
          <w:bCs w:val="0"/>
          <w:i/>
          <w:iCs/>
          <w:color w:val="auto"/>
          <w:szCs w:val="24"/>
        </w:rPr>
      </w:pPr>
      <w:bookmarkStart w:id="5" w:name="_Toc234689690"/>
      <w:r w:rsidRPr="001B1AAD">
        <w:rPr>
          <w:color w:val="auto"/>
        </w:rPr>
        <w:t xml:space="preserve">Figure </w:t>
      </w:r>
      <w:r w:rsidR="00B64D2D" w:rsidRPr="001B1AAD">
        <w:rPr>
          <w:color w:val="auto"/>
        </w:rPr>
        <w:fldChar w:fldCharType="begin"/>
      </w:r>
      <w:r w:rsidRPr="001B1AAD">
        <w:rPr>
          <w:color w:val="auto"/>
        </w:rPr>
        <w:instrText xml:space="preserve"> SEQ Figure \* ARABIC </w:instrText>
      </w:r>
      <w:r w:rsidR="00B64D2D" w:rsidRPr="001B1AAD">
        <w:rPr>
          <w:color w:val="auto"/>
        </w:rPr>
        <w:fldChar w:fldCharType="separate"/>
      </w:r>
      <w:r w:rsidR="004A5E8E" w:rsidRPr="001B1AAD">
        <w:rPr>
          <w:color w:val="auto"/>
        </w:rPr>
        <w:t>3</w:t>
      </w:r>
      <w:r w:rsidR="00B64D2D" w:rsidRPr="001B1AAD">
        <w:rPr>
          <w:color w:val="auto"/>
        </w:rPr>
        <w:fldChar w:fldCharType="end"/>
      </w:r>
      <w:r w:rsidRPr="001B1AAD">
        <w:rPr>
          <w:color w:val="auto"/>
          <w:szCs w:val="24"/>
        </w:rPr>
        <w:t>: Global Burden of Osteoarthritis</w:t>
      </w:r>
      <w:bookmarkEnd w:id="5"/>
    </w:p>
    <w:p w14:paraId="6EDD502F" w14:textId="063E621F" w:rsidR="00DA4451" w:rsidRPr="001B1AAD" w:rsidRDefault="00DA4451" w:rsidP="00DA4451">
      <w:pPr>
        <w:jc w:val="center"/>
        <w:rPr>
          <w:color w:val="auto"/>
        </w:rPr>
      </w:pPr>
      <w:r w:rsidRPr="001B1AAD">
        <w:rPr>
          <w:color w:val="auto"/>
        </w:rPr>
        <w:t xml:space="preserve">(Source: </w:t>
      </w:r>
      <w:r w:rsidR="007A0555" w:rsidRPr="001B1AAD">
        <w:rPr>
          <w:color w:val="auto"/>
        </w:rPr>
        <w:t>The Lancet Rheumatology, 2023</w:t>
      </w:r>
      <w:r w:rsidRPr="001B1AAD">
        <w:rPr>
          <w:color w:val="auto"/>
        </w:rPr>
        <w:t>)</w:t>
      </w:r>
    </w:p>
    <w:p w14:paraId="0B735D81" w14:textId="77777777" w:rsidR="008B48BF" w:rsidRPr="001B1AAD" w:rsidRDefault="008B48BF" w:rsidP="001333CA">
      <w:pPr>
        <w:jc w:val="center"/>
        <w:rPr>
          <w:color w:val="auto"/>
        </w:rPr>
      </w:pPr>
      <w:r w:rsidRPr="001B1AAD">
        <w:rPr>
          <w:noProof/>
          <w:color w:val="auto"/>
          <w:lang w:val="en-IN"/>
        </w:rPr>
        <w:drawing>
          <wp:inline distT="0" distB="0" distL="0" distR="0" wp14:anchorId="0707BB03" wp14:editId="4E9E0874">
            <wp:extent cx="2628900" cy="3177540"/>
            <wp:effectExtent l="0" t="0" r="0" b="0"/>
            <wp:docPr id="17179244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28900" cy="3177540"/>
                    </a:xfrm>
                    <a:prstGeom prst="rect">
                      <a:avLst/>
                    </a:prstGeom>
                    <a:noFill/>
                    <a:ln>
                      <a:noFill/>
                    </a:ln>
                  </pic:spPr>
                </pic:pic>
              </a:graphicData>
            </a:graphic>
          </wp:inline>
        </w:drawing>
      </w:r>
    </w:p>
    <w:p w14:paraId="63D6E259" w14:textId="39E29F8C" w:rsidR="008B48BF" w:rsidRPr="001B1AAD" w:rsidRDefault="008B48BF" w:rsidP="001333CA">
      <w:pPr>
        <w:pStyle w:val="Caption"/>
        <w:rPr>
          <w:color w:val="auto"/>
        </w:rPr>
      </w:pPr>
      <w:bookmarkStart w:id="6" w:name="_Toc234689691"/>
      <w:r w:rsidRPr="001B1AAD">
        <w:rPr>
          <w:color w:val="auto"/>
        </w:rPr>
        <w:t xml:space="preserve">Figure </w:t>
      </w:r>
      <w:r w:rsidR="00B64D2D" w:rsidRPr="001B1AAD">
        <w:rPr>
          <w:color w:val="auto"/>
        </w:rPr>
        <w:fldChar w:fldCharType="begin"/>
      </w:r>
      <w:r w:rsidR="00476DB2" w:rsidRPr="001B1AAD">
        <w:rPr>
          <w:color w:val="auto"/>
        </w:rPr>
        <w:instrText xml:space="preserve"> SEQ Figure \* ARABIC </w:instrText>
      </w:r>
      <w:r w:rsidR="00B64D2D" w:rsidRPr="001B1AAD">
        <w:rPr>
          <w:color w:val="auto"/>
        </w:rPr>
        <w:fldChar w:fldCharType="separate"/>
      </w:r>
      <w:r w:rsidR="004A5E8E" w:rsidRPr="001B1AAD">
        <w:rPr>
          <w:color w:val="auto"/>
        </w:rPr>
        <w:t>4</w:t>
      </w:r>
      <w:r w:rsidR="00B64D2D" w:rsidRPr="001B1AAD">
        <w:rPr>
          <w:color w:val="auto"/>
        </w:rPr>
        <w:fldChar w:fldCharType="end"/>
      </w:r>
      <w:r w:rsidRPr="001B1AAD">
        <w:rPr>
          <w:color w:val="auto"/>
        </w:rPr>
        <w:t>: Prevalence of general practitioner (GP)-diagnosed osteoarthritis in the UK</w:t>
      </w:r>
      <w:bookmarkEnd w:id="6"/>
    </w:p>
    <w:p w14:paraId="45B64AEC" w14:textId="77777777" w:rsidR="008B48BF" w:rsidRPr="001B1AAD" w:rsidRDefault="008B48BF" w:rsidP="009969CD">
      <w:pPr>
        <w:jc w:val="center"/>
        <w:rPr>
          <w:color w:val="auto"/>
        </w:rPr>
      </w:pPr>
      <w:r w:rsidRPr="001B1AAD">
        <w:rPr>
          <w:color w:val="auto"/>
        </w:rPr>
        <w:t>(</w:t>
      </w:r>
      <w:r w:rsidR="00CB1C95" w:rsidRPr="001B1AAD">
        <w:rPr>
          <w:color w:val="auto"/>
        </w:rPr>
        <w:t xml:space="preserve">Source: </w:t>
      </w:r>
      <w:r w:rsidRPr="001B1AAD">
        <w:rPr>
          <w:color w:val="auto"/>
        </w:rPr>
        <w:t>ACR, 2019)</w:t>
      </w:r>
    </w:p>
    <w:p w14:paraId="7D650A5C" w14:textId="77777777" w:rsidR="008B48BF" w:rsidRPr="001B1AAD" w:rsidRDefault="008B48BF" w:rsidP="009969CD">
      <w:pPr>
        <w:jc w:val="center"/>
        <w:rPr>
          <w:color w:val="auto"/>
        </w:rPr>
      </w:pPr>
      <w:r w:rsidRPr="001B1AAD">
        <w:rPr>
          <w:noProof/>
          <w:color w:val="auto"/>
          <w:lang w:val="en-IN"/>
        </w:rPr>
        <w:drawing>
          <wp:inline distT="0" distB="0" distL="0" distR="0" wp14:anchorId="1FB723FB" wp14:editId="4FEC25DB">
            <wp:extent cx="2476500" cy="2773680"/>
            <wp:effectExtent l="0" t="0" r="0" b="0"/>
            <wp:docPr id="17363170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a:fillRect/>
                    </a:stretch>
                  </pic:blipFill>
                  <pic:spPr bwMode="auto">
                    <a:xfrm>
                      <a:off x="0" y="0"/>
                      <a:ext cx="2476500" cy="2773680"/>
                    </a:xfrm>
                    <a:prstGeom prst="rect">
                      <a:avLst/>
                    </a:prstGeom>
                    <a:noFill/>
                    <a:ln>
                      <a:noFill/>
                    </a:ln>
                    <a:extLst>
                      <a:ext uri="{53640926-AAD7-44D8-BBD7-CCE9431645EC}">
                        <a14:shadowObscured xmlns:a14="http://schemas.microsoft.com/office/drawing/2010/main"/>
                      </a:ext>
                    </a:extLst>
                  </pic:spPr>
                </pic:pic>
              </a:graphicData>
            </a:graphic>
          </wp:inline>
        </w:drawing>
      </w:r>
    </w:p>
    <w:p w14:paraId="284B6854" w14:textId="77777777" w:rsidR="009969CD" w:rsidRPr="001B1AAD" w:rsidRDefault="009969CD" w:rsidP="009969CD">
      <w:pPr>
        <w:jc w:val="center"/>
        <w:rPr>
          <w:color w:val="auto"/>
        </w:rPr>
      </w:pPr>
      <w:r w:rsidRPr="001B1AAD">
        <w:rPr>
          <w:noProof/>
          <w:color w:val="auto"/>
          <w:lang w:val="en-IN"/>
        </w:rPr>
        <w:drawing>
          <wp:inline distT="0" distB="0" distL="0" distR="0" wp14:anchorId="31751BF3" wp14:editId="74BE0780">
            <wp:extent cx="2400300" cy="2773680"/>
            <wp:effectExtent l="0" t="0" r="0" b="0"/>
            <wp:docPr id="1273092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a:fillRect/>
                    </a:stretch>
                  </pic:blipFill>
                  <pic:spPr bwMode="auto">
                    <a:xfrm>
                      <a:off x="0" y="0"/>
                      <a:ext cx="2400300" cy="2773680"/>
                    </a:xfrm>
                    <a:prstGeom prst="rect">
                      <a:avLst/>
                    </a:prstGeom>
                    <a:noFill/>
                    <a:ln>
                      <a:noFill/>
                    </a:ln>
                    <a:extLst>
                      <a:ext uri="{53640926-AAD7-44D8-BBD7-CCE9431645EC}">
                        <a14:shadowObscured xmlns:a14="http://schemas.microsoft.com/office/drawing/2010/main"/>
                      </a:ext>
                    </a:extLst>
                  </pic:spPr>
                </pic:pic>
              </a:graphicData>
            </a:graphic>
          </wp:inline>
        </w:drawing>
      </w:r>
    </w:p>
    <w:p w14:paraId="6FEE308F" w14:textId="3E2D2FE0" w:rsidR="008B48BF" w:rsidRPr="001B1AAD" w:rsidRDefault="008B48BF" w:rsidP="001333CA">
      <w:pPr>
        <w:pStyle w:val="Caption"/>
        <w:rPr>
          <w:color w:val="auto"/>
        </w:rPr>
      </w:pPr>
      <w:bookmarkStart w:id="7" w:name="_Toc234689692"/>
      <w:r w:rsidRPr="001B1AAD">
        <w:rPr>
          <w:color w:val="auto"/>
        </w:rPr>
        <w:t xml:space="preserve">Figure </w:t>
      </w:r>
      <w:r w:rsidR="00B64D2D" w:rsidRPr="001B1AAD">
        <w:rPr>
          <w:color w:val="auto"/>
        </w:rPr>
        <w:fldChar w:fldCharType="begin"/>
      </w:r>
      <w:r w:rsidR="00476DB2" w:rsidRPr="001B1AAD">
        <w:rPr>
          <w:color w:val="auto"/>
        </w:rPr>
        <w:instrText xml:space="preserve"> SEQ Figure \* ARABIC </w:instrText>
      </w:r>
      <w:r w:rsidR="00B64D2D" w:rsidRPr="001B1AAD">
        <w:rPr>
          <w:color w:val="auto"/>
        </w:rPr>
        <w:fldChar w:fldCharType="separate"/>
      </w:r>
      <w:r w:rsidR="009B66EE" w:rsidRPr="001B1AAD">
        <w:rPr>
          <w:noProof/>
          <w:color w:val="auto"/>
        </w:rPr>
        <w:t>5</w:t>
      </w:r>
      <w:r w:rsidR="00B64D2D" w:rsidRPr="001B1AAD">
        <w:rPr>
          <w:color w:val="auto"/>
        </w:rPr>
        <w:fldChar w:fldCharType="end"/>
      </w:r>
      <w:r w:rsidRPr="001B1AAD">
        <w:rPr>
          <w:color w:val="auto"/>
        </w:rPr>
        <w:t xml:space="preserve">: Regional </w:t>
      </w:r>
      <w:r w:rsidR="00114A26" w:rsidRPr="001B1AAD">
        <w:rPr>
          <w:color w:val="auto"/>
        </w:rPr>
        <w:t>Distribution of Osteoarthritis a</w:t>
      </w:r>
      <w:r w:rsidRPr="001B1AAD">
        <w:rPr>
          <w:color w:val="auto"/>
        </w:rPr>
        <w:t>cross the UK</w:t>
      </w:r>
      <w:bookmarkEnd w:id="7"/>
    </w:p>
    <w:p w14:paraId="1FC9DA2F" w14:textId="77777777" w:rsidR="008B48BF" w:rsidRPr="001B1AAD" w:rsidRDefault="008B48BF" w:rsidP="00CB1C95">
      <w:pPr>
        <w:jc w:val="center"/>
        <w:rPr>
          <w:color w:val="auto"/>
        </w:rPr>
      </w:pPr>
      <w:r w:rsidRPr="001B1AAD">
        <w:rPr>
          <w:color w:val="auto"/>
        </w:rPr>
        <w:t>(</w:t>
      </w:r>
      <w:r w:rsidR="00CB1C95" w:rsidRPr="001B1AAD">
        <w:rPr>
          <w:color w:val="auto"/>
        </w:rPr>
        <w:t xml:space="preserve">Source: </w:t>
      </w:r>
      <w:r w:rsidRPr="001B1AAD">
        <w:rPr>
          <w:color w:val="auto"/>
        </w:rPr>
        <w:t>ACR, 2019)</w:t>
      </w:r>
    </w:p>
    <w:p w14:paraId="1DC3F6D9" w14:textId="77777777" w:rsidR="0017491A" w:rsidRPr="001B1AAD" w:rsidRDefault="0017491A" w:rsidP="006B194E">
      <w:pPr>
        <w:jc w:val="center"/>
        <w:rPr>
          <w:b/>
          <w:bCs/>
          <w:color w:val="auto"/>
        </w:rPr>
      </w:pPr>
      <w:r w:rsidRPr="001B1AAD">
        <w:rPr>
          <w:b/>
          <w:bCs/>
          <w:color w:val="auto"/>
        </w:rPr>
        <w:t>UK prev</w:t>
      </w:r>
      <w:r w:rsidR="006B194E" w:rsidRPr="001B1AAD">
        <w:rPr>
          <w:b/>
          <w:bCs/>
          <w:color w:val="auto"/>
        </w:rPr>
        <w:t>alence</w:t>
      </w:r>
    </w:p>
    <w:p w14:paraId="35B88ED2" w14:textId="77777777" w:rsidR="00337F7B" w:rsidRDefault="00110D21" w:rsidP="00C96A5B">
      <w:pPr>
        <w:rPr>
          <w:color w:val="auto"/>
        </w:rPr>
      </w:pPr>
      <w:r w:rsidRPr="001B1AAD">
        <w:rPr>
          <w:color w:val="auto"/>
        </w:rPr>
        <w:lastRenderedPageBreak/>
        <w:t>It is estimated that in the UK alone, osteoarthritis affects 10 million people (Tachmazidou</w:t>
      </w:r>
      <w:r w:rsidR="008B70FD" w:rsidRPr="001B1AAD">
        <w:rPr>
          <w:color w:val="auto"/>
        </w:rPr>
        <w:t xml:space="preserve"> </w:t>
      </w:r>
      <w:r w:rsidRPr="001B1AAD">
        <w:rPr>
          <w:i/>
          <w:iCs/>
          <w:color w:val="auto"/>
        </w:rPr>
        <w:t>et al.</w:t>
      </w:r>
      <w:r w:rsidRPr="001B1AAD">
        <w:rPr>
          <w:color w:val="auto"/>
        </w:rPr>
        <w:t>, 2019).</w:t>
      </w:r>
      <w:r w:rsidR="008B70FD" w:rsidRPr="001B1AAD">
        <w:rPr>
          <w:color w:val="auto"/>
        </w:rPr>
        <w:t xml:space="preserve"> </w:t>
      </w:r>
      <w:r w:rsidR="002750A0" w:rsidRPr="001B1AAD">
        <w:rPr>
          <w:color w:val="auto"/>
        </w:rPr>
        <w:t xml:space="preserve">The </w:t>
      </w:r>
      <w:r w:rsidR="008B48BF" w:rsidRPr="001B1AAD">
        <w:rPr>
          <w:color w:val="auto"/>
        </w:rPr>
        <w:t xml:space="preserve">overall age- and sex-standardised prevalence estimates show a more than </w:t>
      </w:r>
      <w:r w:rsidR="00B42F3B" w:rsidRPr="001B1AAD">
        <w:rPr>
          <w:color w:val="auto"/>
        </w:rPr>
        <w:t>twofold</w:t>
      </w:r>
      <w:r w:rsidR="008B48BF" w:rsidRPr="001B1AAD">
        <w:rPr>
          <w:color w:val="auto"/>
        </w:rPr>
        <w:t xml:space="preserve"> increase from 4.9% in 1997 to 10.4% in 2017 over the 20-year study period</w:t>
      </w:r>
      <w:r w:rsidR="006B194E" w:rsidRPr="001B1AAD">
        <w:rPr>
          <w:color w:val="auto"/>
        </w:rPr>
        <w:t xml:space="preserve"> in the UK</w:t>
      </w:r>
      <w:r w:rsidR="00114A26" w:rsidRPr="001B1AAD">
        <w:rPr>
          <w:color w:val="auto"/>
        </w:rPr>
        <w:t xml:space="preserve"> (ACR, 2019)</w:t>
      </w:r>
      <w:r w:rsidR="008B48BF" w:rsidRPr="001B1AAD">
        <w:rPr>
          <w:color w:val="auto"/>
        </w:rPr>
        <w:t>.</w:t>
      </w:r>
      <w:r w:rsidR="006634E0" w:rsidRPr="001B1AAD">
        <w:rPr>
          <w:color w:val="auto"/>
        </w:rPr>
        <w:t xml:space="preserve"> </w:t>
      </w:r>
      <w:r w:rsidR="008B48BF" w:rsidRPr="001B1AAD">
        <w:rPr>
          <w:color w:val="auto"/>
        </w:rPr>
        <w:t>Women had a higher prevalence than men in the study, which, as women are more vulnerable to osteoarthritis than men, is more common, especially after menopause. Despite improving health care, the prevalence of OA has been steadily increasing at an average rate per year of 3.9% (95% CI: 3.5–4.2%). In contrast, ACR (2019) showed that the highest prevalence of osteoarthritis was found in the Northern regions (Scotland and Northern Ireland), while the highest incidence of newly diagnosed cases was found in the East Midlands.</w:t>
      </w:r>
      <w:r w:rsidR="005925CA">
        <w:rPr>
          <w:color w:val="auto"/>
        </w:rPr>
        <w:t xml:space="preserve"> </w:t>
      </w:r>
    </w:p>
    <w:p w14:paraId="70182821" w14:textId="77777777" w:rsidR="00E33EAA" w:rsidRDefault="008D1061" w:rsidP="00EE6C1B">
      <w:pPr>
        <w:rPr>
          <w:b/>
          <w:bCs/>
          <w:color w:val="auto"/>
        </w:rPr>
      </w:pPr>
      <w:r w:rsidRPr="008D1061">
        <w:rPr>
          <w:b/>
          <w:bCs/>
          <w:color w:val="auto"/>
        </w:rPr>
        <w:t>Risk Factors</w:t>
      </w:r>
    </w:p>
    <w:p w14:paraId="623FA020" w14:textId="76BE15F1" w:rsidR="00547EC9" w:rsidRPr="00E33EAA" w:rsidRDefault="00C96A5B" w:rsidP="00EE6C1B">
      <w:pPr>
        <w:rPr>
          <w:b/>
          <w:bCs/>
          <w:color w:val="auto"/>
        </w:rPr>
      </w:pPr>
      <w:r w:rsidRPr="001B1AAD">
        <w:rPr>
          <w:color w:val="auto"/>
        </w:rPr>
        <w:t xml:space="preserve">Age is the </w:t>
      </w:r>
      <w:r w:rsidR="008D1061">
        <w:rPr>
          <w:color w:val="auto"/>
        </w:rPr>
        <w:t>most significant</w:t>
      </w:r>
      <w:r w:rsidRPr="001B1AAD">
        <w:rPr>
          <w:color w:val="auto"/>
        </w:rPr>
        <w:t xml:space="preserve"> risk factor </w:t>
      </w:r>
      <w:r w:rsidR="008D1061">
        <w:rPr>
          <w:color w:val="auto"/>
        </w:rPr>
        <w:t>of</w:t>
      </w:r>
      <w:r w:rsidRPr="001B1AAD">
        <w:rPr>
          <w:color w:val="auto"/>
        </w:rPr>
        <w:t xml:space="preserve"> osteoarthritis</w:t>
      </w:r>
      <w:r w:rsidR="008D1061">
        <w:rPr>
          <w:color w:val="auto"/>
        </w:rPr>
        <w:t xml:space="preserve">, as it is observed to be prevalent and incidence rates have significantly risen in older age groups as a result of degeneration </w:t>
      </w:r>
      <w:r w:rsidR="001A00A0">
        <w:rPr>
          <w:color w:val="auto"/>
        </w:rPr>
        <w:t>of</w:t>
      </w:r>
      <w:r w:rsidR="008D1061">
        <w:rPr>
          <w:color w:val="auto"/>
        </w:rPr>
        <w:t xml:space="preserve"> joint cartilage with age (</w:t>
      </w:r>
      <w:r w:rsidR="009B6C81">
        <w:rPr>
          <w:color w:val="auto"/>
        </w:rPr>
        <w:t xml:space="preserve">Swain </w:t>
      </w:r>
      <w:r w:rsidR="00E17F7D">
        <w:rPr>
          <w:color w:val="auto"/>
        </w:rPr>
        <w:t>e</w:t>
      </w:r>
      <w:r w:rsidR="009B6C81">
        <w:rPr>
          <w:color w:val="auto"/>
        </w:rPr>
        <w:t>t al.</w:t>
      </w:r>
      <w:r w:rsidR="00642B52">
        <w:rPr>
          <w:color w:val="auto"/>
        </w:rPr>
        <w:t>, 202</w:t>
      </w:r>
      <w:r w:rsidR="009B6C81">
        <w:rPr>
          <w:color w:val="auto"/>
        </w:rPr>
        <w:t>0</w:t>
      </w:r>
      <w:r w:rsidR="008D1061">
        <w:rPr>
          <w:color w:val="auto"/>
        </w:rPr>
        <w:t>)</w:t>
      </w:r>
      <w:r w:rsidR="00642B52">
        <w:rPr>
          <w:color w:val="auto"/>
        </w:rPr>
        <w:t>.</w:t>
      </w:r>
      <w:r w:rsidRPr="001B1AAD">
        <w:rPr>
          <w:color w:val="auto"/>
        </w:rPr>
        <w:t xml:space="preserve"> Consequently, the prevalence and severity of OA increase significantly</w:t>
      </w:r>
      <w:r w:rsidR="008D1061">
        <w:rPr>
          <w:color w:val="auto"/>
        </w:rPr>
        <w:t xml:space="preserve"> </w:t>
      </w:r>
      <w:r w:rsidR="008D1061">
        <w:rPr>
          <w:color w:val="auto"/>
        </w:rPr>
        <w:t>after the age of 50 years. Another big risk factor is female sex, as incidence and prevalence rates are consistently higher in women than in men, which may be attributed to changes in hormones after menopause (</w:t>
      </w:r>
      <w:r w:rsidR="001C0151">
        <w:rPr>
          <w:color w:val="auto"/>
        </w:rPr>
        <w:t>Swain</w:t>
      </w:r>
      <w:r w:rsidR="00E313D2">
        <w:rPr>
          <w:color w:val="auto"/>
        </w:rPr>
        <w:t xml:space="preserve"> et al., 2020</w:t>
      </w:r>
      <w:r w:rsidR="008D1061">
        <w:rPr>
          <w:color w:val="auto"/>
        </w:rPr>
        <w:t>)</w:t>
      </w:r>
      <w:r w:rsidR="00E313D2">
        <w:rPr>
          <w:color w:val="auto"/>
        </w:rPr>
        <w:t>.</w:t>
      </w:r>
    </w:p>
    <w:p w14:paraId="7D597570" w14:textId="2AB2254C" w:rsidR="00E33EAA" w:rsidRDefault="00E33EAA" w:rsidP="00E33EAA">
      <w:pPr>
        <w:rPr>
          <w:color w:val="auto"/>
        </w:rPr>
      </w:pPr>
      <w:r w:rsidRPr="001B1AAD">
        <w:rPr>
          <w:color w:val="auto"/>
        </w:rPr>
        <w:t>Osteoarthritis has a multifactorial aetiology resulting from the interaction of biological, mechanical, genetic, and environmental factors. Rather than being caused by a single factor, OA develops gradually as multiple risk factors contribute to progressive joint degeneration</w:t>
      </w:r>
      <w:r w:rsidR="00120F7E">
        <w:rPr>
          <w:color w:val="auto"/>
        </w:rPr>
        <w:t xml:space="preserve"> (</w:t>
      </w:r>
      <w:r w:rsidR="007976D4">
        <w:rPr>
          <w:color w:val="auto"/>
        </w:rPr>
        <w:t>Rhim et al., 2024)</w:t>
      </w:r>
      <w:r w:rsidR="001C0151">
        <w:rPr>
          <w:color w:val="auto"/>
        </w:rPr>
        <w:t>.</w:t>
      </w:r>
    </w:p>
    <w:p w14:paraId="72608EF6" w14:textId="77777777" w:rsidR="00E33EAA" w:rsidRPr="001B1AAD" w:rsidRDefault="00E33EAA" w:rsidP="00EE6C1B">
      <w:pPr>
        <w:rPr>
          <w:color w:val="auto"/>
        </w:rPr>
      </w:pPr>
    </w:p>
    <w:p w14:paraId="3DEEDF3D" w14:textId="77777777" w:rsidR="00002E65" w:rsidRPr="001B1AAD" w:rsidRDefault="000F61AC" w:rsidP="00002E65">
      <w:pPr>
        <w:pStyle w:val="Heading1"/>
      </w:pPr>
      <w:bookmarkStart w:id="8" w:name="_Toc234689667"/>
      <w:r w:rsidRPr="001B1AAD">
        <w:t xml:space="preserve">3. </w:t>
      </w:r>
      <w:r w:rsidR="008B48BF" w:rsidRPr="001B1AAD">
        <w:t>Impact and Evidence-Based Management of Osteoarthritis</w:t>
      </w:r>
      <w:bookmarkEnd w:id="8"/>
    </w:p>
    <w:p w14:paraId="0FF70B6B" w14:textId="77777777" w:rsidR="00FF4770" w:rsidRPr="001B1AAD" w:rsidRDefault="00002E65" w:rsidP="00FF4770">
      <w:pPr>
        <w:rPr>
          <w:b/>
          <w:bCs/>
          <w:color w:val="auto"/>
        </w:rPr>
      </w:pPr>
      <w:r w:rsidRPr="001B1AAD">
        <w:rPr>
          <w:b/>
          <w:bCs/>
          <w:color w:val="auto"/>
        </w:rPr>
        <w:t>Physical implications</w:t>
      </w:r>
    </w:p>
    <w:p w14:paraId="137DBCB3" w14:textId="39A5970B" w:rsidR="00FF4770" w:rsidRPr="001B1AAD" w:rsidRDefault="00FF4770" w:rsidP="00FF4770">
      <w:pPr>
        <w:rPr>
          <w:color w:val="auto"/>
        </w:rPr>
      </w:pPr>
      <w:r w:rsidRPr="001B1AAD">
        <w:rPr>
          <w:color w:val="auto"/>
        </w:rPr>
        <w:t xml:space="preserve">Osteoarthritis is </w:t>
      </w:r>
      <w:r w:rsidR="00DB18F4" w:rsidRPr="001B1AAD">
        <w:rPr>
          <w:color w:val="auto"/>
        </w:rPr>
        <w:t>characterised</w:t>
      </w:r>
      <w:r w:rsidRPr="001B1AAD">
        <w:rPr>
          <w:color w:val="auto"/>
        </w:rPr>
        <w:t xml:space="preserve"> by the progressive degeneration of joint cartilage, causing pain, joint stiffness, inflammation, and a decrease in the range of movement. </w:t>
      </w:r>
      <w:r w:rsidR="00D94B51" w:rsidRPr="001B1AAD">
        <w:rPr>
          <w:color w:val="auto"/>
        </w:rPr>
        <w:t>Somaiya, Samal and Boob (2024) stated that c</w:t>
      </w:r>
      <w:r w:rsidRPr="001B1AAD">
        <w:rPr>
          <w:color w:val="auto"/>
        </w:rPr>
        <w:t>ommon physical complaints associated with OA include joint pain and decreased joint flexibility that are caused by damage to joint tissue. This disease can lead to difficulties in performing everyday tasks because weight-</w:t>
      </w:r>
      <w:r w:rsidRPr="001B1AAD">
        <w:rPr>
          <w:color w:val="auto"/>
        </w:rPr>
        <w:lastRenderedPageBreak/>
        <w:t xml:space="preserve">bearing joints (such as the hips and knees) can be affected and make moving around more complicated. Furthermore, the weakening of muscles, joint instability, and </w:t>
      </w:r>
      <w:r w:rsidR="004333E3">
        <w:rPr>
          <w:color w:val="auto"/>
        </w:rPr>
        <w:t>reduced mobility</w:t>
      </w:r>
      <w:r w:rsidRPr="001B1AAD">
        <w:rPr>
          <w:color w:val="auto"/>
        </w:rPr>
        <w:t xml:space="preserve"> make an individual prone to developing a physical disability</w:t>
      </w:r>
      <w:r w:rsidR="00600565">
        <w:rPr>
          <w:color w:val="auto"/>
        </w:rPr>
        <w:t xml:space="preserve"> (Somaiya et al.,2024)</w:t>
      </w:r>
      <w:r w:rsidRPr="001B1AAD">
        <w:rPr>
          <w:color w:val="auto"/>
        </w:rPr>
        <w:t>.</w:t>
      </w:r>
    </w:p>
    <w:p w14:paraId="59BCD4AD" w14:textId="77777777" w:rsidR="008F3A77" w:rsidRPr="001B1AAD" w:rsidRDefault="00611491" w:rsidP="00EE6C1B">
      <w:pPr>
        <w:rPr>
          <w:b/>
          <w:bCs/>
          <w:color w:val="auto"/>
        </w:rPr>
      </w:pPr>
      <w:r w:rsidRPr="001B1AAD">
        <w:rPr>
          <w:b/>
          <w:bCs/>
          <w:color w:val="auto"/>
        </w:rPr>
        <w:t>Psychological implications</w:t>
      </w:r>
    </w:p>
    <w:p w14:paraId="3C37CCC9" w14:textId="345FC500" w:rsidR="008B48BF" w:rsidRPr="001B1AAD" w:rsidRDefault="008B48BF" w:rsidP="00EE6C1B">
      <w:pPr>
        <w:rPr>
          <w:color w:val="auto"/>
        </w:rPr>
      </w:pPr>
      <w:r w:rsidRPr="001B1AAD">
        <w:rPr>
          <w:color w:val="auto"/>
        </w:rPr>
        <w:t xml:space="preserve">From a psychological perspective, chronic pain and poor physical functioning have a negative impact on mental health. A survey conducted by Versus Arthritis (2021) with more than 1,000 people who suffer from Osteoarthritis identified that 62% said that their life </w:t>
      </w:r>
      <w:r w:rsidR="008B70FD" w:rsidRPr="001B1AAD">
        <w:rPr>
          <w:color w:val="auto"/>
        </w:rPr>
        <w:t>was not</w:t>
      </w:r>
      <w:r w:rsidRPr="001B1AAD">
        <w:rPr>
          <w:color w:val="auto"/>
        </w:rPr>
        <w:t xml:space="preserve"> as enjoyable as it once was, 45% experienced a decrease in mental health and anxiety, and 78% were worried about the impact of pain on their future. Additionally, 64% reported poor sleep, while 57% stated that pain had a moderate or severe impact on their daily lives, illustrating the close relationship between chronic pain and emotional distress. </w:t>
      </w:r>
    </w:p>
    <w:p w14:paraId="43B80FFD" w14:textId="77777777" w:rsidR="008B48BF" w:rsidRPr="001B1AAD" w:rsidRDefault="008B48BF" w:rsidP="00EE6C1B">
      <w:pPr>
        <w:rPr>
          <w:color w:val="auto"/>
        </w:rPr>
      </w:pPr>
      <w:r w:rsidRPr="001B1AAD">
        <w:rPr>
          <w:color w:val="auto"/>
        </w:rPr>
        <w:t xml:space="preserve">The condition also puts significant demands on families and informal carers. Relatives often become caregivers, taking on responsibility for personal care, household tasks, </w:t>
      </w:r>
      <w:r w:rsidRPr="001B1AAD">
        <w:rPr>
          <w:color w:val="auto"/>
        </w:rPr>
        <w:t>transportation, and emotional support, while mobility becomes difficult, which causes burden and decreases the life quality of the caregiver. Early retirement or diminished employment can also cause financial problems associated with osteoarthritis. For example, Ching and Prior (2023) uncovered that 61% of working respondents felt they had to retire early due to OA, and 17% had retired early due to OA. This means that family members may also take on a more active role in caring for people with OA and have financial responsibilities, making the wider social and economic burden of OA in the UK more apparent.</w:t>
      </w:r>
    </w:p>
    <w:p w14:paraId="074A3601" w14:textId="77777777" w:rsidR="001333CA" w:rsidRPr="001B1AAD" w:rsidRDefault="000F61AC" w:rsidP="005B4749">
      <w:pPr>
        <w:pStyle w:val="Heading1"/>
      </w:pPr>
      <w:bookmarkStart w:id="9" w:name="_Toc234689668"/>
      <w:r w:rsidRPr="001B1AAD">
        <w:t xml:space="preserve">4. </w:t>
      </w:r>
      <w:r w:rsidR="001333CA" w:rsidRPr="001B1AAD">
        <w:t>Social implications</w:t>
      </w:r>
      <w:bookmarkEnd w:id="9"/>
    </w:p>
    <w:p w14:paraId="450676B7" w14:textId="3FA6C9F8" w:rsidR="004A6DEE" w:rsidRPr="001B1AAD" w:rsidRDefault="001333CA" w:rsidP="004A6DEE">
      <w:pPr>
        <w:rPr>
          <w:color w:val="auto"/>
        </w:rPr>
      </w:pPr>
      <w:r w:rsidRPr="001B1AAD">
        <w:rPr>
          <w:color w:val="auto"/>
        </w:rPr>
        <w:t>Osteoarthritis has various social impacts that usually limit an individual</w:t>
      </w:r>
      <w:r w:rsidR="00CD7273" w:rsidRPr="001B1AAD">
        <w:rPr>
          <w:color w:val="auto"/>
        </w:rPr>
        <w:t>’</w:t>
      </w:r>
      <w:r w:rsidRPr="001B1AAD">
        <w:rPr>
          <w:color w:val="auto"/>
        </w:rPr>
        <w:t>s autonomy, social connections, and participation in social activities. Joint pain and mobility problems can prevent an individual from working, carrying out their house</w:t>
      </w:r>
      <w:r w:rsidR="00493BDA" w:rsidRPr="001B1AAD">
        <w:rPr>
          <w:color w:val="auto"/>
        </w:rPr>
        <w:t>hold</w:t>
      </w:r>
      <w:r w:rsidRPr="001B1AAD">
        <w:rPr>
          <w:color w:val="auto"/>
        </w:rPr>
        <w:t xml:space="preserve"> chores, and participating in recreational activities (Zainal </w:t>
      </w:r>
      <w:r w:rsidRPr="001B1AAD">
        <w:rPr>
          <w:i/>
          <w:iCs/>
          <w:color w:val="auto"/>
        </w:rPr>
        <w:t>et al.</w:t>
      </w:r>
      <w:r w:rsidRPr="001B1AAD">
        <w:rPr>
          <w:color w:val="auto"/>
        </w:rPr>
        <w:t>, 2025). Due to the progression of the disease, many individuals start withdrawing from social gatherings due to joint pain and fatigue.</w:t>
      </w:r>
    </w:p>
    <w:p w14:paraId="240526B8" w14:textId="77777777" w:rsidR="004A6DEE" w:rsidRPr="001B1AAD" w:rsidRDefault="004178B6" w:rsidP="004A6DEE">
      <w:pPr>
        <w:rPr>
          <w:b/>
          <w:bCs/>
          <w:color w:val="auto"/>
        </w:rPr>
      </w:pPr>
      <w:r w:rsidRPr="001B1AAD">
        <w:rPr>
          <w:b/>
          <w:bCs/>
          <w:color w:val="auto"/>
        </w:rPr>
        <w:lastRenderedPageBreak/>
        <w:t>Implications on families</w:t>
      </w:r>
    </w:p>
    <w:p w14:paraId="65A9D7C2" w14:textId="2B34B646" w:rsidR="001333CA" w:rsidRPr="001B1AAD" w:rsidRDefault="004178B6" w:rsidP="001333CA">
      <w:pPr>
        <w:rPr>
          <w:color w:val="auto"/>
        </w:rPr>
      </w:pPr>
      <w:r w:rsidRPr="001B1AAD">
        <w:rPr>
          <w:color w:val="auto"/>
        </w:rPr>
        <w:t>Osteoarthritis</w:t>
      </w:r>
      <w:r w:rsidR="00AE7B44" w:rsidRPr="001B1AAD">
        <w:rPr>
          <w:color w:val="auto"/>
        </w:rPr>
        <w:t xml:space="preserve"> </w:t>
      </w:r>
      <w:r w:rsidR="004A6DEE" w:rsidRPr="001B1AAD">
        <w:rPr>
          <w:color w:val="auto"/>
        </w:rPr>
        <w:t xml:space="preserve">affects not only the patient, but also their family members, who usually assume the role of informal carers. The carers might need to assist with personal care, shopping, transport, housework, and visits to healthcare facilities. This would mean a reduction of work time and a drop in income, not to mention the added emotional burden. Studies have shown that informal care provided to patients with chronic musculoskeletal diseases is connected with caregiver strain and poor psychological well-being (Gunda </w:t>
      </w:r>
      <w:r w:rsidR="004A6DEE" w:rsidRPr="001B1AAD">
        <w:rPr>
          <w:i/>
          <w:iCs/>
          <w:color w:val="auto"/>
        </w:rPr>
        <w:t>et al.</w:t>
      </w:r>
      <w:r w:rsidR="004A6DEE" w:rsidRPr="001B1AAD">
        <w:rPr>
          <w:color w:val="auto"/>
        </w:rPr>
        <w:t>, 2026). Besides, progressive disability could lead to home modifications, the use of mobility devices, and support services from the community, which will put more financial strain on families.</w:t>
      </w:r>
      <w:r w:rsidR="005F03B7" w:rsidRPr="001B1AAD">
        <w:rPr>
          <w:color w:val="auto"/>
        </w:rPr>
        <w:t xml:space="preserve"> With these huge effects, good evidence-based management must be done </w:t>
      </w:r>
      <w:r w:rsidR="00113E30">
        <w:rPr>
          <w:color w:val="auto"/>
        </w:rPr>
        <w:t>to keep</w:t>
      </w:r>
      <w:r w:rsidR="005F03B7" w:rsidRPr="001B1AAD">
        <w:rPr>
          <w:color w:val="auto"/>
        </w:rPr>
        <w:t xml:space="preserve"> function and independence.</w:t>
      </w:r>
    </w:p>
    <w:p w14:paraId="3FC707C4" w14:textId="77777777" w:rsidR="001333CA" w:rsidRPr="001B1AAD" w:rsidRDefault="000F61AC" w:rsidP="005B4749">
      <w:pPr>
        <w:pStyle w:val="Heading1"/>
      </w:pPr>
      <w:bookmarkStart w:id="10" w:name="_Toc234689669"/>
      <w:r w:rsidRPr="001B1AAD">
        <w:t xml:space="preserve">5. </w:t>
      </w:r>
      <w:r w:rsidR="001333CA" w:rsidRPr="001B1AAD">
        <w:t>Evidence-based treatments which are available in the UK through the NHS</w:t>
      </w:r>
      <w:bookmarkEnd w:id="10"/>
    </w:p>
    <w:p w14:paraId="5181BF52" w14:textId="77777777" w:rsidR="001333CA" w:rsidRPr="001B1AAD" w:rsidRDefault="001333CA" w:rsidP="001333CA">
      <w:pPr>
        <w:rPr>
          <w:color w:val="auto"/>
        </w:rPr>
      </w:pPr>
      <w:r w:rsidRPr="001B1AAD">
        <w:rPr>
          <w:color w:val="auto"/>
        </w:rPr>
        <w:t xml:space="preserve">Evidence-based management of osteoarthritis in the NHS includes minimising pain, increasing physical function, and maintaining independence. The NICE NG226 </w:t>
      </w:r>
      <w:r w:rsidRPr="001B1AAD">
        <w:rPr>
          <w:color w:val="auto"/>
        </w:rPr>
        <w:t xml:space="preserve">recommends therapeutic exercise as a primary treatment method, as it helps increase joint function and reduce pain (NICE, 2022b). Patients are also advised to maintain their weight, as excess body weight exerts additional pressure on weight-bearing joints such as the knees and hips. Studies indicate that a 5-10% loss in body weight greatly improves pain and physical function among overweight patients who suffer from knee osteoarthritis (Huffman </w:t>
      </w:r>
      <w:r w:rsidRPr="001B1AAD">
        <w:rPr>
          <w:i/>
          <w:iCs/>
          <w:color w:val="auto"/>
        </w:rPr>
        <w:t>et al.</w:t>
      </w:r>
      <w:r w:rsidRPr="001B1AAD">
        <w:rPr>
          <w:color w:val="auto"/>
        </w:rPr>
        <w:t>, 2023). The initial approach to managing pain will usually be with topical non-steroidal anti-inflammatory drugs (NSAIDs)</w:t>
      </w:r>
      <w:r w:rsidR="00A058C2" w:rsidRPr="001B1AAD">
        <w:rPr>
          <w:color w:val="auto"/>
        </w:rPr>
        <w:t xml:space="preserve"> in</w:t>
      </w:r>
      <w:r w:rsidRPr="001B1AAD">
        <w:rPr>
          <w:color w:val="auto"/>
        </w:rPr>
        <w:t xml:space="preserve"> most cases for patients diagnosed with osteoarthritis of the knee. Furthermore, oral NSAIDs may also be considered by the physician when warranted. In addition, the patient may receive cortisone injections to reduce inflammation and relieve joint pain (Rhim </w:t>
      </w:r>
      <w:r w:rsidRPr="001B1AAD">
        <w:rPr>
          <w:i/>
          <w:iCs/>
          <w:color w:val="auto"/>
        </w:rPr>
        <w:t>et al.,</w:t>
      </w:r>
      <w:r w:rsidRPr="001B1AAD">
        <w:rPr>
          <w:color w:val="auto"/>
        </w:rPr>
        <w:t xml:space="preserve"> 2024).</w:t>
      </w:r>
    </w:p>
    <w:p w14:paraId="799593D0" w14:textId="7BBF0F26" w:rsidR="008B48BF" w:rsidRPr="001B1AAD" w:rsidRDefault="001333CA" w:rsidP="00EE6C1B">
      <w:pPr>
        <w:rPr>
          <w:color w:val="auto"/>
        </w:rPr>
      </w:pPr>
      <w:r w:rsidRPr="001B1AAD">
        <w:rPr>
          <w:color w:val="auto"/>
        </w:rPr>
        <w:t xml:space="preserve">In cases where people suffer from late-stage osteoarthritis and remain in great pain and difficulty moving despite having received non-surgical treatment, the NHS could suggest joint replacement surgery to such individuals. Hip and knee replacement surgeries are among the most effective procedures orthopaedic surgeons </w:t>
      </w:r>
      <w:r w:rsidRPr="001B1AAD">
        <w:rPr>
          <w:color w:val="auto"/>
        </w:rPr>
        <w:lastRenderedPageBreak/>
        <w:t>perform in the UK and can significantly improve patients</w:t>
      </w:r>
      <w:r w:rsidR="00CD7273" w:rsidRPr="001B1AAD">
        <w:rPr>
          <w:color w:val="auto"/>
        </w:rPr>
        <w:t>’</w:t>
      </w:r>
      <w:r w:rsidRPr="001B1AAD">
        <w:rPr>
          <w:color w:val="auto"/>
        </w:rPr>
        <w:t xml:space="preserve"> quality of life. More than 100,000 hip and 110,000 knee replacements are performed in England and Wales each year (Miettinen </w:t>
      </w:r>
      <w:r w:rsidRPr="001B1AAD">
        <w:rPr>
          <w:i/>
          <w:iCs/>
          <w:color w:val="auto"/>
        </w:rPr>
        <w:t>et al.</w:t>
      </w:r>
      <w:r w:rsidRPr="001B1AAD">
        <w:rPr>
          <w:color w:val="auto"/>
        </w:rPr>
        <w:t>, 2020).</w:t>
      </w:r>
    </w:p>
    <w:p w14:paraId="7A548965" w14:textId="77777777" w:rsidR="008B48BF" w:rsidRDefault="000F61AC" w:rsidP="005B4749">
      <w:pPr>
        <w:pStyle w:val="Heading1"/>
      </w:pPr>
      <w:bookmarkStart w:id="11" w:name="_Toc234689670"/>
      <w:r w:rsidRPr="001B1AAD">
        <w:t xml:space="preserve">6. </w:t>
      </w:r>
      <w:r w:rsidR="008B48BF" w:rsidRPr="001B1AAD">
        <w:t>Theoretical Models and Frameworks</w:t>
      </w:r>
      <w:bookmarkEnd w:id="11"/>
    </w:p>
    <w:p w14:paraId="431DBFF9" w14:textId="6F6E94F6" w:rsidR="00E3430B" w:rsidRPr="001B1AAD" w:rsidRDefault="00E3430B" w:rsidP="00E3430B">
      <w:pPr>
        <w:rPr>
          <w:color w:val="auto"/>
        </w:rPr>
      </w:pPr>
      <w:r w:rsidRPr="001B1AAD">
        <w:rPr>
          <w:color w:val="auto"/>
        </w:rPr>
        <w:t>The</w:t>
      </w:r>
      <w:r w:rsidR="002B5227">
        <w:rPr>
          <w:color w:val="auto"/>
        </w:rPr>
        <w:t xml:space="preserve"> House of Care model is a person-centred framework developed to support the long-term management of people with chronic conditions</w:t>
      </w:r>
      <w:r w:rsidR="00277444">
        <w:rPr>
          <w:color w:val="auto"/>
        </w:rPr>
        <w:t xml:space="preserve"> by promoting collaborative care between patients and healthcare professionals (</w:t>
      </w:r>
      <w:r w:rsidR="004C3EBD">
        <w:rPr>
          <w:color w:val="auto"/>
        </w:rPr>
        <w:t>Dixon and Roberts, 2013</w:t>
      </w:r>
      <w:r w:rsidR="00277444">
        <w:rPr>
          <w:color w:val="auto"/>
        </w:rPr>
        <w:t>). Rather than focusing on a single intervention, the model emphasises coordinated, evidence-based care that</w:t>
      </w:r>
      <w:r w:rsidR="007268A7">
        <w:rPr>
          <w:color w:val="auto"/>
        </w:rPr>
        <w:t xml:space="preserve"> integrates medical treatment, self-management support and multidisciplinary collaboration to improve health outcomes and quality of life</w:t>
      </w:r>
      <w:r w:rsidR="00B4727D">
        <w:rPr>
          <w:color w:val="auto"/>
        </w:rPr>
        <w:t xml:space="preserve"> </w:t>
      </w:r>
      <w:r w:rsidR="00B4727D">
        <w:rPr>
          <w:color w:val="auto"/>
        </w:rPr>
        <w:t>(Dixon and Roberts, 2013).</w:t>
      </w:r>
      <w:r w:rsidRPr="001B1AAD">
        <w:rPr>
          <w:color w:val="auto"/>
        </w:rPr>
        <w:t xml:space="preserve"> The next level </w:t>
      </w:r>
      <w:r w:rsidR="004D4E0B">
        <w:rPr>
          <w:color w:val="auto"/>
        </w:rPr>
        <w:t>includes</w:t>
      </w:r>
      <w:r w:rsidRPr="001B1AAD">
        <w:rPr>
          <w:color w:val="auto"/>
        </w:rPr>
        <w:t xml:space="preserve"> Pharmacological treatments, such as topical and oral non-steroidal anti-inflammatory drugs (NSAIDs) and corticosteroid injections that relieve pain when lifestyle measures are not effective enough (Rhim </w:t>
      </w:r>
      <w:r w:rsidRPr="001B1AAD">
        <w:rPr>
          <w:i/>
          <w:iCs/>
          <w:color w:val="auto"/>
        </w:rPr>
        <w:t>et al</w:t>
      </w:r>
      <w:r w:rsidRPr="001B1AAD">
        <w:rPr>
          <w:color w:val="auto"/>
        </w:rPr>
        <w:t xml:space="preserve">., 2024). This is when patients with severe osteoarthritis with persistent pain and functional limitations despite conservative management are </w:t>
      </w:r>
      <w:r w:rsidRPr="001B1AAD">
        <w:rPr>
          <w:color w:val="auto"/>
        </w:rPr>
        <w:t xml:space="preserve">considered for surgical interventions, such as hip and knee replacement (Miettinen </w:t>
      </w:r>
      <w:r w:rsidRPr="001B1AAD">
        <w:rPr>
          <w:i/>
          <w:iCs/>
          <w:color w:val="auto"/>
        </w:rPr>
        <w:t>et al</w:t>
      </w:r>
      <w:r w:rsidRPr="001B1AAD">
        <w:rPr>
          <w:color w:val="auto"/>
        </w:rPr>
        <w:t xml:space="preserve">., 2020). The House of </w:t>
      </w:r>
      <w:r w:rsidR="00AB5561">
        <w:rPr>
          <w:color w:val="auto"/>
        </w:rPr>
        <w:t xml:space="preserve">Care model also recognises that multidisciplinary support </w:t>
      </w:r>
      <w:r w:rsidR="00841E8B">
        <w:rPr>
          <w:color w:val="auto"/>
        </w:rPr>
        <w:t>involving</w:t>
      </w:r>
      <w:r w:rsidR="00AB5561">
        <w:rPr>
          <w:color w:val="auto"/>
        </w:rPr>
        <w:t xml:space="preserve"> physiotherapists and</w:t>
      </w:r>
      <w:r w:rsidR="00086720">
        <w:rPr>
          <w:color w:val="auto"/>
        </w:rPr>
        <w:t xml:space="preserve"> oc</w:t>
      </w:r>
      <w:r w:rsidR="008E5227">
        <w:rPr>
          <w:color w:val="auto"/>
        </w:rPr>
        <w:t>cupational therapists</w:t>
      </w:r>
      <w:r w:rsidR="00534928">
        <w:rPr>
          <w:color w:val="auto"/>
        </w:rPr>
        <w:t>, general pract</w:t>
      </w:r>
      <w:r w:rsidR="00D0077A">
        <w:rPr>
          <w:color w:val="auto"/>
        </w:rPr>
        <w:t>itioners and informal car</w:t>
      </w:r>
      <w:r w:rsidR="00305A9F">
        <w:rPr>
          <w:color w:val="auto"/>
        </w:rPr>
        <w:t>ers</w:t>
      </w:r>
      <w:r w:rsidR="0072614A">
        <w:rPr>
          <w:color w:val="auto"/>
        </w:rPr>
        <w:t xml:space="preserve"> is essential to address</w:t>
      </w:r>
      <w:r w:rsidR="00271B1F">
        <w:rPr>
          <w:color w:val="auto"/>
        </w:rPr>
        <w:t xml:space="preserve"> the broader social and emotional impacts o</w:t>
      </w:r>
      <w:r w:rsidR="00466483">
        <w:rPr>
          <w:color w:val="auto"/>
        </w:rPr>
        <w:t>f osteoarthritis</w:t>
      </w:r>
      <w:r w:rsidR="00E90583">
        <w:rPr>
          <w:color w:val="auto"/>
        </w:rPr>
        <w:t xml:space="preserve">. This approach supports person-centred </w:t>
      </w:r>
      <w:r w:rsidR="000B2B5E">
        <w:rPr>
          <w:color w:val="auto"/>
        </w:rPr>
        <w:t>care, improves quality of life and promotes</w:t>
      </w:r>
      <w:r w:rsidR="00841E8B">
        <w:rPr>
          <w:color w:val="auto"/>
        </w:rPr>
        <w:t xml:space="preserve"> long-term wellbeing (</w:t>
      </w:r>
      <w:r w:rsidR="00841E8B">
        <w:rPr>
          <w:color w:val="auto"/>
        </w:rPr>
        <w:t xml:space="preserve">Dixon and Roberts, 2013). </w:t>
      </w:r>
    </w:p>
    <w:p w14:paraId="675A9DE4" w14:textId="77777777" w:rsidR="00E3430B" w:rsidRPr="001B1AAD" w:rsidRDefault="00E3430B" w:rsidP="00E3430B">
      <w:pPr>
        <w:rPr>
          <w:color w:val="auto"/>
        </w:rPr>
      </w:pPr>
    </w:p>
    <w:p w14:paraId="1A6821AD" w14:textId="77777777" w:rsidR="00E3430B" w:rsidRPr="001B1AAD" w:rsidRDefault="00E3430B" w:rsidP="00E3430B">
      <w:pPr>
        <w:rPr>
          <w:color w:val="auto"/>
        </w:rPr>
      </w:pPr>
    </w:p>
    <w:p w14:paraId="12D0E894" w14:textId="77777777" w:rsidR="00195E15" w:rsidRPr="001B1AAD" w:rsidRDefault="00195E15" w:rsidP="00195E15">
      <w:pPr>
        <w:rPr>
          <w:color w:val="auto"/>
        </w:rPr>
      </w:pPr>
    </w:p>
    <w:p w14:paraId="1827EB31" w14:textId="5D2C23B1" w:rsidR="00476DB2" w:rsidRPr="001B1AAD" w:rsidRDefault="00476DB2" w:rsidP="00D01295">
      <w:pPr>
        <w:jc w:val="center"/>
        <w:rPr>
          <w:color w:val="auto"/>
        </w:rPr>
      </w:pPr>
    </w:p>
    <w:p w14:paraId="270F36D6" w14:textId="77777777" w:rsidR="000664F3" w:rsidRPr="001B1AAD" w:rsidRDefault="000664F3" w:rsidP="000B2DC9">
      <w:pPr>
        <w:pStyle w:val="Heading2"/>
        <w:rPr>
          <w:color w:val="auto"/>
        </w:rPr>
      </w:pPr>
      <w:bookmarkStart w:id="12" w:name="_Toc234689671"/>
      <w:r w:rsidRPr="001B1AAD">
        <w:rPr>
          <w:color w:val="auto"/>
        </w:rPr>
        <w:t>International theoretical model</w:t>
      </w:r>
      <w:bookmarkEnd w:id="12"/>
    </w:p>
    <w:p w14:paraId="0DB7695E" w14:textId="6CBFF31C" w:rsidR="00476DB2" w:rsidRPr="001B1AAD" w:rsidRDefault="00476DB2" w:rsidP="00476DB2">
      <w:pPr>
        <w:rPr>
          <w:color w:val="auto"/>
        </w:rPr>
      </w:pPr>
      <w:r w:rsidRPr="001B1AAD">
        <w:rPr>
          <w:color w:val="auto"/>
        </w:rPr>
        <w:t>The Chronic Care Model (CCM) is an internationally recogni</w:t>
      </w:r>
      <w:r w:rsidR="00B1716A" w:rsidRPr="001B1AAD">
        <w:rPr>
          <w:color w:val="auto"/>
        </w:rPr>
        <w:t>s</w:t>
      </w:r>
      <w:r w:rsidRPr="001B1AAD">
        <w:rPr>
          <w:color w:val="auto"/>
        </w:rPr>
        <w:t>ed model, developed by Edward H. Wagner. The CCM</w:t>
      </w:r>
      <w:r w:rsidR="00CD7273" w:rsidRPr="001B1AAD">
        <w:rPr>
          <w:color w:val="auto"/>
        </w:rPr>
        <w:t>’</w:t>
      </w:r>
      <w:r w:rsidRPr="001B1AAD">
        <w:rPr>
          <w:color w:val="auto"/>
        </w:rPr>
        <w:t>s vision is to shift the healthcare delivery model from reactive treatment to proactive, coordinated care to provide better outcomes for people with chronic diseases. The model consists of six interrelated components related to various elements of health care organi</w:t>
      </w:r>
      <w:r w:rsidR="00B1716A" w:rsidRPr="001B1AAD">
        <w:rPr>
          <w:color w:val="auto"/>
        </w:rPr>
        <w:t>s</w:t>
      </w:r>
      <w:r w:rsidRPr="001B1AAD">
        <w:rPr>
          <w:color w:val="auto"/>
        </w:rPr>
        <w:t xml:space="preserve">ation, community </w:t>
      </w:r>
      <w:r w:rsidRPr="001B1AAD">
        <w:rPr>
          <w:color w:val="auto"/>
        </w:rPr>
        <w:lastRenderedPageBreak/>
        <w:t>resources, self-management support, delivery system design, clinical decision support, and clinical information systems</w:t>
      </w:r>
      <w:r w:rsidR="005E0566" w:rsidRPr="001B1AAD">
        <w:rPr>
          <w:color w:val="auto"/>
        </w:rPr>
        <w:t xml:space="preserve"> </w:t>
      </w:r>
      <w:r w:rsidRPr="001B1AAD">
        <w:rPr>
          <w:color w:val="auto"/>
        </w:rPr>
        <w:t xml:space="preserve">(NHS, 2023). In the field of OA care, the CCM encourages patient education, routine assessment, multi-disciplinary collaboration and community-based exercise and rehabilitation services. One of the key strengths of the model is with respect to the emphasis placed on empowering the patient to take a more active role in managing their symptoms by engaging in lifestyle changes, exercise and treatment adherence. Studies have shown that the use of CCM-based interventions has been shown to enhance physical functioning, pain management, patient satisfaction, and healthcare efficiency (Huizinga </w:t>
      </w:r>
      <w:r w:rsidRPr="001B1AAD">
        <w:rPr>
          <w:i/>
          <w:iCs/>
          <w:color w:val="auto"/>
        </w:rPr>
        <w:t>et al.</w:t>
      </w:r>
      <w:r w:rsidRPr="001B1AAD">
        <w:rPr>
          <w:color w:val="auto"/>
        </w:rPr>
        <w:t>, 2021). However, effective implementation requires healthcare infrastructure, digital information systems, and the coordination of multidisciplinary services that may</w:t>
      </w:r>
      <w:r w:rsidR="00AE7B44" w:rsidRPr="001B1AAD">
        <w:rPr>
          <w:color w:val="auto"/>
        </w:rPr>
        <w:t xml:space="preserve"> </w:t>
      </w:r>
      <w:r w:rsidRPr="001B1AAD">
        <w:rPr>
          <w:color w:val="auto"/>
        </w:rPr>
        <w:t xml:space="preserve">not be consistent </w:t>
      </w:r>
      <w:r w:rsidR="008A7CD3" w:rsidRPr="001B1AAD">
        <w:rPr>
          <w:color w:val="auto"/>
        </w:rPr>
        <w:t>across</w:t>
      </w:r>
      <w:r w:rsidRPr="001B1AAD">
        <w:rPr>
          <w:color w:val="auto"/>
        </w:rPr>
        <w:t xml:space="preserve"> all healthcare settings</w:t>
      </w:r>
      <w:r w:rsidR="00AE7B44" w:rsidRPr="001B1AAD">
        <w:rPr>
          <w:color w:val="auto"/>
        </w:rPr>
        <w:t xml:space="preserve"> </w:t>
      </w:r>
      <w:r w:rsidRPr="001B1AAD">
        <w:rPr>
          <w:color w:val="auto"/>
        </w:rPr>
        <w:t>(Safari, Jackson and Sheffield, 2019).</w:t>
      </w:r>
      <w:r w:rsidR="00AE7B44" w:rsidRPr="001B1AAD">
        <w:rPr>
          <w:color w:val="auto"/>
        </w:rPr>
        <w:t xml:space="preserve"> </w:t>
      </w:r>
      <w:r w:rsidRPr="001B1AAD">
        <w:rPr>
          <w:color w:val="auto"/>
        </w:rPr>
        <w:t xml:space="preserve">Both frameworks </w:t>
      </w:r>
      <w:r w:rsidR="00A24B93" w:rsidRPr="001B1AAD">
        <w:rPr>
          <w:color w:val="auto"/>
        </w:rPr>
        <w:t>highlight</w:t>
      </w:r>
      <w:r w:rsidRPr="001B1AAD">
        <w:rPr>
          <w:color w:val="auto"/>
        </w:rPr>
        <w:t xml:space="preserve"> patient-centred care, self-management, prevention and multidisciplinary collaboration. The Chronic Care Model is an international systems-based approach, whereas the NICE framework is evidence-based </w:t>
      </w:r>
      <w:r w:rsidRPr="001B1AAD">
        <w:rPr>
          <w:color w:val="auto"/>
        </w:rPr>
        <w:t>clinical guidelines that are relevant specifically to the UK NHS. Combining these models can optimi</w:t>
      </w:r>
      <w:r w:rsidR="00B1716A" w:rsidRPr="001B1AAD">
        <w:rPr>
          <w:color w:val="auto"/>
        </w:rPr>
        <w:t>s</w:t>
      </w:r>
      <w:r w:rsidRPr="001B1AAD">
        <w:rPr>
          <w:color w:val="auto"/>
        </w:rPr>
        <w:t>e early intervention,</w:t>
      </w:r>
      <w:r w:rsidR="008C2A81" w:rsidRPr="001B1AAD">
        <w:rPr>
          <w:color w:val="auto"/>
        </w:rPr>
        <w:t xml:space="preserve"> enhance</w:t>
      </w:r>
      <w:r w:rsidRPr="001B1AAD">
        <w:rPr>
          <w:color w:val="auto"/>
        </w:rPr>
        <w:t xml:space="preserve"> patient engagement, minimi</w:t>
      </w:r>
      <w:r w:rsidR="00B1716A" w:rsidRPr="001B1AAD">
        <w:rPr>
          <w:color w:val="auto"/>
        </w:rPr>
        <w:t>s</w:t>
      </w:r>
      <w:r w:rsidRPr="001B1AAD">
        <w:rPr>
          <w:color w:val="auto"/>
        </w:rPr>
        <w:t>e disability, and create sustainable management of osteoarthritis and improve the long-term clinical and quality of life of patients with this chronic condition.</w:t>
      </w:r>
    </w:p>
    <w:p w14:paraId="7067B6E0" w14:textId="77777777" w:rsidR="00EE6C1B" w:rsidRPr="001B1AAD" w:rsidRDefault="000F61AC" w:rsidP="005B4749">
      <w:pPr>
        <w:pStyle w:val="Heading1"/>
      </w:pPr>
      <w:bookmarkStart w:id="13" w:name="_Toc234689672"/>
      <w:r w:rsidRPr="001B1AAD">
        <w:t xml:space="preserve">7. </w:t>
      </w:r>
      <w:r w:rsidR="008B48BF" w:rsidRPr="001B1AAD">
        <w:t>Health and Social Care Policy regarding Osteoarthritis</w:t>
      </w:r>
      <w:bookmarkEnd w:id="13"/>
    </w:p>
    <w:p w14:paraId="55DF9C52" w14:textId="77777777" w:rsidR="00EE6C1B" w:rsidRPr="001B1AAD" w:rsidRDefault="00EE6C1B" w:rsidP="00C057D9">
      <w:pPr>
        <w:rPr>
          <w:color w:val="auto"/>
        </w:rPr>
      </w:pPr>
      <w:r w:rsidRPr="001B1AAD">
        <w:rPr>
          <w:color w:val="auto"/>
        </w:rPr>
        <w:t xml:space="preserve">Local and national health and social care agendas influence the UK government in developing initiatives to prevent, manage, and improve outcomes for people with osteoarthritis (Swain </w:t>
      </w:r>
      <w:r w:rsidR="00B1716A" w:rsidRPr="001B1AAD">
        <w:rPr>
          <w:i/>
          <w:iCs/>
          <w:color w:val="auto"/>
        </w:rPr>
        <w:t>et al</w:t>
      </w:r>
      <w:r w:rsidRPr="001B1AAD">
        <w:rPr>
          <w:color w:val="auto"/>
        </w:rPr>
        <w:t>., 2023). The national health policy framework is largely determined by the National Health Service (NHS), the Department of Health and Social Care, and guidance from the National Institute for Health and Care Excellence. </w:t>
      </w:r>
    </w:p>
    <w:p w14:paraId="7E7CD3D2" w14:textId="0E7A1462" w:rsidR="00EE6C1B" w:rsidRPr="001B1AAD" w:rsidRDefault="00EE6C1B" w:rsidP="005B4749">
      <w:pPr>
        <w:pStyle w:val="Heading2"/>
        <w:rPr>
          <w:color w:val="auto"/>
        </w:rPr>
      </w:pPr>
      <w:bookmarkStart w:id="14" w:name="_Toc234689673"/>
      <w:r w:rsidRPr="001B1AAD">
        <w:rPr>
          <w:color w:val="auto"/>
        </w:rPr>
        <w:t>National Policies and Frameworks</w:t>
      </w:r>
      <w:bookmarkEnd w:id="14"/>
    </w:p>
    <w:p w14:paraId="15D71DEC" w14:textId="77777777" w:rsidR="00EE6C1B" w:rsidRPr="001B1AAD" w:rsidRDefault="00EE6C1B" w:rsidP="00EE6C1B">
      <w:pPr>
        <w:rPr>
          <w:b/>
          <w:i/>
          <w:color w:val="auto"/>
        </w:rPr>
      </w:pPr>
      <w:r w:rsidRPr="001B1AAD">
        <w:rPr>
          <w:b/>
          <w:i/>
          <w:color w:val="auto"/>
        </w:rPr>
        <w:t>The NHS Long Term Plan (2019) </w:t>
      </w:r>
    </w:p>
    <w:p w14:paraId="78A3994F" w14:textId="77777777" w:rsidR="00EE6C1B" w:rsidRPr="001B1AAD" w:rsidRDefault="00EE6C1B" w:rsidP="00EE6C1B">
      <w:pPr>
        <w:rPr>
          <w:color w:val="auto"/>
        </w:rPr>
      </w:pPr>
      <w:r w:rsidRPr="001B1AAD">
        <w:rPr>
          <w:color w:val="auto"/>
        </w:rPr>
        <w:t xml:space="preserve">The NHS Long Term Plan (2019) includes measures to support the prevention of long-term conditions (NHS England Plan, 2019). This includes musculoskeletal conditions, including osteoarthritis, as well as </w:t>
      </w:r>
      <w:r w:rsidRPr="001B1AAD">
        <w:rPr>
          <w:color w:val="auto"/>
        </w:rPr>
        <w:lastRenderedPageBreak/>
        <w:t xml:space="preserve">personalised care and integrated health care services, and </w:t>
      </w:r>
      <w:r w:rsidR="008C2A81" w:rsidRPr="001B1AAD">
        <w:rPr>
          <w:color w:val="auto"/>
        </w:rPr>
        <w:t>supports</w:t>
      </w:r>
      <w:r w:rsidRPr="001B1AAD">
        <w:rPr>
          <w:color w:val="auto"/>
        </w:rPr>
        <w:t xml:space="preserve"> early intervention and community support. However, </w:t>
      </w:r>
      <w:r w:rsidR="00CD7273" w:rsidRPr="001B1AAD">
        <w:rPr>
          <w:color w:val="auto"/>
        </w:rPr>
        <w:t>‘</w:t>
      </w:r>
      <w:r w:rsidRPr="001B1AAD">
        <w:rPr>
          <w:color w:val="auto"/>
        </w:rPr>
        <w:t>The UK Clinical Practice Research Datalink (CPRD)</w:t>
      </w:r>
      <w:r w:rsidR="00CD7273" w:rsidRPr="001B1AAD">
        <w:rPr>
          <w:color w:val="auto"/>
        </w:rPr>
        <w:t>’</w:t>
      </w:r>
      <w:r w:rsidRPr="001B1AAD">
        <w:rPr>
          <w:color w:val="auto"/>
        </w:rPr>
        <w:t xml:space="preserve"> submitted a report, and it reflected that around 181,464 people were diagnosed with osteoarthritis, and the ratio is higher in women than in men (Swain </w:t>
      </w:r>
      <w:r w:rsidR="00B1716A" w:rsidRPr="001B1AAD">
        <w:rPr>
          <w:i/>
          <w:iCs/>
          <w:color w:val="auto"/>
        </w:rPr>
        <w:t>et al</w:t>
      </w:r>
      <w:r w:rsidRPr="001B1AAD">
        <w:rPr>
          <w:color w:val="auto"/>
        </w:rPr>
        <w:t>., 2020). </w:t>
      </w:r>
    </w:p>
    <w:p w14:paraId="373D5CD8" w14:textId="77777777" w:rsidR="00EE6C1B" w:rsidRPr="001B1AAD" w:rsidRDefault="00EE6C1B" w:rsidP="00EE6C1B">
      <w:pPr>
        <w:jc w:val="center"/>
        <w:rPr>
          <w:color w:val="auto"/>
        </w:rPr>
      </w:pPr>
      <w:r w:rsidRPr="001B1AAD">
        <w:rPr>
          <w:noProof/>
          <w:color w:val="auto"/>
          <w:lang w:val="en-IN"/>
        </w:rPr>
        <w:drawing>
          <wp:inline distT="0" distB="0" distL="0" distR="0" wp14:anchorId="475B5BA1" wp14:editId="16D6FFE4">
            <wp:extent cx="2738841" cy="2758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a:stretch>
                      <a:fillRect/>
                    </a:stretch>
                  </pic:blipFill>
                  <pic:spPr bwMode="auto">
                    <a:xfrm>
                      <a:off x="0" y="0"/>
                      <a:ext cx="2749255" cy="2768929"/>
                    </a:xfrm>
                    <a:prstGeom prst="rect">
                      <a:avLst/>
                    </a:prstGeom>
                    <a:ln>
                      <a:noFill/>
                    </a:ln>
                    <a:extLst>
                      <a:ext uri="{53640926-AAD7-44D8-BBD7-CCE9431645EC}">
                        <a14:shadowObscured xmlns:a14="http://schemas.microsoft.com/office/drawing/2010/main"/>
                      </a:ext>
                    </a:extLst>
                  </pic:spPr>
                </pic:pic>
              </a:graphicData>
            </a:graphic>
          </wp:inline>
        </w:drawing>
      </w:r>
    </w:p>
    <w:p w14:paraId="481F88BC" w14:textId="77777777" w:rsidR="00D01295" w:rsidRPr="001B1AAD" w:rsidRDefault="00D01295" w:rsidP="00EE6C1B">
      <w:pPr>
        <w:jc w:val="center"/>
        <w:rPr>
          <w:color w:val="auto"/>
        </w:rPr>
      </w:pPr>
      <w:r w:rsidRPr="001B1AAD">
        <w:rPr>
          <w:noProof/>
          <w:color w:val="auto"/>
          <w:lang w:val="en-IN"/>
        </w:rPr>
        <w:drawing>
          <wp:inline distT="0" distB="0" distL="0" distR="0" wp14:anchorId="51237D7B" wp14:editId="5991C59A">
            <wp:extent cx="2705100" cy="2980392"/>
            <wp:effectExtent l="0" t="0" r="0" b="0"/>
            <wp:docPr id="379209410" name="Picture 379209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a:stretch>
                      <a:fillRect/>
                    </a:stretch>
                  </pic:blipFill>
                  <pic:spPr bwMode="auto">
                    <a:xfrm>
                      <a:off x="0" y="0"/>
                      <a:ext cx="2709046" cy="2984739"/>
                    </a:xfrm>
                    <a:prstGeom prst="rect">
                      <a:avLst/>
                    </a:prstGeom>
                    <a:ln>
                      <a:noFill/>
                    </a:ln>
                    <a:extLst>
                      <a:ext uri="{53640926-AAD7-44D8-BBD7-CCE9431645EC}">
                        <a14:shadowObscured xmlns:a14="http://schemas.microsoft.com/office/drawing/2010/main"/>
                      </a:ext>
                    </a:extLst>
                  </pic:spPr>
                </pic:pic>
              </a:graphicData>
            </a:graphic>
          </wp:inline>
        </w:drawing>
      </w:r>
    </w:p>
    <w:p w14:paraId="7CCD6BF6" w14:textId="69BA76ED" w:rsidR="00EE6C1B" w:rsidRPr="001B1AAD" w:rsidRDefault="009B66EE" w:rsidP="004A5E8E">
      <w:pPr>
        <w:pStyle w:val="Caption"/>
        <w:rPr>
          <w:color w:val="auto"/>
        </w:rPr>
      </w:pPr>
      <w:bookmarkStart w:id="15" w:name="_Toc234689693"/>
      <w:r w:rsidRPr="001B1AAD">
        <w:rPr>
          <w:color w:val="auto"/>
        </w:rPr>
        <w:t xml:space="preserve">Figure </w:t>
      </w:r>
      <w:r w:rsidRPr="001B1AAD">
        <w:rPr>
          <w:color w:val="auto"/>
        </w:rPr>
        <w:fldChar w:fldCharType="begin"/>
      </w:r>
      <w:r w:rsidRPr="001B1AAD">
        <w:rPr>
          <w:color w:val="auto"/>
        </w:rPr>
        <w:instrText xml:space="preserve"> SEQ Figure \* ARABIC </w:instrText>
      </w:r>
      <w:r w:rsidRPr="001B1AAD">
        <w:rPr>
          <w:color w:val="auto"/>
        </w:rPr>
        <w:fldChar w:fldCharType="separate"/>
      </w:r>
      <w:r w:rsidRPr="001B1AAD">
        <w:rPr>
          <w:noProof/>
          <w:color w:val="auto"/>
        </w:rPr>
        <w:t>7</w:t>
      </w:r>
      <w:r w:rsidRPr="001B1AAD">
        <w:rPr>
          <w:color w:val="auto"/>
        </w:rPr>
        <w:fldChar w:fldCharType="end"/>
      </w:r>
      <w:r w:rsidRPr="001B1AAD">
        <w:rPr>
          <w:color w:val="auto"/>
        </w:rPr>
        <w:t xml:space="preserve">: </w:t>
      </w:r>
      <w:r w:rsidR="00EE6C1B" w:rsidRPr="001B1AAD">
        <w:rPr>
          <w:color w:val="auto"/>
        </w:rPr>
        <w:t>Incidence and prevalence of osteoarthritis</w:t>
      </w:r>
      <w:bookmarkEnd w:id="15"/>
    </w:p>
    <w:p w14:paraId="4F728459" w14:textId="617EBDD6" w:rsidR="00345667" w:rsidRPr="001B1AAD" w:rsidRDefault="00EE6C1B" w:rsidP="00635A95">
      <w:pPr>
        <w:jc w:val="center"/>
        <w:rPr>
          <w:color w:val="auto"/>
        </w:rPr>
      </w:pPr>
      <w:r w:rsidRPr="001B1AAD">
        <w:rPr>
          <w:color w:val="auto"/>
        </w:rPr>
        <w:t xml:space="preserve">(Source: Swain </w:t>
      </w:r>
      <w:r w:rsidR="00B1716A" w:rsidRPr="001B1AAD">
        <w:rPr>
          <w:i/>
          <w:iCs/>
          <w:color w:val="auto"/>
        </w:rPr>
        <w:t>et al</w:t>
      </w:r>
      <w:r w:rsidRPr="001B1AAD">
        <w:rPr>
          <w:color w:val="auto"/>
        </w:rPr>
        <w:t>., 2020)</w:t>
      </w:r>
    </w:p>
    <w:p w14:paraId="774C3254" w14:textId="77777777" w:rsidR="00EE6C1B" w:rsidRPr="001B1AAD" w:rsidRDefault="00EE6C1B" w:rsidP="00EE6C1B">
      <w:pPr>
        <w:rPr>
          <w:b/>
          <w:i/>
          <w:color w:val="auto"/>
        </w:rPr>
      </w:pPr>
      <w:r w:rsidRPr="001B1AAD">
        <w:rPr>
          <w:b/>
          <w:i/>
          <w:color w:val="auto"/>
        </w:rPr>
        <w:t>National Institute for Health and Care Excellence (NICE) Guideline NG226: Osteoarthritis in over 16s: Diagnosis and Management (2022) </w:t>
      </w:r>
    </w:p>
    <w:p w14:paraId="4133C537" w14:textId="63872DC2" w:rsidR="00EE6C1B" w:rsidRPr="001B1AAD" w:rsidRDefault="00EE6C1B" w:rsidP="00EE6C1B">
      <w:pPr>
        <w:rPr>
          <w:color w:val="auto"/>
        </w:rPr>
      </w:pPr>
      <w:r w:rsidRPr="001B1AAD">
        <w:rPr>
          <w:color w:val="auto"/>
        </w:rPr>
        <w:t>This policy focuses on assessment and treatment, including the importance of exercise, weight management, therapeutic education, and shared decision-making (NICE, 2022).</w:t>
      </w:r>
    </w:p>
    <w:p w14:paraId="7A219CD4" w14:textId="77777777" w:rsidR="00EE6C1B" w:rsidRPr="001B1AAD" w:rsidRDefault="00EE6C1B" w:rsidP="00EE6C1B">
      <w:pPr>
        <w:rPr>
          <w:b/>
          <w:i/>
          <w:color w:val="auto"/>
        </w:rPr>
      </w:pPr>
      <w:r w:rsidRPr="001B1AAD">
        <w:rPr>
          <w:b/>
          <w:i/>
          <w:color w:val="auto"/>
        </w:rPr>
        <w:t>The Prevention Green Paper: Advancing Our Health: Prevention in the 2020s </w:t>
      </w:r>
    </w:p>
    <w:p w14:paraId="768A66A6" w14:textId="0F7ABD10" w:rsidR="00EE6C1B" w:rsidRPr="001B1AAD" w:rsidRDefault="00EE6C1B" w:rsidP="00EE6C1B">
      <w:pPr>
        <w:rPr>
          <w:color w:val="auto"/>
        </w:rPr>
      </w:pPr>
      <w:r w:rsidRPr="001B1AAD">
        <w:rPr>
          <w:color w:val="auto"/>
        </w:rPr>
        <w:t xml:space="preserve">The policy is reliable to address preventable ill health through healthy lifestyles (The Academy of Medical Sciences, 2019). This supports people </w:t>
      </w:r>
      <w:r w:rsidR="00D348CC" w:rsidRPr="001B1AAD">
        <w:rPr>
          <w:color w:val="auto"/>
        </w:rPr>
        <w:t>with</w:t>
      </w:r>
      <w:r w:rsidRPr="001B1AAD">
        <w:rPr>
          <w:color w:val="auto"/>
        </w:rPr>
        <w:t xml:space="preserve"> obesity reduction and physical activity programmes that could help prevent and/or manage osteoarthritis. </w:t>
      </w:r>
    </w:p>
    <w:p w14:paraId="3690F567" w14:textId="77777777" w:rsidR="00EE6C1B" w:rsidRPr="001B1AAD" w:rsidRDefault="00EE6C1B" w:rsidP="00EE6C1B">
      <w:pPr>
        <w:rPr>
          <w:b/>
          <w:i/>
          <w:color w:val="auto"/>
        </w:rPr>
      </w:pPr>
      <w:r w:rsidRPr="001B1AAD">
        <w:rPr>
          <w:b/>
          <w:i/>
          <w:color w:val="auto"/>
        </w:rPr>
        <w:t>The Universal Personalised Care Policy</w:t>
      </w:r>
    </w:p>
    <w:p w14:paraId="72233713" w14:textId="102C4821" w:rsidR="00EE6C1B" w:rsidRPr="001B1AAD" w:rsidRDefault="00EE6C1B" w:rsidP="00EE6C1B">
      <w:pPr>
        <w:rPr>
          <w:color w:val="auto"/>
        </w:rPr>
      </w:pPr>
      <w:r w:rsidRPr="001B1AAD">
        <w:rPr>
          <w:color w:val="auto"/>
        </w:rPr>
        <w:t>This encourages care planning and the active involvement of patients in managing their long-term conditions. Additionally, based on the opinion of Lenguerrand</w:t>
      </w:r>
      <w:r w:rsidR="00635A95" w:rsidRPr="001B1AAD">
        <w:rPr>
          <w:color w:val="auto"/>
        </w:rPr>
        <w:t xml:space="preserve"> </w:t>
      </w:r>
      <w:r w:rsidRPr="001B1AAD">
        <w:rPr>
          <w:i/>
          <w:color w:val="auto"/>
        </w:rPr>
        <w:t>et al.</w:t>
      </w:r>
      <w:r w:rsidRPr="001B1AAD">
        <w:rPr>
          <w:color w:val="auto"/>
        </w:rPr>
        <w:t xml:space="preserve"> (2023), a total of </w:t>
      </w:r>
      <w:r w:rsidRPr="001B1AAD">
        <w:rPr>
          <w:color w:val="auto"/>
        </w:rPr>
        <w:lastRenderedPageBreak/>
        <w:t>675,342 and 834,146 patients underwent primary hip and primary knee replacements, respectively</w:t>
      </w:r>
      <w:r w:rsidR="005F3947" w:rsidRPr="001B1AAD">
        <w:rPr>
          <w:color w:val="auto"/>
        </w:rPr>
        <w:t xml:space="preserve">, where </w:t>
      </w:r>
      <w:r w:rsidRPr="001B1AAD">
        <w:rPr>
          <w:color w:val="auto"/>
        </w:rPr>
        <w:t>around 60% and 56% are women</w:t>
      </w:r>
      <w:r w:rsidR="005F3947" w:rsidRPr="001B1AAD">
        <w:rPr>
          <w:color w:val="auto"/>
        </w:rPr>
        <w:t xml:space="preserve"> respectively</w:t>
      </w:r>
      <w:r w:rsidRPr="001B1AAD">
        <w:rPr>
          <w:color w:val="auto"/>
        </w:rPr>
        <w:t>. Hence, healthcare professionals must reduce the</w:t>
      </w:r>
      <w:r w:rsidR="00587B8F" w:rsidRPr="001B1AAD">
        <w:rPr>
          <w:color w:val="auto"/>
        </w:rPr>
        <w:t>se</w:t>
      </w:r>
      <w:r w:rsidRPr="001B1AAD">
        <w:rPr>
          <w:color w:val="auto"/>
        </w:rPr>
        <w:t xml:space="preserve"> percentage through</w:t>
      </w:r>
      <w:r w:rsidR="00587B8F" w:rsidRPr="001B1AAD">
        <w:rPr>
          <w:color w:val="auto"/>
        </w:rPr>
        <w:t xml:space="preserve"> replacing </w:t>
      </w:r>
      <w:r w:rsidR="005F3947" w:rsidRPr="001B1AAD">
        <w:rPr>
          <w:color w:val="auto"/>
        </w:rPr>
        <w:t xml:space="preserve">hip and </w:t>
      </w:r>
      <w:r w:rsidR="00587B8F" w:rsidRPr="001B1AAD">
        <w:rPr>
          <w:color w:val="auto"/>
        </w:rPr>
        <w:t>knee operations with</w:t>
      </w:r>
      <w:r w:rsidRPr="001B1AAD">
        <w:rPr>
          <w:color w:val="auto"/>
        </w:rPr>
        <w:t xml:space="preserve"> effective </w:t>
      </w:r>
      <w:r w:rsidR="00587B8F" w:rsidRPr="001B1AAD">
        <w:rPr>
          <w:color w:val="auto"/>
        </w:rPr>
        <w:t xml:space="preserve">physiotherapy </w:t>
      </w:r>
      <w:r w:rsidRPr="001B1AAD">
        <w:rPr>
          <w:color w:val="auto"/>
        </w:rPr>
        <w:t>treatments. </w:t>
      </w:r>
    </w:p>
    <w:p w14:paraId="4C04B8C1" w14:textId="7C6CB037" w:rsidR="00EE6C1B" w:rsidRPr="001B1AAD" w:rsidRDefault="00EE6C1B" w:rsidP="005B4749">
      <w:pPr>
        <w:pStyle w:val="Heading2"/>
        <w:rPr>
          <w:color w:val="auto"/>
        </w:rPr>
      </w:pPr>
      <w:bookmarkStart w:id="16" w:name="_Toc234689674"/>
      <w:r w:rsidRPr="001B1AAD">
        <w:rPr>
          <w:color w:val="auto"/>
        </w:rPr>
        <w:t>Local Policies</w:t>
      </w:r>
      <w:bookmarkEnd w:id="16"/>
    </w:p>
    <w:p w14:paraId="6C30B0D5" w14:textId="77777777" w:rsidR="00EE6C1B" w:rsidRPr="001B1AAD" w:rsidRDefault="00EE6C1B" w:rsidP="00EE6C1B">
      <w:pPr>
        <w:rPr>
          <w:b/>
          <w:i/>
          <w:color w:val="auto"/>
        </w:rPr>
      </w:pPr>
      <w:r w:rsidRPr="001B1AAD">
        <w:rPr>
          <w:b/>
          <w:i/>
          <w:color w:val="auto"/>
        </w:rPr>
        <w:t>An Integrated Care System (ICS)</w:t>
      </w:r>
    </w:p>
    <w:p w14:paraId="22FCCAB9" w14:textId="2E5918B8" w:rsidR="00EE6C1B" w:rsidRPr="001B1AAD" w:rsidRDefault="00EE6C1B" w:rsidP="00EE6C1B">
      <w:pPr>
        <w:rPr>
          <w:color w:val="auto"/>
        </w:rPr>
      </w:pPr>
      <w:r w:rsidRPr="001B1AAD">
        <w:rPr>
          <w:color w:val="auto"/>
        </w:rPr>
        <w:t xml:space="preserve">In the local area, there are a number of policies and initiatives to assist the management and prevention of osteoarthritis. An </w:t>
      </w:r>
      <w:r w:rsidR="00CD7273" w:rsidRPr="001B1AAD">
        <w:rPr>
          <w:color w:val="auto"/>
        </w:rPr>
        <w:t>‘</w:t>
      </w:r>
      <w:r w:rsidRPr="001B1AAD">
        <w:rPr>
          <w:color w:val="auto"/>
        </w:rPr>
        <w:t>Integrated Care System (ICS)</w:t>
      </w:r>
      <w:r w:rsidR="00CD7273" w:rsidRPr="001B1AAD">
        <w:rPr>
          <w:color w:val="auto"/>
        </w:rPr>
        <w:t>’</w:t>
      </w:r>
      <w:r w:rsidRPr="001B1AAD">
        <w:rPr>
          <w:color w:val="auto"/>
        </w:rPr>
        <w:t xml:space="preserve"> strategy has been integrated across the NHS, public health, local authority, and social care to improve health and care services (NHS England-Integrated Care, 2022).</w:t>
      </w:r>
    </w:p>
    <w:p w14:paraId="56F9F20C" w14:textId="77777777" w:rsidR="00EE6C1B" w:rsidRPr="001B1AAD" w:rsidRDefault="00EE6C1B" w:rsidP="00EE6C1B">
      <w:pPr>
        <w:rPr>
          <w:b/>
          <w:i/>
          <w:color w:val="auto"/>
        </w:rPr>
      </w:pPr>
      <w:r w:rsidRPr="001B1AAD">
        <w:rPr>
          <w:b/>
          <w:i/>
          <w:color w:val="auto"/>
        </w:rPr>
        <w:t>Joint Strategic Needs Assessments (JSNAs)</w:t>
      </w:r>
    </w:p>
    <w:p w14:paraId="4DC7A434" w14:textId="77777777" w:rsidR="00EE6C1B" w:rsidRPr="001B1AAD" w:rsidRDefault="00EE6C1B" w:rsidP="00EE6C1B">
      <w:pPr>
        <w:rPr>
          <w:color w:val="auto"/>
        </w:rPr>
      </w:pPr>
      <w:r w:rsidRPr="001B1AAD">
        <w:rPr>
          <w:color w:val="auto"/>
        </w:rPr>
        <w:t xml:space="preserve">This assessment has been carried out by the Government, and professionals review the reports to develop joint health and wellbeing strategies to </w:t>
      </w:r>
      <w:r w:rsidR="004343AA" w:rsidRPr="001B1AAD">
        <w:rPr>
          <w:color w:val="auto"/>
        </w:rPr>
        <w:t>influence</w:t>
      </w:r>
      <w:r w:rsidRPr="001B1AAD">
        <w:rPr>
          <w:color w:val="auto"/>
        </w:rPr>
        <w:t xml:space="preserve"> further improvements (Department of Health and Social Care, UK, 2019). This insight is used to shape the planning of services for </w:t>
      </w:r>
      <w:r w:rsidRPr="001B1AAD">
        <w:rPr>
          <w:color w:val="auto"/>
        </w:rPr>
        <w:t>ageing populations and people with musculoskeletal issues. </w:t>
      </w:r>
    </w:p>
    <w:p w14:paraId="7EF343AA" w14:textId="77777777" w:rsidR="00EE6C1B" w:rsidRPr="001B1AAD" w:rsidRDefault="00EE6C1B" w:rsidP="00EE6C1B">
      <w:pPr>
        <w:rPr>
          <w:b/>
          <w:i/>
          <w:color w:val="auto"/>
        </w:rPr>
      </w:pPr>
      <w:r w:rsidRPr="001B1AAD">
        <w:rPr>
          <w:b/>
          <w:i/>
          <w:color w:val="auto"/>
        </w:rPr>
        <w:t>Musculoskeletal (MSK) transformation programmes </w:t>
      </w:r>
    </w:p>
    <w:p w14:paraId="5577DCB9" w14:textId="77777777" w:rsidR="00EE6C1B" w:rsidRPr="001B1AAD" w:rsidRDefault="00EE6C1B" w:rsidP="00EE6C1B">
      <w:pPr>
        <w:rPr>
          <w:color w:val="auto"/>
        </w:rPr>
      </w:pPr>
      <w:r w:rsidRPr="001B1AAD">
        <w:rPr>
          <w:color w:val="auto"/>
        </w:rPr>
        <w:t>Many NHS trusts and ICSs set up MSKTs to improve access to physiotherapy services, self-management education and community-based rehabilitation. It is evident that the UK government has allocated around £3.2 million to expand the NHS MSK programme and cut waiting lists by 20% (Govt.UK, 2026). This is effective in supporting people with osteoarthritis to remain mobile and independent, and to live a quality of life.</w:t>
      </w:r>
    </w:p>
    <w:p w14:paraId="725B8ABB" w14:textId="7864C582" w:rsidR="00EE6C1B" w:rsidRPr="001B1AAD" w:rsidRDefault="008E07E2" w:rsidP="00C057D9">
      <w:pPr>
        <w:pStyle w:val="Heading1"/>
      </w:pPr>
      <w:bookmarkStart w:id="17" w:name="_Toc234689675"/>
      <w:r w:rsidRPr="001B1AAD">
        <w:t>8</w:t>
      </w:r>
      <w:r w:rsidR="000F61AC" w:rsidRPr="001B1AAD">
        <w:t xml:space="preserve">. </w:t>
      </w:r>
      <w:r w:rsidR="00EE6C1B" w:rsidRPr="001B1AAD">
        <w:t>Social Care Agendas</w:t>
      </w:r>
      <w:bookmarkEnd w:id="17"/>
    </w:p>
    <w:p w14:paraId="3CE62CDB" w14:textId="77777777" w:rsidR="00EE6C1B" w:rsidRPr="001B1AAD" w:rsidRDefault="00EE6C1B" w:rsidP="00EE6C1B">
      <w:pPr>
        <w:rPr>
          <w:b/>
          <w:i/>
          <w:color w:val="auto"/>
        </w:rPr>
      </w:pPr>
      <w:r w:rsidRPr="001B1AAD">
        <w:rPr>
          <w:b/>
          <w:i/>
          <w:color w:val="auto"/>
        </w:rPr>
        <w:t>The Care Act 2014 </w:t>
      </w:r>
    </w:p>
    <w:p w14:paraId="6553B063" w14:textId="77777777" w:rsidR="00EE6C1B" w:rsidRPr="001B1AAD" w:rsidRDefault="00EE6C1B" w:rsidP="00EE6C1B">
      <w:pPr>
        <w:rPr>
          <w:color w:val="auto"/>
        </w:rPr>
      </w:pPr>
      <w:r w:rsidRPr="001B1AAD">
        <w:rPr>
          <w:color w:val="auto"/>
        </w:rPr>
        <w:t xml:space="preserve">In the UK, social care agendas primarily focus on supporting independence, wellbeing, rehabilitation, social support, and health/social care integration for osteoarthritis. The Care Act 2014 is the basis of adult social care in England and centres on promoting wellbeing and preventing or delaying the need for care and support (Legislation.GOV.UK, 2019). This also assesses the needs of people with </w:t>
      </w:r>
      <w:r w:rsidRPr="001B1AAD">
        <w:rPr>
          <w:color w:val="auto"/>
        </w:rPr>
        <w:lastRenderedPageBreak/>
        <w:t>osteoarthritis and provides them with individually tailored care and support, including mobility services and home adaptations. </w:t>
      </w:r>
    </w:p>
    <w:p w14:paraId="56A2B635" w14:textId="77777777" w:rsidR="00EE6C1B" w:rsidRPr="001B1AAD" w:rsidRDefault="00EE6C1B" w:rsidP="00EE6C1B">
      <w:pPr>
        <w:rPr>
          <w:b/>
          <w:i/>
          <w:color w:val="auto"/>
        </w:rPr>
      </w:pPr>
      <w:r w:rsidRPr="001B1AAD">
        <w:rPr>
          <w:b/>
          <w:i/>
          <w:color w:val="auto"/>
        </w:rPr>
        <w:t>The Health and Care Act 2022 </w:t>
      </w:r>
    </w:p>
    <w:p w14:paraId="3B34ECD7" w14:textId="77777777" w:rsidR="00EE6C1B" w:rsidRPr="001B1AAD" w:rsidRDefault="00EE6C1B" w:rsidP="00EE6C1B">
      <w:pPr>
        <w:rPr>
          <w:color w:val="auto"/>
        </w:rPr>
      </w:pPr>
      <w:r w:rsidRPr="001B1AAD">
        <w:rPr>
          <w:color w:val="auto"/>
        </w:rPr>
        <w:t>This act is designed to improve patient outcomes and address existing challenges in UK healthcare services (Toh and Haynes, 2022). This includes providing person-centred care support that is coordinated across health, care, social, and community services. This also enhances connections among health and care treatment, rehabilitation, social and community services, and local authorities. </w:t>
      </w:r>
    </w:p>
    <w:p w14:paraId="786EC8EC" w14:textId="77777777" w:rsidR="00EE6C1B" w:rsidRPr="001B1AAD" w:rsidRDefault="00EE6C1B" w:rsidP="00EE6C1B">
      <w:pPr>
        <w:rPr>
          <w:b/>
          <w:i/>
          <w:color w:val="auto"/>
        </w:rPr>
      </w:pPr>
      <w:r w:rsidRPr="001B1AAD">
        <w:rPr>
          <w:b/>
          <w:i/>
          <w:color w:val="auto"/>
        </w:rPr>
        <w:t>Prevention and Healthy Ageing Agenda </w:t>
      </w:r>
    </w:p>
    <w:p w14:paraId="4D1EF740" w14:textId="77777777" w:rsidR="00EE6C1B" w:rsidRPr="001B1AAD" w:rsidRDefault="00EE6C1B" w:rsidP="00EE6C1B">
      <w:pPr>
        <w:rPr>
          <w:color w:val="auto"/>
        </w:rPr>
      </w:pPr>
      <w:r w:rsidRPr="001B1AAD">
        <w:rPr>
          <w:color w:val="auto"/>
        </w:rPr>
        <w:t>This supports healthy lifestyles, physical activity, obesity reduction, and community wellbeing. This is relevant because approximately 10 million people in the UK have osteoarthritis (Arthritis UK, 2026). These are important aspects of preventing or slowing the development of osteoarthritis and improving the quality of life and independence for older people.</w:t>
      </w:r>
    </w:p>
    <w:p w14:paraId="38003348" w14:textId="2F348FB6" w:rsidR="008B48BF" w:rsidRPr="001B1AAD" w:rsidRDefault="008E07E2" w:rsidP="00C057D9">
      <w:pPr>
        <w:pStyle w:val="Heading1"/>
      </w:pPr>
      <w:bookmarkStart w:id="18" w:name="_Toc234689676"/>
      <w:r w:rsidRPr="001B1AAD">
        <w:t>9</w:t>
      </w:r>
      <w:r w:rsidR="000F61AC" w:rsidRPr="001B1AAD">
        <w:t xml:space="preserve">. </w:t>
      </w:r>
      <w:r w:rsidR="008B48BF" w:rsidRPr="001B1AAD">
        <w:t>Recommendations for Person-Centred Care</w:t>
      </w:r>
      <w:bookmarkEnd w:id="18"/>
    </w:p>
    <w:p w14:paraId="7ABC339C" w14:textId="77777777" w:rsidR="00476DB2" w:rsidRPr="001B1AAD" w:rsidRDefault="00476DB2" w:rsidP="00D01295">
      <w:pPr>
        <w:jc w:val="center"/>
        <w:rPr>
          <w:color w:val="auto"/>
        </w:rPr>
      </w:pPr>
      <w:r w:rsidRPr="001B1AAD">
        <w:rPr>
          <w:noProof/>
          <w:color w:val="auto"/>
          <w:lang w:val="en-IN"/>
        </w:rPr>
        <w:drawing>
          <wp:inline distT="0" distB="0" distL="0" distR="0" wp14:anchorId="485690B1" wp14:editId="3BF9B7C8">
            <wp:extent cx="2625725" cy="3238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srcRect/>
                    <a:stretch>
                      <a:fillRect/>
                    </a:stretch>
                  </pic:blipFill>
                  <pic:spPr bwMode="auto">
                    <a:xfrm>
                      <a:off x="0" y="0"/>
                      <a:ext cx="2634759" cy="3249642"/>
                    </a:xfrm>
                    <a:prstGeom prst="rect">
                      <a:avLst/>
                    </a:prstGeom>
                    <a:noFill/>
                    <a:ln w="9525">
                      <a:noFill/>
                      <a:miter lim="800000"/>
                      <a:headEnd/>
                      <a:tailEnd/>
                    </a:ln>
                  </pic:spPr>
                </pic:pic>
              </a:graphicData>
            </a:graphic>
          </wp:inline>
        </w:drawing>
      </w:r>
    </w:p>
    <w:p w14:paraId="2114DB70" w14:textId="78E00288" w:rsidR="00476DB2" w:rsidRPr="001B1AAD" w:rsidRDefault="009B66EE" w:rsidP="00476DB2">
      <w:pPr>
        <w:pStyle w:val="Caption"/>
        <w:rPr>
          <w:color w:val="auto"/>
        </w:rPr>
      </w:pPr>
      <w:bookmarkStart w:id="19" w:name="_Toc234689694"/>
      <w:r w:rsidRPr="001B1AAD">
        <w:rPr>
          <w:color w:val="auto"/>
        </w:rPr>
        <w:t xml:space="preserve">Figure </w:t>
      </w:r>
      <w:r w:rsidRPr="001B1AAD">
        <w:rPr>
          <w:color w:val="auto"/>
        </w:rPr>
        <w:fldChar w:fldCharType="begin"/>
      </w:r>
      <w:r w:rsidRPr="001B1AAD">
        <w:rPr>
          <w:color w:val="auto"/>
        </w:rPr>
        <w:instrText xml:space="preserve"> SEQ Figure \* ARABIC </w:instrText>
      </w:r>
      <w:r w:rsidRPr="001B1AAD">
        <w:rPr>
          <w:color w:val="auto"/>
        </w:rPr>
        <w:fldChar w:fldCharType="separate"/>
      </w:r>
      <w:r w:rsidRPr="001B1AAD">
        <w:rPr>
          <w:noProof/>
          <w:color w:val="auto"/>
        </w:rPr>
        <w:t>8</w:t>
      </w:r>
      <w:r w:rsidRPr="001B1AAD">
        <w:rPr>
          <w:color w:val="auto"/>
        </w:rPr>
        <w:fldChar w:fldCharType="end"/>
      </w:r>
      <w:r w:rsidRPr="001B1AAD">
        <w:rPr>
          <w:color w:val="auto"/>
        </w:rPr>
        <w:t xml:space="preserve">: </w:t>
      </w:r>
      <w:r w:rsidR="00476DB2" w:rsidRPr="001B1AAD">
        <w:rPr>
          <w:color w:val="auto"/>
        </w:rPr>
        <w:t>Healthcare resource utilisation and expenditures in knee</w:t>
      </w:r>
      <w:bookmarkEnd w:id="19"/>
    </w:p>
    <w:p w14:paraId="38332397" w14:textId="49DD01B6" w:rsidR="00476DB2" w:rsidRPr="001B1AAD" w:rsidRDefault="00476DB2" w:rsidP="00476DB2">
      <w:pPr>
        <w:jc w:val="center"/>
        <w:rPr>
          <w:color w:val="auto"/>
        </w:rPr>
      </w:pPr>
      <w:r w:rsidRPr="001B1AAD">
        <w:rPr>
          <w:color w:val="auto"/>
        </w:rPr>
        <w:t>(Source:</w:t>
      </w:r>
      <w:r w:rsidR="00635A95" w:rsidRPr="001B1AAD">
        <w:rPr>
          <w:color w:val="auto"/>
        </w:rPr>
        <w:t xml:space="preserve"> </w:t>
      </w:r>
      <w:r w:rsidRPr="001B1AAD">
        <w:rPr>
          <w:color w:val="auto"/>
        </w:rPr>
        <w:t xml:space="preserve">Silverman </w:t>
      </w:r>
      <w:r w:rsidRPr="001B1AAD">
        <w:rPr>
          <w:i/>
          <w:iCs/>
          <w:color w:val="auto"/>
        </w:rPr>
        <w:t>et al.,</w:t>
      </w:r>
      <w:r w:rsidRPr="001B1AAD">
        <w:rPr>
          <w:color w:val="auto"/>
        </w:rPr>
        <w:t xml:space="preserve"> 2023)</w:t>
      </w:r>
    </w:p>
    <w:p w14:paraId="1CE931C6" w14:textId="22BFA921" w:rsidR="00AA521E" w:rsidRPr="001B1AAD" w:rsidRDefault="00AA521E" w:rsidP="000B2DC9">
      <w:pPr>
        <w:pStyle w:val="Heading2"/>
        <w:rPr>
          <w:color w:val="auto"/>
        </w:rPr>
      </w:pPr>
      <w:bookmarkStart w:id="20" w:name="_Toc234689677"/>
      <w:r w:rsidRPr="001B1AAD">
        <w:rPr>
          <w:color w:val="auto"/>
        </w:rPr>
        <w:t>Person</w:t>
      </w:r>
      <w:r w:rsidR="008E07E2" w:rsidRPr="001B1AAD">
        <w:rPr>
          <w:color w:val="auto"/>
        </w:rPr>
        <w:t>-</w:t>
      </w:r>
      <w:r w:rsidRPr="001B1AAD">
        <w:rPr>
          <w:color w:val="auto"/>
        </w:rPr>
        <w:t>centred care</w:t>
      </w:r>
      <w:bookmarkEnd w:id="20"/>
    </w:p>
    <w:p w14:paraId="39272B35" w14:textId="264741D0" w:rsidR="00476DB2" w:rsidRPr="001B1AAD" w:rsidRDefault="00476DB2" w:rsidP="00476DB2">
      <w:pPr>
        <w:rPr>
          <w:color w:val="auto"/>
        </w:rPr>
      </w:pPr>
      <w:r w:rsidRPr="001B1AAD">
        <w:rPr>
          <w:color w:val="auto"/>
        </w:rPr>
        <w:t>Person-centred care is essential for the effective management of osteoarthritis (OA), which involves engaging patients in decisions and delivering care that meets the patient</w:t>
      </w:r>
      <w:r w:rsidR="00CD7273" w:rsidRPr="001B1AAD">
        <w:rPr>
          <w:color w:val="auto"/>
        </w:rPr>
        <w:t>’</w:t>
      </w:r>
      <w:r w:rsidRPr="001B1AAD">
        <w:rPr>
          <w:color w:val="auto"/>
        </w:rPr>
        <w:t xml:space="preserve">s needs, preferences and life situation. One of the recommendations is to improve shared decision-making throughout the patient journey (Silverman </w:t>
      </w:r>
      <w:r w:rsidR="00B1716A" w:rsidRPr="001B1AAD">
        <w:rPr>
          <w:i/>
          <w:iCs/>
          <w:color w:val="auto"/>
        </w:rPr>
        <w:t>et al</w:t>
      </w:r>
      <w:r w:rsidRPr="001B1AAD">
        <w:rPr>
          <w:color w:val="auto"/>
        </w:rPr>
        <w:t xml:space="preserve">., 2023). Healthcare providers should ensure that patients receive evidence-based and </w:t>
      </w:r>
      <w:r w:rsidRPr="001B1AAD">
        <w:rPr>
          <w:color w:val="auto"/>
        </w:rPr>
        <w:lastRenderedPageBreak/>
        <w:t>information about potential risks, treatment options, and outcomes, allowing them to make informed decisions to support their individual goals</w:t>
      </w:r>
      <w:r w:rsidR="004F3D95" w:rsidRPr="001B1AAD">
        <w:rPr>
          <w:color w:val="auto"/>
        </w:rPr>
        <w:t xml:space="preserve"> through iterative reviews</w:t>
      </w:r>
      <w:r w:rsidRPr="001B1AAD">
        <w:rPr>
          <w:color w:val="auto"/>
        </w:rPr>
        <w:t>. Improving self-management support is also a key recommendation. Structured education programmes in the areas of disease understanding, pain management, physical activity, weight management and joint protection procedures should be provided to the patient. Self-management interventions have the potential to enhance self-confidence, adhere</w:t>
      </w:r>
      <w:r w:rsidR="00C902D8" w:rsidRPr="001B1AAD">
        <w:rPr>
          <w:color w:val="auto"/>
        </w:rPr>
        <w:t>nce</w:t>
      </w:r>
      <w:r w:rsidRPr="001B1AAD">
        <w:rPr>
          <w:color w:val="auto"/>
        </w:rPr>
        <w:t xml:space="preserve"> to treatment and minimi</w:t>
      </w:r>
      <w:r w:rsidR="00B1716A" w:rsidRPr="001B1AAD">
        <w:rPr>
          <w:color w:val="auto"/>
        </w:rPr>
        <w:t>s</w:t>
      </w:r>
      <w:r w:rsidRPr="001B1AAD">
        <w:rPr>
          <w:color w:val="auto"/>
        </w:rPr>
        <w:t>e unnecessary health care utili</w:t>
      </w:r>
      <w:r w:rsidR="00B1716A" w:rsidRPr="001B1AAD">
        <w:rPr>
          <w:color w:val="auto"/>
        </w:rPr>
        <w:t>s</w:t>
      </w:r>
      <w:r w:rsidRPr="001B1AAD">
        <w:rPr>
          <w:color w:val="auto"/>
        </w:rPr>
        <w:t xml:space="preserve">ation (Silverman </w:t>
      </w:r>
      <w:r w:rsidR="00B1716A" w:rsidRPr="001B1AAD">
        <w:rPr>
          <w:i/>
          <w:iCs/>
          <w:color w:val="auto"/>
        </w:rPr>
        <w:t>et al</w:t>
      </w:r>
      <w:r w:rsidRPr="001B1AAD">
        <w:rPr>
          <w:color w:val="auto"/>
        </w:rPr>
        <w:t>., 2023). Digital health technologies, such as mobile apps and telehealth consultations</w:t>
      </w:r>
      <w:r w:rsidR="00B83683" w:rsidRPr="001B1AAD">
        <w:rPr>
          <w:color w:val="auto"/>
        </w:rPr>
        <w:t>,</w:t>
      </w:r>
      <w:r w:rsidRPr="001B1AAD">
        <w:rPr>
          <w:color w:val="auto"/>
        </w:rPr>
        <w:t xml:space="preserve"> can also help with self-monitoring, exercise adherence and engagement with health care providers, especially for people </w:t>
      </w:r>
      <w:r w:rsidR="00167690" w:rsidRPr="001B1AAD">
        <w:rPr>
          <w:color w:val="auto"/>
        </w:rPr>
        <w:t>living</w:t>
      </w:r>
      <w:r w:rsidRPr="001B1AAD">
        <w:rPr>
          <w:color w:val="auto"/>
        </w:rPr>
        <w:t xml:space="preserve"> in remote communities or have limited </w:t>
      </w:r>
      <w:r w:rsidR="00167690" w:rsidRPr="001B1AAD">
        <w:rPr>
          <w:color w:val="auto"/>
        </w:rPr>
        <w:t>mobility</w:t>
      </w:r>
      <w:r w:rsidR="00306852" w:rsidRPr="001B1AAD">
        <w:rPr>
          <w:color w:val="auto"/>
        </w:rPr>
        <w:t xml:space="preserve"> (Shah </w:t>
      </w:r>
      <w:r w:rsidR="00306852" w:rsidRPr="001B1AAD">
        <w:rPr>
          <w:i/>
          <w:iCs/>
          <w:color w:val="auto"/>
        </w:rPr>
        <w:t>et al.</w:t>
      </w:r>
      <w:r w:rsidR="00306852" w:rsidRPr="001B1AAD">
        <w:rPr>
          <w:color w:val="auto"/>
        </w:rPr>
        <w:t>, 2021)</w:t>
      </w:r>
      <w:r w:rsidRPr="001B1AAD">
        <w:rPr>
          <w:color w:val="auto"/>
        </w:rPr>
        <w:t>.</w:t>
      </w:r>
    </w:p>
    <w:p w14:paraId="66909447" w14:textId="30E2AF53" w:rsidR="00BB19DF" w:rsidRPr="001B1AAD" w:rsidRDefault="00476DB2" w:rsidP="00476DB2">
      <w:pPr>
        <w:rPr>
          <w:color w:val="auto"/>
        </w:rPr>
      </w:pPr>
      <w:r w:rsidRPr="001B1AAD">
        <w:rPr>
          <w:color w:val="auto"/>
        </w:rPr>
        <w:t>An interdisciplinary approach should always be followed throughout NHS services. The multi-professional approach of</w:t>
      </w:r>
      <w:r w:rsidR="00B83683" w:rsidRPr="001B1AAD">
        <w:rPr>
          <w:color w:val="auto"/>
        </w:rPr>
        <w:t xml:space="preserve"> a </w:t>
      </w:r>
      <w:r w:rsidRPr="001B1AAD">
        <w:rPr>
          <w:color w:val="auto"/>
        </w:rPr>
        <w:t xml:space="preserve">GP, physiotherapist, occupational therapist, pharmacist, dietitian, psychologist, orthopaedic specialist can help manage complex </w:t>
      </w:r>
      <w:r w:rsidRPr="001B1AAD">
        <w:rPr>
          <w:color w:val="auto"/>
        </w:rPr>
        <w:t xml:space="preserve">physical, psychological and social problems related to OA. It should be a priority to refer to physiotherapy and </w:t>
      </w:r>
      <w:r w:rsidR="006E3502" w:rsidRPr="001B1AAD">
        <w:rPr>
          <w:color w:val="auto"/>
        </w:rPr>
        <w:t>community-based</w:t>
      </w:r>
      <w:r w:rsidRPr="001B1AAD">
        <w:rPr>
          <w:color w:val="auto"/>
        </w:rPr>
        <w:t xml:space="preserve"> exercise programmes early to preserve mobility, alleviate pain and limit functional deterioration. There should also be psychological support available to help with anxiety, depression and coping with chronic pain, for which cognitive behavioural therapy may be applicable</w:t>
      </w:r>
      <w:r w:rsidR="00CF3C26" w:rsidRPr="001B1AAD">
        <w:rPr>
          <w:color w:val="auto"/>
        </w:rPr>
        <w:t xml:space="preserve"> </w:t>
      </w:r>
      <w:r w:rsidRPr="001B1AAD">
        <w:rPr>
          <w:color w:val="auto"/>
        </w:rPr>
        <w:t xml:space="preserve">(Swain </w:t>
      </w:r>
      <w:r w:rsidRPr="001B1AAD">
        <w:rPr>
          <w:i/>
          <w:iCs/>
          <w:color w:val="auto"/>
        </w:rPr>
        <w:t>et al.</w:t>
      </w:r>
      <w:r w:rsidRPr="001B1AAD">
        <w:rPr>
          <w:color w:val="auto"/>
        </w:rPr>
        <w:t>, 2023).</w:t>
      </w:r>
      <w:r w:rsidR="00CF3C26" w:rsidRPr="001B1AAD">
        <w:rPr>
          <w:color w:val="auto"/>
        </w:rPr>
        <w:t xml:space="preserve"> </w:t>
      </w:r>
      <w:r w:rsidRPr="001B1AAD">
        <w:rPr>
          <w:color w:val="auto"/>
        </w:rPr>
        <w:t xml:space="preserve">Using integrated care pathways and electronic health records (EHRs) </w:t>
      </w:r>
      <w:r w:rsidR="00AD0439">
        <w:rPr>
          <w:color w:val="auto"/>
        </w:rPr>
        <w:t>is</w:t>
      </w:r>
      <w:r w:rsidR="00AB1E45" w:rsidRPr="001B1AAD">
        <w:rPr>
          <w:color w:val="auto"/>
        </w:rPr>
        <w:t xml:space="preserve"> also recommended for streamlining</w:t>
      </w:r>
      <w:r w:rsidRPr="001B1AAD">
        <w:rPr>
          <w:color w:val="auto"/>
        </w:rPr>
        <w:t xml:space="preserve"> communication </w:t>
      </w:r>
      <w:r w:rsidR="008C44DE" w:rsidRPr="001B1AAD">
        <w:rPr>
          <w:color w:val="auto"/>
        </w:rPr>
        <w:t>among</w:t>
      </w:r>
      <w:r w:rsidRPr="001B1AAD">
        <w:rPr>
          <w:color w:val="auto"/>
        </w:rPr>
        <w:t xml:space="preserve"> healthcare professionals, </w:t>
      </w:r>
      <w:r w:rsidR="000D3D16" w:rsidRPr="001B1AAD">
        <w:rPr>
          <w:color w:val="auto"/>
        </w:rPr>
        <w:t>enabling</w:t>
      </w:r>
      <w:r w:rsidRPr="001B1AAD">
        <w:rPr>
          <w:color w:val="auto"/>
        </w:rPr>
        <w:t xml:space="preserve"> consistent treatment and adapting to patient needs as they evolve. Patient reported outcome measures (PROMs) can be used for routine outcome monitoring to assess the effectiveness of treatment and inform personalised interventions</w:t>
      </w:r>
      <w:r w:rsidR="00CF3C26" w:rsidRPr="001B1AAD">
        <w:rPr>
          <w:color w:val="auto"/>
        </w:rPr>
        <w:t xml:space="preserve"> </w:t>
      </w:r>
      <w:r w:rsidRPr="001B1AAD">
        <w:rPr>
          <w:color w:val="auto"/>
        </w:rPr>
        <w:t>(NHS, 2023).</w:t>
      </w:r>
      <w:r w:rsidR="00CF3C26" w:rsidRPr="001B1AAD">
        <w:rPr>
          <w:color w:val="auto"/>
        </w:rPr>
        <w:t xml:space="preserve"> </w:t>
      </w:r>
      <w:r w:rsidRPr="001B1AAD">
        <w:rPr>
          <w:color w:val="auto"/>
        </w:rPr>
        <w:t xml:space="preserve">While osteoarthritis is not typically a </w:t>
      </w:r>
      <w:r w:rsidR="00CD7273" w:rsidRPr="001B1AAD">
        <w:rPr>
          <w:color w:val="auto"/>
        </w:rPr>
        <w:t>‘</w:t>
      </w:r>
      <w:r w:rsidRPr="001B1AAD">
        <w:rPr>
          <w:color w:val="auto"/>
        </w:rPr>
        <w:t xml:space="preserve">terminal </w:t>
      </w:r>
      <w:r w:rsidR="000D3D16" w:rsidRPr="001B1AAD">
        <w:rPr>
          <w:color w:val="auto"/>
        </w:rPr>
        <w:t>illness’,</w:t>
      </w:r>
      <w:r w:rsidRPr="001B1AAD">
        <w:rPr>
          <w:color w:val="auto"/>
        </w:rPr>
        <w:t xml:space="preserve"> it could </w:t>
      </w:r>
      <w:r w:rsidR="00D718BC" w:rsidRPr="001B1AAD">
        <w:rPr>
          <w:color w:val="auto"/>
        </w:rPr>
        <w:t>become severe for</w:t>
      </w:r>
      <w:r w:rsidRPr="001B1AAD">
        <w:rPr>
          <w:color w:val="auto"/>
        </w:rPr>
        <w:t xml:space="preserve"> older people</w:t>
      </w:r>
      <w:r w:rsidR="0092144E" w:rsidRPr="001B1AAD">
        <w:rPr>
          <w:color w:val="auto"/>
        </w:rPr>
        <w:t>, which must be managed accordingly</w:t>
      </w:r>
      <w:r w:rsidRPr="001B1AAD">
        <w:rPr>
          <w:color w:val="auto"/>
        </w:rPr>
        <w:t>.</w:t>
      </w:r>
    </w:p>
    <w:p w14:paraId="53955663" w14:textId="77777777" w:rsidR="00FF4770" w:rsidRPr="001B1AAD" w:rsidRDefault="001C516E" w:rsidP="000B2DC9">
      <w:pPr>
        <w:pStyle w:val="Heading2"/>
        <w:rPr>
          <w:color w:val="auto"/>
        </w:rPr>
      </w:pPr>
      <w:bookmarkStart w:id="21" w:name="_Toc234689678"/>
      <w:r w:rsidRPr="001B1AAD">
        <w:rPr>
          <w:color w:val="auto"/>
        </w:rPr>
        <w:t>Self-management</w:t>
      </w:r>
      <w:bookmarkEnd w:id="21"/>
    </w:p>
    <w:p w14:paraId="08355704" w14:textId="6370414A" w:rsidR="00FD0336" w:rsidRPr="001B1AAD" w:rsidRDefault="00FF4770" w:rsidP="00FF4770">
      <w:pPr>
        <w:rPr>
          <w:color w:val="auto"/>
        </w:rPr>
      </w:pPr>
      <w:r w:rsidRPr="001B1AAD">
        <w:rPr>
          <w:color w:val="auto"/>
        </w:rPr>
        <w:t xml:space="preserve">Self-management is an important part of the care for osteoarthritis (OA) which is designed to allow people to manage their condition actively, </w:t>
      </w:r>
      <w:r w:rsidRPr="001B1AAD">
        <w:rPr>
          <w:color w:val="auto"/>
        </w:rPr>
        <w:lastRenderedPageBreak/>
        <w:t>preserve their independence and enhance the quality of their life. According to NICE (2022), it is recommended that people with OA should do regular exercises, stay healthy by managing their body weight, protect their joints and be physically active in order to alleviate pain and increase functioning. Educating people about their condition, goal setting and shared decision</w:t>
      </w:r>
      <w:r w:rsidR="0048196F">
        <w:rPr>
          <w:color w:val="auto"/>
        </w:rPr>
        <w:t>-</w:t>
      </w:r>
      <w:r w:rsidRPr="001B1AAD">
        <w:rPr>
          <w:color w:val="auto"/>
        </w:rPr>
        <w:t xml:space="preserve"> making will help individuals to understand their illness and stick to the treatment regimen. Digital health technologies, physiotherapy and services provided by the community can further facilitate self-management as they will encourage symptom tracking, self-efficacy and lifestyle changes (NHS, 2023; Silverman </w:t>
      </w:r>
      <w:r w:rsidRPr="001B1AAD">
        <w:rPr>
          <w:i/>
          <w:iCs/>
          <w:color w:val="auto"/>
        </w:rPr>
        <w:t>et al</w:t>
      </w:r>
      <w:r w:rsidRPr="001B1AAD">
        <w:rPr>
          <w:color w:val="auto"/>
        </w:rPr>
        <w:t>., 2023).</w:t>
      </w:r>
    </w:p>
    <w:p w14:paraId="1B8842C9" w14:textId="77777777" w:rsidR="008B48BF" w:rsidRPr="001B1AAD" w:rsidRDefault="000F61AC" w:rsidP="0081269F">
      <w:pPr>
        <w:pStyle w:val="Heading1"/>
      </w:pPr>
      <w:bookmarkStart w:id="22" w:name="_Toc234689679"/>
      <w:r w:rsidRPr="001B1AAD">
        <w:t xml:space="preserve">11. </w:t>
      </w:r>
      <w:r w:rsidR="008B48BF" w:rsidRPr="001B1AAD">
        <w:t>Conclusion</w:t>
      </w:r>
      <w:bookmarkEnd w:id="22"/>
    </w:p>
    <w:p w14:paraId="21706E7B" w14:textId="77777777" w:rsidR="000B374A" w:rsidRPr="001B1AAD" w:rsidRDefault="001333CA" w:rsidP="001333CA">
      <w:pPr>
        <w:rPr>
          <w:color w:val="auto"/>
        </w:rPr>
      </w:pPr>
      <w:r w:rsidRPr="001B1AAD">
        <w:rPr>
          <w:color w:val="auto"/>
        </w:rPr>
        <w:t xml:space="preserve">This condition continues to be one of the most prevalent chronic musculoskeletal disorders that affects the lives and well-being of people. This booklet discusses the prevalence, risk factors, and effects of this condition on individuals and their families, both physically, psychologically, and socially. Also, this document reviews the evidence-based treatments offered by the National Health Service, such </w:t>
      </w:r>
      <w:r w:rsidRPr="001B1AAD">
        <w:rPr>
          <w:color w:val="auto"/>
        </w:rPr>
        <w:t>as exercise, weight management, medications, rehabilitation, and, when necessary, surgery. In addition, models in both the UK and other countries, as well as national and local health policies, have highlighted the importance of person-centred, multidisciplinary treatment.</w:t>
      </w:r>
    </w:p>
    <w:p w14:paraId="5C9035B7" w14:textId="512DAEDF" w:rsidR="00CF5BB4" w:rsidRPr="001B1AAD" w:rsidRDefault="00CF5BB4" w:rsidP="001333CA">
      <w:pPr>
        <w:rPr>
          <w:color w:val="auto"/>
        </w:rPr>
        <w:sectPr w:rsidR="00CF5BB4" w:rsidRPr="001B1AAD" w:rsidSect="00734CD6">
          <w:headerReference w:type="default" r:id="rId23"/>
          <w:footerReference w:type="default" r:id="rId24"/>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pgNumType w:start="1"/>
          <w:cols w:num="2" w:space="708"/>
          <w:docGrid w:linePitch="360"/>
        </w:sectPr>
      </w:pPr>
    </w:p>
    <w:p w14:paraId="7957FBD9" w14:textId="77777777" w:rsidR="00CC6ACA" w:rsidRPr="001B1AAD" w:rsidRDefault="00CC6ACA" w:rsidP="00EE6C1B">
      <w:pPr>
        <w:pStyle w:val="Heading1"/>
      </w:pPr>
      <w:bookmarkStart w:id="23" w:name="_Toc234689680"/>
      <w:r w:rsidRPr="001B1AAD">
        <w:lastRenderedPageBreak/>
        <w:t>References</w:t>
      </w:r>
      <w:bookmarkEnd w:id="23"/>
    </w:p>
    <w:p w14:paraId="3F65A98B" w14:textId="794D4E43" w:rsidR="00473AE4" w:rsidRPr="001B1AAD" w:rsidRDefault="00473AE4" w:rsidP="00A51170">
      <w:pPr>
        <w:pStyle w:val="ListParagraph"/>
        <w:numPr>
          <w:ilvl w:val="0"/>
          <w:numId w:val="1"/>
        </w:numPr>
        <w:rPr>
          <w:color w:val="auto"/>
        </w:rPr>
      </w:pPr>
      <w:r w:rsidRPr="001B1AAD">
        <w:rPr>
          <w:color w:val="auto"/>
        </w:rPr>
        <w:t xml:space="preserve">ACR (2019) </w:t>
      </w:r>
      <w:r w:rsidRPr="001B1AAD">
        <w:rPr>
          <w:i/>
          <w:iCs/>
          <w:color w:val="auto"/>
        </w:rPr>
        <w:t>Trends in Incidence and Prevalence of Osteoarthritis in the United Kingdom: Findings from the Clinical Practice Research Datalink (CPRD) - ACR Meeting Abstracts</w:t>
      </w:r>
      <w:r w:rsidRPr="001B1AAD">
        <w:rPr>
          <w:color w:val="auto"/>
        </w:rPr>
        <w:t xml:space="preserve">, </w:t>
      </w:r>
      <w:r w:rsidRPr="001B1AAD">
        <w:rPr>
          <w:i/>
          <w:iCs/>
          <w:color w:val="auto"/>
        </w:rPr>
        <w:t>ACR Meeting Abstracts</w:t>
      </w:r>
      <w:r w:rsidRPr="001B1AAD">
        <w:rPr>
          <w:color w:val="auto"/>
        </w:rPr>
        <w:t xml:space="preserve">. Available at: </w:t>
      </w:r>
      <w:hyperlink r:id="rId25" w:history="1">
        <w:r w:rsidR="00272094" w:rsidRPr="001B1AAD">
          <w:rPr>
            <w:rStyle w:val="Hyperlink"/>
            <w:color w:val="auto"/>
          </w:rPr>
          <w:t>https://acrabstracts.org/abstract/trends-in-incidence-and-prevalence-of-osteoarthritis-in-the-united-kingdom-findings-from-the-clinical-practice-research-datalink-cprd/</w:t>
        </w:r>
      </w:hyperlink>
      <w:r w:rsidR="009D2291">
        <w:t xml:space="preserve">  </w:t>
      </w:r>
      <w:r w:rsidRPr="001B1AAD">
        <w:rPr>
          <w:color w:val="auto"/>
        </w:rPr>
        <w:t>(Accessed: 26 June 2026)</w:t>
      </w:r>
      <w:r w:rsidR="00F1617A" w:rsidRPr="001B1AAD">
        <w:rPr>
          <w:color w:val="auto"/>
        </w:rPr>
        <w:t>.</w:t>
      </w:r>
    </w:p>
    <w:p w14:paraId="3A26211F" w14:textId="77777777" w:rsidR="00473AE4" w:rsidRPr="001B1AAD" w:rsidRDefault="00473AE4" w:rsidP="00A51170">
      <w:pPr>
        <w:pStyle w:val="ListParagraph"/>
        <w:numPr>
          <w:ilvl w:val="0"/>
          <w:numId w:val="1"/>
        </w:numPr>
        <w:rPr>
          <w:color w:val="auto"/>
        </w:rPr>
      </w:pPr>
      <w:r w:rsidRPr="001B1AAD">
        <w:rPr>
          <w:color w:val="auto"/>
        </w:rPr>
        <w:t xml:space="preserve">Arthritis UK (2026) </w:t>
      </w:r>
      <w:r w:rsidRPr="001B1AAD">
        <w:rPr>
          <w:i/>
          <w:iCs/>
          <w:color w:val="auto"/>
        </w:rPr>
        <w:t>Pioneering study sets out to answer why osteoarthritis impacts patients differently</w:t>
      </w:r>
      <w:r w:rsidRPr="001B1AAD">
        <w:rPr>
          <w:color w:val="auto"/>
        </w:rPr>
        <w:t xml:space="preserve">, </w:t>
      </w:r>
      <w:r w:rsidRPr="001B1AAD">
        <w:rPr>
          <w:i/>
          <w:iCs/>
          <w:color w:val="auto"/>
        </w:rPr>
        <w:t>Arthritis UK</w:t>
      </w:r>
      <w:r w:rsidRPr="001B1AAD">
        <w:rPr>
          <w:color w:val="auto"/>
        </w:rPr>
        <w:t>. Available at:</w:t>
      </w:r>
      <w:hyperlink r:id="rId26" w:history="1">
        <w:r w:rsidR="00DE52D5" w:rsidRPr="001B1AAD">
          <w:rPr>
            <w:rStyle w:val="Hyperlink"/>
            <w:color w:val="auto"/>
          </w:rPr>
          <w:t>https://www.arthritis-uk.org/about-us/contact-us/press-centre/press-releases/pioneering-study-sets-out-to-answer-why-osteoarthritis-impacts-patients-differently/</w:t>
        </w:r>
      </w:hyperlink>
      <w:r w:rsidRPr="001B1AAD">
        <w:rPr>
          <w:color w:val="auto"/>
        </w:rPr>
        <w:t xml:space="preserve"> (Accessed: 26 June 2026).</w:t>
      </w:r>
    </w:p>
    <w:p w14:paraId="63D1841E" w14:textId="77777777" w:rsidR="00473AE4" w:rsidRPr="001B1AAD" w:rsidRDefault="00473AE4" w:rsidP="00A51170">
      <w:pPr>
        <w:pStyle w:val="ListParagraph"/>
        <w:numPr>
          <w:ilvl w:val="0"/>
          <w:numId w:val="1"/>
        </w:numPr>
        <w:rPr>
          <w:color w:val="auto"/>
        </w:rPr>
      </w:pPr>
      <w:r w:rsidRPr="001B1AAD">
        <w:rPr>
          <w:color w:val="auto"/>
        </w:rPr>
        <w:t xml:space="preserve">Ching, A. and Prior, Y. (2023) </w:t>
      </w:r>
      <w:r w:rsidR="00CD7273" w:rsidRPr="001B1AAD">
        <w:rPr>
          <w:color w:val="auto"/>
        </w:rPr>
        <w:t>‘</w:t>
      </w:r>
      <w:r w:rsidRPr="001B1AAD">
        <w:rPr>
          <w:color w:val="auto"/>
        </w:rPr>
        <w:t>Exploring the Perceptions of How Living with Osteoarthritis Affects Employed people</w:t>
      </w:r>
      <w:r w:rsidR="00CD7273" w:rsidRPr="001B1AAD">
        <w:rPr>
          <w:color w:val="auto"/>
        </w:rPr>
        <w:t>’</w:t>
      </w:r>
      <w:r w:rsidRPr="001B1AAD">
        <w:rPr>
          <w:color w:val="auto"/>
        </w:rPr>
        <w:t>s Work Productivity</w:t>
      </w:r>
      <w:r w:rsidR="00CD7273" w:rsidRPr="001B1AAD">
        <w:rPr>
          <w:color w:val="auto"/>
        </w:rPr>
        <w:t>’</w:t>
      </w:r>
      <w:r w:rsidRPr="001B1AAD">
        <w:rPr>
          <w:color w:val="auto"/>
        </w:rPr>
        <w:t xml:space="preserve">, </w:t>
      </w:r>
      <w:r w:rsidRPr="001B1AAD">
        <w:rPr>
          <w:i/>
          <w:iCs/>
          <w:color w:val="auto"/>
        </w:rPr>
        <w:t>Musculoskeletal Care</w:t>
      </w:r>
      <w:r w:rsidRPr="001B1AAD">
        <w:rPr>
          <w:color w:val="auto"/>
        </w:rPr>
        <w:t xml:space="preserve">, 21(3). Available at: </w:t>
      </w:r>
      <w:hyperlink r:id="rId27" w:history="1">
        <w:r w:rsidR="00C96E24" w:rsidRPr="001B1AAD">
          <w:rPr>
            <w:rStyle w:val="Hyperlink"/>
            <w:color w:val="auto"/>
          </w:rPr>
          <w:t>https://onlinelibrary.wiley.com/doi/10.1002/msc.1739</w:t>
        </w:r>
      </w:hyperlink>
    </w:p>
    <w:p w14:paraId="77C65547" w14:textId="77777777" w:rsidR="00473AE4" w:rsidRPr="001B1AAD" w:rsidRDefault="00473AE4" w:rsidP="00A51170">
      <w:pPr>
        <w:pStyle w:val="ListParagraph"/>
        <w:numPr>
          <w:ilvl w:val="0"/>
          <w:numId w:val="1"/>
        </w:numPr>
        <w:rPr>
          <w:color w:val="auto"/>
        </w:rPr>
      </w:pPr>
      <w:r w:rsidRPr="001B1AAD">
        <w:rPr>
          <w:color w:val="auto"/>
        </w:rPr>
        <w:t>De Roover</w:t>
      </w:r>
      <w:r w:rsidR="00CB1C95" w:rsidRPr="001B1AAD">
        <w:rPr>
          <w:color w:val="auto"/>
        </w:rPr>
        <w:t>,</w:t>
      </w:r>
      <w:r w:rsidRPr="001B1AAD">
        <w:rPr>
          <w:color w:val="auto"/>
        </w:rPr>
        <w:t xml:space="preserve"> A</w:t>
      </w:r>
      <w:r w:rsidR="00CB1C95" w:rsidRPr="001B1AAD">
        <w:rPr>
          <w:color w:val="auto"/>
        </w:rPr>
        <w:t>.</w:t>
      </w:r>
      <w:r w:rsidRPr="001B1AAD">
        <w:rPr>
          <w:color w:val="auto"/>
        </w:rPr>
        <w:t xml:space="preserve">, Escribano-Núñez, A., Monteagudo, S. and Rik Lories (2023) </w:t>
      </w:r>
      <w:r w:rsidR="00CD7273" w:rsidRPr="001B1AAD">
        <w:rPr>
          <w:color w:val="auto"/>
        </w:rPr>
        <w:t>‘</w:t>
      </w:r>
      <w:r w:rsidRPr="001B1AAD">
        <w:rPr>
          <w:color w:val="auto"/>
        </w:rPr>
        <w:t>Fundamentals of osteoarthritis: Inflammatory mediators in osteoarthritis</w:t>
      </w:r>
      <w:r w:rsidR="00CD7273" w:rsidRPr="001B1AAD">
        <w:rPr>
          <w:color w:val="auto"/>
        </w:rPr>
        <w:t>’</w:t>
      </w:r>
      <w:r w:rsidRPr="001B1AAD">
        <w:rPr>
          <w:color w:val="auto"/>
        </w:rPr>
        <w:t xml:space="preserve">, </w:t>
      </w:r>
      <w:r w:rsidRPr="001B1AAD">
        <w:rPr>
          <w:i/>
          <w:iCs/>
          <w:color w:val="auto"/>
        </w:rPr>
        <w:t>Osteoarthritis and Cartilage</w:t>
      </w:r>
      <w:r w:rsidRPr="001B1AAD">
        <w:rPr>
          <w:color w:val="auto"/>
        </w:rPr>
        <w:t xml:space="preserve">, 31(10), pp. 1303–1311. Available at: </w:t>
      </w:r>
      <w:hyperlink r:id="rId28" w:history="1">
        <w:r w:rsidR="00CD22E3" w:rsidRPr="001B1AAD">
          <w:rPr>
            <w:rStyle w:val="Hyperlink"/>
            <w:color w:val="auto"/>
          </w:rPr>
          <w:t>https://www.oarsijournal.com/article/S1063-4584(23)00829-4/fulltext</w:t>
        </w:r>
      </w:hyperlink>
    </w:p>
    <w:p w14:paraId="0EC27198" w14:textId="3216755C" w:rsidR="00473AE4" w:rsidRDefault="00473AE4" w:rsidP="00A51170">
      <w:pPr>
        <w:pStyle w:val="ListParagraph"/>
        <w:numPr>
          <w:ilvl w:val="0"/>
          <w:numId w:val="1"/>
        </w:numPr>
        <w:rPr>
          <w:color w:val="auto"/>
        </w:rPr>
      </w:pPr>
      <w:r w:rsidRPr="001B1AAD">
        <w:rPr>
          <w:color w:val="auto"/>
        </w:rPr>
        <w:t xml:space="preserve">Department of Health and Social Care, UK (2019) </w:t>
      </w:r>
      <w:r w:rsidRPr="001B1AAD">
        <w:rPr>
          <w:i/>
          <w:iCs/>
          <w:color w:val="auto"/>
        </w:rPr>
        <w:t>Joint Strategic Needs Assessment and joint health and wellbeing strategies explained.</w:t>
      </w:r>
      <w:r w:rsidRPr="001B1AAD">
        <w:rPr>
          <w:color w:val="auto"/>
        </w:rPr>
        <w:t xml:space="preserve">, </w:t>
      </w:r>
      <w:r w:rsidRPr="001B1AAD">
        <w:rPr>
          <w:i/>
          <w:iCs/>
          <w:color w:val="auto"/>
        </w:rPr>
        <w:t>GOV.UK</w:t>
      </w:r>
      <w:r w:rsidRPr="001B1AAD">
        <w:rPr>
          <w:color w:val="auto"/>
        </w:rPr>
        <w:t xml:space="preserve">. Available at: </w:t>
      </w:r>
      <w:hyperlink r:id="rId29" w:history="1">
        <w:r w:rsidR="0018775B" w:rsidRPr="001B1AAD">
          <w:rPr>
            <w:rStyle w:val="Hyperlink"/>
            <w:color w:val="auto"/>
          </w:rPr>
          <w:t>https://www.gov.uk/government/publications/joint-strategic-needs-assessment-and-joint-health-and-wellbeing-strategies-explained</w:t>
        </w:r>
      </w:hyperlink>
      <w:r w:rsidR="007E3094">
        <w:t xml:space="preserve"> </w:t>
      </w:r>
      <w:r w:rsidRPr="001B1AAD">
        <w:rPr>
          <w:color w:val="auto"/>
        </w:rPr>
        <w:t>(Accessed: 26 June 2026).</w:t>
      </w:r>
    </w:p>
    <w:p w14:paraId="07F2996C" w14:textId="5A816BEE" w:rsidR="00F6677D" w:rsidRDefault="00F6677D" w:rsidP="00A51170">
      <w:pPr>
        <w:pStyle w:val="ListParagraph"/>
        <w:numPr>
          <w:ilvl w:val="0"/>
          <w:numId w:val="1"/>
        </w:numPr>
        <w:rPr>
          <w:color w:val="auto"/>
        </w:rPr>
      </w:pPr>
      <w:r w:rsidRPr="00F6677D">
        <w:rPr>
          <w:color w:val="auto"/>
        </w:rPr>
        <w:t>Dixon, A. and Roberts, S. (2013) Delivering Better Services for People with Long-term Conditions: Building the House of Care. London: The King's Fund. Available at:</w:t>
      </w:r>
      <w:r w:rsidR="00AF46CB">
        <w:rPr>
          <w:color w:val="auto"/>
        </w:rPr>
        <w:t xml:space="preserve"> </w:t>
      </w:r>
      <w:hyperlink r:id="rId30" w:history="1">
        <w:r w:rsidR="00A373B4" w:rsidRPr="00E54EC8">
          <w:rPr>
            <w:rStyle w:val="Hyperlink"/>
          </w:rPr>
          <w:t>https://www.kingsfund.org.uk/insight-and-analysis/reports/better-services-people-long-term-conditions</w:t>
        </w:r>
      </w:hyperlink>
      <w:r w:rsidR="00A373B4">
        <w:rPr>
          <w:color w:val="auto"/>
        </w:rPr>
        <w:t xml:space="preserve"> (Accessed: 25</w:t>
      </w:r>
      <w:r w:rsidR="007E3094">
        <w:rPr>
          <w:color w:val="auto"/>
        </w:rPr>
        <w:t xml:space="preserve"> June 20226).</w:t>
      </w:r>
    </w:p>
    <w:p w14:paraId="4FB73B7A" w14:textId="77777777" w:rsidR="00AF46CB" w:rsidRPr="001B1AAD" w:rsidRDefault="00AF46CB" w:rsidP="00AF46CB">
      <w:pPr>
        <w:pStyle w:val="ListParagraph"/>
        <w:ind w:left="360"/>
        <w:rPr>
          <w:color w:val="auto"/>
        </w:rPr>
      </w:pPr>
    </w:p>
    <w:p w14:paraId="548C7DCE" w14:textId="77777777" w:rsidR="00473AE4" w:rsidRPr="001B1AAD" w:rsidRDefault="00473AE4" w:rsidP="00A51170">
      <w:pPr>
        <w:pStyle w:val="ListParagraph"/>
        <w:numPr>
          <w:ilvl w:val="0"/>
          <w:numId w:val="1"/>
        </w:numPr>
        <w:rPr>
          <w:color w:val="auto"/>
        </w:rPr>
      </w:pPr>
      <w:r w:rsidRPr="001B1AAD">
        <w:rPr>
          <w:color w:val="auto"/>
        </w:rPr>
        <w:t xml:space="preserve">Govt.UK (2026) </w:t>
      </w:r>
      <w:r w:rsidRPr="001B1AAD">
        <w:rPr>
          <w:i/>
          <w:iCs/>
          <w:color w:val="auto"/>
        </w:rPr>
        <w:t xml:space="preserve">MSK patients to get faster care and help returning </w:t>
      </w:r>
      <w:r w:rsidRPr="001B1AAD">
        <w:rPr>
          <w:i/>
          <w:iCs/>
          <w:color w:val="auto"/>
        </w:rPr>
        <w:lastRenderedPageBreak/>
        <w:t>to work</w:t>
      </w:r>
      <w:r w:rsidRPr="001B1AAD">
        <w:rPr>
          <w:color w:val="auto"/>
        </w:rPr>
        <w:t xml:space="preserve">, </w:t>
      </w:r>
      <w:r w:rsidRPr="001B1AAD">
        <w:rPr>
          <w:i/>
          <w:iCs/>
          <w:color w:val="auto"/>
        </w:rPr>
        <w:t>GOV.UK</w:t>
      </w:r>
      <w:r w:rsidRPr="001B1AAD">
        <w:rPr>
          <w:color w:val="auto"/>
        </w:rPr>
        <w:t xml:space="preserve">. Available at: </w:t>
      </w:r>
      <w:hyperlink r:id="rId31" w:history="1">
        <w:r w:rsidR="00514DEF" w:rsidRPr="001B1AAD">
          <w:rPr>
            <w:rStyle w:val="Hyperlink"/>
            <w:color w:val="auto"/>
          </w:rPr>
          <w:t>https://www.gov.uk/government/news/msk-patients-to-get-faster-care-and-help-returning-to-work</w:t>
        </w:r>
      </w:hyperlink>
      <w:r w:rsidRPr="001B1AAD">
        <w:rPr>
          <w:color w:val="auto"/>
        </w:rPr>
        <w:t>(Accessed: 26 June 2026).</w:t>
      </w:r>
    </w:p>
    <w:p w14:paraId="2CC31A69" w14:textId="77777777" w:rsidR="00473AE4" w:rsidRPr="001B1AAD" w:rsidRDefault="00473AE4" w:rsidP="00A51170">
      <w:pPr>
        <w:pStyle w:val="ListParagraph"/>
        <w:numPr>
          <w:ilvl w:val="0"/>
          <w:numId w:val="1"/>
        </w:numPr>
        <w:rPr>
          <w:color w:val="auto"/>
        </w:rPr>
      </w:pPr>
      <w:r w:rsidRPr="001B1AAD">
        <w:rPr>
          <w:color w:val="auto"/>
        </w:rPr>
        <w:t xml:space="preserve">Gunda, S., Ndadzungira, A., Sibanda, S. and Chougule, M. (2026) </w:t>
      </w:r>
      <w:r w:rsidR="00CD7273" w:rsidRPr="001B1AAD">
        <w:rPr>
          <w:color w:val="auto"/>
        </w:rPr>
        <w:t>‘</w:t>
      </w:r>
      <w:r w:rsidRPr="001B1AAD">
        <w:rPr>
          <w:color w:val="auto"/>
        </w:rPr>
        <w:t>Caring in Adversity: Experiences of Caregivers Providing Day-to-Day Personal Care and Support for Activities of Daily Living to Children with Physical Disabilities in the Hardap Region of Namibia</w:t>
      </w:r>
      <w:r w:rsidR="00CD7273" w:rsidRPr="001B1AAD">
        <w:rPr>
          <w:color w:val="auto"/>
        </w:rPr>
        <w:t>’</w:t>
      </w:r>
      <w:r w:rsidRPr="001B1AAD">
        <w:rPr>
          <w:color w:val="auto"/>
        </w:rPr>
        <w:t xml:space="preserve">, </w:t>
      </w:r>
      <w:r w:rsidRPr="001B1AAD">
        <w:rPr>
          <w:i/>
          <w:iCs/>
          <w:color w:val="auto"/>
        </w:rPr>
        <w:t>Disabilities</w:t>
      </w:r>
      <w:r w:rsidRPr="001B1AAD">
        <w:rPr>
          <w:color w:val="auto"/>
        </w:rPr>
        <w:t xml:space="preserve">, 6(2), p. 33. Available at: </w:t>
      </w:r>
      <w:hyperlink r:id="rId32" w:history="1">
        <w:r w:rsidR="00AE3A13" w:rsidRPr="001B1AAD">
          <w:rPr>
            <w:rStyle w:val="Hyperlink"/>
            <w:color w:val="auto"/>
          </w:rPr>
          <w:t>https://doi.org/10.3390/disabilities6020033</w:t>
        </w:r>
      </w:hyperlink>
    </w:p>
    <w:p w14:paraId="53D8E810" w14:textId="77777777" w:rsidR="0070439A" w:rsidRPr="001B1AAD" w:rsidRDefault="00473AE4" w:rsidP="00F908E1">
      <w:pPr>
        <w:pStyle w:val="ListParagraph"/>
        <w:numPr>
          <w:ilvl w:val="0"/>
          <w:numId w:val="1"/>
        </w:numPr>
        <w:rPr>
          <w:color w:val="auto"/>
        </w:rPr>
      </w:pPr>
      <w:r w:rsidRPr="001B1AAD">
        <w:rPr>
          <w:color w:val="auto"/>
        </w:rPr>
        <w:t xml:space="preserve">Huffman, K.F., Ambrose, K.R., Nelson, A.E., Allen, K.D., Golightly, Y.M. and Callahan, L.F. (2023) </w:t>
      </w:r>
      <w:r w:rsidR="00CD7273" w:rsidRPr="001B1AAD">
        <w:rPr>
          <w:color w:val="auto"/>
        </w:rPr>
        <w:t>‘</w:t>
      </w:r>
      <w:r w:rsidRPr="001B1AAD">
        <w:rPr>
          <w:color w:val="auto"/>
        </w:rPr>
        <w:t>The critical role of physical activity and weight management in knee and hip osteoarthritis: A narrative review</w:t>
      </w:r>
      <w:r w:rsidR="00CD7273" w:rsidRPr="001B1AAD">
        <w:rPr>
          <w:color w:val="auto"/>
        </w:rPr>
        <w:t>’</w:t>
      </w:r>
      <w:r w:rsidRPr="001B1AAD">
        <w:rPr>
          <w:color w:val="auto"/>
        </w:rPr>
        <w:t xml:space="preserve">, </w:t>
      </w:r>
      <w:r w:rsidRPr="001B1AAD">
        <w:rPr>
          <w:i/>
          <w:iCs/>
          <w:color w:val="auto"/>
        </w:rPr>
        <w:t>The Journal of Rheumatology</w:t>
      </w:r>
      <w:r w:rsidRPr="001B1AAD">
        <w:rPr>
          <w:color w:val="auto"/>
        </w:rPr>
        <w:t xml:space="preserve">, 51(3), pp. jrheum.2023-0819. Available at: </w:t>
      </w:r>
      <w:hyperlink r:id="rId33" w:history="1">
        <w:r w:rsidR="00FF44FA" w:rsidRPr="001B1AAD">
          <w:rPr>
            <w:rStyle w:val="Hyperlink"/>
            <w:color w:val="auto"/>
          </w:rPr>
          <w:t>https://doi.org/10.3899/jrheum.2023-0819</w:t>
        </w:r>
      </w:hyperlink>
    </w:p>
    <w:p w14:paraId="434B9750" w14:textId="77777777" w:rsidR="00473AE4" w:rsidRPr="001B1AAD" w:rsidRDefault="00473AE4" w:rsidP="00F908E1">
      <w:pPr>
        <w:pStyle w:val="ListParagraph"/>
        <w:numPr>
          <w:ilvl w:val="0"/>
          <w:numId w:val="1"/>
        </w:numPr>
        <w:rPr>
          <w:color w:val="auto"/>
        </w:rPr>
      </w:pPr>
      <w:r w:rsidRPr="001B1AAD">
        <w:rPr>
          <w:color w:val="auto"/>
        </w:rPr>
        <w:t xml:space="preserve">Huizinga, J.L., Stanley, E.E., Sullivan, J.K., Song, S., Hunter, D.J., A. David Paltiel, Tuhina Neogi, Edwards, R.R., Katz, J.N. and Losina, E. (2021) </w:t>
      </w:r>
      <w:r w:rsidR="00CD7273" w:rsidRPr="001B1AAD">
        <w:rPr>
          <w:color w:val="auto"/>
        </w:rPr>
        <w:t>‘</w:t>
      </w:r>
      <w:r w:rsidRPr="001B1AAD">
        <w:rPr>
          <w:color w:val="auto"/>
        </w:rPr>
        <w:t xml:space="preserve">Societal Cost of Opioid Use in Symptomatic </w:t>
      </w:r>
      <w:r w:rsidRPr="001B1AAD">
        <w:rPr>
          <w:color w:val="auto"/>
        </w:rPr>
        <w:t>Knee Osteoarthritis Patients in the United States</w:t>
      </w:r>
      <w:r w:rsidR="00CD7273" w:rsidRPr="001B1AAD">
        <w:rPr>
          <w:color w:val="auto"/>
        </w:rPr>
        <w:t>’</w:t>
      </w:r>
      <w:r w:rsidRPr="001B1AAD">
        <w:rPr>
          <w:color w:val="auto"/>
        </w:rPr>
        <w:t xml:space="preserve">, </w:t>
      </w:r>
      <w:r w:rsidRPr="001B1AAD">
        <w:rPr>
          <w:i/>
          <w:iCs/>
          <w:color w:val="auto"/>
        </w:rPr>
        <w:t>Arthritis Care &amp; Research</w:t>
      </w:r>
      <w:r w:rsidRPr="001B1AAD">
        <w:rPr>
          <w:color w:val="auto"/>
        </w:rPr>
        <w:t xml:space="preserve">, 74(8), pp. 1349–1358. Available at: </w:t>
      </w:r>
      <w:hyperlink r:id="rId34" w:history="1">
        <w:r w:rsidR="00AB061C" w:rsidRPr="001B1AAD">
          <w:rPr>
            <w:rStyle w:val="Hyperlink"/>
            <w:color w:val="auto"/>
          </w:rPr>
          <w:t>https://doi.org/10.1002/acr.24581</w:t>
        </w:r>
      </w:hyperlink>
    </w:p>
    <w:p w14:paraId="222B13F9" w14:textId="77777777" w:rsidR="00700605" w:rsidRPr="001B1AAD" w:rsidRDefault="00473AE4" w:rsidP="00303133">
      <w:pPr>
        <w:pStyle w:val="ListParagraph"/>
        <w:numPr>
          <w:ilvl w:val="0"/>
          <w:numId w:val="1"/>
        </w:numPr>
        <w:rPr>
          <w:color w:val="auto"/>
        </w:rPr>
      </w:pPr>
      <w:r w:rsidRPr="001B1AAD">
        <w:rPr>
          <w:color w:val="auto"/>
        </w:rPr>
        <w:t xml:space="preserve">Legislation.GOV.UK (2019) </w:t>
      </w:r>
      <w:r w:rsidRPr="001B1AAD">
        <w:rPr>
          <w:i/>
          <w:iCs/>
          <w:color w:val="auto"/>
        </w:rPr>
        <w:t>Care Act 2014</w:t>
      </w:r>
      <w:r w:rsidRPr="001B1AAD">
        <w:rPr>
          <w:color w:val="auto"/>
        </w:rPr>
        <w:t xml:space="preserve">, </w:t>
      </w:r>
      <w:r w:rsidRPr="001B1AAD">
        <w:rPr>
          <w:i/>
          <w:iCs/>
          <w:color w:val="auto"/>
        </w:rPr>
        <w:t>Legislation.gov.uk</w:t>
      </w:r>
      <w:r w:rsidRPr="001B1AAD">
        <w:rPr>
          <w:color w:val="auto"/>
        </w:rPr>
        <w:t xml:space="preserve">. Available at: </w:t>
      </w:r>
      <w:hyperlink r:id="rId35" w:history="1">
        <w:r w:rsidR="00F76BD5" w:rsidRPr="001B1AAD">
          <w:rPr>
            <w:rStyle w:val="Hyperlink"/>
            <w:color w:val="auto"/>
          </w:rPr>
          <w:t>https://www.legislation.gov.uk/ukpga/2014/23/contents</w:t>
        </w:r>
      </w:hyperlink>
      <w:r w:rsidR="00700605" w:rsidRPr="001B1AAD">
        <w:rPr>
          <w:color w:val="auto"/>
        </w:rPr>
        <w:t xml:space="preserve"> </w:t>
      </w:r>
      <w:r w:rsidRPr="001B1AAD">
        <w:rPr>
          <w:color w:val="auto"/>
        </w:rPr>
        <w:t>(Accessed: 26 June 2026).</w:t>
      </w:r>
    </w:p>
    <w:p w14:paraId="6F5DCD24" w14:textId="1252F37A" w:rsidR="00063530" w:rsidRPr="001B1AAD" w:rsidRDefault="00473AE4" w:rsidP="007A0555">
      <w:pPr>
        <w:pStyle w:val="ListParagraph"/>
        <w:numPr>
          <w:ilvl w:val="0"/>
          <w:numId w:val="1"/>
        </w:numPr>
        <w:rPr>
          <w:color w:val="auto"/>
        </w:rPr>
      </w:pPr>
      <w:r w:rsidRPr="001B1AAD">
        <w:rPr>
          <w:color w:val="auto"/>
        </w:rPr>
        <w:t xml:space="preserve">Lenguerrand, E., Ben-Shlomo, Y., Rangan, A., Beswick, A.D., Whitehouse, M.R., Deere, K., Sayers, A., Blom, A.W. and Judge, A. (2023) </w:t>
      </w:r>
      <w:r w:rsidR="00CD7273" w:rsidRPr="001B1AAD">
        <w:rPr>
          <w:color w:val="auto"/>
        </w:rPr>
        <w:t>‘</w:t>
      </w:r>
      <w:r w:rsidRPr="001B1AAD">
        <w:rPr>
          <w:color w:val="auto"/>
        </w:rPr>
        <w:t>Inequalities in provision of hip and knee replacement surgery for osteoarthritis by age, sex, and social deprivation in England between 2007–2017: A population-based cohort study of the National Joint Registry</w:t>
      </w:r>
      <w:r w:rsidR="00CD7273" w:rsidRPr="001B1AAD">
        <w:rPr>
          <w:color w:val="auto"/>
        </w:rPr>
        <w:t>’</w:t>
      </w:r>
      <w:r w:rsidRPr="001B1AAD">
        <w:rPr>
          <w:color w:val="auto"/>
        </w:rPr>
        <w:t xml:space="preserve">, </w:t>
      </w:r>
      <w:r w:rsidRPr="001B1AAD">
        <w:rPr>
          <w:i/>
          <w:iCs/>
          <w:color w:val="auto"/>
        </w:rPr>
        <w:t>PLOS Medicine</w:t>
      </w:r>
      <w:r w:rsidRPr="001B1AAD">
        <w:rPr>
          <w:color w:val="auto"/>
        </w:rPr>
        <w:t xml:space="preserve">, 20(4), pp. e1004210–e1004210. Available at: </w:t>
      </w:r>
      <w:r w:rsidR="00B64D2D" w:rsidRPr="001B1AAD">
        <w:rPr>
          <w:color w:val="auto"/>
        </w:rPr>
        <w:fldChar w:fldCharType="begin"/>
      </w:r>
      <w:r w:rsidR="00063530" w:rsidRPr="001B1AAD">
        <w:rPr>
          <w:color w:val="auto"/>
        </w:rPr>
        <w:instrText>HYPERLINK "https://doi.org/10.1371/journal.pmed.1004210</w:instrText>
      </w:r>
    </w:p>
    <w:p w14:paraId="7C93D43D" w14:textId="77777777" w:rsidR="00063530" w:rsidRPr="001B1AAD" w:rsidRDefault="00063530" w:rsidP="007A0555">
      <w:pPr>
        <w:pStyle w:val="ListParagraph"/>
        <w:numPr>
          <w:ilvl w:val="0"/>
          <w:numId w:val="1"/>
        </w:numPr>
        <w:rPr>
          <w:rStyle w:val="Hyperlink"/>
          <w:color w:val="auto"/>
        </w:rPr>
      </w:pPr>
      <w:r w:rsidRPr="001B1AAD">
        <w:rPr>
          <w:color w:val="auto"/>
        </w:rPr>
        <w:instrText>"</w:instrText>
      </w:r>
      <w:r w:rsidR="00B64D2D" w:rsidRPr="001B1AAD">
        <w:rPr>
          <w:color w:val="auto"/>
        </w:rPr>
      </w:r>
      <w:r w:rsidR="00B64D2D" w:rsidRPr="001B1AAD">
        <w:rPr>
          <w:color w:val="auto"/>
        </w:rPr>
        <w:fldChar w:fldCharType="separate"/>
      </w:r>
      <w:r w:rsidRPr="001B1AAD">
        <w:rPr>
          <w:rStyle w:val="Hyperlink"/>
          <w:color w:val="auto"/>
        </w:rPr>
        <w:t xml:space="preserve">https://doi.org/10.1371/journal.pmed.1004210 </w:t>
      </w:r>
    </w:p>
    <w:p w14:paraId="4E42133B" w14:textId="77777777" w:rsidR="00473AE4" w:rsidRPr="001B1AAD" w:rsidRDefault="00B64D2D" w:rsidP="007A0555">
      <w:pPr>
        <w:pStyle w:val="ListParagraph"/>
        <w:numPr>
          <w:ilvl w:val="0"/>
          <w:numId w:val="1"/>
        </w:numPr>
        <w:rPr>
          <w:color w:val="auto"/>
        </w:rPr>
      </w:pPr>
      <w:r w:rsidRPr="001B1AAD">
        <w:rPr>
          <w:color w:val="auto"/>
        </w:rPr>
        <w:fldChar w:fldCharType="end"/>
      </w:r>
      <w:r w:rsidR="00473AE4" w:rsidRPr="001B1AAD">
        <w:rPr>
          <w:color w:val="auto"/>
        </w:rPr>
        <w:t xml:space="preserve">Miettinen, H.J.A., Mäkirinne-Kallio, N., Kröger, H. and Miettinen, S.S.A. (2020) </w:t>
      </w:r>
      <w:r w:rsidR="00CD7273" w:rsidRPr="001B1AAD">
        <w:rPr>
          <w:color w:val="auto"/>
        </w:rPr>
        <w:t>‘</w:t>
      </w:r>
      <w:r w:rsidR="00473AE4" w:rsidRPr="001B1AAD">
        <w:rPr>
          <w:color w:val="auto"/>
        </w:rPr>
        <w:t>Health-Related Quality of Life After Hip and Knee Arthroplasty Operations</w:t>
      </w:r>
      <w:r w:rsidR="00CD7273" w:rsidRPr="001B1AAD">
        <w:rPr>
          <w:color w:val="auto"/>
        </w:rPr>
        <w:t>’</w:t>
      </w:r>
      <w:r w:rsidR="00473AE4" w:rsidRPr="001B1AAD">
        <w:rPr>
          <w:color w:val="auto"/>
        </w:rPr>
        <w:t xml:space="preserve">, </w:t>
      </w:r>
      <w:r w:rsidR="00473AE4" w:rsidRPr="001B1AAD">
        <w:rPr>
          <w:i/>
          <w:iCs/>
          <w:color w:val="auto"/>
        </w:rPr>
        <w:t>Scandinavian Journal of Surgery</w:t>
      </w:r>
      <w:r w:rsidR="00473AE4" w:rsidRPr="001B1AAD">
        <w:rPr>
          <w:color w:val="auto"/>
        </w:rPr>
        <w:t xml:space="preserve">, p. 145749692095223. Available at: </w:t>
      </w:r>
      <w:hyperlink r:id="rId36" w:history="1">
        <w:r w:rsidR="00792082" w:rsidRPr="001B1AAD">
          <w:rPr>
            <w:rStyle w:val="Hyperlink"/>
            <w:color w:val="auto"/>
          </w:rPr>
          <w:t>https://doi.org/10.1177/1457496920952232</w:t>
        </w:r>
      </w:hyperlink>
    </w:p>
    <w:p w14:paraId="57E8AE00" w14:textId="77777777" w:rsidR="00473AE4" w:rsidRPr="001B1AAD" w:rsidRDefault="00473AE4" w:rsidP="007A0555">
      <w:pPr>
        <w:pStyle w:val="ListParagraph"/>
        <w:numPr>
          <w:ilvl w:val="0"/>
          <w:numId w:val="1"/>
        </w:numPr>
        <w:rPr>
          <w:color w:val="auto"/>
        </w:rPr>
      </w:pPr>
      <w:r w:rsidRPr="001B1AAD">
        <w:rPr>
          <w:color w:val="auto"/>
        </w:rPr>
        <w:t xml:space="preserve">NHS (2023) </w:t>
      </w:r>
      <w:r w:rsidRPr="001B1AAD">
        <w:rPr>
          <w:i/>
          <w:iCs/>
          <w:color w:val="auto"/>
        </w:rPr>
        <w:t>Osteoarthritis</w:t>
      </w:r>
      <w:r w:rsidRPr="001B1AAD">
        <w:rPr>
          <w:color w:val="auto"/>
        </w:rPr>
        <w:t xml:space="preserve">, </w:t>
      </w:r>
      <w:r w:rsidRPr="001B1AAD">
        <w:rPr>
          <w:i/>
          <w:iCs/>
          <w:color w:val="auto"/>
        </w:rPr>
        <w:t>NHS</w:t>
      </w:r>
      <w:r w:rsidRPr="001B1AAD">
        <w:rPr>
          <w:color w:val="auto"/>
        </w:rPr>
        <w:t xml:space="preserve">. Available at: </w:t>
      </w:r>
      <w:hyperlink r:id="rId37" w:history="1">
        <w:r w:rsidR="001F464D" w:rsidRPr="001B1AAD">
          <w:rPr>
            <w:rStyle w:val="Hyperlink"/>
            <w:color w:val="auto"/>
          </w:rPr>
          <w:t>https://www.nhs.uk/conditions/osteoarthritis/</w:t>
        </w:r>
      </w:hyperlink>
      <w:r w:rsidRPr="001B1AAD">
        <w:rPr>
          <w:color w:val="auto"/>
        </w:rPr>
        <w:t>(Accessed: 26 June 2026).</w:t>
      </w:r>
    </w:p>
    <w:p w14:paraId="1468219A" w14:textId="77777777" w:rsidR="00473AE4" w:rsidRPr="001B1AAD" w:rsidRDefault="00473AE4" w:rsidP="007A0555">
      <w:pPr>
        <w:pStyle w:val="ListParagraph"/>
        <w:numPr>
          <w:ilvl w:val="0"/>
          <w:numId w:val="1"/>
        </w:numPr>
        <w:rPr>
          <w:color w:val="auto"/>
        </w:rPr>
      </w:pPr>
      <w:r w:rsidRPr="001B1AAD">
        <w:rPr>
          <w:color w:val="auto"/>
        </w:rPr>
        <w:t xml:space="preserve">NHS England Plan (2019) </w:t>
      </w:r>
      <w:r w:rsidRPr="001B1AAD">
        <w:rPr>
          <w:i/>
          <w:iCs/>
          <w:color w:val="auto"/>
        </w:rPr>
        <w:t>NHS England» NHS Long Term Plan to tackle major killer conditions and save up to half a million lives</w:t>
      </w:r>
      <w:r w:rsidRPr="001B1AAD">
        <w:rPr>
          <w:color w:val="auto"/>
        </w:rPr>
        <w:t xml:space="preserve">, </w:t>
      </w:r>
      <w:r w:rsidRPr="001B1AAD">
        <w:rPr>
          <w:i/>
          <w:iCs/>
          <w:color w:val="auto"/>
        </w:rPr>
        <w:t>England.nhs.uk</w:t>
      </w:r>
      <w:r w:rsidRPr="001B1AAD">
        <w:rPr>
          <w:color w:val="auto"/>
        </w:rPr>
        <w:t xml:space="preserve">. Available at: </w:t>
      </w:r>
      <w:hyperlink r:id="rId38" w:history="1">
        <w:r w:rsidR="00C57F8F" w:rsidRPr="001B1AAD">
          <w:rPr>
            <w:rStyle w:val="Hyperlink"/>
            <w:color w:val="auto"/>
          </w:rPr>
          <w:t>https://www.england.nhs.uk/2019/01/long-term-plan/</w:t>
        </w:r>
      </w:hyperlink>
      <w:r w:rsidRPr="001B1AAD">
        <w:rPr>
          <w:color w:val="auto"/>
        </w:rPr>
        <w:t>(Accessed: 26 June 2026).</w:t>
      </w:r>
    </w:p>
    <w:p w14:paraId="79DDBE20" w14:textId="77777777" w:rsidR="00473AE4" w:rsidRPr="001B1AAD" w:rsidRDefault="00473AE4" w:rsidP="007A0555">
      <w:pPr>
        <w:pStyle w:val="ListParagraph"/>
        <w:numPr>
          <w:ilvl w:val="0"/>
          <w:numId w:val="1"/>
        </w:numPr>
        <w:rPr>
          <w:color w:val="auto"/>
        </w:rPr>
      </w:pPr>
      <w:r w:rsidRPr="001B1AAD">
        <w:rPr>
          <w:color w:val="auto"/>
        </w:rPr>
        <w:t xml:space="preserve">NHS England-Integrated Care (2022) </w:t>
      </w:r>
      <w:r w:rsidRPr="001B1AAD">
        <w:rPr>
          <w:i/>
          <w:iCs/>
          <w:color w:val="auto"/>
        </w:rPr>
        <w:t xml:space="preserve">What </w:t>
      </w:r>
      <w:r w:rsidR="00480ED2" w:rsidRPr="001B1AAD">
        <w:rPr>
          <w:i/>
          <w:iCs/>
          <w:color w:val="auto"/>
        </w:rPr>
        <w:t>is</w:t>
      </w:r>
      <w:r w:rsidRPr="001B1AAD">
        <w:rPr>
          <w:i/>
          <w:iCs/>
          <w:color w:val="auto"/>
        </w:rPr>
        <w:t xml:space="preserve"> Integrated Care?</w:t>
      </w:r>
      <w:r w:rsidRPr="001B1AAD">
        <w:rPr>
          <w:color w:val="auto"/>
        </w:rPr>
        <w:t>,</w:t>
      </w:r>
      <w:r w:rsidRPr="001B1AAD">
        <w:rPr>
          <w:i/>
          <w:iCs/>
          <w:color w:val="auto"/>
        </w:rPr>
        <w:t>NHS England</w:t>
      </w:r>
      <w:r w:rsidRPr="001B1AAD">
        <w:rPr>
          <w:color w:val="auto"/>
        </w:rPr>
        <w:t xml:space="preserve">. Available at: </w:t>
      </w:r>
      <w:hyperlink r:id="rId39" w:history="1">
        <w:r w:rsidR="00D644CD" w:rsidRPr="001B1AAD">
          <w:rPr>
            <w:rStyle w:val="Hyperlink"/>
            <w:color w:val="auto"/>
          </w:rPr>
          <w:t>https://www.england.nhs.uk/integratedcare/what-is-integrated-care/</w:t>
        </w:r>
      </w:hyperlink>
      <w:r w:rsidRPr="001B1AAD">
        <w:rPr>
          <w:color w:val="auto"/>
        </w:rPr>
        <w:t>(Accessed: 26 June 2026).</w:t>
      </w:r>
    </w:p>
    <w:p w14:paraId="4AD3BFC5" w14:textId="77777777" w:rsidR="00473AE4" w:rsidRPr="001B1AAD" w:rsidRDefault="00473AE4" w:rsidP="007A0555">
      <w:pPr>
        <w:pStyle w:val="ListParagraph"/>
        <w:numPr>
          <w:ilvl w:val="0"/>
          <w:numId w:val="1"/>
        </w:numPr>
        <w:rPr>
          <w:color w:val="auto"/>
        </w:rPr>
      </w:pPr>
      <w:r w:rsidRPr="001B1AAD">
        <w:rPr>
          <w:color w:val="auto"/>
        </w:rPr>
        <w:t xml:space="preserve">NICE (2022a) </w:t>
      </w:r>
      <w:r w:rsidRPr="001B1AAD">
        <w:rPr>
          <w:i/>
          <w:iCs/>
          <w:color w:val="auto"/>
        </w:rPr>
        <w:t>Overview | Osteoarthritis in over 16s: Diagnosis and Management | Guidance | NICE</w:t>
      </w:r>
      <w:r w:rsidRPr="001B1AAD">
        <w:rPr>
          <w:color w:val="auto"/>
        </w:rPr>
        <w:t xml:space="preserve">, </w:t>
      </w:r>
      <w:r w:rsidRPr="001B1AAD">
        <w:rPr>
          <w:i/>
          <w:iCs/>
          <w:color w:val="auto"/>
        </w:rPr>
        <w:t>www.nice.org.uk</w:t>
      </w:r>
      <w:r w:rsidRPr="001B1AAD">
        <w:rPr>
          <w:color w:val="auto"/>
        </w:rPr>
        <w:t>. Available at:</w:t>
      </w:r>
      <w:hyperlink r:id="rId40" w:history="1">
        <w:r w:rsidR="0042495D" w:rsidRPr="001B1AAD">
          <w:rPr>
            <w:rStyle w:val="Hyperlink"/>
            <w:color w:val="auto"/>
          </w:rPr>
          <w:t>https://www.nice.org.uk/guidance/ng226/chapter/Recommendations</w:t>
        </w:r>
      </w:hyperlink>
      <w:r w:rsidRPr="001B1AAD">
        <w:rPr>
          <w:color w:val="auto"/>
        </w:rPr>
        <w:t>(Accessed: 26 June 2026).</w:t>
      </w:r>
    </w:p>
    <w:p w14:paraId="3870C301" w14:textId="77777777" w:rsidR="00473AE4" w:rsidRPr="001B1AAD" w:rsidRDefault="00473AE4" w:rsidP="007A0555">
      <w:pPr>
        <w:pStyle w:val="ListParagraph"/>
        <w:numPr>
          <w:ilvl w:val="0"/>
          <w:numId w:val="1"/>
        </w:numPr>
        <w:rPr>
          <w:color w:val="auto"/>
        </w:rPr>
      </w:pPr>
      <w:r w:rsidRPr="001B1AAD">
        <w:rPr>
          <w:color w:val="auto"/>
        </w:rPr>
        <w:t xml:space="preserve">NICE (2022b) </w:t>
      </w:r>
      <w:r w:rsidRPr="001B1AAD">
        <w:rPr>
          <w:i/>
          <w:iCs/>
          <w:color w:val="auto"/>
        </w:rPr>
        <w:t>Recommendations | Osteoarthritis in over 16s: diagnosis and management | Guidance | NICE</w:t>
      </w:r>
      <w:r w:rsidRPr="001B1AAD">
        <w:rPr>
          <w:color w:val="auto"/>
        </w:rPr>
        <w:t xml:space="preserve">, </w:t>
      </w:r>
      <w:r w:rsidRPr="001B1AAD">
        <w:rPr>
          <w:i/>
          <w:iCs/>
          <w:color w:val="auto"/>
        </w:rPr>
        <w:t>www.nice.org.uk</w:t>
      </w:r>
      <w:r w:rsidRPr="001B1AAD">
        <w:rPr>
          <w:color w:val="auto"/>
        </w:rPr>
        <w:t xml:space="preserve">. Available at: </w:t>
      </w:r>
      <w:hyperlink r:id="rId41" w:history="1">
        <w:r w:rsidR="00C85A76" w:rsidRPr="001B1AAD">
          <w:rPr>
            <w:rStyle w:val="Hyperlink"/>
            <w:color w:val="auto"/>
          </w:rPr>
          <w:t>https://www.nice.org.uk/guidance/ng226/chapter/Recommendations</w:t>
        </w:r>
      </w:hyperlink>
      <w:r w:rsidRPr="001B1AAD">
        <w:rPr>
          <w:color w:val="auto"/>
        </w:rPr>
        <w:t>(Accessed: 26 June 2026).</w:t>
      </w:r>
    </w:p>
    <w:p w14:paraId="58F5E06B" w14:textId="77777777" w:rsidR="00EC60E7" w:rsidRPr="001B1AAD" w:rsidRDefault="00473AE4" w:rsidP="007A0555">
      <w:pPr>
        <w:pStyle w:val="ListParagraph"/>
        <w:numPr>
          <w:ilvl w:val="0"/>
          <w:numId w:val="1"/>
        </w:numPr>
        <w:rPr>
          <w:color w:val="auto"/>
        </w:rPr>
      </w:pPr>
      <w:r w:rsidRPr="001B1AAD">
        <w:rPr>
          <w:color w:val="auto"/>
        </w:rPr>
        <w:t xml:space="preserve">Rhim, H.C., Ruiz, J., Atta Taseh, Afunugo, W., Crockett, Z., Schon, J., Pan, X., Shin, J., Schowalter, S., Jang, K.-M. and Robinson, D.M. (2024) </w:t>
      </w:r>
      <w:r w:rsidR="00CD7273" w:rsidRPr="001B1AAD">
        <w:rPr>
          <w:color w:val="auto"/>
        </w:rPr>
        <w:t>‘</w:t>
      </w:r>
      <w:r w:rsidRPr="001B1AAD">
        <w:rPr>
          <w:color w:val="auto"/>
        </w:rPr>
        <w:t>Nonsteroidal Anti-Inflammatory Drug Injections versus Steroid Injections in the Management of Upper and Lower Extremity Orthopedic Conditions: A Systematic Review with Meta-Analysis</w:t>
      </w:r>
      <w:r w:rsidR="00CD7273" w:rsidRPr="001B1AAD">
        <w:rPr>
          <w:color w:val="auto"/>
        </w:rPr>
        <w:t>’</w:t>
      </w:r>
      <w:r w:rsidRPr="001B1AAD">
        <w:rPr>
          <w:color w:val="auto"/>
        </w:rPr>
        <w:t xml:space="preserve">, </w:t>
      </w:r>
      <w:r w:rsidRPr="001B1AAD">
        <w:rPr>
          <w:i/>
          <w:iCs/>
          <w:color w:val="auto"/>
        </w:rPr>
        <w:t>Journal of clinical medicine</w:t>
      </w:r>
      <w:r w:rsidRPr="001B1AAD">
        <w:rPr>
          <w:color w:val="auto"/>
        </w:rPr>
        <w:t xml:space="preserve">, 13(4), pp. 1132–1132. Available at: </w:t>
      </w:r>
      <w:hyperlink r:id="rId42" w:history="1">
        <w:r w:rsidR="00FF16FF" w:rsidRPr="001B1AAD">
          <w:rPr>
            <w:rStyle w:val="Hyperlink"/>
            <w:color w:val="auto"/>
          </w:rPr>
          <w:t>https://doi.org/10.3390/jcm13041132</w:t>
        </w:r>
      </w:hyperlink>
    </w:p>
    <w:p w14:paraId="6BAF47A7" w14:textId="77777777" w:rsidR="00473AE4" w:rsidRPr="001B1AAD" w:rsidRDefault="00473AE4" w:rsidP="007A0555">
      <w:pPr>
        <w:pStyle w:val="ListParagraph"/>
        <w:numPr>
          <w:ilvl w:val="0"/>
          <w:numId w:val="1"/>
        </w:numPr>
        <w:rPr>
          <w:color w:val="auto"/>
        </w:rPr>
      </w:pPr>
      <w:r w:rsidRPr="001B1AAD">
        <w:rPr>
          <w:color w:val="auto"/>
        </w:rPr>
        <w:t xml:space="preserve">Safari, R., Jackson, J. and Sheffield, D. (2019) </w:t>
      </w:r>
      <w:r w:rsidR="00CD7273" w:rsidRPr="001B1AAD">
        <w:rPr>
          <w:color w:val="auto"/>
        </w:rPr>
        <w:t>‘</w:t>
      </w:r>
      <w:r w:rsidRPr="001B1AAD">
        <w:rPr>
          <w:color w:val="auto"/>
        </w:rPr>
        <w:t>Digital-based self-management interventions for people with osteoarthritis: Systematic review with meta-analysis (Preprint)</w:t>
      </w:r>
      <w:r w:rsidR="00CD7273" w:rsidRPr="001B1AAD">
        <w:rPr>
          <w:color w:val="auto"/>
        </w:rPr>
        <w:t>’</w:t>
      </w:r>
      <w:r w:rsidRPr="001B1AAD">
        <w:rPr>
          <w:color w:val="auto"/>
        </w:rPr>
        <w:t xml:space="preserve">, </w:t>
      </w:r>
      <w:r w:rsidRPr="001B1AAD">
        <w:rPr>
          <w:i/>
          <w:iCs/>
          <w:color w:val="auto"/>
        </w:rPr>
        <w:t>Journal of Medical Internet Research</w:t>
      </w:r>
      <w:r w:rsidRPr="001B1AAD">
        <w:rPr>
          <w:color w:val="auto"/>
        </w:rPr>
        <w:t xml:space="preserve">, 22(7). Available at: </w:t>
      </w:r>
      <w:hyperlink r:id="rId43" w:history="1">
        <w:r w:rsidR="00A968F4" w:rsidRPr="001B1AAD">
          <w:rPr>
            <w:rStyle w:val="Hyperlink"/>
            <w:color w:val="auto"/>
          </w:rPr>
          <w:t>https://doi.org/10.2196/15365</w:t>
        </w:r>
      </w:hyperlink>
    </w:p>
    <w:p w14:paraId="797944D8" w14:textId="28EAD31D" w:rsidR="00E35A8F" w:rsidRPr="001B1AAD" w:rsidRDefault="00E35A8F" w:rsidP="007A0555">
      <w:pPr>
        <w:pStyle w:val="ListParagraph"/>
        <w:numPr>
          <w:ilvl w:val="0"/>
          <w:numId w:val="1"/>
        </w:numPr>
        <w:spacing w:before="240"/>
        <w:rPr>
          <w:color w:val="auto"/>
        </w:rPr>
      </w:pPr>
      <w:r w:rsidRPr="001B1AAD">
        <w:rPr>
          <w:color w:val="auto"/>
        </w:rPr>
        <w:t xml:space="preserve">Shah, N., Costello, K., Mehta, A. and Kumar, D. (2021) ‘Applications of Digital Health Technologies in Knee Osteoarthritis: A Narrative Review (Preprint)’, </w:t>
      </w:r>
      <w:r w:rsidRPr="001B1AAD">
        <w:rPr>
          <w:i/>
          <w:iCs/>
          <w:color w:val="auto"/>
        </w:rPr>
        <w:t xml:space="preserve">JMIR Rehabilitation and Assistive </w:t>
      </w:r>
      <w:r w:rsidRPr="001B1AAD">
        <w:rPr>
          <w:i/>
          <w:iCs/>
          <w:color w:val="auto"/>
        </w:rPr>
        <w:lastRenderedPageBreak/>
        <w:t>Technologies</w:t>
      </w:r>
      <w:r w:rsidRPr="001B1AAD">
        <w:rPr>
          <w:color w:val="auto"/>
        </w:rPr>
        <w:t xml:space="preserve">, 9(2). Available at: </w:t>
      </w:r>
      <w:hyperlink r:id="rId44" w:history="1">
        <w:r w:rsidRPr="001B1AAD">
          <w:rPr>
            <w:rStyle w:val="Hyperlink"/>
            <w:color w:val="auto"/>
          </w:rPr>
          <w:t>https://doi.org/10.2196/33489</w:t>
        </w:r>
      </w:hyperlink>
      <w:r w:rsidRPr="001B1AAD">
        <w:rPr>
          <w:color w:val="auto"/>
        </w:rPr>
        <w:t>.</w:t>
      </w:r>
    </w:p>
    <w:p w14:paraId="08A1988F" w14:textId="77777777" w:rsidR="00183283" w:rsidRPr="001B1AAD" w:rsidRDefault="00473AE4" w:rsidP="007A0555">
      <w:pPr>
        <w:pStyle w:val="ListParagraph"/>
        <w:numPr>
          <w:ilvl w:val="0"/>
          <w:numId w:val="1"/>
        </w:numPr>
        <w:spacing w:before="240"/>
        <w:rPr>
          <w:rStyle w:val="Hyperlink"/>
          <w:color w:val="auto"/>
          <w:u w:val="none"/>
        </w:rPr>
      </w:pPr>
      <w:r w:rsidRPr="001B1AAD">
        <w:rPr>
          <w:color w:val="auto"/>
        </w:rPr>
        <w:t xml:space="preserve">Silverman, S., Packnett, E., Zagar, A., Thakkar, S., Schepman, P., Faison, W., Hultman, C., Zimmerman, N.M. and Robinson, R.L. (2023) </w:t>
      </w:r>
      <w:r w:rsidR="00CD7273" w:rsidRPr="001B1AAD">
        <w:rPr>
          <w:color w:val="auto"/>
        </w:rPr>
        <w:t>‘</w:t>
      </w:r>
      <w:r w:rsidRPr="001B1AAD">
        <w:rPr>
          <w:color w:val="auto"/>
        </w:rPr>
        <w:t>Racial variation in healthcare resource utilization and expenditures in knee/hip osteoarthritis patients: a retrospective analysis of a Medicaid population</w:t>
      </w:r>
      <w:r w:rsidR="00CD7273" w:rsidRPr="001B1AAD">
        <w:rPr>
          <w:color w:val="auto"/>
        </w:rPr>
        <w:t>’</w:t>
      </w:r>
      <w:r w:rsidRPr="001B1AAD">
        <w:rPr>
          <w:color w:val="auto"/>
        </w:rPr>
        <w:t xml:space="preserve">, </w:t>
      </w:r>
      <w:r w:rsidRPr="001B1AAD">
        <w:rPr>
          <w:i/>
          <w:iCs/>
          <w:color w:val="auto"/>
        </w:rPr>
        <w:t>Journal of medical economics</w:t>
      </w:r>
      <w:r w:rsidRPr="001B1AAD">
        <w:rPr>
          <w:color w:val="auto"/>
        </w:rPr>
        <w:t xml:space="preserve">, 26(1), pp. 1047–1056. Available at: </w:t>
      </w:r>
      <w:hyperlink r:id="rId45" w:history="1">
        <w:r w:rsidR="00034CCB" w:rsidRPr="001B1AAD">
          <w:rPr>
            <w:rStyle w:val="Hyperlink"/>
            <w:color w:val="auto"/>
          </w:rPr>
          <w:t>https://doi.org/10.1080/13696998.2023.2245298</w:t>
        </w:r>
      </w:hyperlink>
    </w:p>
    <w:p w14:paraId="647752CC" w14:textId="77777777" w:rsidR="00DB2E79" w:rsidRPr="001B1AAD" w:rsidRDefault="00DB2E79" w:rsidP="007A0555">
      <w:pPr>
        <w:pStyle w:val="ListParagraph"/>
        <w:numPr>
          <w:ilvl w:val="0"/>
          <w:numId w:val="1"/>
        </w:numPr>
        <w:rPr>
          <w:color w:val="auto"/>
        </w:rPr>
      </w:pPr>
      <w:r w:rsidRPr="001B1AAD">
        <w:rPr>
          <w:color w:val="auto"/>
        </w:rPr>
        <w:t xml:space="preserve">Somaiya, K.J., Samal, S. and Boob, M.A. (2024) ‘Physiotherapeutic Intervention Techniques for Knee Osteoarthritis: A Systematic Review’, Curēus, 16(3), p. e56817. Available at: </w:t>
      </w:r>
      <w:hyperlink r:id="rId46" w:history="1">
        <w:r w:rsidRPr="001B1AAD">
          <w:rPr>
            <w:rStyle w:val="Hyperlink"/>
            <w:color w:val="auto"/>
          </w:rPr>
          <w:t>https://doi.org/10.7759/cureus.56817</w:t>
        </w:r>
      </w:hyperlink>
      <w:r w:rsidRPr="001B1AAD">
        <w:rPr>
          <w:color w:val="auto"/>
        </w:rPr>
        <w:t>.</w:t>
      </w:r>
    </w:p>
    <w:p w14:paraId="3A66668A" w14:textId="50B058CA" w:rsidR="00464621" w:rsidRPr="001B1AAD" w:rsidRDefault="00473AE4" w:rsidP="007A0555">
      <w:pPr>
        <w:pStyle w:val="ListParagraph"/>
        <w:numPr>
          <w:ilvl w:val="0"/>
          <w:numId w:val="1"/>
        </w:numPr>
        <w:rPr>
          <w:color w:val="auto"/>
        </w:rPr>
      </w:pPr>
      <w:r w:rsidRPr="001B1AAD">
        <w:rPr>
          <w:color w:val="auto"/>
        </w:rPr>
        <w:t xml:space="preserve">Swain, S., Coupland, C., Sarmanova, A., Kuo, C.F., Mallen, C., Doherty, M. and Zhang, W. (2023) </w:t>
      </w:r>
      <w:r w:rsidR="00CD7273" w:rsidRPr="001B1AAD">
        <w:rPr>
          <w:color w:val="auto"/>
        </w:rPr>
        <w:t>‘</w:t>
      </w:r>
      <w:r w:rsidRPr="001B1AAD">
        <w:rPr>
          <w:color w:val="auto"/>
        </w:rPr>
        <w:t>Healthcare utilisation and mortality in people with osteoarthritis in the UK: findings from a national primary care database</w:t>
      </w:r>
      <w:r w:rsidR="00CD7273" w:rsidRPr="001B1AAD">
        <w:rPr>
          <w:color w:val="auto"/>
        </w:rPr>
        <w:t>’</w:t>
      </w:r>
      <w:r w:rsidRPr="001B1AAD">
        <w:rPr>
          <w:color w:val="auto"/>
        </w:rPr>
        <w:t xml:space="preserve">, </w:t>
      </w:r>
      <w:r w:rsidRPr="001B1AAD">
        <w:rPr>
          <w:i/>
          <w:iCs/>
          <w:color w:val="auto"/>
        </w:rPr>
        <w:t>British Journal of General Practice</w:t>
      </w:r>
      <w:r w:rsidRPr="001B1AAD">
        <w:rPr>
          <w:color w:val="auto"/>
        </w:rPr>
        <w:t xml:space="preserve">, 73(733), pp. e615–e622. Available at: </w:t>
      </w:r>
      <w:hyperlink r:id="rId47" w:history="1">
        <w:r w:rsidR="00464621" w:rsidRPr="001B1AAD">
          <w:rPr>
            <w:rStyle w:val="Hyperlink"/>
            <w:color w:val="auto"/>
          </w:rPr>
          <w:t>https://doi.org/10.3399/BJGP.2022.0419</w:t>
        </w:r>
      </w:hyperlink>
    </w:p>
    <w:p w14:paraId="057885A4" w14:textId="77777777" w:rsidR="007326E1" w:rsidRPr="001B1AAD" w:rsidRDefault="00473AE4" w:rsidP="007A0555">
      <w:pPr>
        <w:pStyle w:val="ListParagraph"/>
        <w:numPr>
          <w:ilvl w:val="0"/>
          <w:numId w:val="1"/>
        </w:numPr>
        <w:rPr>
          <w:color w:val="auto"/>
        </w:rPr>
      </w:pPr>
      <w:r w:rsidRPr="001B1AAD">
        <w:rPr>
          <w:color w:val="auto"/>
        </w:rPr>
        <w:t xml:space="preserve">Swain, S., Sarmanova, A., Mallen, C., Kuo, C.F., Coupland, C., Doherty, M. and Zhang, W. (2020) </w:t>
      </w:r>
      <w:r w:rsidR="00CD7273" w:rsidRPr="001B1AAD">
        <w:rPr>
          <w:color w:val="auto"/>
        </w:rPr>
        <w:t>‘</w:t>
      </w:r>
      <w:r w:rsidRPr="001B1AAD">
        <w:rPr>
          <w:color w:val="auto"/>
        </w:rPr>
        <w:t>Trends in Incidence and Prevalence of Osteoarthritis in the United Kingdom: Findings from the Clinical Practice Research Datalink (CPRD)</w:t>
      </w:r>
      <w:r w:rsidR="00CD7273" w:rsidRPr="001B1AAD">
        <w:rPr>
          <w:color w:val="auto"/>
        </w:rPr>
        <w:t>’</w:t>
      </w:r>
      <w:r w:rsidRPr="001B1AAD">
        <w:rPr>
          <w:color w:val="auto"/>
        </w:rPr>
        <w:t xml:space="preserve">, </w:t>
      </w:r>
      <w:r w:rsidRPr="001B1AAD">
        <w:rPr>
          <w:i/>
          <w:iCs/>
          <w:color w:val="auto"/>
        </w:rPr>
        <w:t>Osteoarthritis and Cartilage</w:t>
      </w:r>
      <w:r w:rsidRPr="001B1AAD">
        <w:rPr>
          <w:color w:val="auto"/>
        </w:rPr>
        <w:t xml:space="preserve">, 28(6), pp. 792–801. Available at: </w:t>
      </w:r>
      <w:hyperlink r:id="rId48" w:history="1">
        <w:r w:rsidR="007326E1" w:rsidRPr="001B1AAD">
          <w:rPr>
            <w:rStyle w:val="Hyperlink"/>
            <w:color w:val="auto"/>
          </w:rPr>
          <w:t>https://doi.org/10.1016/j.joca.2020.03.004</w:t>
        </w:r>
      </w:hyperlink>
    </w:p>
    <w:p w14:paraId="7BAB9F52" w14:textId="77777777" w:rsidR="008B7A75" w:rsidRPr="001B1AAD" w:rsidRDefault="00473AE4" w:rsidP="007A0555">
      <w:pPr>
        <w:pStyle w:val="ListParagraph"/>
        <w:numPr>
          <w:ilvl w:val="0"/>
          <w:numId w:val="1"/>
        </w:numPr>
        <w:rPr>
          <w:color w:val="auto"/>
        </w:rPr>
      </w:pPr>
      <w:r w:rsidRPr="001B1AAD">
        <w:rPr>
          <w:color w:val="auto"/>
        </w:rPr>
        <w:t xml:space="preserve">Tachmazidou, I., Hatzikotoulas, K., Southam, L., Esparza-Gordillo, J., Haberland, V., Zheng, J., Johnson, T., Koprulu, M., Zengini, E., Steinberg, J., Wilkinson, J.M., Bhatnagar, S., Hoffman, J.D., Buchan, N., Süveges, D., Yerges-Armstrong, L., Smith, G.D., Gaunt, T.R., Scott, R.A. and McCarthy, L.C. (2019) </w:t>
      </w:r>
      <w:r w:rsidR="00CD7273" w:rsidRPr="001B1AAD">
        <w:rPr>
          <w:color w:val="auto"/>
        </w:rPr>
        <w:t>‘</w:t>
      </w:r>
      <w:r w:rsidRPr="001B1AAD">
        <w:rPr>
          <w:color w:val="auto"/>
        </w:rPr>
        <w:t>Identification of new therapeutic targets for osteoarthritis through genome-wide analyses of UK Biobank data</w:t>
      </w:r>
      <w:r w:rsidR="00CD7273" w:rsidRPr="001B1AAD">
        <w:rPr>
          <w:color w:val="auto"/>
        </w:rPr>
        <w:t>’</w:t>
      </w:r>
      <w:r w:rsidRPr="001B1AAD">
        <w:rPr>
          <w:color w:val="auto"/>
        </w:rPr>
        <w:t xml:space="preserve">, </w:t>
      </w:r>
      <w:r w:rsidRPr="001B1AAD">
        <w:rPr>
          <w:i/>
          <w:iCs/>
          <w:color w:val="auto"/>
        </w:rPr>
        <w:t>Nature Genetics</w:t>
      </w:r>
      <w:r w:rsidRPr="001B1AAD">
        <w:rPr>
          <w:color w:val="auto"/>
        </w:rPr>
        <w:t xml:space="preserve">, 51(2), pp. 230–236. Available at: </w:t>
      </w:r>
      <w:hyperlink r:id="rId49" w:history="1">
        <w:r w:rsidR="008B7A75" w:rsidRPr="001B1AAD">
          <w:rPr>
            <w:rStyle w:val="Hyperlink"/>
            <w:color w:val="auto"/>
          </w:rPr>
          <w:t>https://doi.org/10.1038/s41588-018-0327-1</w:t>
        </w:r>
      </w:hyperlink>
    </w:p>
    <w:p w14:paraId="020BF638" w14:textId="77777777" w:rsidR="00473AE4" w:rsidRPr="001B1AAD" w:rsidRDefault="00473AE4" w:rsidP="007A0555">
      <w:pPr>
        <w:pStyle w:val="ListParagraph"/>
        <w:numPr>
          <w:ilvl w:val="0"/>
          <w:numId w:val="1"/>
        </w:numPr>
        <w:rPr>
          <w:color w:val="auto"/>
        </w:rPr>
      </w:pPr>
      <w:r w:rsidRPr="001B1AAD">
        <w:rPr>
          <w:color w:val="auto"/>
        </w:rPr>
        <w:t xml:space="preserve">The Academy of Medical Sciences (2019) </w:t>
      </w:r>
      <w:r w:rsidRPr="001B1AAD">
        <w:rPr>
          <w:i/>
          <w:iCs/>
          <w:color w:val="auto"/>
        </w:rPr>
        <w:t xml:space="preserve">Response to Consultation on </w:t>
      </w:r>
      <w:r w:rsidR="00CD7273" w:rsidRPr="001B1AAD">
        <w:rPr>
          <w:i/>
          <w:iCs/>
          <w:color w:val="auto"/>
        </w:rPr>
        <w:t>‘</w:t>
      </w:r>
      <w:r w:rsidRPr="001B1AAD">
        <w:rPr>
          <w:i/>
          <w:iCs/>
          <w:color w:val="auto"/>
        </w:rPr>
        <w:t>Advancing our health: prevention in the 2020s</w:t>
      </w:r>
      <w:r w:rsidR="00CD7273" w:rsidRPr="001B1AAD">
        <w:rPr>
          <w:i/>
          <w:iCs/>
          <w:color w:val="auto"/>
        </w:rPr>
        <w:t>’</w:t>
      </w:r>
      <w:r w:rsidRPr="001B1AAD">
        <w:rPr>
          <w:i/>
          <w:iCs/>
          <w:color w:val="auto"/>
        </w:rPr>
        <w:t xml:space="preserve"> Green </w:t>
      </w:r>
      <w:r w:rsidRPr="001B1AAD">
        <w:rPr>
          <w:i/>
          <w:iCs/>
          <w:color w:val="auto"/>
        </w:rPr>
        <w:lastRenderedPageBreak/>
        <w:t>Paper</w:t>
      </w:r>
      <w:r w:rsidRPr="001B1AAD">
        <w:rPr>
          <w:color w:val="auto"/>
        </w:rPr>
        <w:t xml:space="preserve">, </w:t>
      </w:r>
      <w:r w:rsidRPr="001B1AAD">
        <w:rPr>
          <w:i/>
          <w:iCs/>
          <w:color w:val="auto"/>
        </w:rPr>
        <w:t>www.acmedsci.ac.uk</w:t>
      </w:r>
      <w:r w:rsidRPr="001B1AAD">
        <w:rPr>
          <w:color w:val="auto"/>
        </w:rPr>
        <w:t xml:space="preserve">. Available at: </w:t>
      </w:r>
      <w:hyperlink r:id="rId50" w:history="1">
        <w:r w:rsidR="0056583C" w:rsidRPr="001B1AAD">
          <w:rPr>
            <w:rStyle w:val="Hyperlink"/>
            <w:color w:val="auto"/>
          </w:rPr>
          <w:t>https://acmedsci.ac.uk/file-download/3017408</w:t>
        </w:r>
      </w:hyperlink>
      <w:r w:rsidRPr="001B1AAD">
        <w:rPr>
          <w:color w:val="auto"/>
        </w:rPr>
        <w:t>(Accessed: 26 June 2026).</w:t>
      </w:r>
    </w:p>
    <w:p w14:paraId="1FF16556" w14:textId="77777777" w:rsidR="000A361D" w:rsidRPr="001B1AAD" w:rsidRDefault="00473AE4" w:rsidP="007A0555">
      <w:pPr>
        <w:pStyle w:val="ListParagraph"/>
        <w:numPr>
          <w:ilvl w:val="0"/>
          <w:numId w:val="1"/>
        </w:numPr>
        <w:rPr>
          <w:color w:val="auto"/>
        </w:rPr>
      </w:pPr>
      <w:r w:rsidRPr="001B1AAD">
        <w:rPr>
          <w:color w:val="auto"/>
        </w:rPr>
        <w:t xml:space="preserve">The Lancet Rheumatology (2023) </w:t>
      </w:r>
      <w:r w:rsidR="00CD7273" w:rsidRPr="001B1AAD">
        <w:rPr>
          <w:color w:val="auto"/>
        </w:rPr>
        <w:t>‘</w:t>
      </w:r>
      <w:r w:rsidRPr="001B1AAD">
        <w:rPr>
          <w:color w:val="auto"/>
        </w:rPr>
        <w:t>Global, regional, and national burden of osteoarthritis, 1990–2020 and projections to 2050: a systematic analysis for the Global Burden of Disease Study 2021</w:t>
      </w:r>
      <w:r w:rsidR="00CD7273" w:rsidRPr="001B1AAD">
        <w:rPr>
          <w:color w:val="auto"/>
        </w:rPr>
        <w:t>’</w:t>
      </w:r>
      <w:r w:rsidRPr="001B1AAD">
        <w:rPr>
          <w:color w:val="auto"/>
        </w:rPr>
        <w:t xml:space="preserve">, </w:t>
      </w:r>
      <w:r w:rsidRPr="001B1AAD">
        <w:rPr>
          <w:i/>
          <w:iCs/>
          <w:color w:val="auto"/>
        </w:rPr>
        <w:t>The Lancet Rheumatology</w:t>
      </w:r>
      <w:r w:rsidRPr="001B1AAD">
        <w:rPr>
          <w:color w:val="auto"/>
        </w:rPr>
        <w:t xml:space="preserve">, 5(9), pp. e508–e522. Available at: </w:t>
      </w:r>
      <w:hyperlink r:id="rId51" w:history="1">
        <w:r w:rsidR="000A361D" w:rsidRPr="001B1AAD">
          <w:rPr>
            <w:rStyle w:val="Hyperlink"/>
            <w:color w:val="auto"/>
          </w:rPr>
          <w:t>https://doi.org/10.1016/s2665-9913(23)00163-7</w:t>
        </w:r>
      </w:hyperlink>
    </w:p>
    <w:p w14:paraId="0AC9676B" w14:textId="77777777" w:rsidR="00A30406" w:rsidRPr="001B1AAD" w:rsidRDefault="00473AE4" w:rsidP="007A0555">
      <w:pPr>
        <w:pStyle w:val="ListParagraph"/>
        <w:numPr>
          <w:ilvl w:val="0"/>
          <w:numId w:val="1"/>
        </w:numPr>
        <w:rPr>
          <w:color w:val="auto"/>
        </w:rPr>
      </w:pPr>
      <w:r w:rsidRPr="001B1AAD">
        <w:rPr>
          <w:color w:val="auto"/>
        </w:rPr>
        <w:t xml:space="preserve">Toh, C.H. and Haynes, R. (2022) </w:t>
      </w:r>
      <w:r w:rsidR="00CD7273" w:rsidRPr="001B1AAD">
        <w:rPr>
          <w:color w:val="auto"/>
        </w:rPr>
        <w:t>‘</w:t>
      </w:r>
      <w:r w:rsidRPr="001B1AAD">
        <w:rPr>
          <w:color w:val="auto"/>
        </w:rPr>
        <w:t>The Health and Care Act 2022: challenges and priorities for embedding research in the NHS</w:t>
      </w:r>
      <w:r w:rsidR="00CD7273" w:rsidRPr="001B1AAD">
        <w:rPr>
          <w:color w:val="auto"/>
        </w:rPr>
        <w:t>’</w:t>
      </w:r>
      <w:r w:rsidRPr="001B1AAD">
        <w:rPr>
          <w:color w:val="auto"/>
        </w:rPr>
        <w:t xml:space="preserve">, </w:t>
      </w:r>
      <w:r w:rsidRPr="001B1AAD">
        <w:rPr>
          <w:i/>
          <w:iCs/>
          <w:color w:val="auto"/>
        </w:rPr>
        <w:t>The Lancet</w:t>
      </w:r>
      <w:r w:rsidRPr="001B1AAD">
        <w:rPr>
          <w:color w:val="auto"/>
        </w:rPr>
        <w:t xml:space="preserve">, 6, pp. 343–345. Available at: </w:t>
      </w:r>
      <w:hyperlink r:id="rId52" w:history="1">
        <w:r w:rsidR="00A30406" w:rsidRPr="001B1AAD">
          <w:rPr>
            <w:rStyle w:val="Hyperlink"/>
            <w:color w:val="auto"/>
          </w:rPr>
          <w:t>https://doi.org/10.1016/S0140-6736(22)01195-3</w:t>
        </w:r>
      </w:hyperlink>
    </w:p>
    <w:p w14:paraId="6B912FD0" w14:textId="77777777" w:rsidR="00473AE4" w:rsidRPr="001B1AAD" w:rsidRDefault="00473AE4" w:rsidP="007A0555">
      <w:pPr>
        <w:pStyle w:val="ListParagraph"/>
        <w:numPr>
          <w:ilvl w:val="0"/>
          <w:numId w:val="1"/>
        </w:numPr>
        <w:rPr>
          <w:color w:val="auto"/>
        </w:rPr>
      </w:pPr>
      <w:r w:rsidRPr="001B1AAD">
        <w:rPr>
          <w:color w:val="auto"/>
        </w:rPr>
        <w:t xml:space="preserve">Versus Arthritis (2021) </w:t>
      </w:r>
      <w:r w:rsidRPr="001B1AAD">
        <w:rPr>
          <w:i/>
          <w:iCs/>
          <w:color w:val="auto"/>
        </w:rPr>
        <w:t>chronic pain in england unseen unequal unfair</w:t>
      </w:r>
      <w:r w:rsidRPr="001B1AAD">
        <w:rPr>
          <w:color w:val="auto"/>
        </w:rPr>
        <w:t xml:space="preserve">, </w:t>
      </w:r>
      <w:r w:rsidRPr="001B1AAD">
        <w:rPr>
          <w:i/>
          <w:iCs/>
          <w:color w:val="auto"/>
        </w:rPr>
        <w:t>Versus Arthritis</w:t>
      </w:r>
      <w:r w:rsidRPr="001B1AAD">
        <w:rPr>
          <w:color w:val="auto"/>
        </w:rPr>
        <w:t xml:space="preserve">, pp. 1–51. Available at: </w:t>
      </w:r>
      <w:hyperlink r:id="rId53" w:history="1">
        <w:r w:rsidR="00A06A6C" w:rsidRPr="001B1AAD">
          <w:rPr>
            <w:rStyle w:val="Hyperlink"/>
            <w:color w:val="auto"/>
          </w:rPr>
          <w:t>https://www.arthritis-uk.org/media/23739/chronic-pain-report-june2021.pdf</w:t>
        </w:r>
      </w:hyperlink>
      <w:r w:rsidRPr="001B1AAD">
        <w:rPr>
          <w:color w:val="auto"/>
        </w:rPr>
        <w:t>(Accessed: 26 June 2026).</w:t>
      </w:r>
    </w:p>
    <w:p w14:paraId="3BE42464" w14:textId="77777777" w:rsidR="00CD7273" w:rsidRPr="001B1AAD" w:rsidRDefault="00473AE4" w:rsidP="007A0555">
      <w:pPr>
        <w:pStyle w:val="ListParagraph"/>
        <w:numPr>
          <w:ilvl w:val="0"/>
          <w:numId w:val="1"/>
        </w:numPr>
        <w:rPr>
          <w:rStyle w:val="Hyperlink"/>
          <w:color w:val="auto"/>
          <w:u w:val="none"/>
        </w:rPr>
      </w:pPr>
      <w:r w:rsidRPr="001B1AAD">
        <w:rPr>
          <w:color w:val="auto"/>
        </w:rPr>
        <w:t xml:space="preserve">Zainal, H., Xiaohui, X., Thumboo, J., Seah, S.J., Leng, L.L. and Kok Yong, F. (2025) </w:t>
      </w:r>
      <w:r w:rsidR="00CD7273" w:rsidRPr="001B1AAD">
        <w:rPr>
          <w:color w:val="auto"/>
        </w:rPr>
        <w:t>‘</w:t>
      </w:r>
      <w:r w:rsidRPr="001B1AAD">
        <w:rPr>
          <w:color w:val="auto"/>
        </w:rPr>
        <w:t xml:space="preserve">Exploring caregiver challenges, digital health </w:t>
      </w:r>
      <w:r w:rsidRPr="001B1AAD">
        <w:rPr>
          <w:color w:val="auto"/>
        </w:rPr>
        <w:t>technologies, and healthcare support: a qualitative study</w:t>
      </w:r>
      <w:r w:rsidR="00CD7273" w:rsidRPr="001B1AAD">
        <w:rPr>
          <w:color w:val="auto"/>
        </w:rPr>
        <w:t>’</w:t>
      </w:r>
      <w:r w:rsidRPr="001B1AAD">
        <w:rPr>
          <w:color w:val="auto"/>
        </w:rPr>
        <w:t xml:space="preserve">, </w:t>
      </w:r>
      <w:r w:rsidRPr="001B1AAD">
        <w:rPr>
          <w:i/>
          <w:iCs/>
          <w:color w:val="auto"/>
        </w:rPr>
        <w:t>Frontiers in Digital Health</w:t>
      </w:r>
      <w:r w:rsidRPr="001B1AAD">
        <w:rPr>
          <w:color w:val="auto"/>
        </w:rPr>
        <w:t xml:space="preserve">, 7. Available at: </w:t>
      </w:r>
      <w:hyperlink r:id="rId54" w:history="1">
        <w:r w:rsidR="008252A7" w:rsidRPr="001B1AAD">
          <w:rPr>
            <w:rStyle w:val="Hyperlink"/>
            <w:color w:val="auto"/>
          </w:rPr>
          <w:t>https://doi.org/10.3389/fdgth.2025.1587162</w:t>
        </w:r>
      </w:hyperlink>
    </w:p>
    <w:p w14:paraId="4741BD4C" w14:textId="77777777" w:rsidR="00CC48CC" w:rsidRPr="001B1AAD" w:rsidRDefault="00CC48CC" w:rsidP="00CC48CC">
      <w:pPr>
        <w:pStyle w:val="ListParagraph"/>
        <w:numPr>
          <w:ilvl w:val="0"/>
          <w:numId w:val="1"/>
        </w:numPr>
        <w:rPr>
          <w:rFonts w:ascii="Times New Roman" w:hAnsi="Times New Roman" w:cs="Times New Roman"/>
          <w:color w:val="auto"/>
        </w:rPr>
      </w:pPr>
      <w:r w:rsidRPr="001B1AAD">
        <w:rPr>
          <w:color w:val="auto"/>
        </w:rPr>
        <w:t xml:space="preserve">Miettinen, S.S., Mäkelä, K.T., Reito, A., </w:t>
      </w:r>
      <w:r w:rsidRPr="001B1AAD">
        <w:rPr>
          <w:rFonts w:eastAsiaTheme="majorEastAsia"/>
          <w:i/>
          <w:iCs/>
          <w:color w:val="auto"/>
        </w:rPr>
        <w:t>et al.</w:t>
      </w:r>
      <w:r w:rsidRPr="001B1AAD">
        <w:rPr>
          <w:color w:val="auto"/>
        </w:rPr>
        <w:t xml:space="preserve"> (2020) ‘The effect of total hip and knee replacement on quality of life in patients with osteoarthritis’, </w:t>
      </w:r>
      <w:r w:rsidRPr="001B1AAD">
        <w:rPr>
          <w:rFonts w:eastAsiaTheme="majorEastAsia"/>
          <w:i/>
          <w:iCs/>
          <w:color w:val="auto"/>
        </w:rPr>
        <w:t>Acta Orthopaedica</w:t>
      </w:r>
      <w:r w:rsidRPr="001B1AAD">
        <w:rPr>
          <w:color w:val="auto"/>
        </w:rPr>
        <w:t>, 91(6), pp. 689–695.</w:t>
      </w:r>
      <w:r w:rsidRPr="001B1AAD">
        <w:rPr>
          <w:rFonts w:ascii="Times New Roman" w:hAnsi="Times New Roman" w:cs="Times New Roman"/>
          <w:color w:val="auto"/>
        </w:rPr>
        <w:t xml:space="preserve"> </w:t>
      </w:r>
      <w:hyperlink r:id="rId55" w:history="1">
        <w:r w:rsidRPr="001B1AAD">
          <w:rPr>
            <w:rStyle w:val="Hyperlink"/>
            <w:rFonts w:ascii="Times New Roman" w:eastAsiaTheme="majorEastAsia" w:hAnsi="Times New Roman" w:cs="Times New Roman"/>
            <w:color w:val="auto"/>
          </w:rPr>
          <w:t>https://doi.org/10.1080/17453674.2020.1836677</w:t>
        </w:r>
      </w:hyperlink>
    </w:p>
    <w:p w14:paraId="4007F4D6" w14:textId="77777777" w:rsidR="00CC48CC" w:rsidRPr="001B1AAD" w:rsidRDefault="00CC48CC" w:rsidP="00CC48CC">
      <w:pPr>
        <w:pStyle w:val="ListParagraph"/>
        <w:numPr>
          <w:ilvl w:val="0"/>
          <w:numId w:val="1"/>
        </w:numPr>
        <w:rPr>
          <w:color w:val="auto"/>
        </w:rPr>
      </w:pPr>
      <w:r w:rsidRPr="001B1AAD">
        <w:rPr>
          <w:color w:val="auto"/>
        </w:rPr>
        <w:t xml:space="preserve">Rhim, H.C., </w:t>
      </w:r>
      <w:r w:rsidRPr="001B1AAD">
        <w:rPr>
          <w:rFonts w:eastAsiaTheme="majorEastAsia"/>
          <w:i/>
          <w:iCs/>
          <w:color w:val="auto"/>
        </w:rPr>
        <w:t>et al.</w:t>
      </w:r>
      <w:r w:rsidRPr="001B1AAD">
        <w:rPr>
          <w:color w:val="auto"/>
        </w:rPr>
        <w:t xml:space="preserve"> (2024) ‘Current evidence on intra-articular corticosteroid injections and pharmacological management of osteoarthritis’, </w:t>
      </w:r>
      <w:r w:rsidRPr="001B1AAD">
        <w:rPr>
          <w:rFonts w:eastAsiaTheme="majorEastAsia"/>
          <w:i/>
          <w:iCs/>
          <w:color w:val="auto"/>
        </w:rPr>
        <w:t>Journal of Clinical Medicine</w:t>
      </w:r>
      <w:r w:rsidRPr="001B1AAD">
        <w:rPr>
          <w:color w:val="auto"/>
        </w:rPr>
        <w:t xml:space="preserve">, 13(4), pp. 1–18. </w:t>
      </w:r>
      <w:hyperlink r:id="rId56" w:history="1">
        <w:r w:rsidRPr="001B1AAD">
          <w:rPr>
            <w:rStyle w:val="Hyperlink"/>
            <w:rFonts w:eastAsiaTheme="majorEastAsia"/>
            <w:color w:val="auto"/>
          </w:rPr>
          <w:t>https://doi.org/10.3390/jcm13040987</w:t>
        </w:r>
      </w:hyperlink>
    </w:p>
    <w:p w14:paraId="281EF8F6" w14:textId="77777777" w:rsidR="00CC48CC" w:rsidRPr="001B1AAD" w:rsidRDefault="00CC48CC" w:rsidP="00CC48CC">
      <w:pPr>
        <w:pStyle w:val="ListParagraph"/>
        <w:ind w:left="360"/>
        <w:rPr>
          <w:color w:val="auto"/>
        </w:rPr>
      </w:pPr>
    </w:p>
    <w:sectPr w:rsidR="00CC48CC" w:rsidRPr="001B1AAD" w:rsidSect="00734CD6">
      <w:headerReference w:type="default" r:id="rId57"/>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pgNumType w:start="15"/>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D0A28" w14:textId="77777777" w:rsidR="00A81E34" w:rsidRDefault="00A81E34" w:rsidP="00EE6C1B">
      <w:r>
        <w:separator/>
      </w:r>
    </w:p>
  </w:endnote>
  <w:endnote w:type="continuationSeparator" w:id="0">
    <w:p w14:paraId="11D64D9F" w14:textId="77777777" w:rsidR="00A81E34" w:rsidRDefault="00A81E34" w:rsidP="00EE6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3D927" w14:textId="77777777" w:rsidR="00495D39" w:rsidRDefault="00495D39" w:rsidP="00772138">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5875547"/>
      <w:docPartObj>
        <w:docPartGallery w:val="Page Numbers (Bottom of Page)"/>
        <w:docPartUnique/>
      </w:docPartObj>
    </w:sdtPr>
    <w:sdtEndPr>
      <w:rPr>
        <w:noProof/>
      </w:rPr>
    </w:sdtEndPr>
    <w:sdtContent>
      <w:p w14:paraId="7FCB2911" w14:textId="77777777" w:rsidR="00FA74A9" w:rsidRDefault="00B64D2D" w:rsidP="00772138">
        <w:pPr>
          <w:pStyle w:val="Footer"/>
          <w:jc w:val="right"/>
        </w:pPr>
        <w:r>
          <w:fldChar w:fldCharType="begin"/>
        </w:r>
        <w:r w:rsidR="00FA74A9">
          <w:instrText xml:space="preserve"> PAGE   \* MERGEFORMAT </w:instrText>
        </w:r>
        <w:r>
          <w:fldChar w:fldCharType="separate"/>
        </w:r>
        <w:r w:rsidR="001B1AAD">
          <w:rPr>
            <w:noProof/>
          </w:rPr>
          <w:t>8</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25FF6" w14:textId="77777777" w:rsidR="00A81E34" w:rsidRDefault="00A81E34" w:rsidP="00EE6C1B">
      <w:r>
        <w:separator/>
      </w:r>
    </w:p>
  </w:footnote>
  <w:footnote w:type="continuationSeparator" w:id="0">
    <w:p w14:paraId="6E516B56" w14:textId="77777777" w:rsidR="00A81E34" w:rsidRDefault="00A81E34" w:rsidP="00EE6C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CB443" w14:textId="77777777" w:rsidR="00772138" w:rsidRDefault="007721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3E41C" w14:textId="77777777" w:rsidR="000B374A" w:rsidRDefault="000B37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14308E"/>
    <w:multiLevelType w:val="hybridMultilevel"/>
    <w:tmpl w:val="9CB4353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5FA0572C"/>
    <w:multiLevelType w:val="hybridMultilevel"/>
    <w:tmpl w:val="C706D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5862F6"/>
    <w:multiLevelType w:val="hybridMultilevel"/>
    <w:tmpl w:val="EB74675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819074703">
    <w:abstractNumId w:val="2"/>
  </w:num>
  <w:num w:numId="2" w16cid:durableId="1590969149">
    <w:abstractNumId w:val="1"/>
  </w:num>
  <w:num w:numId="3" w16cid:durableId="1601572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4096" w:nlCheck="1" w:checkStyle="1"/>
  <w:activeWritingStyle w:appName="MSWord" w:lang="en-GB" w:vendorID="64" w:dllVersion="0" w:nlCheck="1" w:checkStyle="0"/>
  <w:activeWritingStyle w:appName="MSWord" w:lang="en-GB" w:vendorID="64" w:dllVersion="6" w:nlCheck="1" w:checkStyle="1"/>
  <w:activeWritingStyle w:appName="MSWord" w:lang="en-US" w:vendorID="64" w:dllVersion="6" w:nlCheck="1" w:checkStyle="1"/>
  <w:activeWritingStyle w:appName="MSWord" w:lang="en-US" w:vendorID="64" w:dllVersion="4096" w:nlCheck="1" w:checkStyle="0"/>
  <w:activeWritingStyle w:appName="MSWord" w:lang="en-IN" w:vendorID="64" w:dllVersion="6" w:nlCheck="1" w:checkStyle="1"/>
  <w:activeWritingStyle w:appName="MSWord" w:lang="en-IN" w:vendorID="64" w:dllVersion="4096" w:nlCheck="1" w:checkStyle="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95D39"/>
    <w:rsid w:val="00000391"/>
    <w:rsid w:val="00002E65"/>
    <w:rsid w:val="00004869"/>
    <w:rsid w:val="00005279"/>
    <w:rsid w:val="0000611A"/>
    <w:rsid w:val="0001326E"/>
    <w:rsid w:val="00014181"/>
    <w:rsid w:val="0001473B"/>
    <w:rsid w:val="0001771D"/>
    <w:rsid w:val="0002106A"/>
    <w:rsid w:val="00021A9A"/>
    <w:rsid w:val="0002361B"/>
    <w:rsid w:val="000255EB"/>
    <w:rsid w:val="000269AE"/>
    <w:rsid w:val="00034CCB"/>
    <w:rsid w:val="00037308"/>
    <w:rsid w:val="000407DE"/>
    <w:rsid w:val="00043478"/>
    <w:rsid w:val="00044656"/>
    <w:rsid w:val="00050D88"/>
    <w:rsid w:val="00051FC2"/>
    <w:rsid w:val="00052856"/>
    <w:rsid w:val="00055C8E"/>
    <w:rsid w:val="000569CD"/>
    <w:rsid w:val="00063530"/>
    <w:rsid w:val="000664F3"/>
    <w:rsid w:val="00074C9B"/>
    <w:rsid w:val="000764AE"/>
    <w:rsid w:val="00084AA3"/>
    <w:rsid w:val="0008520D"/>
    <w:rsid w:val="00086720"/>
    <w:rsid w:val="000936F4"/>
    <w:rsid w:val="00097EAF"/>
    <w:rsid w:val="000A361D"/>
    <w:rsid w:val="000B27A8"/>
    <w:rsid w:val="000B2B5E"/>
    <w:rsid w:val="000B2DC9"/>
    <w:rsid w:val="000B374A"/>
    <w:rsid w:val="000B3EA1"/>
    <w:rsid w:val="000B4556"/>
    <w:rsid w:val="000C1CAE"/>
    <w:rsid w:val="000C464B"/>
    <w:rsid w:val="000C57FC"/>
    <w:rsid w:val="000C6D25"/>
    <w:rsid w:val="000C7D23"/>
    <w:rsid w:val="000D21DC"/>
    <w:rsid w:val="000D3D16"/>
    <w:rsid w:val="000D54C0"/>
    <w:rsid w:val="000F0C08"/>
    <w:rsid w:val="000F4689"/>
    <w:rsid w:val="000F4B34"/>
    <w:rsid w:val="000F61AC"/>
    <w:rsid w:val="0010697E"/>
    <w:rsid w:val="00110D21"/>
    <w:rsid w:val="00113E30"/>
    <w:rsid w:val="001149CE"/>
    <w:rsid w:val="00114A26"/>
    <w:rsid w:val="00120F7E"/>
    <w:rsid w:val="0012349B"/>
    <w:rsid w:val="0013148E"/>
    <w:rsid w:val="00131546"/>
    <w:rsid w:val="0013174F"/>
    <w:rsid w:val="001331B6"/>
    <w:rsid w:val="001333CA"/>
    <w:rsid w:val="001337B5"/>
    <w:rsid w:val="00143181"/>
    <w:rsid w:val="001440B6"/>
    <w:rsid w:val="001446D8"/>
    <w:rsid w:val="00145F3B"/>
    <w:rsid w:val="00150556"/>
    <w:rsid w:val="00153AB2"/>
    <w:rsid w:val="00160514"/>
    <w:rsid w:val="00161B2B"/>
    <w:rsid w:val="001622E9"/>
    <w:rsid w:val="00164881"/>
    <w:rsid w:val="00165787"/>
    <w:rsid w:val="00167690"/>
    <w:rsid w:val="0017347F"/>
    <w:rsid w:val="0017491A"/>
    <w:rsid w:val="00180AA6"/>
    <w:rsid w:val="00181944"/>
    <w:rsid w:val="00183283"/>
    <w:rsid w:val="00183AEC"/>
    <w:rsid w:val="00183E6D"/>
    <w:rsid w:val="0018775B"/>
    <w:rsid w:val="00190081"/>
    <w:rsid w:val="00191157"/>
    <w:rsid w:val="00194C19"/>
    <w:rsid w:val="00195E15"/>
    <w:rsid w:val="001A00A0"/>
    <w:rsid w:val="001A048C"/>
    <w:rsid w:val="001A5BE2"/>
    <w:rsid w:val="001A7EB9"/>
    <w:rsid w:val="001B1AAD"/>
    <w:rsid w:val="001B5BB0"/>
    <w:rsid w:val="001B5C9B"/>
    <w:rsid w:val="001B709C"/>
    <w:rsid w:val="001C0151"/>
    <w:rsid w:val="001C1F6D"/>
    <w:rsid w:val="001C2616"/>
    <w:rsid w:val="001C4562"/>
    <w:rsid w:val="001C516E"/>
    <w:rsid w:val="001E1552"/>
    <w:rsid w:val="001F3529"/>
    <w:rsid w:val="001F464D"/>
    <w:rsid w:val="001F53B9"/>
    <w:rsid w:val="001F7491"/>
    <w:rsid w:val="00201C9A"/>
    <w:rsid w:val="00201FF8"/>
    <w:rsid w:val="00210B0E"/>
    <w:rsid w:val="00211FEA"/>
    <w:rsid w:val="00217D29"/>
    <w:rsid w:val="00225A10"/>
    <w:rsid w:val="0022721E"/>
    <w:rsid w:val="00230135"/>
    <w:rsid w:val="0023247B"/>
    <w:rsid w:val="00233D70"/>
    <w:rsid w:val="002346DB"/>
    <w:rsid w:val="002346FD"/>
    <w:rsid w:val="00240993"/>
    <w:rsid w:val="00244491"/>
    <w:rsid w:val="00247B8A"/>
    <w:rsid w:val="00250322"/>
    <w:rsid w:val="0025516D"/>
    <w:rsid w:val="00255C9E"/>
    <w:rsid w:val="00257BCB"/>
    <w:rsid w:val="00261C37"/>
    <w:rsid w:val="00261CF6"/>
    <w:rsid w:val="00265FE8"/>
    <w:rsid w:val="00271A9C"/>
    <w:rsid w:val="00271B1F"/>
    <w:rsid w:val="00272094"/>
    <w:rsid w:val="002750A0"/>
    <w:rsid w:val="00275106"/>
    <w:rsid w:val="00275228"/>
    <w:rsid w:val="002768A0"/>
    <w:rsid w:val="0027704C"/>
    <w:rsid w:val="00277444"/>
    <w:rsid w:val="0028003E"/>
    <w:rsid w:val="00280680"/>
    <w:rsid w:val="00290072"/>
    <w:rsid w:val="002913E6"/>
    <w:rsid w:val="002936CB"/>
    <w:rsid w:val="00296EEA"/>
    <w:rsid w:val="002A409A"/>
    <w:rsid w:val="002B0AE0"/>
    <w:rsid w:val="002B16C0"/>
    <w:rsid w:val="002B2AF1"/>
    <w:rsid w:val="002B5227"/>
    <w:rsid w:val="002B6356"/>
    <w:rsid w:val="002B67D6"/>
    <w:rsid w:val="002C019D"/>
    <w:rsid w:val="002C0D46"/>
    <w:rsid w:val="002C3ACA"/>
    <w:rsid w:val="002C5425"/>
    <w:rsid w:val="002D02A8"/>
    <w:rsid w:val="002D74D9"/>
    <w:rsid w:val="002E1209"/>
    <w:rsid w:val="002E1420"/>
    <w:rsid w:val="002E243E"/>
    <w:rsid w:val="002E4D45"/>
    <w:rsid w:val="002F4BE2"/>
    <w:rsid w:val="0030315A"/>
    <w:rsid w:val="00303C9B"/>
    <w:rsid w:val="00305A9F"/>
    <w:rsid w:val="00306852"/>
    <w:rsid w:val="00313161"/>
    <w:rsid w:val="0031553E"/>
    <w:rsid w:val="003161F7"/>
    <w:rsid w:val="0031630C"/>
    <w:rsid w:val="003212E3"/>
    <w:rsid w:val="0032654B"/>
    <w:rsid w:val="00331D9C"/>
    <w:rsid w:val="00331FAD"/>
    <w:rsid w:val="00332280"/>
    <w:rsid w:val="00333F41"/>
    <w:rsid w:val="00335E8F"/>
    <w:rsid w:val="003369C6"/>
    <w:rsid w:val="00337F7B"/>
    <w:rsid w:val="00343283"/>
    <w:rsid w:val="00343578"/>
    <w:rsid w:val="00345667"/>
    <w:rsid w:val="00351EF6"/>
    <w:rsid w:val="00353A23"/>
    <w:rsid w:val="00353E91"/>
    <w:rsid w:val="00357EA8"/>
    <w:rsid w:val="00364D64"/>
    <w:rsid w:val="00366CA6"/>
    <w:rsid w:val="0037178E"/>
    <w:rsid w:val="00374C66"/>
    <w:rsid w:val="00376357"/>
    <w:rsid w:val="00377C68"/>
    <w:rsid w:val="00382DD7"/>
    <w:rsid w:val="00384A8E"/>
    <w:rsid w:val="0039126A"/>
    <w:rsid w:val="003B2B85"/>
    <w:rsid w:val="003C2341"/>
    <w:rsid w:val="003C340B"/>
    <w:rsid w:val="003C7989"/>
    <w:rsid w:val="003D00E9"/>
    <w:rsid w:val="003D28A6"/>
    <w:rsid w:val="003D3226"/>
    <w:rsid w:val="003D3EC6"/>
    <w:rsid w:val="003D554F"/>
    <w:rsid w:val="003D70D5"/>
    <w:rsid w:val="003E110A"/>
    <w:rsid w:val="003E1C8B"/>
    <w:rsid w:val="003E3BA6"/>
    <w:rsid w:val="003E4197"/>
    <w:rsid w:val="003E5376"/>
    <w:rsid w:val="003E7B1E"/>
    <w:rsid w:val="003F42F6"/>
    <w:rsid w:val="003F5C11"/>
    <w:rsid w:val="003F6D85"/>
    <w:rsid w:val="00400903"/>
    <w:rsid w:val="00403452"/>
    <w:rsid w:val="00403D2C"/>
    <w:rsid w:val="00411142"/>
    <w:rsid w:val="00415A2C"/>
    <w:rsid w:val="004173F6"/>
    <w:rsid w:val="004178B6"/>
    <w:rsid w:val="00417A73"/>
    <w:rsid w:val="004200B6"/>
    <w:rsid w:val="00420C74"/>
    <w:rsid w:val="0042495D"/>
    <w:rsid w:val="004261D3"/>
    <w:rsid w:val="00426665"/>
    <w:rsid w:val="00427608"/>
    <w:rsid w:val="00430247"/>
    <w:rsid w:val="00430F1D"/>
    <w:rsid w:val="004333E3"/>
    <w:rsid w:val="004343AA"/>
    <w:rsid w:val="00443380"/>
    <w:rsid w:val="004440F5"/>
    <w:rsid w:val="00446E98"/>
    <w:rsid w:val="00454D69"/>
    <w:rsid w:val="00460774"/>
    <w:rsid w:val="00462AD9"/>
    <w:rsid w:val="00464621"/>
    <w:rsid w:val="00466483"/>
    <w:rsid w:val="00473AE4"/>
    <w:rsid w:val="00476DB2"/>
    <w:rsid w:val="00480ED2"/>
    <w:rsid w:val="004810B7"/>
    <w:rsid w:val="0048196F"/>
    <w:rsid w:val="00493BDA"/>
    <w:rsid w:val="00495D39"/>
    <w:rsid w:val="00497EA9"/>
    <w:rsid w:val="004A4823"/>
    <w:rsid w:val="004A5E8E"/>
    <w:rsid w:val="004A6DEE"/>
    <w:rsid w:val="004A7D96"/>
    <w:rsid w:val="004B04CE"/>
    <w:rsid w:val="004B2605"/>
    <w:rsid w:val="004B6FDA"/>
    <w:rsid w:val="004C0050"/>
    <w:rsid w:val="004C010C"/>
    <w:rsid w:val="004C3EBD"/>
    <w:rsid w:val="004C668D"/>
    <w:rsid w:val="004C6FDA"/>
    <w:rsid w:val="004C7914"/>
    <w:rsid w:val="004D1427"/>
    <w:rsid w:val="004D24DE"/>
    <w:rsid w:val="004D4E0B"/>
    <w:rsid w:val="004D671D"/>
    <w:rsid w:val="004E0B58"/>
    <w:rsid w:val="004E295F"/>
    <w:rsid w:val="004E455E"/>
    <w:rsid w:val="004E4D3E"/>
    <w:rsid w:val="004E5861"/>
    <w:rsid w:val="004F05A8"/>
    <w:rsid w:val="004F3D95"/>
    <w:rsid w:val="004F4ADC"/>
    <w:rsid w:val="004F725A"/>
    <w:rsid w:val="00500177"/>
    <w:rsid w:val="00500CF6"/>
    <w:rsid w:val="00501359"/>
    <w:rsid w:val="00501478"/>
    <w:rsid w:val="0050350A"/>
    <w:rsid w:val="00512193"/>
    <w:rsid w:val="00514DEF"/>
    <w:rsid w:val="00520D82"/>
    <w:rsid w:val="00522B3C"/>
    <w:rsid w:val="00524D59"/>
    <w:rsid w:val="00530C7D"/>
    <w:rsid w:val="005326D3"/>
    <w:rsid w:val="0053296E"/>
    <w:rsid w:val="00534928"/>
    <w:rsid w:val="00536D9F"/>
    <w:rsid w:val="0054024B"/>
    <w:rsid w:val="00541C27"/>
    <w:rsid w:val="00542C18"/>
    <w:rsid w:val="00544055"/>
    <w:rsid w:val="00546CF5"/>
    <w:rsid w:val="00546D2A"/>
    <w:rsid w:val="00547EC9"/>
    <w:rsid w:val="0055193E"/>
    <w:rsid w:val="00551AA0"/>
    <w:rsid w:val="005530A0"/>
    <w:rsid w:val="00553909"/>
    <w:rsid w:val="00556BE0"/>
    <w:rsid w:val="00560E18"/>
    <w:rsid w:val="00563CAF"/>
    <w:rsid w:val="00564DAE"/>
    <w:rsid w:val="0056583C"/>
    <w:rsid w:val="00566251"/>
    <w:rsid w:val="00572318"/>
    <w:rsid w:val="00573475"/>
    <w:rsid w:val="00576150"/>
    <w:rsid w:val="00576518"/>
    <w:rsid w:val="00577FBD"/>
    <w:rsid w:val="00587B8F"/>
    <w:rsid w:val="00587C37"/>
    <w:rsid w:val="005925CA"/>
    <w:rsid w:val="00594FBA"/>
    <w:rsid w:val="005954DF"/>
    <w:rsid w:val="005A187A"/>
    <w:rsid w:val="005A249C"/>
    <w:rsid w:val="005A3738"/>
    <w:rsid w:val="005B4749"/>
    <w:rsid w:val="005C2451"/>
    <w:rsid w:val="005D16FA"/>
    <w:rsid w:val="005D1B07"/>
    <w:rsid w:val="005D5338"/>
    <w:rsid w:val="005D56B5"/>
    <w:rsid w:val="005D590E"/>
    <w:rsid w:val="005E0566"/>
    <w:rsid w:val="005E1E50"/>
    <w:rsid w:val="005E698A"/>
    <w:rsid w:val="005F03B7"/>
    <w:rsid w:val="005F232C"/>
    <w:rsid w:val="005F3947"/>
    <w:rsid w:val="005F4485"/>
    <w:rsid w:val="005F637B"/>
    <w:rsid w:val="00600565"/>
    <w:rsid w:val="0060355F"/>
    <w:rsid w:val="0060414C"/>
    <w:rsid w:val="0060429A"/>
    <w:rsid w:val="00611491"/>
    <w:rsid w:val="0061182B"/>
    <w:rsid w:val="00611A9F"/>
    <w:rsid w:val="00613668"/>
    <w:rsid w:val="00614060"/>
    <w:rsid w:val="00617FC0"/>
    <w:rsid w:val="006229AC"/>
    <w:rsid w:val="00623662"/>
    <w:rsid w:val="00633F3B"/>
    <w:rsid w:val="00635144"/>
    <w:rsid w:val="00635A95"/>
    <w:rsid w:val="00640AF9"/>
    <w:rsid w:val="006414DD"/>
    <w:rsid w:val="00642B52"/>
    <w:rsid w:val="0064670B"/>
    <w:rsid w:val="00647675"/>
    <w:rsid w:val="006476CF"/>
    <w:rsid w:val="00652ADF"/>
    <w:rsid w:val="00657762"/>
    <w:rsid w:val="00657DEA"/>
    <w:rsid w:val="006627E5"/>
    <w:rsid w:val="00662F95"/>
    <w:rsid w:val="006634E0"/>
    <w:rsid w:val="0066386E"/>
    <w:rsid w:val="00666702"/>
    <w:rsid w:val="006679C4"/>
    <w:rsid w:val="00674191"/>
    <w:rsid w:val="006744BA"/>
    <w:rsid w:val="006773FD"/>
    <w:rsid w:val="00683F30"/>
    <w:rsid w:val="006841FB"/>
    <w:rsid w:val="00687B1A"/>
    <w:rsid w:val="00692A90"/>
    <w:rsid w:val="0069575F"/>
    <w:rsid w:val="00696773"/>
    <w:rsid w:val="00696AEE"/>
    <w:rsid w:val="0069791A"/>
    <w:rsid w:val="006A3ECC"/>
    <w:rsid w:val="006A543E"/>
    <w:rsid w:val="006B194E"/>
    <w:rsid w:val="006B1AD9"/>
    <w:rsid w:val="006B24AE"/>
    <w:rsid w:val="006B35AE"/>
    <w:rsid w:val="006B4D3B"/>
    <w:rsid w:val="006B560F"/>
    <w:rsid w:val="006B60E9"/>
    <w:rsid w:val="006C6B47"/>
    <w:rsid w:val="006D0CB2"/>
    <w:rsid w:val="006D2774"/>
    <w:rsid w:val="006E3502"/>
    <w:rsid w:val="006F17A7"/>
    <w:rsid w:val="006F1DAE"/>
    <w:rsid w:val="00700605"/>
    <w:rsid w:val="00703CAD"/>
    <w:rsid w:val="0070439A"/>
    <w:rsid w:val="00704569"/>
    <w:rsid w:val="00705827"/>
    <w:rsid w:val="00706A09"/>
    <w:rsid w:val="007126B0"/>
    <w:rsid w:val="0072614A"/>
    <w:rsid w:val="007268A7"/>
    <w:rsid w:val="00730896"/>
    <w:rsid w:val="00731070"/>
    <w:rsid w:val="007326E1"/>
    <w:rsid w:val="00734CD6"/>
    <w:rsid w:val="00737923"/>
    <w:rsid w:val="00740DE7"/>
    <w:rsid w:val="00741C97"/>
    <w:rsid w:val="00744CBA"/>
    <w:rsid w:val="00764A8B"/>
    <w:rsid w:val="00772138"/>
    <w:rsid w:val="007731DE"/>
    <w:rsid w:val="00775B8D"/>
    <w:rsid w:val="00781652"/>
    <w:rsid w:val="00786BC9"/>
    <w:rsid w:val="00792082"/>
    <w:rsid w:val="00795AD3"/>
    <w:rsid w:val="007976D4"/>
    <w:rsid w:val="007A0555"/>
    <w:rsid w:val="007A0A5B"/>
    <w:rsid w:val="007A3472"/>
    <w:rsid w:val="007B1A20"/>
    <w:rsid w:val="007B28AF"/>
    <w:rsid w:val="007B3B2A"/>
    <w:rsid w:val="007B4820"/>
    <w:rsid w:val="007B49B9"/>
    <w:rsid w:val="007C0FAA"/>
    <w:rsid w:val="007D1EE6"/>
    <w:rsid w:val="007E1E2F"/>
    <w:rsid w:val="007E3094"/>
    <w:rsid w:val="007E4235"/>
    <w:rsid w:val="007E52E1"/>
    <w:rsid w:val="007E5CCC"/>
    <w:rsid w:val="007E7546"/>
    <w:rsid w:val="007F3D75"/>
    <w:rsid w:val="007F4AE3"/>
    <w:rsid w:val="0080360A"/>
    <w:rsid w:val="0081269F"/>
    <w:rsid w:val="00817CC4"/>
    <w:rsid w:val="008240D0"/>
    <w:rsid w:val="008252A7"/>
    <w:rsid w:val="00825881"/>
    <w:rsid w:val="00827C59"/>
    <w:rsid w:val="00833380"/>
    <w:rsid w:val="00835ED2"/>
    <w:rsid w:val="00837FB7"/>
    <w:rsid w:val="00841DEA"/>
    <w:rsid w:val="00841E8B"/>
    <w:rsid w:val="00846925"/>
    <w:rsid w:val="00850296"/>
    <w:rsid w:val="00850C50"/>
    <w:rsid w:val="0085304F"/>
    <w:rsid w:val="008626D6"/>
    <w:rsid w:val="0086274C"/>
    <w:rsid w:val="00863029"/>
    <w:rsid w:val="008647AE"/>
    <w:rsid w:val="0086535D"/>
    <w:rsid w:val="008724DF"/>
    <w:rsid w:val="00886EB7"/>
    <w:rsid w:val="0088742C"/>
    <w:rsid w:val="008A1607"/>
    <w:rsid w:val="008A1D1A"/>
    <w:rsid w:val="008A737E"/>
    <w:rsid w:val="008A7CD3"/>
    <w:rsid w:val="008B0EEF"/>
    <w:rsid w:val="008B3B0C"/>
    <w:rsid w:val="008B48BF"/>
    <w:rsid w:val="008B70FD"/>
    <w:rsid w:val="008B7326"/>
    <w:rsid w:val="008B7A75"/>
    <w:rsid w:val="008C2A81"/>
    <w:rsid w:val="008C44DE"/>
    <w:rsid w:val="008C48E3"/>
    <w:rsid w:val="008C7BA0"/>
    <w:rsid w:val="008D1061"/>
    <w:rsid w:val="008D4ADE"/>
    <w:rsid w:val="008D57BA"/>
    <w:rsid w:val="008E07E2"/>
    <w:rsid w:val="008E2B7F"/>
    <w:rsid w:val="008E5227"/>
    <w:rsid w:val="008E7B61"/>
    <w:rsid w:val="008F0E97"/>
    <w:rsid w:val="008F0F45"/>
    <w:rsid w:val="008F3621"/>
    <w:rsid w:val="008F3A77"/>
    <w:rsid w:val="008F6260"/>
    <w:rsid w:val="008F637A"/>
    <w:rsid w:val="008F6CD7"/>
    <w:rsid w:val="00907487"/>
    <w:rsid w:val="00907820"/>
    <w:rsid w:val="00907BC2"/>
    <w:rsid w:val="0091028F"/>
    <w:rsid w:val="00912113"/>
    <w:rsid w:val="0091342E"/>
    <w:rsid w:val="0091361D"/>
    <w:rsid w:val="0092144E"/>
    <w:rsid w:val="00926726"/>
    <w:rsid w:val="00926D5D"/>
    <w:rsid w:val="00933A5B"/>
    <w:rsid w:val="00933B6F"/>
    <w:rsid w:val="00935A99"/>
    <w:rsid w:val="00935FA5"/>
    <w:rsid w:val="00936877"/>
    <w:rsid w:val="009449D0"/>
    <w:rsid w:val="0095382D"/>
    <w:rsid w:val="00954038"/>
    <w:rsid w:val="0096572D"/>
    <w:rsid w:val="00966531"/>
    <w:rsid w:val="00980128"/>
    <w:rsid w:val="009838AA"/>
    <w:rsid w:val="009876F5"/>
    <w:rsid w:val="009914A9"/>
    <w:rsid w:val="00992B15"/>
    <w:rsid w:val="00995E85"/>
    <w:rsid w:val="009969CD"/>
    <w:rsid w:val="00996D12"/>
    <w:rsid w:val="009A1F87"/>
    <w:rsid w:val="009A317E"/>
    <w:rsid w:val="009B0675"/>
    <w:rsid w:val="009B1E80"/>
    <w:rsid w:val="009B66EE"/>
    <w:rsid w:val="009B6C81"/>
    <w:rsid w:val="009B7A47"/>
    <w:rsid w:val="009B7AF6"/>
    <w:rsid w:val="009C7966"/>
    <w:rsid w:val="009D2291"/>
    <w:rsid w:val="009D35CA"/>
    <w:rsid w:val="009D4CE9"/>
    <w:rsid w:val="009D4F45"/>
    <w:rsid w:val="009D585B"/>
    <w:rsid w:val="009F36ED"/>
    <w:rsid w:val="00A01E20"/>
    <w:rsid w:val="00A05007"/>
    <w:rsid w:val="00A058C2"/>
    <w:rsid w:val="00A06A6C"/>
    <w:rsid w:val="00A167D7"/>
    <w:rsid w:val="00A237C2"/>
    <w:rsid w:val="00A24B93"/>
    <w:rsid w:val="00A30406"/>
    <w:rsid w:val="00A332CF"/>
    <w:rsid w:val="00A373B4"/>
    <w:rsid w:val="00A42805"/>
    <w:rsid w:val="00A51170"/>
    <w:rsid w:val="00A51BF0"/>
    <w:rsid w:val="00A5213C"/>
    <w:rsid w:val="00A540DE"/>
    <w:rsid w:val="00A61AE2"/>
    <w:rsid w:val="00A6507E"/>
    <w:rsid w:val="00A653CC"/>
    <w:rsid w:val="00A67024"/>
    <w:rsid w:val="00A71DC5"/>
    <w:rsid w:val="00A73FE0"/>
    <w:rsid w:val="00A74F3B"/>
    <w:rsid w:val="00A76174"/>
    <w:rsid w:val="00A80243"/>
    <w:rsid w:val="00A80445"/>
    <w:rsid w:val="00A81E34"/>
    <w:rsid w:val="00A83741"/>
    <w:rsid w:val="00A83B68"/>
    <w:rsid w:val="00A9002F"/>
    <w:rsid w:val="00A968F4"/>
    <w:rsid w:val="00AA20DE"/>
    <w:rsid w:val="00AA521E"/>
    <w:rsid w:val="00AA53A3"/>
    <w:rsid w:val="00AA612C"/>
    <w:rsid w:val="00AB061C"/>
    <w:rsid w:val="00AB1106"/>
    <w:rsid w:val="00AB1E45"/>
    <w:rsid w:val="00AB4B8A"/>
    <w:rsid w:val="00AB5561"/>
    <w:rsid w:val="00AC1995"/>
    <w:rsid w:val="00AC3F09"/>
    <w:rsid w:val="00AD00DB"/>
    <w:rsid w:val="00AD0439"/>
    <w:rsid w:val="00AE3A13"/>
    <w:rsid w:val="00AE7B44"/>
    <w:rsid w:val="00AF1F05"/>
    <w:rsid w:val="00AF211D"/>
    <w:rsid w:val="00AF4065"/>
    <w:rsid w:val="00AF46CB"/>
    <w:rsid w:val="00B02AE4"/>
    <w:rsid w:val="00B0373A"/>
    <w:rsid w:val="00B05CD4"/>
    <w:rsid w:val="00B06D9E"/>
    <w:rsid w:val="00B10C69"/>
    <w:rsid w:val="00B13CFD"/>
    <w:rsid w:val="00B14165"/>
    <w:rsid w:val="00B1716A"/>
    <w:rsid w:val="00B17476"/>
    <w:rsid w:val="00B272AF"/>
    <w:rsid w:val="00B27E67"/>
    <w:rsid w:val="00B3070C"/>
    <w:rsid w:val="00B34BE1"/>
    <w:rsid w:val="00B374F4"/>
    <w:rsid w:val="00B37DE0"/>
    <w:rsid w:val="00B40975"/>
    <w:rsid w:val="00B41147"/>
    <w:rsid w:val="00B42F3B"/>
    <w:rsid w:val="00B464D8"/>
    <w:rsid w:val="00B4727D"/>
    <w:rsid w:val="00B47670"/>
    <w:rsid w:val="00B500A6"/>
    <w:rsid w:val="00B51C63"/>
    <w:rsid w:val="00B52008"/>
    <w:rsid w:val="00B546C5"/>
    <w:rsid w:val="00B56C84"/>
    <w:rsid w:val="00B61948"/>
    <w:rsid w:val="00B64D2D"/>
    <w:rsid w:val="00B6733C"/>
    <w:rsid w:val="00B67E89"/>
    <w:rsid w:val="00B7014B"/>
    <w:rsid w:val="00B70A58"/>
    <w:rsid w:val="00B715A5"/>
    <w:rsid w:val="00B71F78"/>
    <w:rsid w:val="00B7292D"/>
    <w:rsid w:val="00B74589"/>
    <w:rsid w:val="00B76325"/>
    <w:rsid w:val="00B83683"/>
    <w:rsid w:val="00B872D8"/>
    <w:rsid w:val="00B92E70"/>
    <w:rsid w:val="00B9709B"/>
    <w:rsid w:val="00BA10CD"/>
    <w:rsid w:val="00BA4FE0"/>
    <w:rsid w:val="00BA603D"/>
    <w:rsid w:val="00BA7E8B"/>
    <w:rsid w:val="00BB0C21"/>
    <w:rsid w:val="00BB19DF"/>
    <w:rsid w:val="00BB1ACB"/>
    <w:rsid w:val="00BB2566"/>
    <w:rsid w:val="00BB58FD"/>
    <w:rsid w:val="00BB7944"/>
    <w:rsid w:val="00BB7B2C"/>
    <w:rsid w:val="00BC3729"/>
    <w:rsid w:val="00BC3817"/>
    <w:rsid w:val="00BC5628"/>
    <w:rsid w:val="00BC74E0"/>
    <w:rsid w:val="00BC782B"/>
    <w:rsid w:val="00BD329C"/>
    <w:rsid w:val="00BD4E1F"/>
    <w:rsid w:val="00BD72EA"/>
    <w:rsid w:val="00BE2342"/>
    <w:rsid w:val="00BE439C"/>
    <w:rsid w:val="00BF0DC6"/>
    <w:rsid w:val="00C019B7"/>
    <w:rsid w:val="00C0376D"/>
    <w:rsid w:val="00C057D9"/>
    <w:rsid w:val="00C11D30"/>
    <w:rsid w:val="00C12934"/>
    <w:rsid w:val="00C129C5"/>
    <w:rsid w:val="00C12DDD"/>
    <w:rsid w:val="00C21CAF"/>
    <w:rsid w:val="00C2213F"/>
    <w:rsid w:val="00C228C7"/>
    <w:rsid w:val="00C24508"/>
    <w:rsid w:val="00C26459"/>
    <w:rsid w:val="00C32107"/>
    <w:rsid w:val="00C32692"/>
    <w:rsid w:val="00C36B10"/>
    <w:rsid w:val="00C406BD"/>
    <w:rsid w:val="00C4400F"/>
    <w:rsid w:val="00C47B97"/>
    <w:rsid w:val="00C50A6C"/>
    <w:rsid w:val="00C50F76"/>
    <w:rsid w:val="00C51AFE"/>
    <w:rsid w:val="00C5268E"/>
    <w:rsid w:val="00C53E68"/>
    <w:rsid w:val="00C558DB"/>
    <w:rsid w:val="00C568DF"/>
    <w:rsid w:val="00C5690D"/>
    <w:rsid w:val="00C57F8F"/>
    <w:rsid w:val="00C61131"/>
    <w:rsid w:val="00C727CD"/>
    <w:rsid w:val="00C73219"/>
    <w:rsid w:val="00C73276"/>
    <w:rsid w:val="00C760D8"/>
    <w:rsid w:val="00C76735"/>
    <w:rsid w:val="00C77900"/>
    <w:rsid w:val="00C85A76"/>
    <w:rsid w:val="00C902D8"/>
    <w:rsid w:val="00C90D18"/>
    <w:rsid w:val="00C916CF"/>
    <w:rsid w:val="00C93138"/>
    <w:rsid w:val="00C9409E"/>
    <w:rsid w:val="00C94122"/>
    <w:rsid w:val="00C96033"/>
    <w:rsid w:val="00C96A5B"/>
    <w:rsid w:val="00C96E24"/>
    <w:rsid w:val="00CA048E"/>
    <w:rsid w:val="00CA4A9C"/>
    <w:rsid w:val="00CB1C95"/>
    <w:rsid w:val="00CB3D95"/>
    <w:rsid w:val="00CB476F"/>
    <w:rsid w:val="00CB4854"/>
    <w:rsid w:val="00CB54C2"/>
    <w:rsid w:val="00CB594E"/>
    <w:rsid w:val="00CC48CC"/>
    <w:rsid w:val="00CC6A7F"/>
    <w:rsid w:val="00CC6ACA"/>
    <w:rsid w:val="00CD22E3"/>
    <w:rsid w:val="00CD3D22"/>
    <w:rsid w:val="00CD3EDE"/>
    <w:rsid w:val="00CD7273"/>
    <w:rsid w:val="00CD75BC"/>
    <w:rsid w:val="00CE1628"/>
    <w:rsid w:val="00CE38E3"/>
    <w:rsid w:val="00CE3B97"/>
    <w:rsid w:val="00CE64A1"/>
    <w:rsid w:val="00CF161D"/>
    <w:rsid w:val="00CF3C26"/>
    <w:rsid w:val="00CF5BB4"/>
    <w:rsid w:val="00D0077A"/>
    <w:rsid w:val="00D01295"/>
    <w:rsid w:val="00D033E1"/>
    <w:rsid w:val="00D03962"/>
    <w:rsid w:val="00D04104"/>
    <w:rsid w:val="00D12A7C"/>
    <w:rsid w:val="00D161E5"/>
    <w:rsid w:val="00D2493C"/>
    <w:rsid w:val="00D257FE"/>
    <w:rsid w:val="00D276AF"/>
    <w:rsid w:val="00D320EC"/>
    <w:rsid w:val="00D348CC"/>
    <w:rsid w:val="00D37C3A"/>
    <w:rsid w:val="00D448BA"/>
    <w:rsid w:val="00D50A13"/>
    <w:rsid w:val="00D543D9"/>
    <w:rsid w:val="00D559F0"/>
    <w:rsid w:val="00D571E1"/>
    <w:rsid w:val="00D60DFB"/>
    <w:rsid w:val="00D61DD5"/>
    <w:rsid w:val="00D644CD"/>
    <w:rsid w:val="00D718BC"/>
    <w:rsid w:val="00D8296E"/>
    <w:rsid w:val="00D86A7A"/>
    <w:rsid w:val="00D90121"/>
    <w:rsid w:val="00D92146"/>
    <w:rsid w:val="00D92CEA"/>
    <w:rsid w:val="00D94B51"/>
    <w:rsid w:val="00D97687"/>
    <w:rsid w:val="00DA1014"/>
    <w:rsid w:val="00DA1742"/>
    <w:rsid w:val="00DA376C"/>
    <w:rsid w:val="00DA4451"/>
    <w:rsid w:val="00DA5426"/>
    <w:rsid w:val="00DB18F4"/>
    <w:rsid w:val="00DB2E79"/>
    <w:rsid w:val="00DB4BA2"/>
    <w:rsid w:val="00DB6477"/>
    <w:rsid w:val="00DB6842"/>
    <w:rsid w:val="00DC3B09"/>
    <w:rsid w:val="00DC4837"/>
    <w:rsid w:val="00DD2D17"/>
    <w:rsid w:val="00DD3D1A"/>
    <w:rsid w:val="00DD3E79"/>
    <w:rsid w:val="00DD618C"/>
    <w:rsid w:val="00DE0D1D"/>
    <w:rsid w:val="00DE154F"/>
    <w:rsid w:val="00DE52D5"/>
    <w:rsid w:val="00DF0EBC"/>
    <w:rsid w:val="00DF3248"/>
    <w:rsid w:val="00DF7251"/>
    <w:rsid w:val="00E009A4"/>
    <w:rsid w:val="00E00D8A"/>
    <w:rsid w:val="00E01F6A"/>
    <w:rsid w:val="00E046EC"/>
    <w:rsid w:val="00E06ACA"/>
    <w:rsid w:val="00E10168"/>
    <w:rsid w:val="00E13F38"/>
    <w:rsid w:val="00E1739F"/>
    <w:rsid w:val="00E17D83"/>
    <w:rsid w:val="00E17E61"/>
    <w:rsid w:val="00E17F7D"/>
    <w:rsid w:val="00E302D8"/>
    <w:rsid w:val="00E3070E"/>
    <w:rsid w:val="00E313D2"/>
    <w:rsid w:val="00E32C26"/>
    <w:rsid w:val="00E33EAA"/>
    <w:rsid w:val="00E3430B"/>
    <w:rsid w:val="00E34A92"/>
    <w:rsid w:val="00E35A8F"/>
    <w:rsid w:val="00E414D2"/>
    <w:rsid w:val="00E424E3"/>
    <w:rsid w:val="00E43EBC"/>
    <w:rsid w:val="00E5008E"/>
    <w:rsid w:val="00E5111D"/>
    <w:rsid w:val="00E62D5A"/>
    <w:rsid w:val="00E6617A"/>
    <w:rsid w:val="00E67086"/>
    <w:rsid w:val="00E778D9"/>
    <w:rsid w:val="00E81237"/>
    <w:rsid w:val="00E81CB8"/>
    <w:rsid w:val="00E9001B"/>
    <w:rsid w:val="00E90583"/>
    <w:rsid w:val="00E93DF4"/>
    <w:rsid w:val="00E93EC0"/>
    <w:rsid w:val="00EA5FBD"/>
    <w:rsid w:val="00EA680F"/>
    <w:rsid w:val="00EC57CA"/>
    <w:rsid w:val="00EC60E7"/>
    <w:rsid w:val="00EC6FA1"/>
    <w:rsid w:val="00ED410A"/>
    <w:rsid w:val="00ED4366"/>
    <w:rsid w:val="00ED5EA4"/>
    <w:rsid w:val="00EE4E84"/>
    <w:rsid w:val="00EE54A4"/>
    <w:rsid w:val="00EE6C1B"/>
    <w:rsid w:val="00EF0567"/>
    <w:rsid w:val="00EF2F10"/>
    <w:rsid w:val="00EF765F"/>
    <w:rsid w:val="00F01DE9"/>
    <w:rsid w:val="00F03033"/>
    <w:rsid w:val="00F04CE3"/>
    <w:rsid w:val="00F138E8"/>
    <w:rsid w:val="00F15C38"/>
    <w:rsid w:val="00F1617A"/>
    <w:rsid w:val="00F21958"/>
    <w:rsid w:val="00F21D8E"/>
    <w:rsid w:val="00F31908"/>
    <w:rsid w:val="00F31CF5"/>
    <w:rsid w:val="00F35738"/>
    <w:rsid w:val="00F368BE"/>
    <w:rsid w:val="00F36AF1"/>
    <w:rsid w:val="00F37270"/>
    <w:rsid w:val="00F3742B"/>
    <w:rsid w:val="00F40295"/>
    <w:rsid w:val="00F41C2C"/>
    <w:rsid w:val="00F4576C"/>
    <w:rsid w:val="00F509CF"/>
    <w:rsid w:val="00F545E3"/>
    <w:rsid w:val="00F54B0E"/>
    <w:rsid w:val="00F56AB9"/>
    <w:rsid w:val="00F601F9"/>
    <w:rsid w:val="00F6041B"/>
    <w:rsid w:val="00F644ED"/>
    <w:rsid w:val="00F6497B"/>
    <w:rsid w:val="00F65099"/>
    <w:rsid w:val="00F6677D"/>
    <w:rsid w:val="00F66C2C"/>
    <w:rsid w:val="00F74E64"/>
    <w:rsid w:val="00F75BC4"/>
    <w:rsid w:val="00F76BD5"/>
    <w:rsid w:val="00F83CEE"/>
    <w:rsid w:val="00F90D4B"/>
    <w:rsid w:val="00F941D0"/>
    <w:rsid w:val="00FA74A9"/>
    <w:rsid w:val="00FB255D"/>
    <w:rsid w:val="00FC0C08"/>
    <w:rsid w:val="00FC26A7"/>
    <w:rsid w:val="00FC3841"/>
    <w:rsid w:val="00FC6645"/>
    <w:rsid w:val="00FD0336"/>
    <w:rsid w:val="00FD46EF"/>
    <w:rsid w:val="00FE00FE"/>
    <w:rsid w:val="00FE15ED"/>
    <w:rsid w:val="00FE3078"/>
    <w:rsid w:val="00FE745C"/>
    <w:rsid w:val="00FF16FF"/>
    <w:rsid w:val="00FF44FA"/>
    <w:rsid w:val="00FF4770"/>
    <w:rsid w:val="00FF4E50"/>
    <w:rsid w:val="00FF5B1A"/>
    <w:rsid w:val="00FF61FD"/>
    <w:rsid w:val="00FF6E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99294"/>
  <w15:docId w15:val="{C7E2C118-A2C5-4EF0-8E69-EEF70459F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C1B"/>
    <w:pPr>
      <w:spacing w:after="200" w:line="360" w:lineRule="auto"/>
      <w:jc w:val="both"/>
    </w:pPr>
    <w:rPr>
      <w:rFonts w:ascii="Arial" w:eastAsia="Times New Roman" w:hAnsi="Arial" w:cs="Arial"/>
      <w:color w:val="000000"/>
      <w:sz w:val="24"/>
      <w:szCs w:val="24"/>
      <w:lang w:val="en-GB" w:eastAsia="en-IN"/>
    </w:rPr>
  </w:style>
  <w:style w:type="paragraph" w:styleId="Heading1">
    <w:name w:val="heading 1"/>
    <w:basedOn w:val="Normal"/>
    <w:next w:val="Normal"/>
    <w:link w:val="Heading1Char"/>
    <w:autoRedefine/>
    <w:uiPriority w:val="9"/>
    <w:qFormat/>
    <w:rsid w:val="0085304F"/>
    <w:pPr>
      <w:keepNext/>
      <w:keepLines/>
      <w:outlineLvl w:val="0"/>
    </w:pPr>
    <w:rPr>
      <w:rFonts w:eastAsiaTheme="majorEastAsia"/>
      <w:b/>
      <w:color w:val="auto"/>
    </w:rPr>
  </w:style>
  <w:style w:type="paragraph" w:styleId="Heading2">
    <w:name w:val="heading 2"/>
    <w:basedOn w:val="Normal"/>
    <w:next w:val="Normal"/>
    <w:link w:val="Heading2Char"/>
    <w:autoRedefine/>
    <w:uiPriority w:val="9"/>
    <w:unhideWhenUsed/>
    <w:qFormat/>
    <w:rsid w:val="00CB1C95"/>
    <w:pPr>
      <w:keepNext/>
      <w:keepLines/>
      <w:spacing w:before="360"/>
      <w:outlineLvl w:val="1"/>
    </w:pPr>
    <w:rPr>
      <w:rFonts w:eastAsiaTheme="majorEastAsia" w:cstheme="majorBidi"/>
      <w:b/>
      <w:bCs/>
      <w:iCs/>
    </w:rPr>
  </w:style>
  <w:style w:type="paragraph" w:styleId="Heading3">
    <w:name w:val="heading 3"/>
    <w:basedOn w:val="Normal"/>
    <w:next w:val="Normal"/>
    <w:link w:val="Heading3Char"/>
    <w:autoRedefine/>
    <w:uiPriority w:val="9"/>
    <w:unhideWhenUsed/>
    <w:qFormat/>
    <w:rsid w:val="00E43EBC"/>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04F"/>
    <w:rPr>
      <w:rFonts w:ascii="Arial" w:eastAsiaTheme="majorEastAsia" w:hAnsi="Arial" w:cs="Arial"/>
      <w:b/>
      <w:sz w:val="24"/>
      <w:szCs w:val="24"/>
      <w:lang w:val="en-GB" w:eastAsia="en-IN"/>
    </w:rPr>
  </w:style>
  <w:style w:type="character" w:customStyle="1" w:styleId="Heading2Char">
    <w:name w:val="Heading 2 Char"/>
    <w:basedOn w:val="DefaultParagraphFont"/>
    <w:link w:val="Heading2"/>
    <w:uiPriority w:val="9"/>
    <w:rsid w:val="00CB1C95"/>
    <w:rPr>
      <w:rFonts w:ascii="Arial" w:eastAsiaTheme="majorEastAsia" w:hAnsi="Arial" w:cstheme="majorBidi"/>
      <w:b/>
      <w:bCs/>
      <w:iCs/>
      <w:color w:val="000000"/>
      <w:sz w:val="24"/>
      <w:szCs w:val="24"/>
      <w:lang w:eastAsia="en-IN"/>
    </w:rPr>
  </w:style>
  <w:style w:type="paragraph" w:styleId="Caption">
    <w:name w:val="caption"/>
    <w:basedOn w:val="Normal"/>
    <w:next w:val="Normal"/>
    <w:autoRedefine/>
    <w:uiPriority w:val="35"/>
    <w:unhideWhenUsed/>
    <w:qFormat/>
    <w:rsid w:val="00CB1C95"/>
    <w:pPr>
      <w:jc w:val="center"/>
    </w:pPr>
    <w:rPr>
      <w:rFonts w:cs="Times New Roman"/>
      <w:b/>
      <w:bCs/>
      <w:szCs w:val="18"/>
    </w:rPr>
  </w:style>
  <w:style w:type="character" w:customStyle="1" w:styleId="Heading3Char">
    <w:name w:val="Heading 3 Char"/>
    <w:basedOn w:val="DefaultParagraphFont"/>
    <w:link w:val="Heading3"/>
    <w:uiPriority w:val="9"/>
    <w:rsid w:val="00E43EBC"/>
    <w:rPr>
      <w:rFonts w:ascii="Times New Roman" w:eastAsiaTheme="majorEastAsia" w:hAnsi="Times New Roman" w:cstheme="majorBidi"/>
      <w:b/>
      <w:bCs/>
      <w:i/>
      <w:sz w:val="24"/>
      <w:lang w:val="en-GB"/>
    </w:rPr>
  </w:style>
  <w:style w:type="paragraph" w:styleId="TOCHeading">
    <w:name w:val="TOC Heading"/>
    <w:basedOn w:val="Heading1"/>
    <w:next w:val="Normal"/>
    <w:uiPriority w:val="39"/>
    <w:unhideWhenUsed/>
    <w:qFormat/>
    <w:rsid w:val="00495D39"/>
    <w:pPr>
      <w:spacing w:after="0" w:line="276" w:lineRule="auto"/>
      <w:jc w:val="left"/>
      <w:outlineLvl w:val="9"/>
    </w:pPr>
    <w:rPr>
      <w:rFonts w:asciiTheme="majorHAnsi" w:hAnsiTheme="majorHAnsi"/>
      <w:bCs/>
      <w:color w:val="2F5496" w:themeColor="accent1" w:themeShade="BF"/>
      <w:sz w:val="28"/>
      <w:szCs w:val="28"/>
      <w:lang w:val="en-US"/>
    </w:rPr>
  </w:style>
  <w:style w:type="paragraph" w:styleId="BalloonText">
    <w:name w:val="Balloon Text"/>
    <w:basedOn w:val="Normal"/>
    <w:link w:val="BalloonTextChar"/>
    <w:uiPriority w:val="99"/>
    <w:semiHidden/>
    <w:unhideWhenUsed/>
    <w:rsid w:val="00495D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D39"/>
    <w:rPr>
      <w:rFonts w:ascii="Tahoma" w:hAnsi="Tahoma" w:cs="Tahoma"/>
      <w:sz w:val="16"/>
      <w:szCs w:val="16"/>
      <w:lang w:val="en-GB"/>
    </w:rPr>
  </w:style>
  <w:style w:type="paragraph" w:styleId="TOC1">
    <w:name w:val="toc 1"/>
    <w:basedOn w:val="Normal"/>
    <w:next w:val="Normal"/>
    <w:autoRedefine/>
    <w:uiPriority w:val="39"/>
    <w:unhideWhenUsed/>
    <w:rsid w:val="00495D39"/>
    <w:pPr>
      <w:spacing w:after="100"/>
    </w:pPr>
  </w:style>
  <w:style w:type="character" w:styleId="Hyperlink">
    <w:name w:val="Hyperlink"/>
    <w:basedOn w:val="DefaultParagraphFont"/>
    <w:uiPriority w:val="99"/>
    <w:unhideWhenUsed/>
    <w:rsid w:val="00495D39"/>
    <w:rPr>
      <w:color w:val="0563C1" w:themeColor="hyperlink"/>
      <w:u w:val="single"/>
    </w:rPr>
  </w:style>
  <w:style w:type="paragraph" w:styleId="TOC2">
    <w:name w:val="toc 2"/>
    <w:basedOn w:val="Normal"/>
    <w:next w:val="Normal"/>
    <w:autoRedefine/>
    <w:uiPriority w:val="39"/>
    <w:unhideWhenUsed/>
    <w:rsid w:val="00495D39"/>
    <w:pPr>
      <w:spacing w:after="100"/>
      <w:ind w:left="240"/>
    </w:pPr>
  </w:style>
  <w:style w:type="paragraph" w:styleId="Header">
    <w:name w:val="header"/>
    <w:basedOn w:val="Normal"/>
    <w:link w:val="HeaderChar"/>
    <w:uiPriority w:val="99"/>
    <w:unhideWhenUsed/>
    <w:rsid w:val="00495D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5D39"/>
    <w:rPr>
      <w:rFonts w:ascii="Times New Roman" w:hAnsi="Times New Roman"/>
      <w:sz w:val="24"/>
      <w:lang w:val="en-GB"/>
    </w:rPr>
  </w:style>
  <w:style w:type="paragraph" w:styleId="Footer">
    <w:name w:val="footer"/>
    <w:basedOn w:val="Normal"/>
    <w:link w:val="FooterChar"/>
    <w:uiPriority w:val="99"/>
    <w:unhideWhenUsed/>
    <w:rsid w:val="00495D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5D39"/>
    <w:rPr>
      <w:rFonts w:ascii="Times New Roman" w:hAnsi="Times New Roman"/>
      <w:sz w:val="24"/>
      <w:lang w:val="en-GB"/>
    </w:rPr>
  </w:style>
  <w:style w:type="paragraph" w:styleId="NoSpacing">
    <w:name w:val="No Spacing"/>
    <w:link w:val="NoSpacingChar"/>
    <w:uiPriority w:val="1"/>
    <w:qFormat/>
    <w:rsid w:val="00495D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5D39"/>
    <w:rPr>
      <w:rFonts w:eastAsiaTheme="minorEastAsia"/>
      <w:lang w:val="en-US"/>
    </w:rPr>
  </w:style>
  <w:style w:type="paragraph" w:styleId="NormalWeb">
    <w:name w:val="Normal (Web)"/>
    <w:basedOn w:val="Normal"/>
    <w:uiPriority w:val="99"/>
    <w:semiHidden/>
    <w:unhideWhenUsed/>
    <w:rsid w:val="00EE6C1B"/>
    <w:pPr>
      <w:spacing w:before="100" w:beforeAutospacing="1" w:after="100" w:afterAutospacing="1" w:line="240" w:lineRule="auto"/>
      <w:jc w:val="left"/>
    </w:pPr>
    <w:rPr>
      <w:rFonts w:cs="Times New Roman"/>
    </w:rPr>
  </w:style>
  <w:style w:type="paragraph" w:styleId="ListParagraph">
    <w:name w:val="List Paragraph"/>
    <w:basedOn w:val="Normal"/>
    <w:uiPriority w:val="34"/>
    <w:qFormat/>
    <w:rsid w:val="00A51170"/>
    <w:pPr>
      <w:ind w:left="720"/>
      <w:contextualSpacing/>
    </w:pPr>
  </w:style>
  <w:style w:type="character" w:customStyle="1" w:styleId="UnresolvedMention1">
    <w:name w:val="Unresolved Mention1"/>
    <w:basedOn w:val="DefaultParagraphFont"/>
    <w:uiPriority w:val="99"/>
    <w:semiHidden/>
    <w:unhideWhenUsed/>
    <w:rsid w:val="00CD7273"/>
    <w:rPr>
      <w:color w:val="605E5C"/>
      <w:shd w:val="clear" w:color="auto" w:fill="E1DFDD"/>
    </w:rPr>
  </w:style>
  <w:style w:type="character" w:styleId="FollowedHyperlink">
    <w:name w:val="FollowedHyperlink"/>
    <w:basedOn w:val="DefaultParagraphFont"/>
    <w:uiPriority w:val="99"/>
    <w:semiHidden/>
    <w:unhideWhenUsed/>
    <w:rsid w:val="00480ED2"/>
    <w:rPr>
      <w:color w:val="954F72" w:themeColor="followedHyperlink"/>
      <w:u w:val="single"/>
    </w:rPr>
  </w:style>
  <w:style w:type="paragraph" w:styleId="TableofFigures">
    <w:name w:val="table of figures"/>
    <w:basedOn w:val="Normal"/>
    <w:next w:val="Normal"/>
    <w:uiPriority w:val="99"/>
    <w:unhideWhenUsed/>
    <w:rsid w:val="00364D64"/>
    <w:pPr>
      <w:spacing w:after="0"/>
    </w:pPr>
  </w:style>
  <w:style w:type="character" w:customStyle="1" w:styleId="UnresolvedMention2">
    <w:name w:val="Unresolved Mention2"/>
    <w:basedOn w:val="DefaultParagraphFont"/>
    <w:uiPriority w:val="99"/>
    <w:semiHidden/>
    <w:unhideWhenUsed/>
    <w:rsid w:val="005530A0"/>
    <w:rPr>
      <w:color w:val="605E5C"/>
      <w:shd w:val="clear" w:color="auto" w:fill="E1DFDD"/>
    </w:rPr>
  </w:style>
  <w:style w:type="character" w:styleId="CommentReference">
    <w:name w:val="annotation reference"/>
    <w:basedOn w:val="DefaultParagraphFont"/>
    <w:uiPriority w:val="99"/>
    <w:semiHidden/>
    <w:unhideWhenUsed/>
    <w:rsid w:val="008B70FD"/>
    <w:rPr>
      <w:sz w:val="16"/>
      <w:szCs w:val="16"/>
    </w:rPr>
  </w:style>
  <w:style w:type="paragraph" w:styleId="CommentText">
    <w:name w:val="annotation text"/>
    <w:basedOn w:val="Normal"/>
    <w:link w:val="CommentTextChar"/>
    <w:uiPriority w:val="99"/>
    <w:unhideWhenUsed/>
    <w:rsid w:val="008B70FD"/>
    <w:pPr>
      <w:spacing w:line="240" w:lineRule="auto"/>
    </w:pPr>
    <w:rPr>
      <w:sz w:val="20"/>
      <w:szCs w:val="20"/>
    </w:rPr>
  </w:style>
  <w:style w:type="character" w:customStyle="1" w:styleId="CommentTextChar">
    <w:name w:val="Comment Text Char"/>
    <w:basedOn w:val="DefaultParagraphFont"/>
    <w:link w:val="CommentText"/>
    <w:uiPriority w:val="99"/>
    <w:rsid w:val="008B70FD"/>
    <w:rPr>
      <w:rFonts w:ascii="Arial" w:eastAsia="Times New Roman" w:hAnsi="Arial" w:cs="Arial"/>
      <w:color w:val="000000"/>
      <w:sz w:val="20"/>
      <w:szCs w:val="20"/>
      <w:lang w:val="en-GB" w:eastAsia="en-IN"/>
    </w:rPr>
  </w:style>
  <w:style w:type="paragraph" w:styleId="CommentSubject">
    <w:name w:val="annotation subject"/>
    <w:basedOn w:val="CommentText"/>
    <w:next w:val="CommentText"/>
    <w:link w:val="CommentSubjectChar"/>
    <w:uiPriority w:val="99"/>
    <w:semiHidden/>
    <w:unhideWhenUsed/>
    <w:rsid w:val="008B70FD"/>
    <w:rPr>
      <w:b/>
      <w:bCs/>
    </w:rPr>
  </w:style>
  <w:style w:type="character" w:customStyle="1" w:styleId="CommentSubjectChar">
    <w:name w:val="Comment Subject Char"/>
    <w:basedOn w:val="CommentTextChar"/>
    <w:link w:val="CommentSubject"/>
    <w:uiPriority w:val="99"/>
    <w:semiHidden/>
    <w:rsid w:val="008B70FD"/>
    <w:rPr>
      <w:rFonts w:ascii="Arial" w:eastAsia="Times New Roman" w:hAnsi="Arial" w:cs="Arial"/>
      <w:b/>
      <w:bCs/>
      <w:color w:val="000000"/>
      <w:sz w:val="20"/>
      <w:szCs w:val="20"/>
      <w:lang w:val="en-GB" w:eastAsia="en-IN"/>
    </w:rPr>
  </w:style>
  <w:style w:type="character" w:styleId="UnresolvedMention">
    <w:name w:val="Unresolved Mention"/>
    <w:basedOn w:val="DefaultParagraphFont"/>
    <w:uiPriority w:val="99"/>
    <w:semiHidden/>
    <w:unhideWhenUsed/>
    <w:rsid w:val="00DA17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63156">
      <w:bodyDiv w:val="1"/>
      <w:marLeft w:val="0"/>
      <w:marRight w:val="0"/>
      <w:marTop w:val="0"/>
      <w:marBottom w:val="0"/>
      <w:divBdr>
        <w:top w:val="none" w:sz="0" w:space="0" w:color="auto"/>
        <w:left w:val="none" w:sz="0" w:space="0" w:color="auto"/>
        <w:bottom w:val="none" w:sz="0" w:space="0" w:color="auto"/>
        <w:right w:val="none" w:sz="0" w:space="0" w:color="auto"/>
      </w:divBdr>
    </w:div>
    <w:div w:id="296567162">
      <w:bodyDiv w:val="1"/>
      <w:marLeft w:val="0"/>
      <w:marRight w:val="0"/>
      <w:marTop w:val="0"/>
      <w:marBottom w:val="0"/>
      <w:divBdr>
        <w:top w:val="none" w:sz="0" w:space="0" w:color="auto"/>
        <w:left w:val="none" w:sz="0" w:space="0" w:color="auto"/>
        <w:bottom w:val="none" w:sz="0" w:space="0" w:color="auto"/>
        <w:right w:val="none" w:sz="0" w:space="0" w:color="auto"/>
      </w:divBdr>
    </w:div>
    <w:div w:id="369694975">
      <w:bodyDiv w:val="1"/>
      <w:marLeft w:val="0"/>
      <w:marRight w:val="0"/>
      <w:marTop w:val="0"/>
      <w:marBottom w:val="0"/>
      <w:divBdr>
        <w:top w:val="none" w:sz="0" w:space="0" w:color="auto"/>
        <w:left w:val="none" w:sz="0" w:space="0" w:color="auto"/>
        <w:bottom w:val="none" w:sz="0" w:space="0" w:color="auto"/>
        <w:right w:val="none" w:sz="0" w:space="0" w:color="auto"/>
      </w:divBdr>
    </w:div>
    <w:div w:id="399906502">
      <w:bodyDiv w:val="1"/>
      <w:marLeft w:val="0"/>
      <w:marRight w:val="0"/>
      <w:marTop w:val="0"/>
      <w:marBottom w:val="0"/>
      <w:divBdr>
        <w:top w:val="none" w:sz="0" w:space="0" w:color="auto"/>
        <w:left w:val="none" w:sz="0" w:space="0" w:color="auto"/>
        <w:bottom w:val="none" w:sz="0" w:space="0" w:color="auto"/>
        <w:right w:val="none" w:sz="0" w:space="0" w:color="auto"/>
      </w:divBdr>
    </w:div>
    <w:div w:id="455682663">
      <w:bodyDiv w:val="1"/>
      <w:marLeft w:val="0"/>
      <w:marRight w:val="0"/>
      <w:marTop w:val="0"/>
      <w:marBottom w:val="0"/>
      <w:divBdr>
        <w:top w:val="none" w:sz="0" w:space="0" w:color="auto"/>
        <w:left w:val="none" w:sz="0" w:space="0" w:color="auto"/>
        <w:bottom w:val="none" w:sz="0" w:space="0" w:color="auto"/>
        <w:right w:val="none" w:sz="0" w:space="0" w:color="auto"/>
      </w:divBdr>
    </w:div>
    <w:div w:id="491600161">
      <w:bodyDiv w:val="1"/>
      <w:marLeft w:val="0"/>
      <w:marRight w:val="0"/>
      <w:marTop w:val="0"/>
      <w:marBottom w:val="0"/>
      <w:divBdr>
        <w:top w:val="none" w:sz="0" w:space="0" w:color="auto"/>
        <w:left w:val="none" w:sz="0" w:space="0" w:color="auto"/>
        <w:bottom w:val="none" w:sz="0" w:space="0" w:color="auto"/>
        <w:right w:val="none" w:sz="0" w:space="0" w:color="auto"/>
      </w:divBdr>
    </w:div>
    <w:div w:id="662045070">
      <w:bodyDiv w:val="1"/>
      <w:marLeft w:val="0"/>
      <w:marRight w:val="0"/>
      <w:marTop w:val="0"/>
      <w:marBottom w:val="0"/>
      <w:divBdr>
        <w:top w:val="none" w:sz="0" w:space="0" w:color="auto"/>
        <w:left w:val="none" w:sz="0" w:space="0" w:color="auto"/>
        <w:bottom w:val="none" w:sz="0" w:space="0" w:color="auto"/>
        <w:right w:val="none" w:sz="0" w:space="0" w:color="auto"/>
      </w:divBdr>
    </w:div>
    <w:div w:id="741367798">
      <w:bodyDiv w:val="1"/>
      <w:marLeft w:val="0"/>
      <w:marRight w:val="0"/>
      <w:marTop w:val="0"/>
      <w:marBottom w:val="0"/>
      <w:divBdr>
        <w:top w:val="none" w:sz="0" w:space="0" w:color="auto"/>
        <w:left w:val="none" w:sz="0" w:space="0" w:color="auto"/>
        <w:bottom w:val="none" w:sz="0" w:space="0" w:color="auto"/>
        <w:right w:val="none" w:sz="0" w:space="0" w:color="auto"/>
      </w:divBdr>
    </w:div>
    <w:div w:id="864247588">
      <w:bodyDiv w:val="1"/>
      <w:marLeft w:val="0"/>
      <w:marRight w:val="0"/>
      <w:marTop w:val="0"/>
      <w:marBottom w:val="0"/>
      <w:divBdr>
        <w:top w:val="none" w:sz="0" w:space="0" w:color="auto"/>
        <w:left w:val="none" w:sz="0" w:space="0" w:color="auto"/>
        <w:bottom w:val="none" w:sz="0" w:space="0" w:color="auto"/>
        <w:right w:val="none" w:sz="0" w:space="0" w:color="auto"/>
      </w:divBdr>
    </w:div>
    <w:div w:id="918365169">
      <w:bodyDiv w:val="1"/>
      <w:marLeft w:val="0"/>
      <w:marRight w:val="0"/>
      <w:marTop w:val="0"/>
      <w:marBottom w:val="0"/>
      <w:divBdr>
        <w:top w:val="none" w:sz="0" w:space="0" w:color="auto"/>
        <w:left w:val="none" w:sz="0" w:space="0" w:color="auto"/>
        <w:bottom w:val="none" w:sz="0" w:space="0" w:color="auto"/>
        <w:right w:val="none" w:sz="0" w:space="0" w:color="auto"/>
      </w:divBdr>
    </w:div>
    <w:div w:id="1081442268">
      <w:bodyDiv w:val="1"/>
      <w:marLeft w:val="0"/>
      <w:marRight w:val="0"/>
      <w:marTop w:val="0"/>
      <w:marBottom w:val="0"/>
      <w:divBdr>
        <w:top w:val="none" w:sz="0" w:space="0" w:color="auto"/>
        <w:left w:val="none" w:sz="0" w:space="0" w:color="auto"/>
        <w:bottom w:val="none" w:sz="0" w:space="0" w:color="auto"/>
        <w:right w:val="none" w:sz="0" w:space="0" w:color="auto"/>
      </w:divBdr>
    </w:div>
    <w:div w:id="1248808723">
      <w:bodyDiv w:val="1"/>
      <w:marLeft w:val="0"/>
      <w:marRight w:val="0"/>
      <w:marTop w:val="0"/>
      <w:marBottom w:val="0"/>
      <w:divBdr>
        <w:top w:val="none" w:sz="0" w:space="0" w:color="auto"/>
        <w:left w:val="none" w:sz="0" w:space="0" w:color="auto"/>
        <w:bottom w:val="none" w:sz="0" w:space="0" w:color="auto"/>
        <w:right w:val="none" w:sz="0" w:space="0" w:color="auto"/>
      </w:divBdr>
    </w:div>
    <w:div w:id="1345547112">
      <w:bodyDiv w:val="1"/>
      <w:marLeft w:val="0"/>
      <w:marRight w:val="0"/>
      <w:marTop w:val="0"/>
      <w:marBottom w:val="0"/>
      <w:divBdr>
        <w:top w:val="none" w:sz="0" w:space="0" w:color="auto"/>
        <w:left w:val="none" w:sz="0" w:space="0" w:color="auto"/>
        <w:bottom w:val="none" w:sz="0" w:space="0" w:color="auto"/>
        <w:right w:val="none" w:sz="0" w:space="0" w:color="auto"/>
      </w:divBdr>
    </w:div>
    <w:div w:id="1423642100">
      <w:bodyDiv w:val="1"/>
      <w:marLeft w:val="0"/>
      <w:marRight w:val="0"/>
      <w:marTop w:val="0"/>
      <w:marBottom w:val="0"/>
      <w:divBdr>
        <w:top w:val="none" w:sz="0" w:space="0" w:color="auto"/>
        <w:left w:val="none" w:sz="0" w:space="0" w:color="auto"/>
        <w:bottom w:val="none" w:sz="0" w:space="0" w:color="auto"/>
        <w:right w:val="none" w:sz="0" w:space="0" w:color="auto"/>
      </w:divBdr>
    </w:div>
    <w:div w:id="1577278605">
      <w:bodyDiv w:val="1"/>
      <w:marLeft w:val="0"/>
      <w:marRight w:val="0"/>
      <w:marTop w:val="0"/>
      <w:marBottom w:val="0"/>
      <w:divBdr>
        <w:top w:val="none" w:sz="0" w:space="0" w:color="auto"/>
        <w:left w:val="none" w:sz="0" w:space="0" w:color="auto"/>
        <w:bottom w:val="none" w:sz="0" w:space="0" w:color="auto"/>
        <w:right w:val="none" w:sz="0" w:space="0" w:color="auto"/>
      </w:divBdr>
    </w:div>
    <w:div w:id="1582519993">
      <w:bodyDiv w:val="1"/>
      <w:marLeft w:val="0"/>
      <w:marRight w:val="0"/>
      <w:marTop w:val="0"/>
      <w:marBottom w:val="0"/>
      <w:divBdr>
        <w:top w:val="none" w:sz="0" w:space="0" w:color="auto"/>
        <w:left w:val="none" w:sz="0" w:space="0" w:color="auto"/>
        <w:bottom w:val="none" w:sz="0" w:space="0" w:color="auto"/>
        <w:right w:val="none" w:sz="0" w:space="0" w:color="auto"/>
      </w:divBdr>
      <w:divsChild>
        <w:div w:id="650716782">
          <w:marLeft w:val="0"/>
          <w:marRight w:val="0"/>
          <w:marTop w:val="0"/>
          <w:marBottom w:val="0"/>
          <w:divBdr>
            <w:top w:val="none" w:sz="0" w:space="0" w:color="auto"/>
            <w:left w:val="none" w:sz="0" w:space="0" w:color="auto"/>
            <w:bottom w:val="none" w:sz="0" w:space="0" w:color="auto"/>
            <w:right w:val="none" w:sz="0" w:space="0" w:color="auto"/>
          </w:divBdr>
        </w:div>
      </w:divsChild>
    </w:div>
    <w:div w:id="1756591986">
      <w:bodyDiv w:val="1"/>
      <w:marLeft w:val="0"/>
      <w:marRight w:val="0"/>
      <w:marTop w:val="0"/>
      <w:marBottom w:val="0"/>
      <w:divBdr>
        <w:top w:val="none" w:sz="0" w:space="0" w:color="auto"/>
        <w:left w:val="none" w:sz="0" w:space="0" w:color="auto"/>
        <w:bottom w:val="none" w:sz="0" w:space="0" w:color="auto"/>
        <w:right w:val="none" w:sz="0" w:space="0" w:color="auto"/>
      </w:divBdr>
      <w:divsChild>
        <w:div w:id="384716992">
          <w:marLeft w:val="0"/>
          <w:marRight w:val="0"/>
          <w:marTop w:val="0"/>
          <w:marBottom w:val="0"/>
          <w:divBdr>
            <w:top w:val="none" w:sz="0" w:space="0" w:color="auto"/>
            <w:left w:val="none" w:sz="0" w:space="0" w:color="auto"/>
            <w:bottom w:val="none" w:sz="0" w:space="0" w:color="auto"/>
            <w:right w:val="none" w:sz="0" w:space="0" w:color="auto"/>
          </w:divBdr>
        </w:div>
      </w:divsChild>
    </w:div>
    <w:div w:id="1860000516">
      <w:bodyDiv w:val="1"/>
      <w:marLeft w:val="0"/>
      <w:marRight w:val="0"/>
      <w:marTop w:val="0"/>
      <w:marBottom w:val="0"/>
      <w:divBdr>
        <w:top w:val="none" w:sz="0" w:space="0" w:color="auto"/>
        <w:left w:val="none" w:sz="0" w:space="0" w:color="auto"/>
        <w:bottom w:val="none" w:sz="0" w:space="0" w:color="auto"/>
        <w:right w:val="none" w:sz="0" w:space="0" w:color="auto"/>
      </w:divBdr>
      <w:divsChild>
        <w:div w:id="1222444245">
          <w:marLeft w:val="0"/>
          <w:marRight w:val="0"/>
          <w:marTop w:val="0"/>
          <w:marBottom w:val="0"/>
          <w:divBdr>
            <w:top w:val="none" w:sz="0" w:space="0" w:color="auto"/>
            <w:left w:val="none" w:sz="0" w:space="0" w:color="auto"/>
            <w:bottom w:val="none" w:sz="0" w:space="0" w:color="auto"/>
            <w:right w:val="none" w:sz="0" w:space="0" w:color="auto"/>
          </w:divBdr>
        </w:div>
      </w:divsChild>
    </w:div>
    <w:div w:id="2013138618">
      <w:bodyDiv w:val="1"/>
      <w:marLeft w:val="0"/>
      <w:marRight w:val="0"/>
      <w:marTop w:val="0"/>
      <w:marBottom w:val="0"/>
      <w:divBdr>
        <w:top w:val="none" w:sz="0" w:space="0" w:color="auto"/>
        <w:left w:val="none" w:sz="0" w:space="0" w:color="auto"/>
        <w:bottom w:val="none" w:sz="0" w:space="0" w:color="auto"/>
        <w:right w:val="none" w:sz="0" w:space="0" w:color="auto"/>
      </w:divBdr>
      <w:divsChild>
        <w:div w:id="20455225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arthritis-uk.org/about-us/contact-us/press-centre/press-releases/pioneering-study-sets-out-to-answer-why-osteoarthritis-impacts-patients-differently/" TargetMode="External"/><Relationship Id="rId39" Type="http://schemas.openxmlformats.org/officeDocument/2006/relationships/hyperlink" Target="https://www.england.nhs.uk/integratedcare/what-is-integrated-care/" TargetMode="External"/><Relationship Id="rId21" Type="http://schemas.openxmlformats.org/officeDocument/2006/relationships/image" Target="media/image10.png"/><Relationship Id="rId34" Type="http://schemas.openxmlformats.org/officeDocument/2006/relationships/hyperlink" Target="https://doi.org/10.1002/acr.24581" TargetMode="External"/><Relationship Id="rId42" Type="http://schemas.openxmlformats.org/officeDocument/2006/relationships/hyperlink" Target="https://doi.org/10.3390/jcm13041132" TargetMode="External"/><Relationship Id="rId47" Type="http://schemas.openxmlformats.org/officeDocument/2006/relationships/hyperlink" Target="https://doi.org/10.3399/BJGP.2022.0419" TargetMode="External"/><Relationship Id="rId50" Type="http://schemas.openxmlformats.org/officeDocument/2006/relationships/hyperlink" Target="https://acmedsci.ac.uk/file-download/3017408" TargetMode="External"/><Relationship Id="rId55" Type="http://schemas.openxmlformats.org/officeDocument/2006/relationships/hyperlink" Target="https://doi.org/10.1080/17453674.2020.1836677"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gov.uk/government/publications/joint-strategic-needs-assessment-and-joint-health-and-wellbeing-strategies-explained" TargetMode="External"/><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hyperlink" Target="https://doi.org/10.3390/disabilities6020033" TargetMode="External"/><Relationship Id="rId37" Type="http://schemas.openxmlformats.org/officeDocument/2006/relationships/hyperlink" Target="https://www.nhs.uk/conditions/osteoarthritis/" TargetMode="External"/><Relationship Id="rId40" Type="http://schemas.openxmlformats.org/officeDocument/2006/relationships/hyperlink" Target="https://www.nice.org.uk/guidance/ng226/chapter/Recommendations" TargetMode="External"/><Relationship Id="rId45" Type="http://schemas.openxmlformats.org/officeDocument/2006/relationships/hyperlink" Target="https://doi.org/10.1080/13696998.2023.2245298" TargetMode="External"/><Relationship Id="rId53" Type="http://schemas.openxmlformats.org/officeDocument/2006/relationships/hyperlink" Target="https://www.arthritis-uk.org/media/23739/chronic-pain-report-june2021.pdf"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onlinelibrary.wiley.com/doi/10.1002/msc.1739" TargetMode="External"/><Relationship Id="rId30" Type="http://schemas.openxmlformats.org/officeDocument/2006/relationships/hyperlink" Target="https://www.kingsfund.org.uk/insight-and-analysis/reports/better-services-people-long-term-conditions" TargetMode="External"/><Relationship Id="rId35" Type="http://schemas.openxmlformats.org/officeDocument/2006/relationships/hyperlink" Target="https://www.legislation.gov.uk/ukpga/2014/23/contents" TargetMode="External"/><Relationship Id="rId43" Type="http://schemas.openxmlformats.org/officeDocument/2006/relationships/hyperlink" Target="https://doi.org/10.2196/15365" TargetMode="External"/><Relationship Id="rId48" Type="http://schemas.openxmlformats.org/officeDocument/2006/relationships/hyperlink" Target="https://doi.org/10.1016/j.joca.2020.03.004" TargetMode="External"/><Relationship Id="rId56" Type="http://schemas.openxmlformats.org/officeDocument/2006/relationships/hyperlink" Target="https://doi.org/10.3390/jcm13040987" TargetMode="External"/><Relationship Id="rId8" Type="http://schemas.openxmlformats.org/officeDocument/2006/relationships/webSettings" Target="webSettings.xml"/><Relationship Id="rId51" Type="http://schemas.openxmlformats.org/officeDocument/2006/relationships/hyperlink" Target="https://doi.org/10.1016/s2665-9913(23)00163-7"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acrabstracts.org/abstract/trends-in-incidence-and-prevalence-of-osteoarthritis-in-the-united-kingdom-findings-from-the-clinical-practice-research-datalink-cprd/" TargetMode="External"/><Relationship Id="rId33" Type="http://schemas.openxmlformats.org/officeDocument/2006/relationships/hyperlink" Target="https://doi.org/10.3899/jrheum.2023-0819" TargetMode="External"/><Relationship Id="rId38" Type="http://schemas.openxmlformats.org/officeDocument/2006/relationships/hyperlink" Target="https://www.england.nhs.uk/2019/01/long-term-plan/" TargetMode="External"/><Relationship Id="rId46" Type="http://schemas.openxmlformats.org/officeDocument/2006/relationships/hyperlink" Target="https://doi.org/10.7759/cureus.56817" TargetMode="External"/><Relationship Id="rId59"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https://www.nice.org.uk/guidance/ng226/chapter/Recommendations" TargetMode="External"/><Relationship Id="rId54" Type="http://schemas.openxmlformats.org/officeDocument/2006/relationships/hyperlink" Target="https://doi.org/10.3389/fdgth.2025.1587162"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eader" Target="header1.xml"/><Relationship Id="rId28" Type="http://schemas.openxmlformats.org/officeDocument/2006/relationships/hyperlink" Target="https://www.oarsijournal.com/article/S1063-4584(23)00829-4/fulltext" TargetMode="External"/><Relationship Id="rId36" Type="http://schemas.openxmlformats.org/officeDocument/2006/relationships/hyperlink" Target="https://doi.org/10.1177/1457496920952232" TargetMode="External"/><Relationship Id="rId49" Type="http://schemas.openxmlformats.org/officeDocument/2006/relationships/hyperlink" Target="https://doi.org/10.1038/s41588-018-0327-1" TargetMode="External"/><Relationship Id="rId57" Type="http://schemas.openxmlformats.org/officeDocument/2006/relationships/header" Target="header2.xml"/><Relationship Id="rId10" Type="http://schemas.openxmlformats.org/officeDocument/2006/relationships/endnotes" Target="endnotes.xml"/><Relationship Id="rId31" Type="http://schemas.openxmlformats.org/officeDocument/2006/relationships/hyperlink" Target="https://www.gov.uk/government/news/msk-patients-to-get-faster-care-and-help-returning-to-work" TargetMode="External"/><Relationship Id="rId44" Type="http://schemas.openxmlformats.org/officeDocument/2006/relationships/hyperlink" Target="https://doi.org/10.2196/33489" TargetMode="External"/><Relationship Id="rId52" Type="http://schemas.openxmlformats.org/officeDocument/2006/relationships/hyperlink" Target="https://doi.org/10.1016/S0140-6736(22)0119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4" ma:contentTypeDescription="Create a new document." ma:contentTypeScope="" ma:versionID="4c4ddb4de064d37a1566f25dfdc7beae">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99e751808044e32b61375f84292da88d"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Props1.xml><?xml version="1.0" encoding="utf-8"?>
<ds:datastoreItem xmlns:ds="http://schemas.openxmlformats.org/officeDocument/2006/customXml" ds:itemID="{7D1270DA-52E9-44AC-812F-F91AA9230DA2}">
  <ds:schemaRefs>
    <ds:schemaRef ds:uri="http://schemas.microsoft.com/sharepoint/v3/contenttype/forms"/>
  </ds:schemaRefs>
</ds:datastoreItem>
</file>

<file path=customXml/itemProps2.xml><?xml version="1.0" encoding="utf-8"?>
<ds:datastoreItem xmlns:ds="http://schemas.openxmlformats.org/officeDocument/2006/customXml" ds:itemID="{C25BB8FB-FCCE-4AD5-8476-51E0FD7019AB}">
  <ds:schemaRefs>
    <ds:schemaRef ds:uri="http://schemas.openxmlformats.org/officeDocument/2006/bibliography"/>
  </ds:schemaRefs>
</ds:datastoreItem>
</file>

<file path=customXml/itemProps3.xml><?xml version="1.0" encoding="utf-8"?>
<ds:datastoreItem xmlns:ds="http://schemas.openxmlformats.org/officeDocument/2006/customXml" ds:itemID="{A59FCE32-B0BE-41CF-8EDE-7B845031F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1E874C3-880C-43A9-8B1E-467C445D6AF3}">
  <ds:schemaRefs>
    <ds:schemaRef ds:uri="http://schemas.microsoft.com/office/2006/metadata/properties"/>
    <ds:schemaRef ds:uri="http://schemas.microsoft.com/office/infopath/2007/PartnerControls"/>
    <ds:schemaRef ds:uri="8a4964b5-9709-4dd1-ba39-f7e78650a4ff"/>
  </ds:schemaRefs>
</ds:datastoreItem>
</file>

<file path=docProps/app.xml><?xml version="1.0" encoding="utf-8"?>
<Properties xmlns="http://schemas.openxmlformats.org/officeDocument/2006/extended-properties" xmlns:vt="http://schemas.openxmlformats.org/officeDocument/2006/docPropsVTypes">
  <Template>Normal</Template>
  <TotalTime>1892</TotalTime>
  <Pages>22</Pages>
  <Words>5652</Words>
  <Characters>32219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37796</CharactersWithSpaces>
  <SharedDoc>false</SharedDoc>
  <HLinks>
    <vt:vector size="288" baseType="variant">
      <vt:variant>
        <vt:i4>2621475</vt:i4>
      </vt:variant>
      <vt:variant>
        <vt:i4>228</vt:i4>
      </vt:variant>
      <vt:variant>
        <vt:i4>0</vt:i4>
      </vt:variant>
      <vt:variant>
        <vt:i4>5</vt:i4>
      </vt:variant>
      <vt:variant>
        <vt:lpwstr>https://doi.org/10.3389/fdgth.2025.1587162</vt:lpwstr>
      </vt:variant>
      <vt:variant>
        <vt:lpwstr/>
      </vt:variant>
      <vt:variant>
        <vt:i4>262149</vt:i4>
      </vt:variant>
      <vt:variant>
        <vt:i4>225</vt:i4>
      </vt:variant>
      <vt:variant>
        <vt:i4>0</vt:i4>
      </vt:variant>
      <vt:variant>
        <vt:i4>5</vt:i4>
      </vt:variant>
      <vt:variant>
        <vt:lpwstr>https://doi.org/10.1016/S0140-6736(22)01195-3</vt:lpwstr>
      </vt:variant>
      <vt:variant>
        <vt:lpwstr/>
      </vt:variant>
      <vt:variant>
        <vt:i4>65549</vt:i4>
      </vt:variant>
      <vt:variant>
        <vt:i4>222</vt:i4>
      </vt:variant>
      <vt:variant>
        <vt:i4>0</vt:i4>
      </vt:variant>
      <vt:variant>
        <vt:i4>5</vt:i4>
      </vt:variant>
      <vt:variant>
        <vt:lpwstr>https://doi.org/10.1016/s2665-9913(23)00163-7</vt:lpwstr>
      </vt:variant>
      <vt:variant>
        <vt:lpwstr/>
      </vt:variant>
      <vt:variant>
        <vt:i4>655446</vt:i4>
      </vt:variant>
      <vt:variant>
        <vt:i4>219</vt:i4>
      </vt:variant>
      <vt:variant>
        <vt:i4>0</vt:i4>
      </vt:variant>
      <vt:variant>
        <vt:i4>5</vt:i4>
      </vt:variant>
      <vt:variant>
        <vt:lpwstr>https://acmedsci.ac.uk/file-download/3017408</vt:lpwstr>
      </vt:variant>
      <vt:variant>
        <vt:lpwstr/>
      </vt:variant>
      <vt:variant>
        <vt:i4>917533</vt:i4>
      </vt:variant>
      <vt:variant>
        <vt:i4>216</vt:i4>
      </vt:variant>
      <vt:variant>
        <vt:i4>0</vt:i4>
      </vt:variant>
      <vt:variant>
        <vt:i4>5</vt:i4>
      </vt:variant>
      <vt:variant>
        <vt:lpwstr>https://doi.org/10.1038/s41588-018-0327-1</vt:lpwstr>
      </vt:variant>
      <vt:variant>
        <vt:lpwstr/>
      </vt:variant>
      <vt:variant>
        <vt:i4>2818111</vt:i4>
      </vt:variant>
      <vt:variant>
        <vt:i4>213</vt:i4>
      </vt:variant>
      <vt:variant>
        <vt:i4>0</vt:i4>
      </vt:variant>
      <vt:variant>
        <vt:i4>5</vt:i4>
      </vt:variant>
      <vt:variant>
        <vt:lpwstr>https://doi.org/10.1016/j.joca.2020.03.004</vt:lpwstr>
      </vt:variant>
      <vt:variant>
        <vt:lpwstr/>
      </vt:variant>
      <vt:variant>
        <vt:i4>2162808</vt:i4>
      </vt:variant>
      <vt:variant>
        <vt:i4>210</vt:i4>
      </vt:variant>
      <vt:variant>
        <vt:i4>0</vt:i4>
      </vt:variant>
      <vt:variant>
        <vt:i4>5</vt:i4>
      </vt:variant>
      <vt:variant>
        <vt:lpwstr>https://doi.org/10.3399/BJGP.2022.0419</vt:lpwstr>
      </vt:variant>
      <vt:variant>
        <vt:lpwstr/>
      </vt:variant>
      <vt:variant>
        <vt:i4>75</vt:i4>
      </vt:variant>
      <vt:variant>
        <vt:i4>207</vt:i4>
      </vt:variant>
      <vt:variant>
        <vt:i4>0</vt:i4>
      </vt:variant>
      <vt:variant>
        <vt:i4>5</vt:i4>
      </vt:variant>
      <vt:variant>
        <vt:lpwstr>https://doi.org/10.1080/13696998.2023.2245298</vt:lpwstr>
      </vt:variant>
      <vt:variant>
        <vt:lpwstr/>
      </vt:variant>
      <vt:variant>
        <vt:i4>8126578</vt:i4>
      </vt:variant>
      <vt:variant>
        <vt:i4>204</vt:i4>
      </vt:variant>
      <vt:variant>
        <vt:i4>0</vt:i4>
      </vt:variant>
      <vt:variant>
        <vt:i4>5</vt:i4>
      </vt:variant>
      <vt:variant>
        <vt:lpwstr>https://doi.org/10.1136/annrheumdis-2019-216515</vt:lpwstr>
      </vt:variant>
      <vt:variant>
        <vt:lpwstr/>
      </vt:variant>
      <vt:variant>
        <vt:i4>1704031</vt:i4>
      </vt:variant>
      <vt:variant>
        <vt:i4>201</vt:i4>
      </vt:variant>
      <vt:variant>
        <vt:i4>0</vt:i4>
      </vt:variant>
      <vt:variant>
        <vt:i4>5</vt:i4>
      </vt:variant>
      <vt:variant>
        <vt:lpwstr>https://doi.org/10.2196/15365</vt:lpwstr>
      </vt:variant>
      <vt:variant>
        <vt:lpwstr/>
      </vt:variant>
      <vt:variant>
        <vt:i4>7798832</vt:i4>
      </vt:variant>
      <vt:variant>
        <vt:i4>198</vt:i4>
      </vt:variant>
      <vt:variant>
        <vt:i4>0</vt:i4>
      </vt:variant>
      <vt:variant>
        <vt:i4>5</vt:i4>
      </vt:variant>
      <vt:variant>
        <vt:lpwstr>https://www.nice.org.uk/guidance/ng226/chapter/Recommendations</vt:lpwstr>
      </vt:variant>
      <vt:variant>
        <vt:lpwstr/>
      </vt:variant>
      <vt:variant>
        <vt:i4>7798832</vt:i4>
      </vt:variant>
      <vt:variant>
        <vt:i4>195</vt:i4>
      </vt:variant>
      <vt:variant>
        <vt:i4>0</vt:i4>
      </vt:variant>
      <vt:variant>
        <vt:i4>5</vt:i4>
      </vt:variant>
      <vt:variant>
        <vt:lpwstr>https://www.nice.org.uk/guidance/ng226/chapter/Recommendations</vt:lpwstr>
      </vt:variant>
      <vt:variant>
        <vt:lpwstr/>
      </vt:variant>
      <vt:variant>
        <vt:i4>6815858</vt:i4>
      </vt:variant>
      <vt:variant>
        <vt:i4>192</vt:i4>
      </vt:variant>
      <vt:variant>
        <vt:i4>0</vt:i4>
      </vt:variant>
      <vt:variant>
        <vt:i4>5</vt:i4>
      </vt:variant>
      <vt:variant>
        <vt:lpwstr>https://www.england.nhs.uk/integratedcare/what-is-integrated-care/</vt:lpwstr>
      </vt:variant>
      <vt:variant>
        <vt:lpwstr/>
      </vt:variant>
      <vt:variant>
        <vt:i4>2293815</vt:i4>
      </vt:variant>
      <vt:variant>
        <vt:i4>189</vt:i4>
      </vt:variant>
      <vt:variant>
        <vt:i4>0</vt:i4>
      </vt:variant>
      <vt:variant>
        <vt:i4>5</vt:i4>
      </vt:variant>
      <vt:variant>
        <vt:lpwstr>https://www.england.nhs.uk/2019/01/long-term-plan/</vt:lpwstr>
      </vt:variant>
      <vt:variant>
        <vt:lpwstr/>
      </vt:variant>
      <vt:variant>
        <vt:i4>6225930</vt:i4>
      </vt:variant>
      <vt:variant>
        <vt:i4>186</vt:i4>
      </vt:variant>
      <vt:variant>
        <vt:i4>0</vt:i4>
      </vt:variant>
      <vt:variant>
        <vt:i4>5</vt:i4>
      </vt:variant>
      <vt:variant>
        <vt:lpwstr>https://www.nhs.uk/conditions/osteoarthritis/</vt:lpwstr>
      </vt:variant>
      <vt:variant>
        <vt:lpwstr/>
      </vt:variant>
      <vt:variant>
        <vt:i4>1179728</vt:i4>
      </vt:variant>
      <vt:variant>
        <vt:i4>183</vt:i4>
      </vt:variant>
      <vt:variant>
        <vt:i4>0</vt:i4>
      </vt:variant>
      <vt:variant>
        <vt:i4>5</vt:i4>
      </vt:variant>
      <vt:variant>
        <vt:lpwstr>https://doi.org/10.1177/1457496920952232</vt:lpwstr>
      </vt:variant>
      <vt:variant>
        <vt:lpwstr/>
      </vt:variant>
      <vt:variant>
        <vt:i4>4980811</vt:i4>
      </vt:variant>
      <vt:variant>
        <vt:i4>180</vt:i4>
      </vt:variant>
      <vt:variant>
        <vt:i4>0</vt:i4>
      </vt:variant>
      <vt:variant>
        <vt:i4>5</vt:i4>
      </vt:variant>
      <vt:variant>
        <vt:lpwstr>https://doi.org/10.1371/journal.pmed.1004210</vt:lpwstr>
      </vt:variant>
      <vt:variant>
        <vt:lpwstr/>
      </vt:variant>
      <vt:variant>
        <vt:i4>5242970</vt:i4>
      </vt:variant>
      <vt:variant>
        <vt:i4>177</vt:i4>
      </vt:variant>
      <vt:variant>
        <vt:i4>0</vt:i4>
      </vt:variant>
      <vt:variant>
        <vt:i4>5</vt:i4>
      </vt:variant>
      <vt:variant>
        <vt:lpwstr>https://www.legislation.gov.uk/ukpga/2014/23/contents</vt:lpwstr>
      </vt:variant>
      <vt:variant>
        <vt:lpwstr/>
      </vt:variant>
      <vt:variant>
        <vt:i4>5374028</vt:i4>
      </vt:variant>
      <vt:variant>
        <vt:i4>174</vt:i4>
      </vt:variant>
      <vt:variant>
        <vt:i4>0</vt:i4>
      </vt:variant>
      <vt:variant>
        <vt:i4>5</vt:i4>
      </vt:variant>
      <vt:variant>
        <vt:lpwstr>https://doi.org/10.1002/acr.24581</vt:lpwstr>
      </vt:variant>
      <vt:variant>
        <vt:lpwstr/>
      </vt:variant>
      <vt:variant>
        <vt:i4>5111808</vt:i4>
      </vt:variant>
      <vt:variant>
        <vt:i4>171</vt:i4>
      </vt:variant>
      <vt:variant>
        <vt:i4>0</vt:i4>
      </vt:variant>
      <vt:variant>
        <vt:i4>5</vt:i4>
      </vt:variant>
      <vt:variant>
        <vt:lpwstr>https://doi.org/10.3899/jrheum.2023-0819</vt:lpwstr>
      </vt:variant>
      <vt:variant>
        <vt:lpwstr/>
      </vt:variant>
      <vt:variant>
        <vt:i4>3735653</vt:i4>
      </vt:variant>
      <vt:variant>
        <vt:i4>168</vt:i4>
      </vt:variant>
      <vt:variant>
        <vt:i4>0</vt:i4>
      </vt:variant>
      <vt:variant>
        <vt:i4>5</vt:i4>
      </vt:variant>
      <vt:variant>
        <vt:lpwstr>https://doi.org/10.3390/disabilities6020033</vt:lpwstr>
      </vt:variant>
      <vt:variant>
        <vt:lpwstr/>
      </vt:variant>
      <vt:variant>
        <vt:i4>5963859</vt:i4>
      </vt:variant>
      <vt:variant>
        <vt:i4>165</vt:i4>
      </vt:variant>
      <vt:variant>
        <vt:i4>0</vt:i4>
      </vt:variant>
      <vt:variant>
        <vt:i4>5</vt:i4>
      </vt:variant>
      <vt:variant>
        <vt:lpwstr>https://www.gov.uk/government/news/msk-patients-to-get-faster-care-and-help-returning-to-work</vt:lpwstr>
      </vt:variant>
      <vt:variant>
        <vt:lpwstr/>
      </vt:variant>
      <vt:variant>
        <vt:i4>3145778</vt:i4>
      </vt:variant>
      <vt:variant>
        <vt:i4>162</vt:i4>
      </vt:variant>
      <vt:variant>
        <vt:i4>0</vt:i4>
      </vt:variant>
      <vt:variant>
        <vt:i4>5</vt:i4>
      </vt:variant>
      <vt:variant>
        <vt:lpwstr>https://www.gov.uk/government/publications/joint-strategic-needs-assessment-and-joint-health-and-wellbeing-strategies-explained</vt:lpwstr>
      </vt:variant>
      <vt:variant>
        <vt:lpwstr/>
      </vt:variant>
      <vt:variant>
        <vt:i4>4063282</vt:i4>
      </vt:variant>
      <vt:variant>
        <vt:i4>159</vt:i4>
      </vt:variant>
      <vt:variant>
        <vt:i4>0</vt:i4>
      </vt:variant>
      <vt:variant>
        <vt:i4>5</vt:i4>
      </vt:variant>
      <vt:variant>
        <vt:lpwstr>https://www.oarsijournal.com/article/S1063-4584(23)00829-4/fulltext</vt:lpwstr>
      </vt:variant>
      <vt:variant>
        <vt:lpwstr/>
      </vt:variant>
      <vt:variant>
        <vt:i4>5963851</vt:i4>
      </vt:variant>
      <vt:variant>
        <vt:i4>156</vt:i4>
      </vt:variant>
      <vt:variant>
        <vt:i4>0</vt:i4>
      </vt:variant>
      <vt:variant>
        <vt:i4>5</vt:i4>
      </vt:variant>
      <vt:variant>
        <vt:lpwstr>https://onlinelibrary.wiley.com/doi/10.1002/msc.1739</vt:lpwstr>
      </vt:variant>
      <vt:variant>
        <vt:lpwstr/>
      </vt:variant>
      <vt:variant>
        <vt:i4>4915215</vt:i4>
      </vt:variant>
      <vt:variant>
        <vt:i4>153</vt:i4>
      </vt:variant>
      <vt:variant>
        <vt:i4>0</vt:i4>
      </vt:variant>
      <vt:variant>
        <vt:i4>5</vt:i4>
      </vt:variant>
      <vt:variant>
        <vt:lpwstr>https://www.arthritis-uk.org/about-us/contact-us/press-centre/press-releases/pioneering-study-sets-out-to-answer-why-osteoarthritis-impacts-patients-differently/</vt:lpwstr>
      </vt:variant>
      <vt:variant>
        <vt:lpwstr/>
      </vt:variant>
      <vt:variant>
        <vt:i4>4390925</vt:i4>
      </vt:variant>
      <vt:variant>
        <vt:i4>150</vt:i4>
      </vt:variant>
      <vt:variant>
        <vt:i4>0</vt:i4>
      </vt:variant>
      <vt:variant>
        <vt:i4>5</vt:i4>
      </vt:variant>
      <vt:variant>
        <vt:lpwstr>https://acrabstracts.org/abstract/trends-in-incidence-and-prevalence-of-osteoarthritis-in-the-united-kingdom-findings-from-the-clinical-practice-research-datalink-cprd/</vt:lpwstr>
      </vt:variant>
      <vt:variant>
        <vt:lpwstr/>
      </vt:variant>
      <vt:variant>
        <vt:i4>1835059</vt:i4>
      </vt:variant>
      <vt:variant>
        <vt:i4>122</vt:i4>
      </vt:variant>
      <vt:variant>
        <vt:i4>0</vt:i4>
      </vt:variant>
      <vt:variant>
        <vt:i4>5</vt:i4>
      </vt:variant>
      <vt:variant>
        <vt:lpwstr/>
      </vt:variant>
      <vt:variant>
        <vt:lpwstr>_Toc233468444</vt:lpwstr>
      </vt:variant>
      <vt:variant>
        <vt:i4>1835059</vt:i4>
      </vt:variant>
      <vt:variant>
        <vt:i4>116</vt:i4>
      </vt:variant>
      <vt:variant>
        <vt:i4>0</vt:i4>
      </vt:variant>
      <vt:variant>
        <vt:i4>5</vt:i4>
      </vt:variant>
      <vt:variant>
        <vt:lpwstr/>
      </vt:variant>
      <vt:variant>
        <vt:lpwstr>_Toc233468443</vt:lpwstr>
      </vt:variant>
      <vt:variant>
        <vt:i4>1835059</vt:i4>
      </vt:variant>
      <vt:variant>
        <vt:i4>110</vt:i4>
      </vt:variant>
      <vt:variant>
        <vt:i4>0</vt:i4>
      </vt:variant>
      <vt:variant>
        <vt:i4>5</vt:i4>
      </vt:variant>
      <vt:variant>
        <vt:lpwstr/>
      </vt:variant>
      <vt:variant>
        <vt:lpwstr>_Toc233468442</vt:lpwstr>
      </vt:variant>
      <vt:variant>
        <vt:i4>1835059</vt:i4>
      </vt:variant>
      <vt:variant>
        <vt:i4>104</vt:i4>
      </vt:variant>
      <vt:variant>
        <vt:i4>0</vt:i4>
      </vt:variant>
      <vt:variant>
        <vt:i4>5</vt:i4>
      </vt:variant>
      <vt:variant>
        <vt:lpwstr/>
      </vt:variant>
      <vt:variant>
        <vt:lpwstr>_Toc233468441</vt:lpwstr>
      </vt:variant>
      <vt:variant>
        <vt:i4>1835059</vt:i4>
      </vt:variant>
      <vt:variant>
        <vt:i4>98</vt:i4>
      </vt:variant>
      <vt:variant>
        <vt:i4>0</vt:i4>
      </vt:variant>
      <vt:variant>
        <vt:i4>5</vt:i4>
      </vt:variant>
      <vt:variant>
        <vt:lpwstr/>
      </vt:variant>
      <vt:variant>
        <vt:lpwstr>_Toc233468440</vt:lpwstr>
      </vt:variant>
      <vt:variant>
        <vt:i4>1769523</vt:i4>
      </vt:variant>
      <vt:variant>
        <vt:i4>92</vt:i4>
      </vt:variant>
      <vt:variant>
        <vt:i4>0</vt:i4>
      </vt:variant>
      <vt:variant>
        <vt:i4>5</vt:i4>
      </vt:variant>
      <vt:variant>
        <vt:lpwstr/>
      </vt:variant>
      <vt:variant>
        <vt:lpwstr>_Toc233468439</vt:lpwstr>
      </vt:variant>
      <vt:variant>
        <vt:i4>1769523</vt:i4>
      </vt:variant>
      <vt:variant>
        <vt:i4>86</vt:i4>
      </vt:variant>
      <vt:variant>
        <vt:i4>0</vt:i4>
      </vt:variant>
      <vt:variant>
        <vt:i4>5</vt:i4>
      </vt:variant>
      <vt:variant>
        <vt:lpwstr/>
      </vt:variant>
      <vt:variant>
        <vt:lpwstr>_Toc233468438</vt:lpwstr>
      </vt:variant>
      <vt:variant>
        <vt:i4>1769523</vt:i4>
      </vt:variant>
      <vt:variant>
        <vt:i4>77</vt:i4>
      </vt:variant>
      <vt:variant>
        <vt:i4>0</vt:i4>
      </vt:variant>
      <vt:variant>
        <vt:i4>5</vt:i4>
      </vt:variant>
      <vt:variant>
        <vt:lpwstr/>
      </vt:variant>
      <vt:variant>
        <vt:lpwstr>_Toc233468437</vt:lpwstr>
      </vt:variant>
      <vt:variant>
        <vt:i4>1769523</vt:i4>
      </vt:variant>
      <vt:variant>
        <vt:i4>71</vt:i4>
      </vt:variant>
      <vt:variant>
        <vt:i4>0</vt:i4>
      </vt:variant>
      <vt:variant>
        <vt:i4>5</vt:i4>
      </vt:variant>
      <vt:variant>
        <vt:lpwstr/>
      </vt:variant>
      <vt:variant>
        <vt:lpwstr>_Toc233468436</vt:lpwstr>
      </vt:variant>
      <vt:variant>
        <vt:i4>1769523</vt:i4>
      </vt:variant>
      <vt:variant>
        <vt:i4>65</vt:i4>
      </vt:variant>
      <vt:variant>
        <vt:i4>0</vt:i4>
      </vt:variant>
      <vt:variant>
        <vt:i4>5</vt:i4>
      </vt:variant>
      <vt:variant>
        <vt:lpwstr/>
      </vt:variant>
      <vt:variant>
        <vt:lpwstr>_Toc233468435</vt:lpwstr>
      </vt:variant>
      <vt:variant>
        <vt:i4>1769523</vt:i4>
      </vt:variant>
      <vt:variant>
        <vt:i4>59</vt:i4>
      </vt:variant>
      <vt:variant>
        <vt:i4>0</vt:i4>
      </vt:variant>
      <vt:variant>
        <vt:i4>5</vt:i4>
      </vt:variant>
      <vt:variant>
        <vt:lpwstr/>
      </vt:variant>
      <vt:variant>
        <vt:lpwstr>_Toc233468434</vt:lpwstr>
      </vt:variant>
      <vt:variant>
        <vt:i4>1769523</vt:i4>
      </vt:variant>
      <vt:variant>
        <vt:i4>53</vt:i4>
      </vt:variant>
      <vt:variant>
        <vt:i4>0</vt:i4>
      </vt:variant>
      <vt:variant>
        <vt:i4>5</vt:i4>
      </vt:variant>
      <vt:variant>
        <vt:lpwstr/>
      </vt:variant>
      <vt:variant>
        <vt:lpwstr>_Toc233468433</vt:lpwstr>
      </vt:variant>
      <vt:variant>
        <vt:i4>1769523</vt:i4>
      </vt:variant>
      <vt:variant>
        <vt:i4>47</vt:i4>
      </vt:variant>
      <vt:variant>
        <vt:i4>0</vt:i4>
      </vt:variant>
      <vt:variant>
        <vt:i4>5</vt:i4>
      </vt:variant>
      <vt:variant>
        <vt:lpwstr/>
      </vt:variant>
      <vt:variant>
        <vt:lpwstr>_Toc233468432</vt:lpwstr>
      </vt:variant>
      <vt:variant>
        <vt:i4>1769523</vt:i4>
      </vt:variant>
      <vt:variant>
        <vt:i4>41</vt:i4>
      </vt:variant>
      <vt:variant>
        <vt:i4>0</vt:i4>
      </vt:variant>
      <vt:variant>
        <vt:i4>5</vt:i4>
      </vt:variant>
      <vt:variant>
        <vt:lpwstr/>
      </vt:variant>
      <vt:variant>
        <vt:lpwstr>_Toc233468431</vt:lpwstr>
      </vt:variant>
      <vt:variant>
        <vt:i4>1769523</vt:i4>
      </vt:variant>
      <vt:variant>
        <vt:i4>35</vt:i4>
      </vt:variant>
      <vt:variant>
        <vt:i4>0</vt:i4>
      </vt:variant>
      <vt:variant>
        <vt:i4>5</vt:i4>
      </vt:variant>
      <vt:variant>
        <vt:lpwstr/>
      </vt:variant>
      <vt:variant>
        <vt:lpwstr>_Toc233468430</vt:lpwstr>
      </vt:variant>
      <vt:variant>
        <vt:i4>1703987</vt:i4>
      </vt:variant>
      <vt:variant>
        <vt:i4>29</vt:i4>
      </vt:variant>
      <vt:variant>
        <vt:i4>0</vt:i4>
      </vt:variant>
      <vt:variant>
        <vt:i4>5</vt:i4>
      </vt:variant>
      <vt:variant>
        <vt:lpwstr/>
      </vt:variant>
      <vt:variant>
        <vt:lpwstr>_Toc233468429</vt:lpwstr>
      </vt:variant>
      <vt:variant>
        <vt:i4>1703987</vt:i4>
      </vt:variant>
      <vt:variant>
        <vt:i4>26</vt:i4>
      </vt:variant>
      <vt:variant>
        <vt:i4>0</vt:i4>
      </vt:variant>
      <vt:variant>
        <vt:i4>5</vt:i4>
      </vt:variant>
      <vt:variant>
        <vt:lpwstr/>
      </vt:variant>
      <vt:variant>
        <vt:lpwstr>_Toc233468428</vt:lpwstr>
      </vt:variant>
      <vt:variant>
        <vt:i4>1703987</vt:i4>
      </vt:variant>
      <vt:variant>
        <vt:i4>20</vt:i4>
      </vt:variant>
      <vt:variant>
        <vt:i4>0</vt:i4>
      </vt:variant>
      <vt:variant>
        <vt:i4>5</vt:i4>
      </vt:variant>
      <vt:variant>
        <vt:lpwstr/>
      </vt:variant>
      <vt:variant>
        <vt:lpwstr>_Toc233468427</vt:lpwstr>
      </vt:variant>
      <vt:variant>
        <vt:i4>1703987</vt:i4>
      </vt:variant>
      <vt:variant>
        <vt:i4>14</vt:i4>
      </vt:variant>
      <vt:variant>
        <vt:i4>0</vt:i4>
      </vt:variant>
      <vt:variant>
        <vt:i4>5</vt:i4>
      </vt:variant>
      <vt:variant>
        <vt:lpwstr/>
      </vt:variant>
      <vt:variant>
        <vt:lpwstr>_Toc233468426</vt:lpwstr>
      </vt:variant>
      <vt:variant>
        <vt:i4>1703987</vt:i4>
      </vt:variant>
      <vt:variant>
        <vt:i4>8</vt:i4>
      </vt:variant>
      <vt:variant>
        <vt:i4>0</vt:i4>
      </vt:variant>
      <vt:variant>
        <vt:i4>5</vt:i4>
      </vt:variant>
      <vt:variant>
        <vt:lpwstr/>
      </vt:variant>
      <vt:variant>
        <vt:lpwstr>_Toc233468425</vt:lpwstr>
      </vt:variant>
      <vt:variant>
        <vt:i4>1703987</vt:i4>
      </vt:variant>
      <vt:variant>
        <vt:i4>2</vt:i4>
      </vt:variant>
      <vt:variant>
        <vt:i4>0</vt:i4>
      </vt:variant>
      <vt:variant>
        <vt:i4>5</vt:i4>
      </vt:variant>
      <vt:variant>
        <vt:lpwstr/>
      </vt:variant>
      <vt:variant>
        <vt:lpwstr>_Toc233468424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Galina Bleidere (2244841)</cp:lastModifiedBy>
  <cp:revision>64</cp:revision>
  <dcterms:created xsi:type="dcterms:W3CDTF">2026-07-16T04:53:00Z</dcterms:created>
  <dcterms:modified xsi:type="dcterms:W3CDTF">2026-07-17T12:23:00Z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3bd369a1-106c-4cc5-a0b0-ff76aed549e2</vt:lpwstr>
  </property>
  <property fmtid="{D5CDD505-2E9C-101B-9397-08002B2CF9AE}" pid="3" name="ContentTypeId">
    <vt:lpwstr>0x01010015373125B30C624482E5CCB36DAD3C96</vt:lpwstr>
  </property>
</Properties>
</file>