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9EE48" w14:textId="77777777" w:rsidR="00B61139" w:rsidRPr="006052DC" w:rsidRDefault="00B61139" w:rsidP="00151CFF">
      <w:pPr>
        <w:pStyle w:val="Default"/>
        <w:spacing w:after="198"/>
        <w:rPr>
          <w:rFonts w:ascii="Arial" w:hAnsi="Arial" w:cs="Arial"/>
          <w:color w:val="auto"/>
          <w:sz w:val="22"/>
          <w:szCs w:val="22"/>
        </w:rPr>
      </w:pPr>
    </w:p>
    <w:p w14:paraId="3C9EA5FC" w14:textId="4FAA18EB" w:rsidR="00DD7FF4" w:rsidRPr="006052DC" w:rsidRDefault="00E940FC" w:rsidP="00E940FC">
      <w:pPr>
        <w:pStyle w:val="Default"/>
        <w:numPr>
          <w:ilvl w:val="1"/>
          <w:numId w:val="1"/>
        </w:numPr>
        <w:spacing w:after="198"/>
        <w:jc w:val="both"/>
        <w:rPr>
          <w:rFonts w:ascii="Arial" w:hAnsi="Arial" w:cs="Arial"/>
          <w:b/>
          <w:bCs/>
          <w:color w:val="auto"/>
          <w:sz w:val="22"/>
          <w:szCs w:val="22"/>
          <w:u w:val="single"/>
        </w:rPr>
      </w:pPr>
      <w:r w:rsidRPr="006052DC">
        <w:rPr>
          <w:rFonts w:ascii="Arial" w:hAnsi="Arial" w:cs="Arial"/>
          <w:b/>
          <w:bCs/>
          <w:color w:val="auto"/>
          <w:sz w:val="22"/>
          <w:szCs w:val="22"/>
          <w:u w:val="single"/>
        </w:rPr>
        <w:t xml:space="preserve">New entrants to the parcel delivery market and other labour market competitors have adversely affected ParcelCare’s ability to compete in labour markets. Explain how ParcelCare can strategically position themselves in competitive labour markets. </w:t>
      </w:r>
      <w:r w:rsidR="00D615DF" w:rsidRPr="006052DC">
        <w:rPr>
          <w:rFonts w:ascii="Arial" w:hAnsi="Arial" w:cs="Arial"/>
          <w:b/>
          <w:bCs/>
          <w:color w:val="auto"/>
          <w:sz w:val="22"/>
          <w:szCs w:val="22"/>
          <w:u w:val="single"/>
        </w:rPr>
        <w:t xml:space="preserve"> </w:t>
      </w:r>
      <w:r w:rsidR="00212AD9" w:rsidRPr="006052DC">
        <w:rPr>
          <w:rFonts w:ascii="Arial" w:hAnsi="Arial" w:cs="Arial"/>
          <w:b/>
          <w:bCs/>
          <w:color w:val="auto"/>
          <w:sz w:val="22"/>
          <w:szCs w:val="22"/>
          <w:u w:val="single"/>
        </w:rPr>
        <w:t>341</w:t>
      </w:r>
    </w:p>
    <w:p w14:paraId="20D4D58B" w14:textId="77777777" w:rsidR="00DD7FF4" w:rsidRPr="006052DC" w:rsidRDefault="00DD7FF4" w:rsidP="00DD7FF4">
      <w:pPr>
        <w:shd w:val="clear" w:color="auto" w:fill="FAFAFA"/>
        <w:spacing w:before="120" w:after="60" w:line="240" w:lineRule="auto"/>
        <w:rPr>
          <w:rFonts w:ascii="Arial" w:eastAsia="Times New Roman" w:hAnsi="Arial" w:cs="Arial"/>
          <w:kern w:val="0"/>
          <w:lang w:eastAsia="en-GB"/>
          <w14:ligatures w14:val="none"/>
        </w:rPr>
      </w:pPr>
      <w:r w:rsidRPr="006052DC">
        <w:rPr>
          <w:rFonts w:ascii="Arial" w:eastAsia="Times New Roman" w:hAnsi="Arial" w:cs="Arial"/>
          <w:kern w:val="0"/>
          <w:lang w:eastAsia="en-GB"/>
          <w14:ligatures w14:val="none"/>
        </w:rPr>
        <w:t>To strategically position itself as an employer of choice, ParcelCare must first cultivate a supportive environment, positive workplace culture, and employee-friendly policies (Simionescu &amp; Naros, 2019). A key step in this process is conducting a competitor analysis to understand the broader labour market and identify other companies competing for the same talent (Taylor &amp; Woodhams, 2012). This analysis should explore the strengths and weaknesses of these competitors and assess how the target talent pool perceives them. The insights gained will help shape ParcelCare’s resourcing strategy by highlighting what sets the company apart and how it can effectively position its employer brand.</w:t>
      </w:r>
    </w:p>
    <w:p w14:paraId="20110645" w14:textId="5DD6A1E4" w:rsidR="00DD7FF4" w:rsidRPr="006052DC" w:rsidRDefault="00DD7FF4" w:rsidP="00DD7FF4">
      <w:pPr>
        <w:shd w:val="clear" w:color="auto" w:fill="FAFAFA"/>
        <w:spacing w:before="120" w:after="60" w:line="240" w:lineRule="auto"/>
        <w:rPr>
          <w:rFonts w:ascii="Arial" w:eastAsia="Times New Roman" w:hAnsi="Arial" w:cs="Arial"/>
          <w:kern w:val="0"/>
          <w:lang w:eastAsia="en-GB"/>
          <w14:ligatures w14:val="none"/>
        </w:rPr>
      </w:pPr>
      <w:r w:rsidRPr="006052DC">
        <w:rPr>
          <w:rFonts w:ascii="Arial" w:eastAsia="Times New Roman" w:hAnsi="Arial" w:cs="Arial"/>
          <w:kern w:val="0"/>
          <w:lang w:eastAsia="en-GB"/>
          <w14:ligatures w14:val="none"/>
        </w:rPr>
        <w:t>Following this, ParcelCare can determine its strategic position in the labour market. Higgs (2004) presents a model based on two dimensions: reward and culture. This model outlines four types of organisational positioning, employer of cash, churn, values, or choice. The goal for ParcelCare is to become an employer of choice, where attractive policies, benefits, and working conditions make it a preferred destination for talent.</w:t>
      </w:r>
    </w:p>
    <w:p w14:paraId="482A5790" w14:textId="77777777" w:rsidR="00DD7FF4" w:rsidRPr="006052DC" w:rsidRDefault="00DD7FF4" w:rsidP="00DD7FF4">
      <w:pPr>
        <w:shd w:val="clear" w:color="auto" w:fill="FAFAFA"/>
        <w:spacing w:before="120" w:after="60" w:line="240" w:lineRule="auto"/>
        <w:rPr>
          <w:rFonts w:ascii="Arial" w:eastAsia="Times New Roman" w:hAnsi="Arial" w:cs="Arial"/>
          <w:kern w:val="0"/>
          <w:lang w:eastAsia="en-GB"/>
          <w14:ligatures w14:val="none"/>
        </w:rPr>
      </w:pPr>
      <w:r w:rsidRPr="006052DC">
        <w:rPr>
          <w:rFonts w:ascii="Arial" w:eastAsia="Times New Roman" w:hAnsi="Arial" w:cs="Arial"/>
          <w:kern w:val="0"/>
          <w:lang w:eastAsia="en-GB"/>
          <w14:ligatures w14:val="none"/>
        </w:rPr>
        <w:t>Gill (2011) outlines several characteristics that define an employer of choice, including:</w:t>
      </w:r>
    </w:p>
    <w:p w14:paraId="1B6E08A1" w14:textId="77777777" w:rsidR="00DD7FF4" w:rsidRPr="006052DC" w:rsidRDefault="00DD7FF4" w:rsidP="00DD7FF4">
      <w:pPr>
        <w:numPr>
          <w:ilvl w:val="0"/>
          <w:numId w:val="10"/>
        </w:numPr>
        <w:shd w:val="clear" w:color="auto" w:fill="FAFAFA"/>
        <w:spacing w:before="100" w:beforeAutospacing="1" w:after="100" w:afterAutospacing="1" w:line="240" w:lineRule="auto"/>
        <w:rPr>
          <w:rFonts w:ascii="Arial" w:eastAsia="Times New Roman" w:hAnsi="Arial" w:cs="Arial"/>
          <w:kern w:val="0"/>
          <w:lang w:eastAsia="en-GB"/>
          <w14:ligatures w14:val="none"/>
        </w:rPr>
      </w:pPr>
      <w:r w:rsidRPr="006052DC">
        <w:rPr>
          <w:rFonts w:ascii="Arial" w:eastAsia="Times New Roman" w:hAnsi="Arial" w:cs="Arial"/>
          <w:kern w:val="0"/>
          <w:lang w:eastAsia="en-GB"/>
          <w14:ligatures w14:val="none"/>
        </w:rPr>
        <w:t>Strong leadership and interpersonal relationships</w:t>
      </w:r>
    </w:p>
    <w:p w14:paraId="674DCFBE" w14:textId="77777777" w:rsidR="00DD7FF4" w:rsidRPr="006052DC" w:rsidRDefault="00DD7FF4" w:rsidP="00DD7FF4">
      <w:pPr>
        <w:numPr>
          <w:ilvl w:val="0"/>
          <w:numId w:val="10"/>
        </w:numPr>
        <w:shd w:val="clear" w:color="auto" w:fill="FAFAFA"/>
        <w:spacing w:before="100" w:beforeAutospacing="1" w:after="100" w:afterAutospacing="1" w:line="240" w:lineRule="auto"/>
        <w:rPr>
          <w:rFonts w:ascii="Arial" w:eastAsia="Times New Roman" w:hAnsi="Arial" w:cs="Arial"/>
          <w:kern w:val="0"/>
          <w:lang w:eastAsia="en-GB"/>
          <w14:ligatures w14:val="none"/>
        </w:rPr>
      </w:pPr>
      <w:r w:rsidRPr="006052DC">
        <w:rPr>
          <w:rFonts w:ascii="Arial" w:eastAsia="Times New Roman" w:hAnsi="Arial" w:cs="Arial"/>
          <w:kern w:val="0"/>
          <w:lang w:eastAsia="en-GB"/>
          <w14:ligatures w14:val="none"/>
        </w:rPr>
        <w:t>High standards for employee safety and wellbeing</w:t>
      </w:r>
    </w:p>
    <w:p w14:paraId="2F27A243" w14:textId="77777777" w:rsidR="00DD7FF4" w:rsidRPr="006052DC" w:rsidRDefault="00DD7FF4" w:rsidP="00DD7FF4">
      <w:pPr>
        <w:numPr>
          <w:ilvl w:val="0"/>
          <w:numId w:val="10"/>
        </w:numPr>
        <w:shd w:val="clear" w:color="auto" w:fill="FAFAFA"/>
        <w:spacing w:before="100" w:beforeAutospacing="1" w:after="100" w:afterAutospacing="1" w:line="240" w:lineRule="auto"/>
        <w:rPr>
          <w:rFonts w:ascii="Arial" w:eastAsia="Times New Roman" w:hAnsi="Arial" w:cs="Arial"/>
          <w:kern w:val="0"/>
          <w:lang w:eastAsia="en-GB"/>
          <w14:ligatures w14:val="none"/>
        </w:rPr>
      </w:pPr>
      <w:r w:rsidRPr="006052DC">
        <w:rPr>
          <w:rFonts w:ascii="Arial" w:eastAsia="Times New Roman" w:hAnsi="Arial" w:cs="Arial"/>
          <w:kern w:val="0"/>
          <w:lang w:eastAsia="en-GB"/>
          <w14:ligatures w14:val="none"/>
        </w:rPr>
        <w:t>Opportunities for professional development</w:t>
      </w:r>
    </w:p>
    <w:p w14:paraId="1E88AFF2" w14:textId="77777777" w:rsidR="00DD7FF4" w:rsidRPr="006052DC" w:rsidRDefault="00DD7FF4" w:rsidP="00DD7FF4">
      <w:pPr>
        <w:numPr>
          <w:ilvl w:val="0"/>
          <w:numId w:val="10"/>
        </w:numPr>
        <w:shd w:val="clear" w:color="auto" w:fill="FAFAFA"/>
        <w:spacing w:before="100" w:beforeAutospacing="1" w:after="100" w:afterAutospacing="1" w:line="240" w:lineRule="auto"/>
        <w:rPr>
          <w:rFonts w:ascii="Arial" w:eastAsia="Times New Roman" w:hAnsi="Arial" w:cs="Arial"/>
          <w:kern w:val="0"/>
          <w:lang w:eastAsia="en-GB"/>
          <w14:ligatures w14:val="none"/>
        </w:rPr>
      </w:pPr>
      <w:r w:rsidRPr="006052DC">
        <w:rPr>
          <w:rFonts w:ascii="Arial" w:eastAsia="Times New Roman" w:hAnsi="Arial" w:cs="Arial"/>
          <w:kern w:val="0"/>
          <w:lang w:eastAsia="en-GB"/>
          <w14:ligatures w14:val="none"/>
        </w:rPr>
        <w:t>Inclusive policies and practices</w:t>
      </w:r>
    </w:p>
    <w:p w14:paraId="7CD294F4" w14:textId="77777777" w:rsidR="00DD7FF4" w:rsidRPr="006052DC" w:rsidRDefault="00DD7FF4" w:rsidP="00DD7FF4">
      <w:pPr>
        <w:numPr>
          <w:ilvl w:val="0"/>
          <w:numId w:val="10"/>
        </w:numPr>
        <w:shd w:val="clear" w:color="auto" w:fill="FAFAFA"/>
        <w:spacing w:before="100" w:beforeAutospacing="1" w:after="100" w:afterAutospacing="1" w:line="240" w:lineRule="auto"/>
        <w:rPr>
          <w:rFonts w:ascii="Arial" w:eastAsia="Times New Roman" w:hAnsi="Arial" w:cs="Arial"/>
          <w:kern w:val="0"/>
          <w:lang w:eastAsia="en-GB"/>
          <w14:ligatures w14:val="none"/>
        </w:rPr>
      </w:pPr>
      <w:r w:rsidRPr="006052DC">
        <w:rPr>
          <w:rFonts w:ascii="Arial" w:eastAsia="Times New Roman" w:hAnsi="Arial" w:cs="Arial"/>
          <w:kern w:val="0"/>
          <w:lang w:eastAsia="en-GB"/>
          <w14:ligatures w14:val="none"/>
        </w:rPr>
        <w:t>Ethical engagement with the community</w:t>
      </w:r>
    </w:p>
    <w:p w14:paraId="35A93DC4" w14:textId="77777777" w:rsidR="00DD7FF4" w:rsidRPr="006052DC" w:rsidRDefault="00DD7FF4" w:rsidP="00DD7FF4">
      <w:pPr>
        <w:shd w:val="clear" w:color="auto" w:fill="FAFAFA"/>
        <w:spacing w:before="120" w:after="60" w:line="240" w:lineRule="auto"/>
        <w:rPr>
          <w:rFonts w:ascii="Arial" w:eastAsia="Times New Roman" w:hAnsi="Arial" w:cs="Arial"/>
          <w:kern w:val="0"/>
          <w:lang w:eastAsia="en-GB"/>
          <w14:ligatures w14:val="none"/>
        </w:rPr>
      </w:pPr>
      <w:r w:rsidRPr="006052DC">
        <w:rPr>
          <w:rFonts w:ascii="Arial" w:eastAsia="Times New Roman" w:hAnsi="Arial" w:cs="Arial"/>
          <w:kern w:val="0"/>
          <w:lang w:eastAsia="en-GB"/>
          <w14:ligatures w14:val="none"/>
        </w:rPr>
        <w:t>Companies that invest in these areas are often seen as better places to work, which helps them retain top talent and achieve stronger financial performance (Gill, 2011). Therefore, it is essential for ParcelCare to commit to these principles.</w:t>
      </w:r>
    </w:p>
    <w:p w14:paraId="0B0A0EAF" w14:textId="38BEE1E3" w:rsidR="00DD7FF4" w:rsidRPr="006052DC" w:rsidRDefault="00DD7FF4" w:rsidP="00DD7FF4">
      <w:pPr>
        <w:shd w:val="clear" w:color="auto" w:fill="FAFAFA"/>
        <w:spacing w:before="120" w:after="60" w:line="240" w:lineRule="auto"/>
        <w:rPr>
          <w:rFonts w:ascii="Arial" w:eastAsia="Times New Roman" w:hAnsi="Arial" w:cs="Arial"/>
          <w:kern w:val="0"/>
          <w:lang w:eastAsia="en-GB"/>
          <w14:ligatures w14:val="none"/>
        </w:rPr>
      </w:pPr>
      <w:r w:rsidRPr="006052DC">
        <w:rPr>
          <w:rFonts w:ascii="Arial" w:eastAsia="Times New Roman" w:hAnsi="Arial" w:cs="Arial"/>
          <w:kern w:val="0"/>
          <w:lang w:eastAsia="en-GB"/>
          <w14:ligatures w14:val="none"/>
        </w:rPr>
        <w:t>Finally, to strengthen its position in the labour market, ParcelCare must focus on employer branding to stand out from its competitors. According to Shaker &amp; Ahmed (2014), employer branding reflects how an organisation is perceived by both current and potential employees. It is shaped by the company’s overall reputation, not just as a business, but as a workplace. In a competitive talent market, a strong employer brand can be a key differentiator. By showcasing its unique culture, values, and employee experiences, ParcelCare can stand out from competitors. A well-crafted employer brand enhances recruitment efficiency and helps attract and retain high-quality talent.</w:t>
      </w:r>
    </w:p>
    <w:p w14:paraId="4ABB22F4" w14:textId="77777777" w:rsidR="00DD7FF4" w:rsidRPr="006052DC" w:rsidRDefault="00DD7FF4" w:rsidP="00E940FC">
      <w:pPr>
        <w:spacing w:line="240" w:lineRule="auto"/>
        <w:jc w:val="both"/>
        <w:rPr>
          <w:rFonts w:ascii="Arial" w:hAnsi="Arial" w:cs="Arial"/>
        </w:rPr>
      </w:pPr>
    </w:p>
    <w:p w14:paraId="6BF7F9A6" w14:textId="5A8970D7" w:rsidR="00DA4ABB" w:rsidRPr="006052DC" w:rsidRDefault="00DA4ABB" w:rsidP="00EF263D">
      <w:pPr>
        <w:pStyle w:val="Default"/>
        <w:numPr>
          <w:ilvl w:val="1"/>
          <w:numId w:val="1"/>
        </w:numPr>
        <w:spacing w:after="198"/>
        <w:rPr>
          <w:rFonts w:ascii="Arial" w:hAnsi="Arial" w:cs="Arial"/>
          <w:b/>
          <w:bCs/>
          <w:color w:val="auto"/>
          <w:sz w:val="22"/>
          <w:szCs w:val="22"/>
          <w:u w:val="single"/>
        </w:rPr>
      </w:pPr>
      <w:r w:rsidRPr="006052DC">
        <w:rPr>
          <w:rFonts w:ascii="Arial" w:hAnsi="Arial" w:cs="Arial"/>
          <w:b/>
          <w:bCs/>
          <w:color w:val="auto"/>
          <w:sz w:val="22"/>
          <w:szCs w:val="22"/>
          <w:u w:val="single"/>
        </w:rPr>
        <w:t xml:space="preserve">Explain the impact of changing labour market conditions on resourcing decisions at ParcelCare. </w:t>
      </w:r>
      <w:r w:rsidR="00212AD9" w:rsidRPr="006052DC">
        <w:rPr>
          <w:rFonts w:ascii="Arial" w:hAnsi="Arial" w:cs="Arial"/>
          <w:b/>
          <w:bCs/>
          <w:color w:val="auto"/>
          <w:sz w:val="22"/>
          <w:szCs w:val="22"/>
          <w:u w:val="single"/>
        </w:rPr>
        <w:t>3</w:t>
      </w:r>
      <w:r w:rsidR="00D010CC">
        <w:rPr>
          <w:rFonts w:ascii="Arial" w:hAnsi="Arial" w:cs="Arial"/>
          <w:b/>
          <w:bCs/>
          <w:color w:val="auto"/>
          <w:sz w:val="22"/>
          <w:szCs w:val="22"/>
          <w:u w:val="single"/>
        </w:rPr>
        <w:t>66</w:t>
      </w:r>
    </w:p>
    <w:p w14:paraId="46576D85" w14:textId="77777777" w:rsidR="00EF263D" w:rsidRPr="006052DC" w:rsidRDefault="00EF263D" w:rsidP="00EF263D">
      <w:pPr>
        <w:pStyle w:val="NormalWeb"/>
        <w:shd w:val="clear" w:color="auto" w:fill="FAFAFA"/>
        <w:spacing w:before="120" w:beforeAutospacing="0" w:after="60" w:afterAutospacing="0"/>
        <w:rPr>
          <w:rFonts w:ascii="Arial" w:hAnsi="Arial" w:cs="Arial"/>
          <w:sz w:val="22"/>
          <w:szCs w:val="22"/>
        </w:rPr>
      </w:pPr>
      <w:r w:rsidRPr="006052DC">
        <w:rPr>
          <w:rStyle w:val="Strong"/>
          <w:rFonts w:ascii="Arial" w:hAnsi="Arial" w:cs="Arial"/>
          <w:b w:val="0"/>
          <w:bCs w:val="0"/>
          <w:sz w:val="22"/>
          <w:szCs w:val="22"/>
        </w:rPr>
        <w:t>Resourcing</w:t>
      </w:r>
      <w:r w:rsidRPr="006052DC">
        <w:rPr>
          <w:rFonts w:ascii="Arial" w:hAnsi="Arial" w:cs="Arial"/>
          <w:sz w:val="22"/>
          <w:szCs w:val="22"/>
        </w:rPr>
        <w:t> refers to the process by which an organisation effectively recruits and selects employees by evaluating their skills and suitability for specific roles. Shifts in the labour market can significantly influence resourcing decisions, as these markets shape an organisation’s image and its ability to attract talent (Sabel, 2019).</w:t>
      </w:r>
    </w:p>
    <w:p w14:paraId="23116F2B" w14:textId="29784E6F" w:rsidR="00EF263D" w:rsidRPr="006052DC" w:rsidRDefault="00EF263D" w:rsidP="00EF263D">
      <w:pPr>
        <w:pStyle w:val="NormalWeb"/>
        <w:shd w:val="clear" w:color="auto" w:fill="FAFAFA"/>
        <w:spacing w:before="120" w:beforeAutospacing="0" w:after="60" w:afterAutospacing="0"/>
        <w:rPr>
          <w:rFonts w:ascii="Arial" w:hAnsi="Arial" w:cs="Arial"/>
          <w:sz w:val="22"/>
          <w:szCs w:val="22"/>
        </w:rPr>
      </w:pPr>
      <w:r w:rsidRPr="006052DC">
        <w:rPr>
          <w:rFonts w:ascii="Arial" w:hAnsi="Arial" w:cs="Arial"/>
          <w:sz w:val="22"/>
          <w:szCs w:val="22"/>
        </w:rPr>
        <w:t>One of the primary factors affecting resourcing at </w:t>
      </w:r>
      <w:r w:rsidRPr="006052DC">
        <w:rPr>
          <w:rStyle w:val="Strong"/>
          <w:rFonts w:ascii="Arial" w:hAnsi="Arial" w:cs="Arial"/>
          <w:b w:val="0"/>
          <w:bCs w:val="0"/>
          <w:sz w:val="22"/>
          <w:szCs w:val="22"/>
        </w:rPr>
        <w:t>ParcelCare</w:t>
      </w:r>
      <w:r w:rsidRPr="006052DC">
        <w:rPr>
          <w:rFonts w:ascii="Arial" w:hAnsi="Arial" w:cs="Arial"/>
          <w:sz w:val="22"/>
          <w:szCs w:val="22"/>
        </w:rPr>
        <w:t> is whether the company operates in a </w:t>
      </w:r>
      <w:r w:rsidRPr="006052DC">
        <w:rPr>
          <w:rStyle w:val="Strong"/>
          <w:rFonts w:ascii="Arial" w:hAnsi="Arial" w:cs="Arial"/>
          <w:b w:val="0"/>
          <w:bCs w:val="0"/>
          <w:sz w:val="22"/>
          <w:szCs w:val="22"/>
        </w:rPr>
        <w:t>tight</w:t>
      </w:r>
      <w:r w:rsidRPr="006052DC">
        <w:rPr>
          <w:rFonts w:ascii="Arial" w:hAnsi="Arial" w:cs="Arial"/>
          <w:sz w:val="22"/>
          <w:szCs w:val="22"/>
        </w:rPr>
        <w:t> or </w:t>
      </w:r>
      <w:r w:rsidRPr="006052DC">
        <w:rPr>
          <w:rStyle w:val="Strong"/>
          <w:rFonts w:ascii="Arial" w:hAnsi="Arial" w:cs="Arial"/>
          <w:b w:val="0"/>
          <w:bCs w:val="0"/>
          <w:sz w:val="22"/>
          <w:szCs w:val="22"/>
        </w:rPr>
        <w:t>loose labour market</w:t>
      </w:r>
      <w:r w:rsidRPr="006052DC">
        <w:rPr>
          <w:rFonts w:ascii="Arial" w:hAnsi="Arial" w:cs="Arial"/>
          <w:sz w:val="22"/>
          <w:szCs w:val="22"/>
        </w:rPr>
        <w:t>. A </w:t>
      </w:r>
      <w:r w:rsidRPr="006052DC">
        <w:rPr>
          <w:rStyle w:val="Strong"/>
          <w:rFonts w:ascii="Arial" w:hAnsi="Arial" w:cs="Arial"/>
          <w:b w:val="0"/>
          <w:bCs w:val="0"/>
          <w:sz w:val="22"/>
          <w:szCs w:val="22"/>
        </w:rPr>
        <w:t>tight labour market</w:t>
      </w:r>
      <w:r w:rsidRPr="006052DC">
        <w:rPr>
          <w:rFonts w:ascii="Arial" w:hAnsi="Arial" w:cs="Arial"/>
          <w:sz w:val="22"/>
          <w:szCs w:val="22"/>
        </w:rPr>
        <w:t> arises when job openings outnumber qualified candidates, leading to intense competition for talent. In such a scenario, ParcelCare would need to strengthen its </w:t>
      </w:r>
      <w:r w:rsidRPr="006052DC">
        <w:rPr>
          <w:rStyle w:val="Strong"/>
          <w:rFonts w:ascii="Arial" w:hAnsi="Arial" w:cs="Arial"/>
          <w:b w:val="0"/>
          <w:bCs w:val="0"/>
          <w:sz w:val="22"/>
          <w:szCs w:val="22"/>
        </w:rPr>
        <w:t>employer brand</w:t>
      </w:r>
      <w:r w:rsidRPr="006052DC">
        <w:rPr>
          <w:rFonts w:ascii="Arial" w:hAnsi="Arial" w:cs="Arial"/>
          <w:sz w:val="22"/>
          <w:szCs w:val="22"/>
        </w:rPr>
        <w:t> by highlighting its culture, values, and employee experience. To remain competitive, the company might also adopt </w:t>
      </w:r>
      <w:r w:rsidRPr="006052DC">
        <w:rPr>
          <w:rStyle w:val="Strong"/>
          <w:rFonts w:ascii="Arial" w:hAnsi="Arial" w:cs="Arial"/>
          <w:b w:val="0"/>
          <w:bCs w:val="0"/>
          <w:sz w:val="22"/>
          <w:szCs w:val="22"/>
        </w:rPr>
        <w:t>innovative recruitment strategies</w:t>
      </w:r>
      <w:r w:rsidRPr="006052DC">
        <w:rPr>
          <w:rFonts w:ascii="Arial" w:hAnsi="Arial" w:cs="Arial"/>
          <w:sz w:val="22"/>
          <w:szCs w:val="22"/>
        </w:rPr>
        <w:t>, such as targeted social media campaigns to appeal to their ideal candidate or headhunting using tools such as LinkedIn.</w:t>
      </w:r>
    </w:p>
    <w:p w14:paraId="6EE29504" w14:textId="7E489E47" w:rsidR="00EF263D" w:rsidRPr="006052DC" w:rsidRDefault="00EF263D" w:rsidP="00EF263D">
      <w:pPr>
        <w:pStyle w:val="NormalWeb"/>
        <w:shd w:val="clear" w:color="auto" w:fill="FAFAFA"/>
        <w:spacing w:before="120" w:beforeAutospacing="0" w:after="60" w:afterAutospacing="0"/>
        <w:rPr>
          <w:rFonts w:ascii="Arial" w:hAnsi="Arial" w:cs="Arial"/>
          <w:sz w:val="22"/>
          <w:szCs w:val="22"/>
        </w:rPr>
      </w:pPr>
      <w:r w:rsidRPr="006052DC">
        <w:rPr>
          <w:rFonts w:ascii="Arial" w:hAnsi="Arial" w:cs="Arial"/>
          <w:sz w:val="22"/>
          <w:szCs w:val="22"/>
        </w:rPr>
        <w:t>In contrast to this, in a </w:t>
      </w:r>
      <w:r w:rsidRPr="006052DC">
        <w:rPr>
          <w:rStyle w:val="Strong"/>
          <w:rFonts w:ascii="Arial" w:hAnsi="Arial" w:cs="Arial"/>
          <w:b w:val="0"/>
          <w:bCs w:val="0"/>
          <w:sz w:val="22"/>
          <w:szCs w:val="22"/>
        </w:rPr>
        <w:t>loose labour market</w:t>
      </w:r>
      <w:r w:rsidRPr="006052DC">
        <w:rPr>
          <w:rFonts w:ascii="Arial" w:hAnsi="Arial" w:cs="Arial"/>
          <w:sz w:val="22"/>
          <w:szCs w:val="22"/>
        </w:rPr>
        <w:t>, where there are more job seekers than available positions, ParcelCare would face different challenges. The surplus of candidates would allow the company to be more selective, focusing on individuals with specialised skills. This environment would also enable more </w:t>
      </w:r>
      <w:r w:rsidRPr="006052DC">
        <w:rPr>
          <w:rStyle w:val="Strong"/>
          <w:rFonts w:ascii="Arial" w:hAnsi="Arial" w:cs="Arial"/>
          <w:b w:val="0"/>
          <w:bCs w:val="0"/>
          <w:sz w:val="22"/>
          <w:szCs w:val="22"/>
        </w:rPr>
        <w:t>thorough selection processes</w:t>
      </w:r>
      <w:r w:rsidRPr="006052DC">
        <w:rPr>
          <w:rFonts w:ascii="Arial" w:hAnsi="Arial" w:cs="Arial"/>
          <w:sz w:val="22"/>
          <w:szCs w:val="22"/>
        </w:rPr>
        <w:t>, such as skill assessments and structured interviews, to ensure the best fit for each role (Ingrassia, 2019).</w:t>
      </w:r>
    </w:p>
    <w:p w14:paraId="057BB6D7" w14:textId="09FFE5BC" w:rsidR="00EF263D" w:rsidRPr="006052DC" w:rsidRDefault="00EF263D" w:rsidP="00EF263D">
      <w:pPr>
        <w:pStyle w:val="NormalWeb"/>
        <w:shd w:val="clear" w:color="auto" w:fill="FAFAFA"/>
        <w:spacing w:before="120" w:beforeAutospacing="0" w:after="60" w:afterAutospacing="0"/>
        <w:rPr>
          <w:rFonts w:ascii="Arial" w:hAnsi="Arial" w:cs="Arial"/>
          <w:sz w:val="22"/>
          <w:szCs w:val="22"/>
        </w:rPr>
      </w:pPr>
      <w:r w:rsidRPr="006052DC">
        <w:rPr>
          <w:rFonts w:ascii="Arial" w:hAnsi="Arial" w:cs="Arial"/>
          <w:sz w:val="22"/>
          <w:szCs w:val="22"/>
        </w:rPr>
        <w:lastRenderedPageBreak/>
        <w:t>Beyond market conditions, broader changes in the labour landscape can be examined through a </w:t>
      </w:r>
      <w:r w:rsidRPr="006052DC">
        <w:rPr>
          <w:rStyle w:val="Strong"/>
          <w:rFonts w:ascii="Arial" w:hAnsi="Arial" w:cs="Arial"/>
          <w:b w:val="0"/>
          <w:bCs w:val="0"/>
          <w:sz w:val="22"/>
          <w:szCs w:val="22"/>
        </w:rPr>
        <w:t>PESTLE analysis</w:t>
      </w:r>
      <w:r w:rsidR="00D010CC">
        <w:rPr>
          <w:rFonts w:ascii="Arial" w:hAnsi="Arial" w:cs="Arial"/>
          <w:sz w:val="22"/>
          <w:szCs w:val="22"/>
        </w:rPr>
        <w:t>, which considers</w:t>
      </w:r>
      <w:r w:rsidRPr="006052DC">
        <w:rPr>
          <w:rFonts w:ascii="Arial" w:hAnsi="Arial" w:cs="Arial"/>
          <w:sz w:val="22"/>
          <w:szCs w:val="22"/>
        </w:rPr>
        <w:t xml:space="preserve"> Political, Economic, Social, Technological, Legal, and Environmental factors. For instance, </w:t>
      </w:r>
      <w:r w:rsidRPr="006052DC">
        <w:rPr>
          <w:rStyle w:val="Strong"/>
          <w:rFonts w:ascii="Arial" w:hAnsi="Arial" w:cs="Arial"/>
          <w:b w:val="0"/>
          <w:bCs w:val="0"/>
          <w:sz w:val="22"/>
          <w:szCs w:val="22"/>
        </w:rPr>
        <w:t>technological advancements</w:t>
      </w:r>
      <w:r w:rsidRPr="006052DC">
        <w:rPr>
          <w:rFonts w:ascii="Arial" w:hAnsi="Arial" w:cs="Arial"/>
          <w:sz w:val="22"/>
          <w:szCs w:val="22"/>
        </w:rPr>
        <w:t>, particularly in </w:t>
      </w:r>
      <w:r w:rsidRPr="006052DC">
        <w:rPr>
          <w:rStyle w:val="Strong"/>
          <w:rFonts w:ascii="Arial" w:hAnsi="Arial" w:cs="Arial"/>
          <w:b w:val="0"/>
          <w:bCs w:val="0"/>
          <w:sz w:val="22"/>
          <w:szCs w:val="22"/>
        </w:rPr>
        <w:t>Artificial Intelligence (AI)</w:t>
      </w:r>
      <w:r w:rsidRPr="006052DC">
        <w:rPr>
          <w:rFonts w:ascii="Arial" w:hAnsi="Arial" w:cs="Arial"/>
          <w:b/>
          <w:bCs/>
          <w:sz w:val="22"/>
          <w:szCs w:val="22"/>
        </w:rPr>
        <w:t>,</w:t>
      </w:r>
      <w:r w:rsidRPr="006052DC">
        <w:rPr>
          <w:rFonts w:ascii="Arial" w:hAnsi="Arial" w:cs="Arial"/>
          <w:sz w:val="22"/>
          <w:szCs w:val="22"/>
        </w:rPr>
        <w:t xml:space="preserve"> are transforming the nature of work. If ParcelCare is struggling to attract talent, it may be due to perceptions that certain roles are repetitive and better suited for automation. This suggests a need to </w:t>
      </w:r>
      <w:r w:rsidRPr="006052DC">
        <w:rPr>
          <w:rStyle w:val="Strong"/>
          <w:rFonts w:ascii="Arial" w:hAnsi="Arial" w:cs="Arial"/>
          <w:b w:val="0"/>
          <w:bCs w:val="0"/>
          <w:sz w:val="22"/>
          <w:szCs w:val="22"/>
        </w:rPr>
        <w:t>re-evaluate job design</w:t>
      </w:r>
      <w:r w:rsidRPr="006052DC">
        <w:rPr>
          <w:rFonts w:ascii="Arial" w:hAnsi="Arial" w:cs="Arial"/>
          <w:sz w:val="22"/>
          <w:szCs w:val="22"/>
        </w:rPr>
        <w:t> and consider how roles can be made more engaging or future-proof.</w:t>
      </w:r>
    </w:p>
    <w:p w14:paraId="7621F74C" w14:textId="0427462B" w:rsidR="00EF263D" w:rsidRPr="006052DC" w:rsidRDefault="00EF263D" w:rsidP="00EF263D">
      <w:pPr>
        <w:pStyle w:val="NormalWeb"/>
        <w:shd w:val="clear" w:color="auto" w:fill="FAFAFA"/>
        <w:spacing w:before="120" w:beforeAutospacing="0" w:after="60" w:afterAutospacing="0"/>
        <w:rPr>
          <w:rFonts w:ascii="Arial" w:hAnsi="Arial" w:cs="Arial"/>
          <w:sz w:val="22"/>
          <w:szCs w:val="22"/>
        </w:rPr>
      </w:pPr>
      <w:r w:rsidRPr="006052DC">
        <w:rPr>
          <w:rStyle w:val="Strong"/>
          <w:rFonts w:ascii="Arial" w:hAnsi="Arial" w:cs="Arial"/>
          <w:b w:val="0"/>
          <w:bCs w:val="0"/>
          <w:sz w:val="22"/>
          <w:szCs w:val="22"/>
        </w:rPr>
        <w:t>Political and global events</w:t>
      </w:r>
      <w:r w:rsidRPr="006052DC">
        <w:rPr>
          <w:rFonts w:ascii="Arial" w:hAnsi="Arial" w:cs="Arial"/>
          <w:sz w:val="22"/>
          <w:szCs w:val="22"/>
        </w:rPr>
        <w:t xml:space="preserve"> also play a </w:t>
      </w:r>
      <w:r w:rsidR="00D010CC">
        <w:rPr>
          <w:rFonts w:ascii="Arial" w:hAnsi="Arial" w:cs="Arial"/>
          <w:sz w:val="22"/>
          <w:szCs w:val="22"/>
        </w:rPr>
        <w:t xml:space="preserve">significant </w:t>
      </w:r>
      <w:r w:rsidRPr="006052DC">
        <w:rPr>
          <w:rFonts w:ascii="Arial" w:hAnsi="Arial" w:cs="Arial"/>
          <w:sz w:val="22"/>
          <w:szCs w:val="22"/>
        </w:rPr>
        <w:t>role. The </w:t>
      </w:r>
      <w:r w:rsidRPr="006052DC">
        <w:rPr>
          <w:rStyle w:val="Strong"/>
          <w:rFonts w:ascii="Arial" w:hAnsi="Arial" w:cs="Arial"/>
          <w:b w:val="0"/>
          <w:bCs w:val="0"/>
          <w:sz w:val="22"/>
          <w:szCs w:val="22"/>
        </w:rPr>
        <w:t>Covid-19 pandemic</w:t>
      </w:r>
      <w:r w:rsidRPr="006052DC">
        <w:rPr>
          <w:rFonts w:ascii="Arial" w:hAnsi="Arial" w:cs="Arial"/>
          <w:b/>
          <w:bCs/>
          <w:sz w:val="22"/>
          <w:szCs w:val="22"/>
        </w:rPr>
        <w:t> </w:t>
      </w:r>
      <w:r w:rsidRPr="006052DC">
        <w:rPr>
          <w:rFonts w:ascii="Arial" w:hAnsi="Arial" w:cs="Arial"/>
          <w:sz w:val="22"/>
          <w:szCs w:val="22"/>
        </w:rPr>
        <w:t>is a recent example that disrupted hiring practices worldwide, leading to redundancies and hiring freezes. It also shifted employee expectations, with many now prioritising </w:t>
      </w:r>
      <w:r w:rsidRPr="006052DC">
        <w:rPr>
          <w:rStyle w:val="Strong"/>
          <w:rFonts w:ascii="Arial" w:hAnsi="Arial" w:cs="Arial"/>
          <w:b w:val="0"/>
          <w:bCs w:val="0"/>
          <w:sz w:val="22"/>
          <w:szCs w:val="22"/>
        </w:rPr>
        <w:t>flexibility</w:t>
      </w:r>
      <w:r w:rsidRPr="006052DC">
        <w:rPr>
          <w:rFonts w:ascii="Arial" w:hAnsi="Arial" w:cs="Arial"/>
          <w:sz w:val="22"/>
          <w:szCs w:val="22"/>
        </w:rPr>
        <w:t> and </w:t>
      </w:r>
      <w:r w:rsidRPr="006052DC">
        <w:rPr>
          <w:rStyle w:val="Strong"/>
          <w:rFonts w:ascii="Arial" w:hAnsi="Arial" w:cs="Arial"/>
          <w:b w:val="0"/>
          <w:bCs w:val="0"/>
          <w:sz w:val="22"/>
          <w:szCs w:val="22"/>
        </w:rPr>
        <w:t>remote work options</w:t>
      </w:r>
      <w:r w:rsidR="00D010CC">
        <w:rPr>
          <w:rStyle w:val="Strong"/>
          <w:rFonts w:ascii="Arial" w:hAnsi="Arial" w:cs="Arial"/>
          <w:b w:val="0"/>
          <w:bCs w:val="0"/>
          <w:sz w:val="22"/>
          <w:szCs w:val="22"/>
        </w:rPr>
        <w:t xml:space="preserve"> for a better work-life balance</w:t>
      </w:r>
      <w:r w:rsidRPr="006052DC">
        <w:rPr>
          <w:rFonts w:ascii="Arial" w:hAnsi="Arial" w:cs="Arial"/>
          <w:b/>
          <w:bCs/>
          <w:sz w:val="22"/>
          <w:szCs w:val="22"/>
        </w:rPr>
        <w:t> </w:t>
      </w:r>
      <w:r w:rsidRPr="006052DC">
        <w:rPr>
          <w:rFonts w:ascii="Arial" w:hAnsi="Arial" w:cs="Arial"/>
          <w:sz w:val="22"/>
          <w:szCs w:val="22"/>
        </w:rPr>
        <w:t>(CIPD, 2023). ParcelCare must consider these evolving preferences when planning its resourcing strategy. Additionally, the economic impact of the pandemic</w:t>
      </w:r>
      <w:r w:rsidR="00D010CC">
        <w:rPr>
          <w:rFonts w:ascii="Arial" w:hAnsi="Arial" w:cs="Arial"/>
          <w:sz w:val="22"/>
          <w:szCs w:val="22"/>
        </w:rPr>
        <w:t xml:space="preserve">, </w:t>
      </w:r>
      <w:r w:rsidRPr="006052DC">
        <w:rPr>
          <w:rFonts w:ascii="Arial" w:hAnsi="Arial" w:cs="Arial"/>
          <w:sz w:val="22"/>
          <w:szCs w:val="22"/>
        </w:rPr>
        <w:t>such as rising interest rates and inflation</w:t>
      </w:r>
      <w:r w:rsidR="00D010CC">
        <w:rPr>
          <w:rFonts w:ascii="Arial" w:hAnsi="Arial" w:cs="Arial"/>
          <w:sz w:val="22"/>
          <w:szCs w:val="22"/>
        </w:rPr>
        <w:t xml:space="preserve"> </w:t>
      </w:r>
      <w:r w:rsidRPr="006052DC">
        <w:rPr>
          <w:rFonts w:ascii="Arial" w:hAnsi="Arial" w:cs="Arial"/>
          <w:sz w:val="22"/>
          <w:szCs w:val="22"/>
        </w:rPr>
        <w:t>has increased operational costs</w:t>
      </w:r>
      <w:r w:rsidR="00D010CC">
        <w:rPr>
          <w:rFonts w:ascii="Arial" w:hAnsi="Arial" w:cs="Arial"/>
          <w:sz w:val="22"/>
          <w:szCs w:val="22"/>
        </w:rPr>
        <w:t xml:space="preserve"> for many organisations</w:t>
      </w:r>
      <w:r w:rsidRPr="006052DC">
        <w:rPr>
          <w:rFonts w:ascii="Arial" w:hAnsi="Arial" w:cs="Arial"/>
          <w:sz w:val="22"/>
          <w:szCs w:val="22"/>
        </w:rPr>
        <w:t xml:space="preserve">. </w:t>
      </w:r>
    </w:p>
    <w:p w14:paraId="2BC81018" w14:textId="77777777" w:rsidR="00AB14E6" w:rsidRPr="006052DC" w:rsidRDefault="00AB14E6" w:rsidP="00543AD3">
      <w:pPr>
        <w:pStyle w:val="NormalWeb"/>
        <w:shd w:val="clear" w:color="auto" w:fill="FFFFFF"/>
        <w:spacing w:before="0" w:beforeAutospacing="0" w:after="0" w:afterAutospacing="0"/>
        <w:jc w:val="both"/>
        <w:rPr>
          <w:rFonts w:ascii="Arial" w:hAnsi="Arial" w:cs="Arial"/>
          <w:sz w:val="22"/>
          <w:szCs w:val="22"/>
        </w:rPr>
      </w:pPr>
    </w:p>
    <w:p w14:paraId="32BBBAB3" w14:textId="2726BE81" w:rsidR="00AB14E6" w:rsidRPr="006052DC" w:rsidRDefault="00AB14E6" w:rsidP="005B3D3A">
      <w:pPr>
        <w:pStyle w:val="Default"/>
        <w:spacing w:after="198"/>
        <w:rPr>
          <w:rFonts w:ascii="Arial" w:hAnsi="Arial" w:cs="Arial"/>
          <w:b/>
          <w:bCs/>
          <w:color w:val="auto"/>
          <w:sz w:val="22"/>
          <w:szCs w:val="22"/>
          <w:u w:val="single"/>
        </w:rPr>
      </w:pPr>
      <w:r w:rsidRPr="006052DC">
        <w:rPr>
          <w:rFonts w:ascii="Arial" w:hAnsi="Arial" w:cs="Arial"/>
          <w:b/>
          <w:bCs/>
          <w:color w:val="auto"/>
          <w:sz w:val="22"/>
          <w:szCs w:val="22"/>
          <w:u w:val="single"/>
        </w:rPr>
        <w:t xml:space="preserve">2.1 You are aware that workforce planning has not been carried out in the past and decide to persuade the senior leadership team that this activity is worth doing. Analyse the impact of effective workforce planning, making clear how ParcelCare could benefit from this activity. </w:t>
      </w:r>
      <w:r w:rsidR="00212AD9" w:rsidRPr="006052DC">
        <w:rPr>
          <w:rFonts w:ascii="Arial" w:hAnsi="Arial" w:cs="Arial"/>
          <w:b/>
          <w:bCs/>
          <w:color w:val="auto"/>
          <w:sz w:val="22"/>
          <w:szCs w:val="22"/>
          <w:u w:val="single"/>
        </w:rPr>
        <w:t>389</w:t>
      </w:r>
    </w:p>
    <w:p w14:paraId="69B514E0" w14:textId="1D53A83B" w:rsidR="00EE7EFF" w:rsidRPr="006052DC" w:rsidRDefault="00EE7EFF" w:rsidP="00EE7EFF">
      <w:pPr>
        <w:pStyle w:val="Default"/>
        <w:spacing w:after="198"/>
        <w:rPr>
          <w:rFonts w:ascii="Arial" w:hAnsi="Arial" w:cs="Arial"/>
          <w:color w:val="auto"/>
          <w:sz w:val="22"/>
          <w:szCs w:val="22"/>
        </w:rPr>
      </w:pPr>
      <w:r w:rsidRPr="006052DC">
        <w:rPr>
          <w:rFonts w:ascii="Arial" w:hAnsi="Arial" w:cs="Arial"/>
          <w:color w:val="auto"/>
          <w:sz w:val="22"/>
          <w:szCs w:val="22"/>
        </w:rPr>
        <w:t>Workforce planning is about generating information, analysing it to inform future demand for people and skills, and translating that into a set of actions that will develop and build on the existing workforce to meet that demand (CIPD, 2024).</w:t>
      </w:r>
    </w:p>
    <w:p w14:paraId="4CBEFA81" w14:textId="49A212B9" w:rsidR="00EE7EFF" w:rsidRPr="006052DC" w:rsidRDefault="00EE7EFF" w:rsidP="00EE7EFF">
      <w:pPr>
        <w:pStyle w:val="Default"/>
        <w:spacing w:after="198"/>
        <w:rPr>
          <w:rFonts w:ascii="Arial" w:hAnsi="Arial" w:cs="Arial"/>
          <w:color w:val="auto"/>
          <w:sz w:val="22"/>
          <w:szCs w:val="22"/>
        </w:rPr>
      </w:pPr>
      <w:r w:rsidRPr="006052DC">
        <w:rPr>
          <w:rFonts w:ascii="Arial" w:hAnsi="Arial" w:cs="Arial"/>
          <w:color w:val="auto"/>
          <w:sz w:val="22"/>
          <w:szCs w:val="22"/>
        </w:rPr>
        <w:t>One important aspect of workforce planning is forecasting the demand for labour, where organisations estimate how many employees will be needed to meet future business needs. If ParcelCare were to forecast its labour demand, it could avoid both overstaffing and understaffing. Understanding future workforce requirements would help prevent costly inefficiencies—overstaffing can lead to unnecessary expenses, while understaffing can result in employee burnout and reduced morale (Organ, 2024). Additionally, it would enhance the company’s workforce flexibility, allowing it to scale operations up or down in response to seasonal fluctuations, which could strengthen its competitive edge during periods of market change.</w:t>
      </w:r>
    </w:p>
    <w:p w14:paraId="559CFA68" w14:textId="77777777" w:rsidR="00EE7EFF" w:rsidRPr="006052DC" w:rsidRDefault="00EE7EFF" w:rsidP="00EE7EFF">
      <w:pPr>
        <w:pStyle w:val="Default"/>
        <w:spacing w:after="198"/>
        <w:rPr>
          <w:rFonts w:ascii="Arial" w:hAnsi="Arial" w:cs="Arial"/>
          <w:color w:val="auto"/>
          <w:sz w:val="22"/>
          <w:szCs w:val="22"/>
        </w:rPr>
      </w:pPr>
      <w:r w:rsidRPr="006052DC">
        <w:rPr>
          <w:rFonts w:ascii="Arial" w:hAnsi="Arial" w:cs="Arial"/>
          <w:color w:val="auto"/>
          <w:sz w:val="22"/>
          <w:szCs w:val="22"/>
        </w:rPr>
        <w:t>Another key component of effective workforce planning is forecasting the internal and external supply of labour. This involves assessing the skills, availability, and development potential of current employees, while also considering the availability of talent in the external labour market. Accurate forecasting in this area would allow ParcelCare to identify internal talent and any existing skill gaps within the workforce. This supports more effective succession planning and resource allocation. Furthermore, it promotes internal mobility by identifying opportunities for employee progression, which can positively impact retention and overall engagement (McFall, 2022).</w:t>
      </w:r>
    </w:p>
    <w:p w14:paraId="023F55EE" w14:textId="4E7051B6" w:rsidR="00EE7EFF" w:rsidRPr="006052DC" w:rsidRDefault="00EE7EFF" w:rsidP="00EE7EFF">
      <w:pPr>
        <w:pStyle w:val="Default"/>
        <w:spacing w:after="198"/>
        <w:rPr>
          <w:rFonts w:ascii="Arial" w:hAnsi="Arial" w:cs="Arial"/>
          <w:color w:val="auto"/>
          <w:sz w:val="22"/>
          <w:szCs w:val="22"/>
        </w:rPr>
      </w:pPr>
      <w:r w:rsidRPr="006052DC">
        <w:rPr>
          <w:rFonts w:ascii="Arial" w:hAnsi="Arial" w:cs="Arial"/>
          <w:color w:val="auto"/>
          <w:sz w:val="22"/>
          <w:szCs w:val="22"/>
        </w:rPr>
        <w:t>Finally, once ParcelCare has forecasted both the supply and demand for labour, it can identify any gaps between the two. Whether facing a surplus or a shortage, the company can then develop appropriate strategies to address the imbalance. This would enable ParcelCare to plan targeted recruitment efforts or invest in more effective recruitment campaigns, depending on the nature of the gap. It would also allow the company to invest in its existing workforce</w:t>
      </w:r>
      <w:r w:rsidR="00AF6A9B" w:rsidRPr="006052DC">
        <w:rPr>
          <w:rFonts w:ascii="Arial" w:hAnsi="Arial" w:cs="Arial"/>
          <w:color w:val="auto"/>
          <w:sz w:val="22"/>
          <w:szCs w:val="22"/>
        </w:rPr>
        <w:t xml:space="preserve">, </w:t>
      </w:r>
      <w:r w:rsidRPr="006052DC">
        <w:rPr>
          <w:rFonts w:ascii="Arial" w:hAnsi="Arial" w:cs="Arial"/>
          <w:color w:val="auto"/>
          <w:sz w:val="22"/>
          <w:szCs w:val="22"/>
        </w:rPr>
        <w:t>ParcelCare could implement upskilling and training programmes. This approach reduces the need for external hiring, lowers recruitment costs, and improves employee retention. Additionally, identifying workforce gaps helps inform decisions around the types of contracts offered and how resources are distributed across the business, further reducing reliance on external hires</w:t>
      </w:r>
      <w:r w:rsidR="00AF6A9B" w:rsidRPr="006052DC">
        <w:rPr>
          <w:rFonts w:ascii="Arial" w:hAnsi="Arial" w:cs="Arial"/>
          <w:color w:val="auto"/>
          <w:sz w:val="22"/>
          <w:szCs w:val="22"/>
        </w:rPr>
        <w:t xml:space="preserve"> (Sparkman, 2018).</w:t>
      </w:r>
    </w:p>
    <w:p w14:paraId="7120297A" w14:textId="119850B4" w:rsidR="00EE7EFF" w:rsidRPr="006052DC" w:rsidRDefault="00EE7EFF" w:rsidP="005B3D3A">
      <w:pPr>
        <w:pStyle w:val="Default"/>
        <w:spacing w:after="198"/>
        <w:rPr>
          <w:rFonts w:ascii="Arial" w:hAnsi="Arial" w:cs="Arial"/>
          <w:color w:val="auto"/>
          <w:sz w:val="22"/>
          <w:szCs w:val="22"/>
        </w:rPr>
      </w:pPr>
      <w:r w:rsidRPr="006052DC">
        <w:rPr>
          <w:rFonts w:ascii="Arial" w:hAnsi="Arial" w:cs="Arial"/>
          <w:color w:val="auto"/>
          <w:sz w:val="22"/>
          <w:szCs w:val="22"/>
        </w:rPr>
        <w:t>By taking a proactive rather than reactive approach, workforce planning enables ParcelCare to meet both current and future talent needs. This not only drives long-term success but also enhances employee engagement and improves overall operational efficiency</w:t>
      </w:r>
      <w:r w:rsidR="00AF6A9B" w:rsidRPr="006052DC">
        <w:rPr>
          <w:rFonts w:ascii="Arial" w:hAnsi="Arial" w:cs="Arial"/>
          <w:color w:val="auto"/>
          <w:sz w:val="22"/>
          <w:szCs w:val="22"/>
        </w:rPr>
        <w:t>.</w:t>
      </w:r>
    </w:p>
    <w:p w14:paraId="5D0B13CE" w14:textId="77777777" w:rsidR="00AF6A9B" w:rsidRPr="006052DC" w:rsidRDefault="00AF6A9B" w:rsidP="005B3D3A">
      <w:pPr>
        <w:pStyle w:val="Default"/>
        <w:spacing w:after="198"/>
        <w:rPr>
          <w:rFonts w:ascii="Arial" w:hAnsi="Arial" w:cs="Arial"/>
          <w:color w:val="auto"/>
          <w:sz w:val="22"/>
          <w:szCs w:val="22"/>
        </w:rPr>
      </w:pPr>
    </w:p>
    <w:p w14:paraId="6244BCA9" w14:textId="77777777" w:rsidR="00AF6A9B" w:rsidRPr="006052DC" w:rsidRDefault="00AF6A9B" w:rsidP="005B3D3A">
      <w:pPr>
        <w:pStyle w:val="Default"/>
        <w:spacing w:after="198"/>
        <w:rPr>
          <w:rFonts w:ascii="Arial" w:hAnsi="Arial" w:cs="Arial"/>
          <w:color w:val="auto"/>
          <w:sz w:val="22"/>
          <w:szCs w:val="22"/>
        </w:rPr>
      </w:pPr>
    </w:p>
    <w:p w14:paraId="4F8ACBC4" w14:textId="77777777" w:rsidR="00AF6A9B" w:rsidRPr="006052DC" w:rsidRDefault="00AF6A9B" w:rsidP="005B3D3A">
      <w:pPr>
        <w:pStyle w:val="Default"/>
        <w:spacing w:after="198"/>
        <w:rPr>
          <w:rFonts w:ascii="Arial" w:hAnsi="Arial" w:cs="Arial"/>
          <w:color w:val="auto"/>
          <w:sz w:val="22"/>
          <w:szCs w:val="22"/>
        </w:rPr>
      </w:pPr>
    </w:p>
    <w:p w14:paraId="21686781" w14:textId="77777777" w:rsidR="00AF6A9B" w:rsidRPr="006052DC" w:rsidRDefault="00AF6A9B" w:rsidP="005B3D3A">
      <w:pPr>
        <w:pStyle w:val="Default"/>
        <w:spacing w:after="198"/>
        <w:rPr>
          <w:rFonts w:ascii="Arial" w:hAnsi="Arial" w:cs="Arial"/>
          <w:color w:val="auto"/>
          <w:sz w:val="22"/>
          <w:szCs w:val="22"/>
        </w:rPr>
      </w:pPr>
    </w:p>
    <w:p w14:paraId="54D41B9C" w14:textId="5665E96D" w:rsidR="005B1A60" w:rsidRPr="006052DC" w:rsidRDefault="005B1A60" w:rsidP="005B1A60">
      <w:pPr>
        <w:pStyle w:val="Default"/>
        <w:spacing w:after="198"/>
        <w:jc w:val="both"/>
        <w:rPr>
          <w:rFonts w:ascii="Arial" w:hAnsi="Arial" w:cs="Arial"/>
          <w:b/>
          <w:bCs/>
          <w:color w:val="auto"/>
          <w:sz w:val="22"/>
          <w:szCs w:val="22"/>
          <w:u w:val="single"/>
        </w:rPr>
      </w:pPr>
      <w:r w:rsidRPr="006052DC">
        <w:rPr>
          <w:rFonts w:ascii="Arial" w:hAnsi="Arial" w:cs="Arial"/>
          <w:b/>
          <w:bCs/>
          <w:color w:val="auto"/>
          <w:sz w:val="22"/>
          <w:szCs w:val="22"/>
          <w:u w:val="single"/>
        </w:rPr>
        <w:lastRenderedPageBreak/>
        <w:t xml:space="preserve">2.2 To strengthen your argument to introduce workforce planning, evaluate techniques that can be used to support the process of workforce planning. </w:t>
      </w:r>
      <w:r w:rsidR="00212AD9" w:rsidRPr="006052DC">
        <w:rPr>
          <w:rFonts w:ascii="Arial" w:hAnsi="Arial" w:cs="Arial"/>
          <w:b/>
          <w:bCs/>
          <w:color w:val="auto"/>
          <w:sz w:val="22"/>
          <w:szCs w:val="22"/>
          <w:u w:val="single"/>
        </w:rPr>
        <w:t>4</w:t>
      </w:r>
      <w:r w:rsidR="00A37132">
        <w:rPr>
          <w:rFonts w:ascii="Arial" w:hAnsi="Arial" w:cs="Arial"/>
          <w:b/>
          <w:bCs/>
          <w:color w:val="auto"/>
          <w:sz w:val="22"/>
          <w:szCs w:val="22"/>
          <w:u w:val="single"/>
        </w:rPr>
        <w:t>35</w:t>
      </w:r>
    </w:p>
    <w:p w14:paraId="737E8C78" w14:textId="56FD597C" w:rsidR="00262C69" w:rsidRPr="006052DC" w:rsidRDefault="00262C69" w:rsidP="00262C69">
      <w:pPr>
        <w:pStyle w:val="Default"/>
        <w:spacing w:after="198"/>
        <w:jc w:val="both"/>
        <w:rPr>
          <w:rFonts w:ascii="Arial" w:hAnsi="Arial" w:cs="Arial"/>
          <w:color w:val="auto"/>
          <w:sz w:val="22"/>
          <w:szCs w:val="22"/>
        </w:rPr>
      </w:pPr>
      <w:r w:rsidRPr="006052DC">
        <w:rPr>
          <w:rFonts w:ascii="Arial" w:hAnsi="Arial" w:cs="Arial"/>
          <w:color w:val="auto"/>
          <w:sz w:val="22"/>
          <w:szCs w:val="22"/>
        </w:rPr>
        <w:t>When it comes to workforce planning, two commonly used techniques are managerial judgement and employee turnover rate, both of which assist organisations in identifying skill shortages and recruitment needs.</w:t>
      </w:r>
    </w:p>
    <w:p w14:paraId="1DF38408" w14:textId="5E79B945" w:rsidR="00262C69" w:rsidRPr="00A37132" w:rsidRDefault="00262C69" w:rsidP="00262C69">
      <w:pPr>
        <w:pStyle w:val="Default"/>
        <w:spacing w:after="198"/>
        <w:jc w:val="both"/>
        <w:rPr>
          <w:rFonts w:ascii="Arial" w:hAnsi="Arial" w:cs="Arial"/>
          <w:color w:val="auto"/>
          <w:sz w:val="22"/>
          <w:szCs w:val="22"/>
        </w:rPr>
      </w:pPr>
      <w:r w:rsidRPr="006052DC">
        <w:rPr>
          <w:rFonts w:ascii="Arial" w:hAnsi="Arial" w:cs="Arial"/>
          <w:color w:val="auto"/>
          <w:sz w:val="22"/>
          <w:szCs w:val="22"/>
        </w:rPr>
        <w:t xml:space="preserve">Managerial judgement involves decision-making based on the insights and experience of managers. One of its key advantages is that managers often possess a strong, contextual understanding of both their team’s </w:t>
      </w:r>
      <w:r w:rsidRPr="00A37132">
        <w:rPr>
          <w:rFonts w:ascii="Arial" w:hAnsi="Arial" w:cs="Arial"/>
          <w:color w:val="auto"/>
          <w:sz w:val="22"/>
          <w:szCs w:val="22"/>
        </w:rPr>
        <w:t>and the organisation’s needs. Experienced managers</w:t>
      </w:r>
      <w:proofErr w:type="gramStart"/>
      <w:r w:rsidRPr="00A37132">
        <w:rPr>
          <w:rFonts w:ascii="Arial" w:hAnsi="Arial" w:cs="Arial"/>
          <w:color w:val="auto"/>
          <w:sz w:val="22"/>
          <w:szCs w:val="22"/>
        </w:rPr>
        <w:t>, in particular, can</w:t>
      </w:r>
      <w:proofErr w:type="gramEnd"/>
      <w:r w:rsidRPr="00A37132">
        <w:rPr>
          <w:rFonts w:ascii="Arial" w:hAnsi="Arial" w:cs="Arial"/>
          <w:color w:val="auto"/>
          <w:sz w:val="22"/>
          <w:szCs w:val="22"/>
        </w:rPr>
        <w:t xml:space="preserve"> draw on their extensive knowledge and observed patterns over time, allowing them to anticipate future requirements that may not be immediately apparent. Furthermore, managerial judgement brings a human element into the decision-making process. Managers </w:t>
      </w:r>
      <w:r w:rsidR="00E6773F" w:rsidRPr="00A37132">
        <w:rPr>
          <w:rFonts w:ascii="Arial" w:hAnsi="Arial" w:cs="Arial"/>
          <w:color w:val="auto"/>
          <w:sz w:val="22"/>
          <w:szCs w:val="22"/>
        </w:rPr>
        <w:t>can</w:t>
      </w:r>
      <w:r w:rsidRPr="00A37132">
        <w:rPr>
          <w:rFonts w:ascii="Arial" w:hAnsi="Arial" w:cs="Arial"/>
          <w:color w:val="auto"/>
          <w:sz w:val="22"/>
          <w:szCs w:val="22"/>
        </w:rPr>
        <w:t xml:space="preserve"> consider factors such as morale, employee engagement, and team dynamics (Laribee, 1991), which are difficult to quantify but essential for effective workforce planning.</w:t>
      </w:r>
    </w:p>
    <w:p w14:paraId="4AA1B45D" w14:textId="5D79B98D" w:rsidR="00262C69" w:rsidRPr="00A37132" w:rsidRDefault="00262C69" w:rsidP="00262C69">
      <w:pPr>
        <w:pStyle w:val="Default"/>
        <w:spacing w:after="198"/>
        <w:jc w:val="both"/>
        <w:rPr>
          <w:rFonts w:ascii="Arial" w:hAnsi="Arial" w:cs="Arial"/>
          <w:color w:val="auto"/>
          <w:sz w:val="22"/>
          <w:szCs w:val="22"/>
        </w:rPr>
      </w:pPr>
      <w:r w:rsidRPr="00A37132">
        <w:rPr>
          <w:rFonts w:ascii="Arial" w:hAnsi="Arial" w:cs="Arial"/>
          <w:color w:val="auto"/>
          <w:sz w:val="22"/>
          <w:szCs w:val="22"/>
        </w:rPr>
        <w:t>However, this approach can be influenced by personal biases or assumptions rather than objective data. This introduces risks related to accuracy and consistency, especially when compared to more data-driven methods. Additionally, managerial judgement has limited scalability. As organisations expand, it becomes increasingly difficult for managers to maintain a comprehensive understanding of the entire business. Therefore, this method is more suitable for smaller organisations. Given that ParcelCare operates on a national scale, relying solely on managerial judgement would not be an effective workforce planning strategy.</w:t>
      </w:r>
    </w:p>
    <w:p w14:paraId="0A869060" w14:textId="2FBD028D" w:rsidR="00262C69" w:rsidRPr="00A37132" w:rsidRDefault="00262C69" w:rsidP="00262C69">
      <w:pPr>
        <w:pStyle w:val="Default"/>
        <w:spacing w:after="198"/>
        <w:jc w:val="both"/>
        <w:rPr>
          <w:rFonts w:ascii="Arial" w:hAnsi="Arial" w:cs="Arial"/>
          <w:color w:val="auto"/>
          <w:sz w:val="22"/>
          <w:szCs w:val="22"/>
        </w:rPr>
      </w:pPr>
      <w:r w:rsidRPr="00A37132">
        <w:rPr>
          <w:rFonts w:ascii="Arial" w:hAnsi="Arial" w:cs="Arial"/>
          <w:color w:val="auto"/>
          <w:sz w:val="22"/>
          <w:szCs w:val="22"/>
        </w:rPr>
        <w:t>Employee turnover rate, on the other hand, measures the number of employees who leave an organisation within a specific timeframe. This metric serves as a clear and measurable indicator of workforce stability, helping management forecast future staffing needs. It also offers a data-driven foundation for decision-making (Sainju, 2020). For instance, a high turnover rate in a particular department may highlight issues such as ineffective leadership</w:t>
      </w:r>
      <w:r w:rsidR="0042798E" w:rsidRPr="00A37132">
        <w:rPr>
          <w:rFonts w:ascii="Arial" w:hAnsi="Arial" w:cs="Arial"/>
          <w:color w:val="auto"/>
          <w:sz w:val="22"/>
          <w:szCs w:val="22"/>
        </w:rPr>
        <w:t xml:space="preserve"> or a lack of development opportunities</w:t>
      </w:r>
      <w:r w:rsidR="00D010CC" w:rsidRPr="00A37132">
        <w:rPr>
          <w:rFonts w:ascii="Arial" w:hAnsi="Arial" w:cs="Arial"/>
          <w:color w:val="auto"/>
          <w:sz w:val="22"/>
          <w:szCs w:val="22"/>
        </w:rPr>
        <w:t xml:space="preserve"> and training</w:t>
      </w:r>
      <w:r w:rsidRPr="00A37132">
        <w:rPr>
          <w:rFonts w:ascii="Arial" w:hAnsi="Arial" w:cs="Arial"/>
          <w:color w:val="auto"/>
          <w:sz w:val="22"/>
          <w:szCs w:val="22"/>
        </w:rPr>
        <w:t>. Additionally, turnover data can be benchmarked against industry standards and historical trends, enabling organisations to evaluate their performance and assess how turnover patterns may impact their strategic goals.</w:t>
      </w:r>
      <w:r w:rsidR="00A37132" w:rsidRPr="00A37132">
        <w:rPr>
          <w:rFonts w:ascii="Arial" w:hAnsi="Arial" w:cs="Arial"/>
          <w:color w:val="auto"/>
          <w:sz w:val="22"/>
          <w:szCs w:val="22"/>
        </w:rPr>
        <w:t xml:space="preserve"> However</w:t>
      </w:r>
      <w:r w:rsidRPr="00A37132">
        <w:rPr>
          <w:rFonts w:ascii="Arial" w:hAnsi="Arial" w:cs="Arial"/>
          <w:color w:val="auto"/>
          <w:sz w:val="22"/>
          <w:szCs w:val="22"/>
        </w:rPr>
        <w:t xml:space="preserve">, turnover rates lack </w:t>
      </w:r>
      <w:r w:rsidR="00A37132" w:rsidRPr="00A37132">
        <w:rPr>
          <w:rFonts w:ascii="Arial" w:hAnsi="Arial" w:cs="Arial"/>
          <w:color w:val="auto"/>
          <w:sz w:val="22"/>
          <w:szCs w:val="22"/>
        </w:rPr>
        <w:t xml:space="preserve">the </w:t>
      </w:r>
      <w:r w:rsidR="00A37132" w:rsidRPr="00A37132">
        <w:rPr>
          <w:rFonts w:ascii="Arial" w:hAnsi="Arial" w:cs="Arial"/>
          <w:color w:val="auto"/>
          <w:sz w:val="22"/>
          <w:szCs w:val="22"/>
        </w:rPr>
        <w:t>context needed for a deeper understanding</w:t>
      </w:r>
      <w:r w:rsidR="00A37132" w:rsidRPr="00A37132">
        <w:rPr>
          <w:rFonts w:ascii="Arial" w:hAnsi="Arial" w:cs="Arial"/>
          <w:color w:val="auto"/>
          <w:sz w:val="22"/>
          <w:szCs w:val="22"/>
        </w:rPr>
        <w:t>,</w:t>
      </w:r>
      <w:r w:rsidR="00A37132" w:rsidRPr="00A37132">
        <w:rPr>
          <w:rFonts w:ascii="Arial" w:hAnsi="Arial" w:cs="Arial"/>
          <w:color w:val="auto"/>
          <w:sz w:val="22"/>
          <w:szCs w:val="22"/>
        </w:rPr>
        <w:t xml:space="preserve"> </w:t>
      </w:r>
      <w:r w:rsidR="00A37132" w:rsidRPr="00A37132">
        <w:rPr>
          <w:rFonts w:ascii="Arial" w:hAnsi="Arial" w:cs="Arial"/>
          <w:color w:val="auto"/>
          <w:sz w:val="22"/>
          <w:szCs w:val="22"/>
        </w:rPr>
        <w:t>it</w:t>
      </w:r>
      <w:r w:rsidR="00A37132" w:rsidRPr="00A37132">
        <w:rPr>
          <w:rFonts w:ascii="Arial" w:hAnsi="Arial" w:cs="Arial"/>
          <w:color w:val="auto"/>
          <w:sz w:val="22"/>
          <w:szCs w:val="22"/>
        </w:rPr>
        <w:t xml:space="preserve"> doesn’t capture emotions, motivations, or societal influences behind </w:t>
      </w:r>
      <w:r w:rsidR="00A37132" w:rsidRPr="00A37132">
        <w:rPr>
          <w:rFonts w:ascii="Arial" w:hAnsi="Arial" w:cs="Arial"/>
          <w:color w:val="auto"/>
          <w:sz w:val="22"/>
          <w:szCs w:val="22"/>
        </w:rPr>
        <w:t>the data</w:t>
      </w:r>
      <w:r w:rsidRPr="00A37132">
        <w:rPr>
          <w:rFonts w:ascii="Arial" w:hAnsi="Arial" w:cs="Arial"/>
          <w:color w:val="auto"/>
          <w:sz w:val="22"/>
          <w:szCs w:val="22"/>
        </w:rPr>
        <w:t>. Whil</w:t>
      </w:r>
      <w:r w:rsidR="00A37132" w:rsidRPr="00A37132">
        <w:rPr>
          <w:rFonts w:ascii="Arial" w:hAnsi="Arial" w:cs="Arial"/>
          <w:color w:val="auto"/>
          <w:sz w:val="22"/>
          <w:szCs w:val="22"/>
        </w:rPr>
        <w:t>st</w:t>
      </w:r>
      <w:r w:rsidRPr="00A37132">
        <w:rPr>
          <w:rFonts w:ascii="Arial" w:hAnsi="Arial" w:cs="Arial"/>
          <w:color w:val="auto"/>
          <w:sz w:val="22"/>
          <w:szCs w:val="22"/>
        </w:rPr>
        <w:t xml:space="preserve"> they show how many employees have left, they don’t explain the underlying reasons, </w:t>
      </w:r>
      <w:r w:rsidR="00A37132" w:rsidRPr="00A37132">
        <w:rPr>
          <w:rFonts w:ascii="Arial" w:hAnsi="Arial" w:cs="Arial"/>
          <w:color w:val="auto"/>
          <w:sz w:val="22"/>
          <w:szCs w:val="22"/>
        </w:rPr>
        <w:t xml:space="preserve">which </w:t>
      </w:r>
      <w:r w:rsidRPr="00A37132">
        <w:rPr>
          <w:rFonts w:ascii="Arial" w:hAnsi="Arial" w:cs="Arial"/>
          <w:color w:val="auto"/>
          <w:sz w:val="22"/>
          <w:szCs w:val="22"/>
        </w:rPr>
        <w:t>limit</w:t>
      </w:r>
      <w:r w:rsidR="00A37132" w:rsidRPr="00A37132">
        <w:rPr>
          <w:rFonts w:ascii="Arial" w:hAnsi="Arial" w:cs="Arial"/>
          <w:color w:val="auto"/>
          <w:sz w:val="22"/>
          <w:szCs w:val="22"/>
        </w:rPr>
        <w:t>s</w:t>
      </w:r>
      <w:r w:rsidRPr="00A37132">
        <w:rPr>
          <w:rFonts w:ascii="Arial" w:hAnsi="Arial" w:cs="Arial"/>
          <w:color w:val="auto"/>
          <w:sz w:val="22"/>
          <w:szCs w:val="22"/>
        </w:rPr>
        <w:t xml:space="preserve"> their usefulness in workforce planning</w:t>
      </w:r>
      <w:r w:rsidR="00A37132" w:rsidRPr="00A37132">
        <w:rPr>
          <w:rFonts w:ascii="Arial" w:hAnsi="Arial" w:cs="Arial"/>
          <w:color w:val="auto"/>
          <w:sz w:val="22"/>
          <w:szCs w:val="22"/>
        </w:rPr>
        <w:t xml:space="preserve"> to an extent</w:t>
      </w:r>
      <w:r w:rsidRPr="00A37132">
        <w:rPr>
          <w:rFonts w:ascii="Arial" w:hAnsi="Arial" w:cs="Arial"/>
          <w:color w:val="auto"/>
          <w:sz w:val="22"/>
          <w:szCs w:val="22"/>
        </w:rPr>
        <w:t>. Moreover, turnover data is retrospective and reactive</w:t>
      </w:r>
      <w:r w:rsidR="00A37132" w:rsidRPr="00A37132">
        <w:rPr>
          <w:rFonts w:ascii="Arial" w:hAnsi="Arial" w:cs="Arial"/>
          <w:color w:val="auto"/>
          <w:sz w:val="22"/>
          <w:szCs w:val="22"/>
        </w:rPr>
        <w:t xml:space="preserve"> </w:t>
      </w:r>
      <w:r w:rsidRPr="00A37132">
        <w:rPr>
          <w:rFonts w:ascii="Arial" w:hAnsi="Arial" w:cs="Arial"/>
          <w:color w:val="auto"/>
          <w:sz w:val="22"/>
          <w:szCs w:val="22"/>
        </w:rPr>
        <w:t>it highlights issues only after they’ve occurred. Without being paired with other methods, it cannot accurately forecast future workforce needs. The data can also be misleading, as it doesn’t account for unavoidable turnover caused by external factors beyond the organisation’s control</w:t>
      </w:r>
      <w:r w:rsidR="00A37132" w:rsidRPr="00A37132">
        <w:rPr>
          <w:rFonts w:ascii="Arial" w:hAnsi="Arial" w:cs="Arial"/>
          <w:color w:val="auto"/>
          <w:sz w:val="22"/>
          <w:szCs w:val="22"/>
        </w:rPr>
        <w:t xml:space="preserve">, for example the need for redundancy. </w:t>
      </w:r>
    </w:p>
    <w:p w14:paraId="48863163" w14:textId="19C8699E" w:rsidR="00262C69" w:rsidRPr="00A37132" w:rsidRDefault="00262C69" w:rsidP="005B1A60">
      <w:pPr>
        <w:pStyle w:val="Default"/>
        <w:spacing w:after="198"/>
        <w:jc w:val="both"/>
        <w:rPr>
          <w:rFonts w:ascii="Arial" w:hAnsi="Arial" w:cs="Arial"/>
          <w:color w:val="auto"/>
          <w:sz w:val="22"/>
          <w:szCs w:val="22"/>
        </w:rPr>
      </w:pPr>
      <w:r w:rsidRPr="00A37132">
        <w:rPr>
          <w:rFonts w:ascii="Arial" w:hAnsi="Arial" w:cs="Arial"/>
          <w:color w:val="auto"/>
          <w:sz w:val="22"/>
          <w:szCs w:val="22"/>
        </w:rPr>
        <w:t>To enhance the effectiveness of workforce planning, ParcelCare should consider integrating both techniques with additional tools such as data analytics and employee feedback surveys.</w:t>
      </w:r>
    </w:p>
    <w:p w14:paraId="226697A3" w14:textId="77777777" w:rsidR="005B1A60" w:rsidRPr="006052DC" w:rsidRDefault="005B1A60" w:rsidP="00543AD3">
      <w:pPr>
        <w:pStyle w:val="NormalWeb"/>
        <w:shd w:val="clear" w:color="auto" w:fill="FFFFFF"/>
        <w:spacing w:before="0" w:beforeAutospacing="0" w:after="0" w:afterAutospacing="0"/>
        <w:jc w:val="both"/>
        <w:rPr>
          <w:rFonts w:ascii="Arial" w:hAnsi="Arial" w:cs="Arial"/>
          <w:sz w:val="22"/>
          <w:szCs w:val="22"/>
        </w:rPr>
      </w:pPr>
    </w:p>
    <w:p w14:paraId="2F92FB1D" w14:textId="28136E3F" w:rsidR="00151CFF" w:rsidRPr="006052DC" w:rsidRDefault="00151CFF" w:rsidP="00151CFF">
      <w:pPr>
        <w:pStyle w:val="Default"/>
        <w:spacing w:after="198"/>
        <w:jc w:val="both"/>
        <w:rPr>
          <w:rFonts w:ascii="Arial" w:hAnsi="Arial" w:cs="Arial"/>
          <w:b/>
          <w:bCs/>
          <w:color w:val="auto"/>
          <w:sz w:val="22"/>
          <w:szCs w:val="22"/>
          <w:u w:val="single"/>
        </w:rPr>
      </w:pPr>
      <w:r w:rsidRPr="006052DC">
        <w:rPr>
          <w:rFonts w:ascii="Arial" w:hAnsi="Arial" w:cs="Arial"/>
          <w:b/>
          <w:bCs/>
          <w:color w:val="auto"/>
          <w:sz w:val="22"/>
          <w:szCs w:val="22"/>
          <w:u w:val="single"/>
        </w:rPr>
        <w:t xml:space="preserve">2.3 Currently, vacancies are advertised on ParcelCare’s website. Line managers then interview shortlisted applicants. You feel that these are suitable recruitment and selection methods to use but want to broaden the methods used. Evaluate the strengths and weaknesses of two different recruitment methods and two different selection methods. </w:t>
      </w:r>
      <w:r w:rsidR="00212AD9" w:rsidRPr="006052DC">
        <w:rPr>
          <w:rFonts w:ascii="Arial" w:hAnsi="Arial" w:cs="Arial"/>
          <w:b/>
          <w:bCs/>
          <w:color w:val="auto"/>
          <w:sz w:val="22"/>
          <w:szCs w:val="22"/>
          <w:u w:val="single"/>
        </w:rPr>
        <w:t>6</w:t>
      </w:r>
      <w:r w:rsidR="009F0051">
        <w:rPr>
          <w:rFonts w:ascii="Arial" w:hAnsi="Arial" w:cs="Arial"/>
          <w:b/>
          <w:bCs/>
          <w:color w:val="auto"/>
          <w:sz w:val="22"/>
          <w:szCs w:val="22"/>
          <w:u w:val="single"/>
        </w:rPr>
        <w:t>38</w:t>
      </w:r>
    </w:p>
    <w:p w14:paraId="2507070E" w14:textId="2FB8E4B9" w:rsidR="00E6773F" w:rsidRDefault="00E6773F" w:rsidP="00E6773F">
      <w:pPr>
        <w:pStyle w:val="Default"/>
        <w:spacing w:after="198"/>
        <w:jc w:val="both"/>
        <w:rPr>
          <w:rFonts w:ascii="Arial" w:hAnsi="Arial" w:cs="Arial"/>
          <w:color w:val="auto"/>
          <w:sz w:val="22"/>
          <w:szCs w:val="22"/>
        </w:rPr>
      </w:pPr>
      <w:r w:rsidRPr="006052DC">
        <w:rPr>
          <w:rFonts w:ascii="Arial" w:hAnsi="Arial" w:cs="Arial"/>
          <w:color w:val="auto"/>
          <w:sz w:val="22"/>
          <w:szCs w:val="22"/>
        </w:rPr>
        <w:t>The use of</w:t>
      </w:r>
      <w:r w:rsidRPr="006052DC">
        <w:rPr>
          <w:rFonts w:ascii="Arial" w:hAnsi="Arial" w:cs="Arial"/>
          <w:b/>
          <w:bCs/>
          <w:color w:val="auto"/>
          <w:sz w:val="22"/>
          <w:szCs w:val="22"/>
        </w:rPr>
        <w:t> </w:t>
      </w:r>
      <w:r w:rsidRPr="006052DC">
        <w:rPr>
          <w:rFonts w:ascii="Arial" w:hAnsi="Arial" w:cs="Arial"/>
          <w:color w:val="auto"/>
          <w:sz w:val="22"/>
          <w:szCs w:val="22"/>
        </w:rPr>
        <w:t>social media in recruitment has become a standard practice. With the advancement of technology and the emergence of new platforms, social media has evolved beyond recreational use and is now a strategic tool for attracting talent (Biyani, 2024). One major advantage is th</w:t>
      </w:r>
      <w:r w:rsidR="009F0051">
        <w:rPr>
          <w:rFonts w:ascii="Arial" w:hAnsi="Arial" w:cs="Arial"/>
          <w:color w:val="auto"/>
          <w:sz w:val="22"/>
          <w:szCs w:val="22"/>
        </w:rPr>
        <w:t xml:space="preserve">at </w:t>
      </w:r>
      <w:r w:rsidRPr="006052DC">
        <w:rPr>
          <w:rFonts w:ascii="Arial" w:hAnsi="Arial" w:cs="Arial"/>
          <w:color w:val="auto"/>
          <w:sz w:val="22"/>
          <w:szCs w:val="22"/>
        </w:rPr>
        <w:t>recruiters can connect with candidates both nationally and internationally.</w:t>
      </w:r>
      <w:r w:rsidR="009F0051">
        <w:rPr>
          <w:rFonts w:ascii="Arial" w:hAnsi="Arial" w:cs="Arial"/>
          <w:color w:val="auto"/>
          <w:sz w:val="22"/>
          <w:szCs w:val="22"/>
        </w:rPr>
        <w:t xml:space="preserve"> Jorgensen, (2023) found that </w:t>
      </w:r>
      <w:r w:rsidR="009F0051" w:rsidRPr="009F0051">
        <w:rPr>
          <w:rFonts w:ascii="Arial" w:hAnsi="Arial" w:cs="Arial"/>
          <w:color w:val="auto"/>
          <w:sz w:val="22"/>
          <w:szCs w:val="22"/>
        </w:rPr>
        <w:t>73% of recruiters have successfully hired candidates through social media platforms, demonstrating its growing role in modern talent acquisition strategies</w:t>
      </w:r>
      <w:r w:rsidR="009F0051">
        <w:rPr>
          <w:rFonts w:ascii="Arial" w:hAnsi="Arial" w:cs="Arial"/>
          <w:color w:val="auto"/>
          <w:sz w:val="22"/>
          <w:szCs w:val="22"/>
        </w:rPr>
        <w:t>.</w:t>
      </w:r>
      <w:r w:rsidRPr="006052DC">
        <w:rPr>
          <w:rFonts w:ascii="Arial" w:hAnsi="Arial" w:cs="Arial"/>
          <w:color w:val="auto"/>
          <w:sz w:val="22"/>
          <w:szCs w:val="22"/>
        </w:rPr>
        <w:t xml:space="preserve"> Additionally, part of the recruitment responsibility shifts to the applicant, who must ensure their profiles, particularly on platforms like LinkedIn, are professional and up to date. This shift reduces employer costs, as most social media platforms are free to use (Jacobs, 2009). Another benefit is the speed of hiring; by removing intermediaries, organisations can fill vacancies up to 30% faster than with traditional methods (Kroeze, 2015).</w:t>
      </w:r>
      <w:r w:rsidR="009F0051">
        <w:rPr>
          <w:rFonts w:ascii="Arial" w:hAnsi="Arial" w:cs="Arial"/>
          <w:color w:val="auto"/>
          <w:sz w:val="22"/>
          <w:szCs w:val="22"/>
        </w:rPr>
        <w:t xml:space="preserve"> </w:t>
      </w:r>
      <w:r w:rsidRPr="006052DC">
        <w:rPr>
          <w:rFonts w:ascii="Arial" w:hAnsi="Arial" w:cs="Arial"/>
          <w:color w:val="auto"/>
          <w:sz w:val="22"/>
          <w:szCs w:val="22"/>
        </w:rPr>
        <w:t xml:space="preserve">However, a key drawback is the reliability of the information provided by applicants. Since </w:t>
      </w:r>
      <w:r w:rsidR="009F0051" w:rsidRPr="006052DC">
        <w:rPr>
          <w:rFonts w:ascii="Arial" w:hAnsi="Arial" w:cs="Arial"/>
          <w:color w:val="auto"/>
          <w:sz w:val="22"/>
          <w:szCs w:val="22"/>
        </w:rPr>
        <w:t>experience</w:t>
      </w:r>
      <w:r w:rsidRPr="006052DC">
        <w:rPr>
          <w:rFonts w:ascii="Arial" w:hAnsi="Arial" w:cs="Arial"/>
          <w:color w:val="auto"/>
          <w:sz w:val="22"/>
          <w:szCs w:val="22"/>
        </w:rPr>
        <w:t xml:space="preserve"> and job history are attractive to recruiters, some candidates may exaggerate or misrepresent their qualifications (Suder, 2014). Lastly, interpreting a candidate’s online presence without full context can lead to </w:t>
      </w:r>
      <w:r w:rsidR="00AD188E" w:rsidRPr="006052DC">
        <w:rPr>
          <w:rFonts w:ascii="Arial" w:hAnsi="Arial" w:cs="Arial"/>
          <w:color w:val="auto"/>
          <w:sz w:val="22"/>
          <w:szCs w:val="22"/>
        </w:rPr>
        <w:t>misjudgements</w:t>
      </w:r>
      <w:r w:rsidRPr="006052DC">
        <w:rPr>
          <w:rFonts w:ascii="Arial" w:hAnsi="Arial" w:cs="Arial"/>
          <w:color w:val="auto"/>
          <w:sz w:val="22"/>
          <w:szCs w:val="22"/>
        </w:rPr>
        <w:t>, potentially resulting in unfair rejections and legal risks related to discrimination or unequal access to opportunities.</w:t>
      </w:r>
    </w:p>
    <w:p w14:paraId="428D00BE" w14:textId="757C152B" w:rsidR="009F0051" w:rsidRPr="006052DC" w:rsidRDefault="009F0051" w:rsidP="00E6773F">
      <w:pPr>
        <w:pStyle w:val="Default"/>
        <w:spacing w:after="198"/>
        <w:jc w:val="both"/>
        <w:rPr>
          <w:rFonts w:ascii="Arial" w:hAnsi="Arial" w:cs="Arial"/>
          <w:color w:val="auto"/>
          <w:sz w:val="22"/>
          <w:szCs w:val="22"/>
        </w:rPr>
      </w:pPr>
      <w:r>
        <w:rPr>
          <w:rFonts w:ascii="Arial" w:hAnsi="Arial" w:cs="Arial"/>
          <w:color w:val="auto"/>
          <w:sz w:val="22"/>
          <w:szCs w:val="22"/>
        </w:rPr>
        <w:lastRenderedPageBreak/>
        <w:t>T</w:t>
      </w:r>
      <w:r w:rsidRPr="006052DC">
        <w:rPr>
          <w:rFonts w:ascii="Arial" w:hAnsi="Arial" w:cs="Arial"/>
          <w:color w:val="auto"/>
          <w:sz w:val="22"/>
          <w:szCs w:val="22"/>
        </w:rPr>
        <w:t>rial shifts and job references are common selection methods used by employers.</w:t>
      </w:r>
      <w:r>
        <w:rPr>
          <w:rFonts w:ascii="Arial" w:hAnsi="Arial" w:cs="Arial"/>
          <w:color w:val="auto"/>
          <w:sz w:val="22"/>
          <w:szCs w:val="22"/>
        </w:rPr>
        <w:t xml:space="preserve"> </w:t>
      </w:r>
      <w:r w:rsidRPr="006052DC">
        <w:rPr>
          <w:rFonts w:ascii="Arial" w:hAnsi="Arial" w:cs="Arial"/>
          <w:color w:val="auto"/>
          <w:sz w:val="22"/>
          <w:szCs w:val="22"/>
        </w:rPr>
        <w:t>Trial shifts allow candidates to experience the role and team environment firsthand, which can improve onboarding and reduce early resignations. They also give employers a chance to assess a candidate’s skills, adaptability, and team interaction under real conditions. Importantly, trial shifts reduce bias by focusing on observed performance rather than interview skills, which can be influenced by unequal access to preparation resources (Podda, 2023). However, trial shifts can be problematic. New candidates are unfamiliar with the team, culture, and expectations, so expecting them to perform at the same level as current staff may be unfair. Additionally, the shift may not reflect a typical workday, leading to a skewed perception of the role. Ethical concerns also arise, particularly around unpaid trial shifts, which may breach labour laws and damage the organisation’s reputation (Holmes, 2023).</w:t>
      </w:r>
    </w:p>
    <w:p w14:paraId="1DDBBC97" w14:textId="0DD373B0" w:rsidR="00E6773F" w:rsidRPr="006052DC" w:rsidRDefault="00E6773F" w:rsidP="00E6773F">
      <w:pPr>
        <w:pStyle w:val="Default"/>
        <w:spacing w:after="198"/>
        <w:jc w:val="both"/>
        <w:rPr>
          <w:rFonts w:ascii="Arial" w:hAnsi="Arial" w:cs="Arial"/>
          <w:color w:val="auto"/>
          <w:sz w:val="22"/>
          <w:szCs w:val="22"/>
        </w:rPr>
      </w:pPr>
      <w:r w:rsidRPr="006052DC">
        <w:rPr>
          <w:rFonts w:ascii="Arial" w:hAnsi="Arial" w:cs="Arial"/>
          <w:color w:val="auto"/>
          <w:sz w:val="22"/>
          <w:szCs w:val="22"/>
        </w:rPr>
        <w:t>Turning to Job Centres, these are typically government-run services that assist jobseekers in finding employment. One of their main advantages is cost-effectiveness</w:t>
      </w:r>
      <w:r w:rsidR="00A37132">
        <w:rPr>
          <w:rFonts w:ascii="Arial" w:hAnsi="Arial" w:cs="Arial"/>
          <w:color w:val="auto"/>
          <w:sz w:val="22"/>
          <w:szCs w:val="22"/>
        </w:rPr>
        <w:t xml:space="preserve">, </w:t>
      </w:r>
      <w:r w:rsidRPr="006052DC">
        <w:rPr>
          <w:rFonts w:ascii="Arial" w:hAnsi="Arial" w:cs="Arial"/>
          <w:color w:val="auto"/>
          <w:sz w:val="22"/>
          <w:szCs w:val="22"/>
        </w:rPr>
        <w:t>advertising roles through Job Centres is usually free for employers. They also promote social responsibility by supporting individuals who have been unemployed long-term and are actively working to re-enter the workforce, which can enhance a company’s reputation and employer brand. Additionally, Job Centres often manage the initial stages of recruitment, such as screening candidates based on job criteria, saving employers time, money, and resources.</w:t>
      </w:r>
      <w:r w:rsidR="00A37132">
        <w:rPr>
          <w:rFonts w:ascii="Arial" w:hAnsi="Arial" w:cs="Arial"/>
          <w:color w:val="auto"/>
          <w:sz w:val="22"/>
          <w:szCs w:val="22"/>
        </w:rPr>
        <w:t xml:space="preserve"> </w:t>
      </w:r>
      <w:r w:rsidRPr="006052DC">
        <w:rPr>
          <w:rFonts w:ascii="Arial" w:hAnsi="Arial" w:cs="Arial"/>
          <w:color w:val="auto"/>
          <w:sz w:val="22"/>
          <w:szCs w:val="22"/>
        </w:rPr>
        <w:t>Despite these benefits, Job Centres are sometimes associated with inconsistent candidate quality. Employers may find that applicants from these sources vary widely in suitability (Newman, 2024). As a result, Job Centres are generally more appropriate for recruiting entry-level or lower-skilled roles. Moreover, because Job Centres are not directly impacted by the urgency of filling a role, the recruitment process can be slower, making them less ideal for time-sensitive hiring needs.</w:t>
      </w:r>
    </w:p>
    <w:p w14:paraId="03D06738" w14:textId="7161BB73" w:rsidR="00E6773F" w:rsidRPr="006052DC" w:rsidRDefault="00E6773F" w:rsidP="00151CFF">
      <w:pPr>
        <w:pStyle w:val="Default"/>
        <w:spacing w:after="198"/>
        <w:jc w:val="both"/>
        <w:rPr>
          <w:rFonts w:ascii="Arial" w:hAnsi="Arial" w:cs="Arial"/>
          <w:color w:val="auto"/>
          <w:sz w:val="22"/>
          <w:szCs w:val="22"/>
        </w:rPr>
      </w:pPr>
      <w:r w:rsidRPr="006052DC">
        <w:rPr>
          <w:rFonts w:ascii="Arial" w:hAnsi="Arial" w:cs="Arial"/>
          <w:color w:val="auto"/>
          <w:sz w:val="22"/>
          <w:szCs w:val="22"/>
        </w:rPr>
        <w:t>Job references involve contacting a candidate’s previous or current employer to verify their background and assess their suitability. References help validate the information provided by the applicant and offer qualitative insights into their work ethic, attitude, and past behaviour. They also help mitigate risk by revealing issues such as absenteeism, punctuality, or interpersonal conflicts, which can inform better hiring decisions.</w:t>
      </w:r>
      <w:r w:rsidR="00A37132">
        <w:rPr>
          <w:rFonts w:ascii="Arial" w:hAnsi="Arial" w:cs="Arial"/>
          <w:color w:val="auto"/>
          <w:sz w:val="22"/>
          <w:szCs w:val="22"/>
        </w:rPr>
        <w:t xml:space="preserve"> However</w:t>
      </w:r>
      <w:r w:rsidRPr="006052DC">
        <w:rPr>
          <w:rFonts w:ascii="Arial" w:hAnsi="Arial" w:cs="Arial"/>
          <w:color w:val="auto"/>
          <w:sz w:val="22"/>
          <w:szCs w:val="22"/>
        </w:rPr>
        <w:t>, references can be biased</w:t>
      </w:r>
      <w:r w:rsidR="00A37132">
        <w:rPr>
          <w:rFonts w:ascii="Arial" w:hAnsi="Arial" w:cs="Arial"/>
          <w:color w:val="auto"/>
          <w:sz w:val="22"/>
          <w:szCs w:val="22"/>
        </w:rPr>
        <w:t xml:space="preserve">, either </w:t>
      </w:r>
      <w:r w:rsidRPr="006052DC">
        <w:rPr>
          <w:rFonts w:ascii="Arial" w:hAnsi="Arial" w:cs="Arial"/>
          <w:color w:val="auto"/>
          <w:sz w:val="22"/>
          <w:szCs w:val="22"/>
        </w:rPr>
        <w:t>positively or negatively</w:t>
      </w:r>
      <w:r w:rsidR="00A37132">
        <w:rPr>
          <w:rFonts w:ascii="Arial" w:hAnsi="Arial" w:cs="Arial"/>
          <w:color w:val="auto"/>
          <w:sz w:val="22"/>
          <w:szCs w:val="22"/>
        </w:rPr>
        <w:t xml:space="preserve">, </w:t>
      </w:r>
      <w:r w:rsidRPr="006052DC">
        <w:rPr>
          <w:rFonts w:ascii="Arial" w:hAnsi="Arial" w:cs="Arial"/>
          <w:color w:val="auto"/>
          <w:sz w:val="22"/>
          <w:szCs w:val="22"/>
        </w:rPr>
        <w:t>depending on the relationship between the candidate and the referee, which may distort the true picture. The quality of references also varies; some employers provide detailed feedback, while others offer only minimal information, potentially disadvantaging some candidates. Lastly, references focus on past performance, which may not accurately predict how a candidate will</w:t>
      </w:r>
      <w:r w:rsidR="00A37132">
        <w:rPr>
          <w:rFonts w:ascii="Arial" w:hAnsi="Arial" w:cs="Arial"/>
          <w:color w:val="auto"/>
          <w:sz w:val="22"/>
          <w:szCs w:val="22"/>
        </w:rPr>
        <w:t xml:space="preserve"> currently</w:t>
      </w:r>
      <w:r w:rsidRPr="006052DC">
        <w:rPr>
          <w:rFonts w:ascii="Arial" w:hAnsi="Arial" w:cs="Arial"/>
          <w:color w:val="auto"/>
          <w:sz w:val="22"/>
          <w:szCs w:val="22"/>
        </w:rPr>
        <w:t xml:space="preserve"> perform in a new role, limiting their overall usefulness.</w:t>
      </w:r>
    </w:p>
    <w:p w14:paraId="4BD6D547" w14:textId="2222F404" w:rsidR="008B0E12" w:rsidRPr="006052DC" w:rsidRDefault="008B0E12" w:rsidP="008B0E12">
      <w:pPr>
        <w:pStyle w:val="Default"/>
        <w:spacing w:after="198"/>
        <w:rPr>
          <w:rFonts w:ascii="Arial" w:hAnsi="Arial" w:cs="Arial"/>
          <w:b/>
          <w:bCs/>
          <w:color w:val="auto"/>
          <w:sz w:val="22"/>
          <w:szCs w:val="22"/>
          <w:u w:val="single"/>
        </w:rPr>
      </w:pPr>
      <w:r w:rsidRPr="006052DC">
        <w:rPr>
          <w:rFonts w:ascii="Arial" w:hAnsi="Arial" w:cs="Arial"/>
          <w:b/>
          <w:bCs/>
          <w:color w:val="auto"/>
          <w:sz w:val="22"/>
          <w:szCs w:val="22"/>
          <w:u w:val="single"/>
        </w:rPr>
        <w:t xml:space="preserve">3.1 On examining employee turnover rates, you feel the rate is higher than it should be, and higher than internal targets. To try to understand this further, discuss differences between avoidable and unavoidable turnover and differences between push and pull factors. </w:t>
      </w:r>
      <w:r w:rsidR="00212AD9" w:rsidRPr="006052DC">
        <w:rPr>
          <w:rFonts w:ascii="Arial" w:hAnsi="Arial" w:cs="Arial"/>
          <w:b/>
          <w:bCs/>
          <w:color w:val="auto"/>
          <w:sz w:val="22"/>
          <w:szCs w:val="22"/>
          <w:u w:val="single"/>
        </w:rPr>
        <w:t>353</w:t>
      </w:r>
    </w:p>
    <w:p w14:paraId="72542CB3" w14:textId="373536A4" w:rsidR="00E6773F" w:rsidRPr="006052DC" w:rsidRDefault="00E6773F" w:rsidP="00E6773F">
      <w:pPr>
        <w:pStyle w:val="Default"/>
        <w:spacing w:after="198"/>
        <w:jc w:val="both"/>
        <w:rPr>
          <w:rFonts w:ascii="Arial" w:hAnsi="Arial" w:cs="Arial"/>
          <w:color w:val="auto"/>
          <w:sz w:val="22"/>
          <w:szCs w:val="22"/>
        </w:rPr>
      </w:pPr>
      <w:r w:rsidRPr="006052DC">
        <w:rPr>
          <w:rFonts w:ascii="Arial" w:hAnsi="Arial" w:cs="Arial"/>
          <w:color w:val="auto"/>
          <w:sz w:val="22"/>
          <w:szCs w:val="22"/>
        </w:rPr>
        <w:t>Voluntary turnover occurs when an employee chooses to leave an organisation on their own initiative. This type of turnover often reflects dissatisfaction with their current role. For example, an employee leaving to join another company offering a higher salary would be considered voluntary turnover. In contrast, involuntary turnover is initiated by the employer, typically due to issues such as poor performance, misconduct, or organisational restructuring. An example would be an employee being terminated for theft.</w:t>
      </w:r>
    </w:p>
    <w:p w14:paraId="1F6BFC65" w14:textId="73EE3AB3" w:rsidR="00E6773F" w:rsidRPr="006052DC" w:rsidRDefault="00E6773F" w:rsidP="00E6773F">
      <w:pPr>
        <w:pStyle w:val="Default"/>
        <w:spacing w:after="198"/>
        <w:jc w:val="both"/>
        <w:rPr>
          <w:rFonts w:ascii="Arial" w:hAnsi="Arial" w:cs="Arial"/>
          <w:color w:val="auto"/>
          <w:sz w:val="22"/>
          <w:szCs w:val="22"/>
        </w:rPr>
      </w:pPr>
      <w:r w:rsidRPr="006052DC">
        <w:rPr>
          <w:rFonts w:ascii="Arial" w:hAnsi="Arial" w:cs="Arial"/>
          <w:color w:val="auto"/>
          <w:sz w:val="22"/>
          <w:szCs w:val="22"/>
        </w:rPr>
        <w:t>More specifically, avoidable turnover refers to employee departures that could have been prevented if the organisation had taken certain actions. This type of turnover often stems from dissatisfaction with factors such as career progression, compensation, or workplace culture. High levels of avoidable turnover often signal deeper organisational issues that need to be addressed to prevent further loss of talent (Holiday, 2021). On the other hand, unavoidable turnover occurs due to circumstances beyond the employer’s control. For instance, an employee resigning to relocate closer to elderly parents would fall into this category. This type of turnover is generally difficult to prevent.</w:t>
      </w:r>
    </w:p>
    <w:p w14:paraId="0252548F" w14:textId="4386DFDF" w:rsidR="00E6773F" w:rsidRPr="006052DC" w:rsidRDefault="00E6773F" w:rsidP="00E6773F">
      <w:pPr>
        <w:pStyle w:val="Default"/>
        <w:spacing w:after="198"/>
        <w:jc w:val="both"/>
        <w:rPr>
          <w:rFonts w:ascii="Arial" w:hAnsi="Arial" w:cs="Arial"/>
          <w:color w:val="auto"/>
          <w:sz w:val="22"/>
          <w:szCs w:val="22"/>
        </w:rPr>
      </w:pPr>
      <w:r w:rsidRPr="006052DC">
        <w:rPr>
          <w:rFonts w:ascii="Arial" w:hAnsi="Arial" w:cs="Arial"/>
          <w:color w:val="auto"/>
          <w:sz w:val="22"/>
          <w:szCs w:val="22"/>
        </w:rPr>
        <w:t>When examining why employees leave their jobs, it’s important to consider push and pull factors, as they are key drivers behind voluntary turnover</w:t>
      </w:r>
      <w:r w:rsidR="006052DC">
        <w:rPr>
          <w:rFonts w:ascii="Arial" w:hAnsi="Arial" w:cs="Arial"/>
          <w:color w:val="auto"/>
          <w:sz w:val="22"/>
          <w:szCs w:val="22"/>
        </w:rPr>
        <w:t xml:space="preserve">, </w:t>
      </w:r>
      <w:r w:rsidRPr="006052DC">
        <w:rPr>
          <w:rFonts w:ascii="Arial" w:hAnsi="Arial" w:cs="Arial"/>
          <w:color w:val="auto"/>
          <w:sz w:val="22"/>
          <w:szCs w:val="22"/>
        </w:rPr>
        <w:t>particularly in avoidable cases.</w:t>
      </w:r>
    </w:p>
    <w:p w14:paraId="4EEE6E50" w14:textId="6F2774F5" w:rsidR="00E6773F" w:rsidRPr="006052DC" w:rsidRDefault="00E6773F" w:rsidP="00E6773F">
      <w:pPr>
        <w:pStyle w:val="Default"/>
        <w:spacing w:after="198"/>
        <w:jc w:val="both"/>
        <w:rPr>
          <w:rFonts w:ascii="Arial" w:hAnsi="Arial" w:cs="Arial"/>
          <w:color w:val="auto"/>
          <w:sz w:val="22"/>
          <w:szCs w:val="22"/>
        </w:rPr>
      </w:pPr>
      <w:r w:rsidRPr="006052DC">
        <w:rPr>
          <w:rFonts w:ascii="Arial" w:hAnsi="Arial" w:cs="Arial"/>
          <w:color w:val="auto"/>
          <w:sz w:val="22"/>
          <w:szCs w:val="22"/>
        </w:rPr>
        <w:t>Push factors are negative aspects of an employee’s current role or work environment that drive them to leave. These typically arise from dissatisfaction or frustration and are internal to the organisation, meaning they are often within the employer’s control to improve. Addressing these issues can help retain staff. Examples of push factors include lack of autonomy, micromanagement, limited career advancement, low pay, or a toxic work culture.</w:t>
      </w:r>
    </w:p>
    <w:p w14:paraId="4E8DA1C7" w14:textId="77777777" w:rsidR="00E6773F" w:rsidRPr="006052DC" w:rsidRDefault="00E6773F" w:rsidP="00E6773F">
      <w:pPr>
        <w:pStyle w:val="Default"/>
        <w:spacing w:after="198"/>
        <w:jc w:val="both"/>
        <w:rPr>
          <w:rFonts w:ascii="Arial" w:hAnsi="Arial" w:cs="Arial"/>
          <w:color w:val="auto"/>
          <w:sz w:val="22"/>
          <w:szCs w:val="22"/>
        </w:rPr>
      </w:pPr>
      <w:r w:rsidRPr="006052DC">
        <w:rPr>
          <w:rFonts w:ascii="Arial" w:hAnsi="Arial" w:cs="Arial"/>
          <w:color w:val="auto"/>
          <w:sz w:val="22"/>
          <w:szCs w:val="22"/>
        </w:rPr>
        <w:lastRenderedPageBreak/>
        <w:t>In contrast, pull factors are external attractions that draw employees toward other opportunities. These often relate to better career prospects, higher salaries, or improved working conditions. Although pull factors originate outside the organisation, they can still be addressed internally to reduce their impact. For example, offering competitive development plans, performance-based pay increases, and fostering a positive work environment can help counteract pull factors. Examples include flexible working arrangements, better work-life balance, strong employer branding, or the appeal of working for a more prestigious company.</w:t>
      </w:r>
    </w:p>
    <w:p w14:paraId="2E3762FE" w14:textId="2492C391" w:rsidR="00D05FFD" w:rsidRPr="006052DC" w:rsidRDefault="00D05FFD" w:rsidP="00E6773F">
      <w:pPr>
        <w:pStyle w:val="Default"/>
        <w:spacing w:after="198"/>
        <w:jc w:val="both"/>
        <w:rPr>
          <w:rFonts w:ascii="Arial" w:hAnsi="Arial" w:cs="Arial"/>
          <w:b/>
          <w:bCs/>
          <w:color w:val="auto"/>
          <w:sz w:val="22"/>
          <w:szCs w:val="22"/>
          <w:u w:val="single"/>
        </w:rPr>
      </w:pPr>
      <w:r w:rsidRPr="006052DC">
        <w:rPr>
          <w:rFonts w:ascii="Arial" w:hAnsi="Arial" w:cs="Arial"/>
          <w:b/>
          <w:bCs/>
          <w:color w:val="auto"/>
          <w:sz w:val="22"/>
          <w:szCs w:val="22"/>
          <w:u w:val="single"/>
        </w:rPr>
        <w:t xml:space="preserve">3.2 Retention of warehouse staff is an issue, as there are many labour market competitors. Compare the following retention approaches: realistic job previews; induction; job enrichment; and reward. </w:t>
      </w:r>
      <w:r w:rsidR="00212AD9" w:rsidRPr="006052DC">
        <w:rPr>
          <w:rFonts w:ascii="Arial" w:hAnsi="Arial" w:cs="Arial"/>
          <w:b/>
          <w:bCs/>
          <w:color w:val="auto"/>
          <w:sz w:val="22"/>
          <w:szCs w:val="22"/>
          <w:u w:val="single"/>
        </w:rPr>
        <w:t>38</w:t>
      </w:r>
      <w:r w:rsidR="00AA1985">
        <w:rPr>
          <w:rFonts w:ascii="Arial" w:hAnsi="Arial" w:cs="Arial"/>
          <w:b/>
          <w:bCs/>
          <w:color w:val="auto"/>
          <w:sz w:val="22"/>
          <w:szCs w:val="22"/>
          <w:u w:val="single"/>
        </w:rPr>
        <w:t>6</w:t>
      </w:r>
    </w:p>
    <w:p w14:paraId="329B37AE" w14:textId="164D7A92" w:rsidR="00E6773F" w:rsidRPr="006052DC" w:rsidRDefault="00E6773F" w:rsidP="00E6773F">
      <w:pPr>
        <w:pStyle w:val="Default"/>
        <w:spacing w:after="198"/>
        <w:rPr>
          <w:rFonts w:ascii="Arial" w:hAnsi="Arial" w:cs="Arial"/>
          <w:color w:val="auto"/>
          <w:sz w:val="22"/>
          <w:szCs w:val="22"/>
        </w:rPr>
      </w:pPr>
      <w:r w:rsidRPr="006052DC">
        <w:rPr>
          <w:rFonts w:ascii="Arial" w:hAnsi="Arial" w:cs="Arial"/>
          <w:color w:val="auto"/>
          <w:sz w:val="22"/>
          <w:szCs w:val="22"/>
        </w:rPr>
        <w:t>One effective employee retention strategy is the use of Realistic Job Previews (RJPs). These are designed to provide candidates with an honest and comprehensive overview of the role before an offer is made. This allows applicants to assess whether the job aligns with their expectations and preferences. Induction programmes serve as a formal introduction for new hires, helping them integrate into the team, understand the company culture, and receive the necessary support to perform their roles effectively. Job enrichment involves enhancing a role by increasing the variety and complexity of tasks, giving employees more responsibility and autonomy. This approach is rooted in motivation theory by Herzberg et al. (1959) who identified job enrichment as a key factor in employee motivation and a critical component of any retention strategy.</w:t>
      </w:r>
    </w:p>
    <w:p w14:paraId="39E5511C" w14:textId="1F60E278" w:rsidR="00E6773F" w:rsidRPr="006052DC" w:rsidRDefault="00E6773F" w:rsidP="00E6773F">
      <w:pPr>
        <w:pStyle w:val="Default"/>
        <w:spacing w:after="198"/>
        <w:rPr>
          <w:rFonts w:ascii="Arial" w:hAnsi="Arial" w:cs="Arial"/>
          <w:color w:val="auto"/>
          <w:sz w:val="22"/>
          <w:szCs w:val="22"/>
        </w:rPr>
      </w:pPr>
      <w:r w:rsidRPr="006052DC">
        <w:rPr>
          <w:rFonts w:ascii="Arial" w:hAnsi="Arial" w:cs="Arial"/>
          <w:color w:val="auto"/>
          <w:sz w:val="22"/>
          <w:szCs w:val="22"/>
        </w:rPr>
        <w:t>Lastly, reward systems encompass all the financial, non-financial, and psychological benefits offered to employees in recognition of their performance. These can include bonuses, recognition schemes, career development opportunities, and a positive work environment. A clear commonality among these approaches is their shared goal of improving employee retention by addressing different facets of the employee experience. Each method contributes to a more positive and engaging work environment, which in turn supports long-term satisfaction and loyalty. Additionally, they all respond to employee needs at various stages of the employee lifecycle, from pre-employment to long-term engagement.</w:t>
      </w:r>
    </w:p>
    <w:p w14:paraId="118F6C8D" w14:textId="229F5F61" w:rsidR="00E6773F" w:rsidRPr="006052DC" w:rsidRDefault="00E6773F" w:rsidP="00E6773F">
      <w:pPr>
        <w:pStyle w:val="Default"/>
        <w:spacing w:after="198"/>
        <w:rPr>
          <w:rFonts w:ascii="Arial" w:hAnsi="Arial" w:cs="Arial"/>
          <w:color w:val="auto"/>
          <w:sz w:val="22"/>
          <w:szCs w:val="22"/>
        </w:rPr>
      </w:pPr>
      <w:r w:rsidRPr="006052DC">
        <w:rPr>
          <w:rFonts w:ascii="Arial" w:hAnsi="Arial" w:cs="Arial"/>
          <w:color w:val="auto"/>
          <w:sz w:val="22"/>
          <w:szCs w:val="22"/>
        </w:rPr>
        <w:t>However, these strategies differ in timing and application. RJPs are implemented during the recruitment phase, before employment begins. Inductions occur immediately after hiring. Job enrichment is a continuous process that can be introduced at any point during employment. Rewards, meanwhile, are typically used throughout an employee’s tenure. They also vary in terms of impact duration. RJPs and inductions primarily influence early-stage retention by ensuring a good fit and providing initial support. In contrast, job enrichment supports long-term retention by making roles more meaningful and engaging (Tumi et al., 2021). Rewards can have both immediate and lasting effects</w:t>
      </w:r>
      <w:r w:rsidR="009F0051">
        <w:rPr>
          <w:rFonts w:ascii="Arial" w:hAnsi="Arial" w:cs="Arial"/>
          <w:color w:val="auto"/>
          <w:sz w:val="22"/>
          <w:szCs w:val="22"/>
        </w:rPr>
        <w:t xml:space="preserve"> both </w:t>
      </w:r>
      <w:r w:rsidRPr="006052DC">
        <w:rPr>
          <w:rFonts w:ascii="Arial" w:hAnsi="Arial" w:cs="Arial"/>
          <w:color w:val="auto"/>
          <w:sz w:val="22"/>
          <w:szCs w:val="22"/>
        </w:rPr>
        <w:t>short-term motivation through financial incentives, and long-term retention through comprehensive benefits and recognition.</w:t>
      </w:r>
    </w:p>
    <w:p w14:paraId="3FC861D8" w14:textId="77777777" w:rsidR="00E6773F" w:rsidRPr="006052DC" w:rsidRDefault="00E6773F" w:rsidP="00E6773F">
      <w:pPr>
        <w:pStyle w:val="Default"/>
        <w:spacing w:after="198"/>
        <w:rPr>
          <w:rFonts w:ascii="Arial" w:hAnsi="Arial" w:cs="Arial"/>
          <w:color w:val="auto"/>
          <w:sz w:val="22"/>
          <w:szCs w:val="22"/>
        </w:rPr>
      </w:pPr>
      <w:r w:rsidRPr="006052DC">
        <w:rPr>
          <w:rFonts w:ascii="Arial" w:hAnsi="Arial" w:cs="Arial"/>
          <w:color w:val="auto"/>
          <w:sz w:val="22"/>
          <w:szCs w:val="22"/>
        </w:rPr>
        <w:t>Finally, these approaches differ in their motivational focus. RJPs and inductions are not directly tied to motivation but help align expectations and foster cultural fit. Job enrichment promotes intrinsic motivation by making work more fulfilling and empowering employees (Goddu, 2023). In contrast, reward systems enhance extrinsic motivation through tangible incentives and acknowledgment of performance.</w:t>
      </w:r>
    </w:p>
    <w:p w14:paraId="3A1C6BB6" w14:textId="7ACDD7D8" w:rsidR="004C3F63" w:rsidRPr="006052DC" w:rsidRDefault="004C3F63" w:rsidP="00E6773F">
      <w:pPr>
        <w:pStyle w:val="Default"/>
        <w:spacing w:after="198"/>
        <w:rPr>
          <w:rFonts w:ascii="Arial" w:hAnsi="Arial" w:cs="Arial"/>
          <w:b/>
          <w:bCs/>
          <w:color w:val="auto"/>
          <w:sz w:val="22"/>
          <w:szCs w:val="22"/>
          <w:u w:val="single"/>
        </w:rPr>
      </w:pPr>
      <w:r w:rsidRPr="006052DC">
        <w:rPr>
          <w:rFonts w:ascii="Arial" w:hAnsi="Arial" w:cs="Arial"/>
          <w:b/>
          <w:bCs/>
          <w:color w:val="auto"/>
          <w:sz w:val="22"/>
          <w:szCs w:val="22"/>
          <w:u w:val="single"/>
        </w:rPr>
        <w:t xml:space="preserve">3.3 To influence the senior leadership team to accept that employee turnover should be addressed, explain the impact of dysfunctional employee turnover. </w:t>
      </w:r>
      <w:r w:rsidR="006052DC">
        <w:rPr>
          <w:rFonts w:ascii="Arial" w:hAnsi="Arial" w:cs="Arial"/>
          <w:b/>
          <w:bCs/>
          <w:color w:val="auto"/>
          <w:sz w:val="22"/>
          <w:szCs w:val="22"/>
          <w:u w:val="single"/>
        </w:rPr>
        <w:t>366</w:t>
      </w:r>
    </w:p>
    <w:p w14:paraId="7E81A32F" w14:textId="77777777" w:rsidR="00AD188E" w:rsidRPr="006052DC" w:rsidRDefault="00AD188E" w:rsidP="00AD188E">
      <w:pPr>
        <w:pStyle w:val="NormalWeb"/>
        <w:shd w:val="clear" w:color="auto" w:fill="FAFAFA"/>
        <w:spacing w:before="120" w:beforeAutospacing="0" w:after="60" w:afterAutospacing="0"/>
        <w:rPr>
          <w:rFonts w:ascii="Arial" w:hAnsi="Arial" w:cs="Arial"/>
          <w:sz w:val="22"/>
          <w:szCs w:val="22"/>
        </w:rPr>
      </w:pPr>
      <w:r w:rsidRPr="006052DC">
        <w:rPr>
          <w:rStyle w:val="Strong"/>
          <w:rFonts w:ascii="Arial" w:hAnsi="Arial" w:cs="Arial"/>
          <w:b w:val="0"/>
          <w:bCs w:val="0"/>
          <w:sz w:val="22"/>
          <w:szCs w:val="22"/>
        </w:rPr>
        <w:t>Dysfunctional turnover</w:t>
      </w:r>
      <w:r w:rsidRPr="006052DC">
        <w:rPr>
          <w:rFonts w:ascii="Arial" w:hAnsi="Arial" w:cs="Arial"/>
          <w:sz w:val="22"/>
          <w:szCs w:val="22"/>
        </w:rPr>
        <w:t> refers to the loss of high-performing employees who are difficult for organisations to replace (Dwesini, 2019). Unlike </w:t>
      </w:r>
      <w:r w:rsidRPr="006052DC">
        <w:rPr>
          <w:rStyle w:val="Strong"/>
          <w:rFonts w:ascii="Arial" w:hAnsi="Arial" w:cs="Arial"/>
          <w:b w:val="0"/>
          <w:bCs w:val="0"/>
          <w:sz w:val="22"/>
          <w:szCs w:val="22"/>
        </w:rPr>
        <w:t>functional turnover</w:t>
      </w:r>
      <w:r w:rsidRPr="006052DC">
        <w:rPr>
          <w:rFonts w:ascii="Arial" w:hAnsi="Arial" w:cs="Arial"/>
          <w:b/>
          <w:bCs/>
          <w:sz w:val="22"/>
          <w:szCs w:val="22"/>
        </w:rPr>
        <w:t>,</w:t>
      </w:r>
      <w:r w:rsidRPr="006052DC">
        <w:rPr>
          <w:rFonts w:ascii="Arial" w:hAnsi="Arial" w:cs="Arial"/>
          <w:sz w:val="22"/>
          <w:szCs w:val="22"/>
        </w:rPr>
        <w:t xml:space="preserve"> which involves the departure of less critical or underperforming staff, dysfunctional turnover can have a serious impact on business performance and continuity.</w:t>
      </w:r>
    </w:p>
    <w:p w14:paraId="4E5E3816" w14:textId="0DD7CE1A" w:rsidR="00AD188E" w:rsidRPr="006052DC" w:rsidRDefault="00AD188E" w:rsidP="00AD188E">
      <w:pPr>
        <w:pStyle w:val="NormalWeb"/>
        <w:shd w:val="clear" w:color="auto" w:fill="FAFAFA"/>
        <w:spacing w:before="120" w:beforeAutospacing="0" w:after="60" w:afterAutospacing="0"/>
        <w:rPr>
          <w:rFonts w:ascii="Arial" w:hAnsi="Arial" w:cs="Arial"/>
          <w:sz w:val="22"/>
          <w:szCs w:val="22"/>
        </w:rPr>
      </w:pPr>
      <w:r w:rsidRPr="006052DC">
        <w:rPr>
          <w:rFonts w:ascii="Arial" w:hAnsi="Arial" w:cs="Arial"/>
          <w:sz w:val="22"/>
          <w:szCs w:val="22"/>
        </w:rPr>
        <w:t>One of the primary consequences is the </w:t>
      </w:r>
      <w:r w:rsidRPr="006052DC">
        <w:rPr>
          <w:rStyle w:val="Strong"/>
          <w:rFonts w:ascii="Arial" w:hAnsi="Arial" w:cs="Arial"/>
          <w:b w:val="0"/>
          <w:bCs w:val="0"/>
          <w:sz w:val="22"/>
          <w:szCs w:val="22"/>
        </w:rPr>
        <w:t>high cost</w:t>
      </w:r>
      <w:r w:rsidRPr="006052DC">
        <w:rPr>
          <w:rFonts w:ascii="Arial" w:hAnsi="Arial" w:cs="Arial"/>
          <w:sz w:val="22"/>
          <w:szCs w:val="22"/>
        </w:rPr>
        <w:t> associated with recruitment and selection. Organisations must invest in advertising vacancies, and some may opt to use external recruitment agencies, which can be costly. Internally, the HR or people function must dedicate time to screening candidates, conducting interviews, and managing onboarding processes. Additionally, there are administrative costs related to processing the departure of an employee, including compliance and documentation tasks. These responsibilities divert HR professionals from other strategic duties, resulting in both direct and indirect costs for the business.</w:t>
      </w:r>
    </w:p>
    <w:p w14:paraId="26A719D4" w14:textId="3960E2AE" w:rsidR="006052DC" w:rsidRPr="006052DC" w:rsidRDefault="006052DC" w:rsidP="00AD188E">
      <w:pPr>
        <w:pStyle w:val="NormalWeb"/>
        <w:shd w:val="clear" w:color="auto" w:fill="FAFAFA"/>
        <w:spacing w:before="120" w:beforeAutospacing="0" w:after="60" w:afterAutospacing="0"/>
        <w:rPr>
          <w:rFonts w:ascii="Arial" w:hAnsi="Arial" w:cs="Arial"/>
          <w:sz w:val="22"/>
          <w:szCs w:val="22"/>
        </w:rPr>
      </w:pPr>
      <w:r w:rsidRPr="006052DC">
        <w:rPr>
          <w:rFonts w:ascii="Arial" w:hAnsi="Arial" w:cs="Arial"/>
          <w:sz w:val="22"/>
          <w:szCs w:val="22"/>
        </w:rPr>
        <w:t>High turnover also weakens employer branding</w:t>
      </w:r>
      <w:r w:rsidRPr="006052DC">
        <w:rPr>
          <w:rFonts w:ascii="Arial" w:hAnsi="Arial" w:cs="Arial"/>
          <w:sz w:val="22"/>
          <w:szCs w:val="22"/>
        </w:rPr>
        <w:t>, f</w:t>
      </w:r>
      <w:r w:rsidRPr="006052DC">
        <w:rPr>
          <w:rFonts w:ascii="Arial" w:hAnsi="Arial" w:cs="Arial"/>
          <w:sz w:val="22"/>
          <w:szCs w:val="22"/>
        </w:rPr>
        <w:t xml:space="preserve">requent departures signal internal issues to potential candidates, making it harder to attract top talent. </w:t>
      </w:r>
      <w:r w:rsidRPr="006052DC">
        <w:rPr>
          <w:rFonts w:ascii="Arial" w:hAnsi="Arial" w:cs="Arial"/>
          <w:sz w:val="22"/>
          <w:szCs w:val="22"/>
        </w:rPr>
        <w:t>Additionally i</w:t>
      </w:r>
      <w:r w:rsidRPr="006052DC">
        <w:rPr>
          <w:rFonts w:ascii="Arial" w:hAnsi="Arial" w:cs="Arial"/>
          <w:sz w:val="22"/>
          <w:szCs w:val="22"/>
        </w:rPr>
        <w:t>n today’s digital age, negative reviews on platforms like Glassdoor can quickly tarnish a company’s reputation.</w:t>
      </w:r>
      <w:r w:rsidRPr="006052DC">
        <w:rPr>
          <w:rFonts w:ascii="Arial" w:hAnsi="Arial" w:cs="Arial"/>
          <w:sz w:val="22"/>
          <w:szCs w:val="22"/>
        </w:rPr>
        <w:t xml:space="preserve"> Nuez, (2023) found that </w:t>
      </w:r>
      <w:r w:rsidRPr="006052DC">
        <w:rPr>
          <w:rFonts w:ascii="Arial" w:hAnsi="Arial" w:cs="Arial"/>
          <w:sz w:val="22"/>
          <w:szCs w:val="22"/>
          <w:lang w:val="en-GB"/>
        </w:rPr>
        <w:t xml:space="preserve">in </w:t>
      </w:r>
      <w:r w:rsidRPr="006052DC">
        <w:rPr>
          <w:rFonts w:ascii="Arial" w:hAnsi="Arial" w:cs="Arial"/>
          <w:sz w:val="22"/>
          <w:szCs w:val="22"/>
          <w:lang w:val="en-GB"/>
        </w:rPr>
        <w:t xml:space="preserve">a study by </w:t>
      </w:r>
      <w:r w:rsidRPr="006052DC">
        <w:rPr>
          <w:rFonts w:ascii="Arial" w:hAnsi="Arial" w:cs="Arial"/>
          <w:sz w:val="22"/>
          <w:szCs w:val="22"/>
          <w:lang w:val="en-GB"/>
        </w:rPr>
        <w:lastRenderedPageBreak/>
        <w:t xml:space="preserve">Glassdoor each 1-star improvement in a company’s Glassdoor rating is associated with a 1.3-point increase in customer satisfaction, highlighting the link between employee </w:t>
      </w:r>
      <w:r w:rsidRPr="006052DC">
        <w:rPr>
          <w:rFonts w:ascii="Arial" w:hAnsi="Arial" w:cs="Arial"/>
          <w:sz w:val="22"/>
          <w:szCs w:val="22"/>
          <w:lang w:val="en-GB"/>
        </w:rPr>
        <w:t xml:space="preserve">experience </w:t>
      </w:r>
      <w:r w:rsidRPr="006052DC">
        <w:rPr>
          <w:rFonts w:ascii="Arial" w:hAnsi="Arial" w:cs="Arial"/>
          <w:sz w:val="22"/>
          <w:szCs w:val="22"/>
          <w:lang w:val="en-GB"/>
        </w:rPr>
        <w:t>and brand perception</w:t>
      </w:r>
      <w:r w:rsidRPr="006052DC">
        <w:rPr>
          <w:rFonts w:ascii="Arial" w:hAnsi="Arial" w:cs="Arial"/>
          <w:sz w:val="22"/>
          <w:szCs w:val="22"/>
          <w:lang w:val="en-GB"/>
        </w:rPr>
        <w:t>.</w:t>
      </w:r>
    </w:p>
    <w:p w14:paraId="0F9A8122" w14:textId="6E1D0AEB" w:rsidR="00AD188E" w:rsidRPr="006052DC" w:rsidRDefault="00AD188E" w:rsidP="00AD188E">
      <w:pPr>
        <w:pStyle w:val="NormalWeb"/>
        <w:shd w:val="clear" w:color="auto" w:fill="FAFAFA"/>
        <w:spacing w:before="120" w:beforeAutospacing="0" w:after="60" w:afterAutospacing="0"/>
        <w:rPr>
          <w:rFonts w:ascii="Arial" w:hAnsi="Arial" w:cs="Arial"/>
          <w:sz w:val="22"/>
          <w:szCs w:val="22"/>
        </w:rPr>
      </w:pPr>
      <w:r w:rsidRPr="006052DC">
        <w:rPr>
          <w:rFonts w:ascii="Arial" w:hAnsi="Arial" w:cs="Arial"/>
          <w:sz w:val="22"/>
          <w:szCs w:val="22"/>
        </w:rPr>
        <w:t>Another significant impact is on </w:t>
      </w:r>
      <w:r w:rsidRPr="006052DC">
        <w:rPr>
          <w:rStyle w:val="Strong"/>
          <w:rFonts w:ascii="Arial" w:hAnsi="Arial" w:cs="Arial"/>
          <w:b w:val="0"/>
          <w:bCs w:val="0"/>
          <w:sz w:val="22"/>
          <w:szCs w:val="22"/>
        </w:rPr>
        <w:t>induction and training expenses</w:t>
      </w:r>
      <w:r w:rsidRPr="006052DC">
        <w:rPr>
          <w:rFonts w:ascii="Arial" w:hAnsi="Arial" w:cs="Arial"/>
          <w:sz w:val="22"/>
          <w:szCs w:val="22"/>
        </w:rPr>
        <w:t>. New employees require structured onboarding to become familiar with the team and company operations. This includes orientation sessions, introductory meetings, and presentations—all of which incur costs. Beyond this, further training is often needed to familiarise new employees with internal systems and procedures. This may involve course fees, training materials, and time spent away from regular duties, all of which represent a financial investment.</w:t>
      </w:r>
    </w:p>
    <w:p w14:paraId="3558A05D" w14:textId="1A9BA006" w:rsidR="00AD188E" w:rsidRPr="006052DC" w:rsidRDefault="00AD188E" w:rsidP="00AD188E">
      <w:pPr>
        <w:pStyle w:val="NormalWeb"/>
        <w:shd w:val="clear" w:color="auto" w:fill="FAFAFA"/>
        <w:spacing w:before="120" w:beforeAutospacing="0" w:after="60" w:afterAutospacing="0"/>
        <w:rPr>
          <w:rFonts w:ascii="Arial" w:hAnsi="Arial" w:cs="Arial"/>
          <w:sz w:val="22"/>
          <w:szCs w:val="22"/>
        </w:rPr>
      </w:pPr>
      <w:r w:rsidRPr="006052DC">
        <w:rPr>
          <w:rFonts w:ascii="Arial" w:hAnsi="Arial" w:cs="Arial"/>
          <w:sz w:val="22"/>
          <w:szCs w:val="22"/>
        </w:rPr>
        <w:t>Finally, when high-performing employees leave, they take with them valuable </w:t>
      </w:r>
      <w:r w:rsidRPr="006052DC">
        <w:rPr>
          <w:rStyle w:val="Strong"/>
          <w:rFonts w:ascii="Arial" w:hAnsi="Arial" w:cs="Arial"/>
          <w:b w:val="0"/>
          <w:bCs w:val="0"/>
          <w:sz w:val="22"/>
          <w:szCs w:val="22"/>
        </w:rPr>
        <w:t>institutional knowledge</w:t>
      </w:r>
      <w:r w:rsidRPr="006052DC">
        <w:rPr>
          <w:rFonts w:ascii="Arial" w:hAnsi="Arial" w:cs="Arial"/>
          <w:sz w:val="22"/>
          <w:szCs w:val="22"/>
        </w:rPr>
        <w:t>, insights, and established relationships. This knowledge is often irreplaceable, and its loss can disrupt workflows, reduce productivity, and lower team morale as remaining staff are left to fill the gap until a replacement is fully integrated (Barry, 2023). From an external perspective, the departure of top talent can also damage </w:t>
      </w:r>
      <w:r w:rsidRPr="006052DC">
        <w:rPr>
          <w:rStyle w:val="Strong"/>
          <w:rFonts w:ascii="Arial" w:hAnsi="Arial" w:cs="Arial"/>
          <w:b w:val="0"/>
          <w:bCs w:val="0"/>
          <w:sz w:val="22"/>
          <w:szCs w:val="22"/>
        </w:rPr>
        <w:t>customer and stakeholder relationships</w:t>
      </w:r>
      <w:r w:rsidRPr="006052DC">
        <w:rPr>
          <w:rFonts w:ascii="Arial" w:hAnsi="Arial" w:cs="Arial"/>
          <w:sz w:val="22"/>
          <w:szCs w:val="22"/>
        </w:rPr>
        <w:t>. High performers often build strong rapport with clients, and their exit can erode trust, potentially affecting revenue and the achievement of organisational goals.</w:t>
      </w:r>
    </w:p>
    <w:p w14:paraId="6B4B4584" w14:textId="77777777" w:rsidR="00AD188E" w:rsidRPr="006052DC" w:rsidRDefault="00AD188E" w:rsidP="00AD188E">
      <w:pPr>
        <w:pStyle w:val="NormalWeb"/>
        <w:shd w:val="clear" w:color="auto" w:fill="FAFAFA"/>
        <w:spacing w:before="120" w:beforeAutospacing="0" w:after="60" w:afterAutospacing="0"/>
        <w:rPr>
          <w:rFonts w:ascii="Arial" w:hAnsi="Arial" w:cs="Arial"/>
          <w:sz w:val="22"/>
          <w:szCs w:val="22"/>
        </w:rPr>
      </w:pPr>
    </w:p>
    <w:p w14:paraId="562B7CBD" w14:textId="0429EB7B" w:rsidR="0011698E" w:rsidRPr="006052DC" w:rsidRDefault="0011698E" w:rsidP="005B3D3A">
      <w:pPr>
        <w:pStyle w:val="Default"/>
        <w:numPr>
          <w:ilvl w:val="1"/>
          <w:numId w:val="9"/>
        </w:numPr>
        <w:spacing w:after="198"/>
        <w:ind w:left="0" w:firstLine="0"/>
        <w:rPr>
          <w:rFonts w:ascii="Arial" w:hAnsi="Arial" w:cs="Arial"/>
          <w:b/>
          <w:bCs/>
          <w:color w:val="auto"/>
          <w:sz w:val="22"/>
          <w:szCs w:val="22"/>
          <w:u w:val="single"/>
        </w:rPr>
      </w:pPr>
      <w:r w:rsidRPr="006052DC">
        <w:rPr>
          <w:rFonts w:ascii="Arial" w:hAnsi="Arial" w:cs="Arial"/>
          <w:b/>
          <w:bCs/>
          <w:color w:val="auto"/>
          <w:sz w:val="22"/>
          <w:szCs w:val="22"/>
          <w:u w:val="single"/>
        </w:rPr>
        <w:t xml:space="preserve">ParcelCare employs </w:t>
      </w:r>
      <w:proofErr w:type="gramStart"/>
      <w:r w:rsidRPr="006052DC">
        <w:rPr>
          <w:rFonts w:ascii="Arial" w:hAnsi="Arial" w:cs="Arial"/>
          <w:b/>
          <w:bCs/>
          <w:color w:val="auto"/>
          <w:sz w:val="22"/>
          <w:szCs w:val="22"/>
          <w:u w:val="single"/>
        </w:rPr>
        <w:t>the majority of</w:t>
      </w:r>
      <w:proofErr w:type="gramEnd"/>
      <w:r w:rsidRPr="006052DC">
        <w:rPr>
          <w:rFonts w:ascii="Arial" w:hAnsi="Arial" w:cs="Arial"/>
          <w:b/>
          <w:bCs/>
          <w:color w:val="auto"/>
          <w:sz w:val="22"/>
          <w:szCs w:val="22"/>
          <w:u w:val="single"/>
        </w:rPr>
        <w:t xml:space="preserve">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w:t>
      </w:r>
      <w:r w:rsidR="00AA1985">
        <w:rPr>
          <w:rFonts w:ascii="Arial" w:hAnsi="Arial" w:cs="Arial"/>
          <w:b/>
          <w:bCs/>
          <w:color w:val="auto"/>
          <w:sz w:val="22"/>
          <w:szCs w:val="22"/>
          <w:u w:val="single"/>
        </w:rPr>
        <w:t>416</w:t>
      </w:r>
    </w:p>
    <w:p w14:paraId="20B95104" w14:textId="2C847458" w:rsidR="00AD188E" w:rsidRPr="006052DC" w:rsidRDefault="00AD188E" w:rsidP="00AD188E">
      <w:pPr>
        <w:pStyle w:val="Default"/>
        <w:tabs>
          <w:tab w:val="left" w:pos="1440"/>
        </w:tabs>
        <w:spacing w:after="198"/>
        <w:jc w:val="both"/>
        <w:rPr>
          <w:rFonts w:ascii="Arial" w:hAnsi="Arial" w:cs="Arial"/>
          <w:color w:val="auto"/>
          <w:sz w:val="22"/>
          <w:szCs w:val="22"/>
        </w:rPr>
      </w:pPr>
      <w:r w:rsidRPr="006052DC">
        <w:rPr>
          <w:rFonts w:ascii="Arial" w:hAnsi="Arial" w:cs="Arial"/>
          <w:color w:val="auto"/>
          <w:sz w:val="22"/>
          <w:szCs w:val="22"/>
        </w:rPr>
        <w:t>Permanent, full-time contracts offer drivers job security, which can significantly boost job satisfaction. Higher satisfaction often leads to improved retention (Brower, 2023), resulting in a more experienced workforce. In turn, experienced drivers contribute to higher service quality for ParcelCare’s customers. Additionally, a stable workforce allows for more predictable and consistent operations, enabling better planning. Permanent staff are also more likely to be familiar with company policies, procedures, and delivery routes, which enhances efficiency</w:t>
      </w:r>
      <w:r w:rsidR="006052DC">
        <w:rPr>
          <w:rFonts w:ascii="Arial" w:hAnsi="Arial" w:cs="Arial"/>
          <w:color w:val="auto"/>
          <w:sz w:val="22"/>
          <w:szCs w:val="22"/>
        </w:rPr>
        <w:t>.</w:t>
      </w:r>
    </w:p>
    <w:p w14:paraId="5ECD9541" w14:textId="66D86C43" w:rsidR="00AD188E" w:rsidRPr="006052DC" w:rsidRDefault="00AD188E" w:rsidP="00AD188E">
      <w:pPr>
        <w:pStyle w:val="Default"/>
        <w:tabs>
          <w:tab w:val="left" w:pos="1440"/>
        </w:tabs>
        <w:spacing w:after="198"/>
        <w:jc w:val="both"/>
        <w:rPr>
          <w:rFonts w:ascii="Arial" w:hAnsi="Arial" w:cs="Arial"/>
          <w:color w:val="auto"/>
          <w:sz w:val="22"/>
          <w:szCs w:val="22"/>
        </w:rPr>
      </w:pPr>
      <w:r w:rsidRPr="006052DC">
        <w:rPr>
          <w:rFonts w:ascii="Arial" w:hAnsi="Arial" w:cs="Arial"/>
          <w:color w:val="auto"/>
          <w:sz w:val="22"/>
          <w:szCs w:val="22"/>
        </w:rPr>
        <w:t>However, this consistency comes at the cost of reduced flexibility. Relying heavily on permanent, full-time employees’ limits ParcelCare’s ability to adapt to fluctuations in demand</w:t>
      </w:r>
      <w:r w:rsidR="006052DC">
        <w:rPr>
          <w:rFonts w:ascii="Arial" w:hAnsi="Arial" w:cs="Arial"/>
          <w:color w:val="auto"/>
          <w:sz w:val="22"/>
          <w:szCs w:val="22"/>
        </w:rPr>
        <w:t xml:space="preserve">, </w:t>
      </w:r>
      <w:r w:rsidRPr="006052DC">
        <w:rPr>
          <w:rFonts w:ascii="Arial" w:hAnsi="Arial" w:cs="Arial"/>
          <w:color w:val="auto"/>
          <w:sz w:val="22"/>
          <w:szCs w:val="22"/>
        </w:rPr>
        <w:t>particularly during peak periods like the Christmas season</w:t>
      </w:r>
      <w:r w:rsidR="006052DC">
        <w:rPr>
          <w:rFonts w:ascii="Arial" w:hAnsi="Arial" w:cs="Arial"/>
          <w:color w:val="auto"/>
          <w:sz w:val="22"/>
          <w:szCs w:val="22"/>
        </w:rPr>
        <w:t xml:space="preserve"> where there is more demand</w:t>
      </w:r>
      <w:r w:rsidRPr="006052DC">
        <w:rPr>
          <w:rFonts w:ascii="Arial" w:hAnsi="Arial" w:cs="Arial"/>
          <w:color w:val="auto"/>
          <w:sz w:val="22"/>
          <w:szCs w:val="22"/>
        </w:rPr>
        <w:t xml:space="preserve">. Furthermore, these </w:t>
      </w:r>
      <w:r w:rsidR="006052DC">
        <w:rPr>
          <w:rFonts w:ascii="Arial" w:hAnsi="Arial" w:cs="Arial"/>
          <w:color w:val="auto"/>
          <w:sz w:val="22"/>
          <w:szCs w:val="22"/>
        </w:rPr>
        <w:t xml:space="preserve">permanent </w:t>
      </w:r>
      <w:r w:rsidRPr="006052DC">
        <w:rPr>
          <w:rFonts w:ascii="Arial" w:hAnsi="Arial" w:cs="Arial"/>
          <w:color w:val="auto"/>
          <w:sz w:val="22"/>
          <w:szCs w:val="22"/>
        </w:rPr>
        <w:t>contracts</w:t>
      </w:r>
      <w:r w:rsidR="006052DC">
        <w:rPr>
          <w:rFonts w:ascii="Arial" w:hAnsi="Arial" w:cs="Arial"/>
          <w:color w:val="auto"/>
          <w:sz w:val="22"/>
          <w:szCs w:val="22"/>
        </w:rPr>
        <w:t xml:space="preserve"> often</w:t>
      </w:r>
      <w:r w:rsidRPr="006052DC">
        <w:rPr>
          <w:rFonts w:ascii="Arial" w:hAnsi="Arial" w:cs="Arial"/>
          <w:color w:val="auto"/>
          <w:sz w:val="22"/>
          <w:szCs w:val="22"/>
        </w:rPr>
        <w:t xml:space="preserve"> come with higher financial obligations, including salaries, benefits, and other entitlements, which can strain resources during slower periods</w:t>
      </w:r>
      <w:r w:rsidR="006052DC">
        <w:rPr>
          <w:rFonts w:ascii="Arial" w:hAnsi="Arial" w:cs="Arial"/>
          <w:color w:val="auto"/>
          <w:sz w:val="22"/>
          <w:szCs w:val="22"/>
        </w:rPr>
        <w:t xml:space="preserve"> like January</w:t>
      </w:r>
      <w:r w:rsidRPr="006052DC">
        <w:rPr>
          <w:rFonts w:ascii="Arial" w:hAnsi="Arial" w:cs="Arial"/>
          <w:color w:val="auto"/>
          <w:sz w:val="22"/>
          <w:szCs w:val="22"/>
        </w:rPr>
        <w:t>.</w:t>
      </w:r>
    </w:p>
    <w:p w14:paraId="64FD4704" w14:textId="532DB257" w:rsidR="00AD188E" w:rsidRPr="006052DC" w:rsidRDefault="00AD188E" w:rsidP="00AD188E">
      <w:pPr>
        <w:pStyle w:val="Default"/>
        <w:tabs>
          <w:tab w:val="left" w:pos="1440"/>
        </w:tabs>
        <w:spacing w:after="198"/>
        <w:jc w:val="both"/>
        <w:rPr>
          <w:rFonts w:ascii="Arial" w:hAnsi="Arial" w:cs="Arial"/>
          <w:color w:val="auto"/>
          <w:sz w:val="22"/>
          <w:szCs w:val="22"/>
        </w:rPr>
      </w:pPr>
      <w:r w:rsidRPr="006052DC">
        <w:rPr>
          <w:rFonts w:ascii="Arial" w:hAnsi="Arial" w:cs="Arial"/>
          <w:color w:val="auto"/>
          <w:sz w:val="22"/>
          <w:szCs w:val="22"/>
        </w:rPr>
        <w:t>In contrast, fixed-term contracts offer greater flexibility. They allow ParcelCare to scale its workforce during busy periods or cover temporary absences such as maternity leave or long-term illness. These contracts also provide cost control, as fixed-term employees typically do not receive the full range of benefits offered to permanent staff. Employers also retain more control, as these workers are hired for a defined period with clear expectations. The main drawback of fixed-term contracts is the lower level of engagement from employees in these roles. Workers on temporary contracts often feel less connected to the organisation, which can negatively affect performance and customer service (Morris, 2022).</w:t>
      </w:r>
    </w:p>
    <w:p w14:paraId="5E005BA8" w14:textId="728331B8" w:rsidR="00AD188E" w:rsidRPr="006052DC" w:rsidRDefault="00AD188E" w:rsidP="00AD188E">
      <w:pPr>
        <w:pStyle w:val="Default"/>
        <w:tabs>
          <w:tab w:val="left" w:pos="1440"/>
        </w:tabs>
        <w:spacing w:after="198"/>
        <w:jc w:val="both"/>
        <w:rPr>
          <w:rFonts w:ascii="Arial" w:hAnsi="Arial" w:cs="Arial"/>
          <w:color w:val="auto"/>
          <w:sz w:val="22"/>
          <w:szCs w:val="22"/>
        </w:rPr>
      </w:pPr>
      <w:r w:rsidRPr="006052DC">
        <w:rPr>
          <w:rFonts w:ascii="Arial" w:hAnsi="Arial" w:cs="Arial"/>
          <w:color w:val="auto"/>
          <w:sz w:val="22"/>
          <w:szCs w:val="22"/>
        </w:rPr>
        <w:t>Another option is the use of agency or temporary staff, which can further enhance flexibility. Agency workers are ideal for addressing unexpected spikes in demand or filling last-minute scheduling gaps. They also reduce the administrative burden on ParcelCare, as the agency typically handles payroll, benefits, and general HR responsibilities. However, a key disadvantage of agency staff is the potential drop in service quality. These workers are often unfamiliar with company policies, systems, and routes, which can lead to inconsistencies</w:t>
      </w:r>
      <w:r w:rsidR="006052DC">
        <w:rPr>
          <w:rFonts w:ascii="Arial" w:hAnsi="Arial" w:cs="Arial"/>
          <w:color w:val="auto"/>
          <w:sz w:val="22"/>
          <w:szCs w:val="22"/>
        </w:rPr>
        <w:t xml:space="preserve"> in the service the customer receives</w:t>
      </w:r>
      <w:r w:rsidRPr="006052DC">
        <w:rPr>
          <w:rFonts w:ascii="Arial" w:hAnsi="Arial" w:cs="Arial"/>
          <w:color w:val="auto"/>
          <w:sz w:val="22"/>
          <w:szCs w:val="22"/>
        </w:rPr>
        <w:t xml:space="preserve">. </w:t>
      </w:r>
      <w:r w:rsidR="006052DC">
        <w:rPr>
          <w:rFonts w:ascii="Arial" w:hAnsi="Arial" w:cs="Arial"/>
          <w:color w:val="auto"/>
          <w:sz w:val="22"/>
          <w:szCs w:val="22"/>
        </w:rPr>
        <w:t>Similar to</w:t>
      </w:r>
      <w:r w:rsidRPr="006052DC">
        <w:rPr>
          <w:rFonts w:ascii="Arial" w:hAnsi="Arial" w:cs="Arial"/>
          <w:color w:val="auto"/>
          <w:sz w:val="22"/>
          <w:szCs w:val="22"/>
        </w:rPr>
        <w:t xml:space="preserve"> fixed-term employees, agency staff may also lack engagement and loyalty, which can impact overall standards. Additionally, while employers save on benefits, agency workers are often more expensive on an hourly basis due to agency fees</w:t>
      </w:r>
      <w:r w:rsidR="006052DC">
        <w:rPr>
          <w:rFonts w:ascii="Arial" w:hAnsi="Arial" w:cs="Arial"/>
          <w:color w:val="auto"/>
          <w:sz w:val="22"/>
          <w:szCs w:val="22"/>
        </w:rPr>
        <w:t>, holiday roll-up into pay</w:t>
      </w:r>
      <w:r w:rsidRPr="006052DC">
        <w:rPr>
          <w:rFonts w:ascii="Arial" w:hAnsi="Arial" w:cs="Arial"/>
          <w:color w:val="auto"/>
          <w:sz w:val="22"/>
          <w:szCs w:val="22"/>
        </w:rPr>
        <w:t xml:space="preserve"> and premium pay for short-term assignments.</w:t>
      </w:r>
    </w:p>
    <w:p w14:paraId="549F93B9" w14:textId="2223465B" w:rsidR="0011698E" w:rsidRPr="006052DC" w:rsidRDefault="00AD188E" w:rsidP="00AD188E">
      <w:pPr>
        <w:pStyle w:val="Default"/>
        <w:tabs>
          <w:tab w:val="left" w:pos="1440"/>
        </w:tabs>
        <w:spacing w:after="198"/>
        <w:jc w:val="both"/>
        <w:rPr>
          <w:rFonts w:ascii="Arial" w:hAnsi="Arial" w:cs="Arial"/>
          <w:color w:val="auto"/>
          <w:sz w:val="22"/>
          <w:szCs w:val="22"/>
        </w:rPr>
      </w:pPr>
      <w:r w:rsidRPr="006052DC">
        <w:rPr>
          <w:rFonts w:ascii="Arial" w:hAnsi="Arial" w:cs="Arial"/>
          <w:color w:val="auto"/>
          <w:sz w:val="22"/>
          <w:szCs w:val="22"/>
        </w:rPr>
        <w:t>To effectively manage demand fluctuations while maintaining service quality, ParcelCare should consider a hybrid approach</w:t>
      </w:r>
      <w:r w:rsidR="006052DC">
        <w:rPr>
          <w:rFonts w:ascii="Arial" w:hAnsi="Arial" w:cs="Arial"/>
          <w:color w:val="auto"/>
          <w:sz w:val="22"/>
          <w:szCs w:val="22"/>
        </w:rPr>
        <w:t xml:space="preserve">, </w:t>
      </w:r>
      <w:r w:rsidRPr="006052DC">
        <w:rPr>
          <w:rFonts w:ascii="Arial" w:hAnsi="Arial" w:cs="Arial"/>
          <w:color w:val="auto"/>
          <w:sz w:val="22"/>
          <w:szCs w:val="22"/>
        </w:rPr>
        <w:t>combining a core team of permanent, full-time drivers with a flexible pool of fixed-term contract staff. This allows for better planning during peak periods without incurring excessive costs.</w:t>
      </w:r>
      <w:r w:rsidR="0011698E" w:rsidRPr="006052DC">
        <w:rPr>
          <w:rFonts w:ascii="Arial" w:hAnsi="Arial" w:cs="Arial"/>
          <w:color w:val="auto"/>
          <w:sz w:val="22"/>
          <w:szCs w:val="22"/>
        </w:rPr>
        <w:t xml:space="preserve"> </w:t>
      </w:r>
    </w:p>
    <w:p w14:paraId="20557963" w14:textId="77777777" w:rsidR="00AA1985" w:rsidRDefault="00AA1985" w:rsidP="00582BC6">
      <w:pPr>
        <w:pStyle w:val="Default"/>
        <w:jc w:val="both"/>
        <w:rPr>
          <w:rFonts w:ascii="Arial" w:hAnsi="Arial" w:cs="Arial"/>
          <w:b/>
          <w:bCs/>
          <w:color w:val="auto"/>
          <w:sz w:val="22"/>
          <w:szCs w:val="22"/>
          <w:u w:val="single"/>
        </w:rPr>
      </w:pPr>
    </w:p>
    <w:p w14:paraId="539FB047" w14:textId="77777777" w:rsidR="00AA1985" w:rsidRDefault="00AA1985" w:rsidP="00582BC6">
      <w:pPr>
        <w:pStyle w:val="Default"/>
        <w:jc w:val="both"/>
        <w:rPr>
          <w:rFonts w:ascii="Arial" w:hAnsi="Arial" w:cs="Arial"/>
          <w:b/>
          <w:bCs/>
          <w:color w:val="auto"/>
          <w:sz w:val="22"/>
          <w:szCs w:val="22"/>
          <w:u w:val="single"/>
        </w:rPr>
      </w:pPr>
    </w:p>
    <w:p w14:paraId="643B952C" w14:textId="0A1E9DFD" w:rsidR="00582BC6" w:rsidRPr="006052DC" w:rsidRDefault="00582BC6" w:rsidP="00582BC6">
      <w:pPr>
        <w:pStyle w:val="Default"/>
        <w:jc w:val="both"/>
        <w:rPr>
          <w:rFonts w:ascii="Arial" w:hAnsi="Arial" w:cs="Arial"/>
          <w:b/>
          <w:bCs/>
          <w:color w:val="auto"/>
          <w:sz w:val="22"/>
          <w:szCs w:val="22"/>
          <w:u w:val="single"/>
        </w:rPr>
      </w:pPr>
      <w:r w:rsidRPr="006052DC">
        <w:rPr>
          <w:rFonts w:ascii="Arial" w:hAnsi="Arial" w:cs="Arial"/>
          <w:b/>
          <w:bCs/>
          <w:color w:val="auto"/>
          <w:sz w:val="22"/>
          <w:szCs w:val="22"/>
          <w:u w:val="single"/>
        </w:rPr>
        <w:lastRenderedPageBreak/>
        <w:t xml:space="preserve">4.2 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w:t>
      </w:r>
      <w:r w:rsidR="00212AD9" w:rsidRPr="006052DC">
        <w:rPr>
          <w:rFonts w:ascii="Arial" w:hAnsi="Arial" w:cs="Arial"/>
          <w:b/>
          <w:bCs/>
          <w:color w:val="auto"/>
          <w:sz w:val="22"/>
          <w:szCs w:val="22"/>
          <w:u w:val="single"/>
        </w:rPr>
        <w:t>257</w:t>
      </w:r>
    </w:p>
    <w:p w14:paraId="5CD696F1" w14:textId="77777777" w:rsidR="00582BC6" w:rsidRPr="006052DC" w:rsidRDefault="00582BC6" w:rsidP="00582BC6">
      <w:pPr>
        <w:pStyle w:val="Default"/>
        <w:jc w:val="both"/>
        <w:rPr>
          <w:rFonts w:ascii="Arial" w:hAnsi="Arial" w:cs="Arial"/>
          <w:b/>
          <w:bCs/>
          <w:color w:val="auto"/>
          <w:sz w:val="22"/>
          <w:szCs w:val="22"/>
        </w:rPr>
      </w:pPr>
    </w:p>
    <w:p w14:paraId="3914B6D8" w14:textId="77777777" w:rsidR="00DA3DC3" w:rsidRPr="006052DC" w:rsidRDefault="00DA3DC3" w:rsidP="009B1755">
      <w:pPr>
        <w:pStyle w:val="Default"/>
        <w:jc w:val="both"/>
        <w:rPr>
          <w:rFonts w:ascii="Arial" w:hAnsi="Arial" w:cs="Arial"/>
          <w:color w:val="auto"/>
          <w:sz w:val="22"/>
          <w:szCs w:val="22"/>
        </w:rPr>
      </w:pPr>
    </w:p>
    <w:p w14:paraId="486C040B" w14:textId="2A71C6E9" w:rsidR="00DA3DC3" w:rsidRPr="006052DC" w:rsidRDefault="00DA3DC3" w:rsidP="009B1755">
      <w:pPr>
        <w:pStyle w:val="Default"/>
        <w:jc w:val="both"/>
        <w:rPr>
          <w:rFonts w:ascii="Arial" w:hAnsi="Arial" w:cs="Arial"/>
          <w:color w:val="auto"/>
          <w:sz w:val="22"/>
          <w:szCs w:val="22"/>
        </w:rPr>
      </w:pPr>
      <w:r w:rsidRPr="006052DC">
        <w:rPr>
          <w:rFonts w:ascii="Arial" w:hAnsi="Arial" w:cs="Arial"/>
          <w:color w:val="auto"/>
          <w:sz w:val="22"/>
          <w:szCs w:val="22"/>
        </w:rPr>
        <w:t>Effective onboarding significantly enhances employee engagement, productivity, and retention by providing new hires with clear expectations, cultural orientation, and support from the outset. A structured onboarding process helps employees feel more connected to their roles and the organi</w:t>
      </w:r>
      <w:r w:rsidRPr="006052DC">
        <w:rPr>
          <w:rFonts w:ascii="Arial" w:hAnsi="Arial" w:cs="Arial"/>
          <w:color w:val="auto"/>
          <w:sz w:val="22"/>
          <w:szCs w:val="22"/>
        </w:rPr>
        <w:t>s</w:t>
      </w:r>
      <w:r w:rsidRPr="006052DC">
        <w:rPr>
          <w:rFonts w:ascii="Arial" w:hAnsi="Arial" w:cs="Arial"/>
          <w:color w:val="auto"/>
          <w:sz w:val="22"/>
          <w:szCs w:val="22"/>
        </w:rPr>
        <w:t>ation, reducing early turnover and boosting long-term commitment</w:t>
      </w:r>
      <w:r w:rsidRPr="006052DC">
        <w:rPr>
          <w:rFonts w:ascii="Arial" w:hAnsi="Arial" w:cs="Arial"/>
          <w:color w:val="auto"/>
          <w:sz w:val="22"/>
          <w:szCs w:val="22"/>
        </w:rPr>
        <w:t xml:space="preserve">, Phelan (2024). </w:t>
      </w:r>
    </w:p>
    <w:p w14:paraId="30D9EA37" w14:textId="77777777" w:rsidR="00DA3DC3" w:rsidRPr="006052DC" w:rsidRDefault="00DA3DC3" w:rsidP="009B1755">
      <w:pPr>
        <w:pStyle w:val="Default"/>
        <w:jc w:val="both"/>
        <w:rPr>
          <w:rFonts w:ascii="Arial" w:hAnsi="Arial" w:cs="Arial"/>
          <w:color w:val="auto"/>
          <w:sz w:val="22"/>
          <w:szCs w:val="22"/>
        </w:rPr>
      </w:pPr>
    </w:p>
    <w:p w14:paraId="00415B88" w14:textId="72E4067D" w:rsidR="00582BC6" w:rsidRPr="006052DC" w:rsidRDefault="00582BC6" w:rsidP="009B1755">
      <w:pPr>
        <w:pStyle w:val="Default"/>
        <w:jc w:val="both"/>
        <w:rPr>
          <w:rFonts w:ascii="Arial" w:hAnsi="Arial" w:cs="Arial"/>
          <w:color w:val="auto"/>
          <w:sz w:val="22"/>
          <w:szCs w:val="22"/>
        </w:rPr>
      </w:pPr>
      <w:r w:rsidRPr="006052DC">
        <w:rPr>
          <w:rFonts w:ascii="Arial" w:hAnsi="Arial" w:cs="Arial"/>
          <w:color w:val="auto"/>
          <w:sz w:val="22"/>
          <w:szCs w:val="22"/>
        </w:rPr>
        <w:t xml:space="preserve">One of the most significant benefits to effective onboarding is quicker integration into the business. Effective onboarding aids new hires in understanding the company culture and expectations at the beginning of their tenure, which helps them feel integrated into the team faster. As a result, this decreases an employee’s time to productivity, a metric that measures how quickly a worker can start to contribute to the full extent of their skill set, Edwards (2024) found that there was an increase in new hires productivity by 62% when they were provided with adequate training, guidance and support. </w:t>
      </w:r>
    </w:p>
    <w:p w14:paraId="55735D2B" w14:textId="77777777" w:rsidR="009B1755" w:rsidRPr="006052DC" w:rsidRDefault="009B1755" w:rsidP="009B1755">
      <w:pPr>
        <w:pStyle w:val="Default"/>
        <w:jc w:val="both"/>
        <w:rPr>
          <w:rFonts w:ascii="Arial" w:hAnsi="Arial" w:cs="Arial"/>
          <w:color w:val="auto"/>
          <w:sz w:val="22"/>
          <w:szCs w:val="22"/>
        </w:rPr>
      </w:pPr>
    </w:p>
    <w:p w14:paraId="421B7B51" w14:textId="10037C41" w:rsidR="00582BC6" w:rsidRPr="00212AD9" w:rsidRDefault="00582BC6" w:rsidP="00582BC6">
      <w:pPr>
        <w:jc w:val="both"/>
        <w:rPr>
          <w:rFonts w:ascii="Arial" w:hAnsi="Arial" w:cs="Arial"/>
        </w:rPr>
      </w:pPr>
      <w:r w:rsidRPr="006052DC">
        <w:rPr>
          <w:rFonts w:ascii="Arial" w:hAnsi="Arial" w:cs="Arial"/>
        </w:rPr>
        <w:t xml:space="preserve">Moving on, a well-structured onboarding program demonstrates that businesses care about </w:t>
      </w:r>
      <w:proofErr w:type="spellStart"/>
      <w:proofErr w:type="gramStart"/>
      <w:r w:rsidRPr="006052DC">
        <w:rPr>
          <w:rFonts w:ascii="Arial" w:hAnsi="Arial" w:cs="Arial"/>
        </w:rPr>
        <w:t>it’s</w:t>
      </w:r>
      <w:proofErr w:type="spellEnd"/>
      <w:proofErr w:type="gramEnd"/>
      <w:r w:rsidRPr="006052DC">
        <w:rPr>
          <w:rFonts w:ascii="Arial" w:hAnsi="Arial" w:cs="Arial"/>
        </w:rPr>
        <w:t xml:space="preserve"> employees and invests in their development and success. This contributes to a positive company culture, enhances the employer’s brand and improves job satisfaction. This builds long-term commitment as relationship-building and career development enhances a worker’s sense of purpose, consequently reducing turnover (MacIntosh &amp; Doherty, 2010) and saving organisations from the increased cost of recruiting replacements. </w:t>
      </w:r>
      <w:r w:rsidR="008B5806" w:rsidRPr="006052DC">
        <w:rPr>
          <w:rFonts w:ascii="Arial" w:hAnsi="Arial" w:cs="Arial"/>
        </w:rPr>
        <w:t>According to</w:t>
      </w:r>
      <w:r w:rsidR="008B5806" w:rsidRPr="006052DC">
        <w:rPr>
          <w:rFonts w:ascii="Arial" w:hAnsi="Arial" w:cs="Arial"/>
        </w:rPr>
        <w:t xml:space="preserve"> Verlinden (2025), in</w:t>
      </w:r>
      <w:r w:rsidR="008B5806" w:rsidRPr="006052DC">
        <w:rPr>
          <w:rFonts w:ascii="Arial" w:hAnsi="Arial" w:cs="Arial"/>
        </w:rPr>
        <w:t xml:space="preserve"> a survey compiled by BambooHR, 89% of employees reported that an effective onboarding process significantly boosted their engagement at work. Additionally, these employees are 30 times more likely to experience high job satisfaction compared to those who found their onboarding process inadequate.</w:t>
      </w:r>
    </w:p>
    <w:p w14:paraId="31A84CB1" w14:textId="77777777" w:rsidR="00AB14E6" w:rsidRDefault="00AB14E6" w:rsidP="004C3F63"/>
    <w:p w14:paraId="034D2A68" w14:textId="5F4693FD" w:rsidR="00D05FFD" w:rsidRDefault="00D05FFD" w:rsidP="004C3F63">
      <w:pPr>
        <w:rPr>
          <w:rFonts w:ascii="Arial" w:hAnsi="Arial" w:cs="Arial"/>
          <w:b/>
          <w:bCs/>
          <w:sz w:val="24"/>
          <w:szCs w:val="24"/>
          <w:u w:val="single"/>
        </w:rPr>
      </w:pPr>
      <w:r w:rsidRPr="00DA3DC3">
        <w:rPr>
          <w:rFonts w:ascii="Arial" w:hAnsi="Arial" w:cs="Arial"/>
          <w:b/>
          <w:bCs/>
          <w:sz w:val="24"/>
          <w:szCs w:val="24"/>
          <w:u w:val="single"/>
        </w:rPr>
        <w:t>Reference List</w:t>
      </w:r>
    </w:p>
    <w:p w14:paraId="72F2D2B8" w14:textId="25F8B135" w:rsidR="00AA1985" w:rsidRPr="00AA1985" w:rsidRDefault="00AA1985" w:rsidP="004C3F63">
      <w:pPr>
        <w:rPr>
          <w:rFonts w:ascii="Arial" w:hAnsi="Arial" w:cs="Arial"/>
          <w:sz w:val="24"/>
          <w:szCs w:val="24"/>
        </w:rPr>
      </w:pPr>
      <w:r w:rsidRPr="00AA1985">
        <w:rPr>
          <w:rFonts w:ascii="Arial" w:hAnsi="Arial" w:cs="Arial"/>
          <w:sz w:val="24"/>
          <w:szCs w:val="24"/>
        </w:rPr>
        <w:t>CIPD (</w:t>
      </w:r>
      <w:r w:rsidRPr="00AA1985">
        <w:rPr>
          <w:rFonts w:ascii="Arial" w:hAnsi="Arial" w:cs="Arial"/>
          <w:sz w:val="24"/>
          <w:szCs w:val="24"/>
        </w:rPr>
        <w:t>2024</w:t>
      </w:r>
      <w:r w:rsidRPr="00AA1985">
        <w:rPr>
          <w:rFonts w:ascii="Arial" w:hAnsi="Arial" w:cs="Arial"/>
          <w:sz w:val="24"/>
          <w:szCs w:val="24"/>
        </w:rPr>
        <w:t>) </w:t>
      </w:r>
      <w:r w:rsidRPr="00AA1985">
        <w:rPr>
          <w:rFonts w:ascii="Arial" w:hAnsi="Arial" w:cs="Arial"/>
          <w:i/>
          <w:iCs/>
          <w:sz w:val="24"/>
          <w:szCs w:val="24"/>
        </w:rPr>
        <w:t>Workforce planning factsheet</w:t>
      </w:r>
      <w:r w:rsidRPr="00AA1985">
        <w:rPr>
          <w:rFonts w:ascii="Arial" w:hAnsi="Arial" w:cs="Arial"/>
          <w:sz w:val="24"/>
          <w:szCs w:val="24"/>
        </w:rPr>
        <w:t>. Chartered Institute of Personnel and Development. Available at: https://www.cipd.org/uk/knowledge/factsheets/workforce-planning-factsheet/ (Accessed: 3 July 2025).</w:t>
      </w:r>
    </w:p>
    <w:p w14:paraId="60F6307A" w14:textId="4754BDC6" w:rsidR="00D05FFD" w:rsidRPr="005B3D3A" w:rsidRDefault="004C3F63" w:rsidP="00D05FFD">
      <w:pPr>
        <w:rPr>
          <w:rFonts w:ascii="Arial" w:hAnsi="Arial" w:cs="Arial"/>
          <w:sz w:val="24"/>
          <w:szCs w:val="24"/>
        </w:rPr>
      </w:pPr>
      <w:r w:rsidRPr="005B3D3A">
        <w:rPr>
          <w:rFonts w:ascii="Arial" w:hAnsi="Arial" w:cs="Arial"/>
          <w:sz w:val="24"/>
          <w:szCs w:val="24"/>
        </w:rPr>
        <w:t xml:space="preserve">Barry, D. (2023). </w:t>
      </w:r>
      <w:r w:rsidRPr="005B3D3A">
        <w:rPr>
          <w:rFonts w:ascii="Arial" w:hAnsi="Arial" w:cs="Arial"/>
          <w:i/>
          <w:iCs/>
          <w:sz w:val="24"/>
          <w:szCs w:val="24"/>
        </w:rPr>
        <w:t>What companies can do to prevent loss of institutional knowledge.</w:t>
      </w:r>
      <w:r w:rsidRPr="005B3D3A">
        <w:rPr>
          <w:rFonts w:ascii="Arial" w:hAnsi="Arial" w:cs="Arial"/>
          <w:sz w:val="24"/>
          <w:szCs w:val="24"/>
        </w:rPr>
        <w:t xml:space="preserve"> Available at: </w:t>
      </w:r>
      <w:r w:rsidRPr="00DA3DC3">
        <w:rPr>
          <w:rFonts w:ascii="Arial" w:hAnsi="Arial" w:cs="Arial"/>
          <w:sz w:val="24"/>
          <w:szCs w:val="24"/>
        </w:rPr>
        <w:t>https://www.reworked.co/knowledge-findability/brain-drain-the-impact-of-high-turnover-on-institutional-knowledge/</w:t>
      </w:r>
      <w:r w:rsidRPr="005B3D3A">
        <w:rPr>
          <w:rFonts w:ascii="Arial" w:hAnsi="Arial" w:cs="Arial"/>
          <w:sz w:val="24"/>
          <w:szCs w:val="24"/>
        </w:rPr>
        <w:t xml:space="preserve"> (Accessed on </w:t>
      </w:r>
      <w:r w:rsidR="00DA3DC3">
        <w:rPr>
          <w:rFonts w:ascii="Arial" w:hAnsi="Arial" w:cs="Arial"/>
          <w:sz w:val="24"/>
          <w:szCs w:val="24"/>
        </w:rPr>
        <w:t>June</w:t>
      </w:r>
      <w:r w:rsidRPr="005B3D3A">
        <w:rPr>
          <w:rFonts w:ascii="Arial" w:hAnsi="Arial" w:cs="Arial"/>
          <w:sz w:val="24"/>
          <w:szCs w:val="24"/>
        </w:rPr>
        <w:t xml:space="preserve"> 7</w:t>
      </w:r>
      <w:r w:rsidRPr="005B3D3A">
        <w:rPr>
          <w:rFonts w:ascii="Arial" w:hAnsi="Arial" w:cs="Arial"/>
          <w:sz w:val="24"/>
          <w:szCs w:val="24"/>
          <w:vertAlign w:val="superscript"/>
        </w:rPr>
        <w:t>th</w:t>
      </w:r>
      <w:r w:rsidR="00DA3DC3" w:rsidRPr="005B3D3A">
        <w:rPr>
          <w:rFonts w:ascii="Arial" w:hAnsi="Arial" w:cs="Arial"/>
          <w:sz w:val="24"/>
          <w:szCs w:val="24"/>
        </w:rPr>
        <w:t>, 2025</w:t>
      </w:r>
      <w:r w:rsidRPr="005B3D3A">
        <w:rPr>
          <w:rFonts w:ascii="Arial" w:hAnsi="Arial" w:cs="Arial"/>
          <w:sz w:val="24"/>
          <w:szCs w:val="24"/>
        </w:rPr>
        <w:t xml:space="preserve">). </w:t>
      </w:r>
    </w:p>
    <w:p w14:paraId="14366AAB" w14:textId="18249F38" w:rsidR="0011698E" w:rsidRPr="005B3D3A" w:rsidRDefault="00D05FFD" w:rsidP="00D05FFD">
      <w:pPr>
        <w:rPr>
          <w:rFonts w:ascii="Arial" w:hAnsi="Arial" w:cs="Arial"/>
          <w:sz w:val="24"/>
          <w:szCs w:val="24"/>
        </w:rPr>
      </w:pPr>
      <w:r w:rsidRPr="005B3D3A">
        <w:rPr>
          <w:rFonts w:ascii="Arial" w:hAnsi="Arial" w:cs="Arial"/>
          <w:sz w:val="24"/>
          <w:szCs w:val="24"/>
        </w:rPr>
        <w:t>B</w:t>
      </w:r>
      <w:r w:rsidR="00151CFF" w:rsidRPr="005B3D3A">
        <w:rPr>
          <w:rFonts w:ascii="Arial" w:hAnsi="Arial" w:cs="Arial"/>
          <w:sz w:val="24"/>
          <w:szCs w:val="24"/>
        </w:rPr>
        <w:t xml:space="preserve">iyani, A. (2024) </w:t>
      </w:r>
      <w:r w:rsidR="00151CFF" w:rsidRPr="005B3D3A">
        <w:rPr>
          <w:rFonts w:ascii="Arial" w:hAnsi="Arial" w:cs="Arial"/>
          <w:i/>
          <w:iCs/>
          <w:sz w:val="24"/>
          <w:szCs w:val="24"/>
        </w:rPr>
        <w:t>45 must-know social media recruitment statistics for 2024.</w:t>
      </w:r>
      <w:r w:rsidR="00151CFF" w:rsidRPr="005B3D3A">
        <w:rPr>
          <w:rFonts w:ascii="Arial" w:hAnsi="Arial" w:cs="Arial"/>
          <w:sz w:val="24"/>
          <w:szCs w:val="24"/>
        </w:rPr>
        <w:t xml:space="preserve"> Available at: </w:t>
      </w:r>
      <w:r w:rsidR="00151CFF" w:rsidRPr="00DA3DC3">
        <w:rPr>
          <w:rFonts w:ascii="Arial" w:hAnsi="Arial" w:cs="Arial"/>
          <w:sz w:val="24"/>
          <w:szCs w:val="24"/>
        </w:rPr>
        <w:t>https://blog.gaggleamp.com/social-media-recruitment-statistics</w:t>
      </w:r>
      <w:r w:rsidR="00151CFF" w:rsidRPr="005B3D3A">
        <w:rPr>
          <w:rFonts w:ascii="Arial" w:hAnsi="Arial" w:cs="Arial"/>
          <w:sz w:val="24"/>
          <w:szCs w:val="24"/>
        </w:rPr>
        <w:t xml:space="preserve"> (Accessed </w:t>
      </w:r>
      <w:r w:rsidR="00DA3DC3">
        <w:rPr>
          <w:rFonts w:ascii="Arial" w:hAnsi="Arial" w:cs="Arial"/>
          <w:sz w:val="24"/>
          <w:szCs w:val="24"/>
        </w:rPr>
        <w:t>June</w:t>
      </w:r>
      <w:r w:rsidR="00151CFF" w:rsidRPr="005B3D3A">
        <w:rPr>
          <w:rFonts w:ascii="Arial" w:hAnsi="Arial" w:cs="Arial"/>
          <w:sz w:val="24"/>
          <w:szCs w:val="24"/>
        </w:rPr>
        <w:t xml:space="preserve"> </w:t>
      </w:r>
      <w:r w:rsidR="00DA3DC3">
        <w:rPr>
          <w:rFonts w:ascii="Arial" w:hAnsi="Arial" w:cs="Arial"/>
          <w:sz w:val="24"/>
          <w:szCs w:val="24"/>
        </w:rPr>
        <w:t>24</w:t>
      </w:r>
      <w:r w:rsidR="00151CFF" w:rsidRPr="005B3D3A">
        <w:rPr>
          <w:rFonts w:ascii="Arial" w:hAnsi="Arial" w:cs="Arial"/>
          <w:sz w:val="24"/>
          <w:szCs w:val="24"/>
        </w:rPr>
        <w:t>th</w:t>
      </w:r>
      <w:r w:rsidR="00DA3DC3" w:rsidRPr="005B3D3A">
        <w:rPr>
          <w:rFonts w:ascii="Arial" w:hAnsi="Arial" w:cs="Arial"/>
          <w:sz w:val="24"/>
          <w:szCs w:val="24"/>
        </w:rPr>
        <w:t>, 2025</w:t>
      </w:r>
      <w:r w:rsidR="00151CFF" w:rsidRPr="005B3D3A">
        <w:rPr>
          <w:rFonts w:ascii="Arial" w:hAnsi="Arial" w:cs="Arial"/>
          <w:sz w:val="24"/>
          <w:szCs w:val="24"/>
        </w:rPr>
        <w:t xml:space="preserve">). </w:t>
      </w:r>
    </w:p>
    <w:p w14:paraId="06A6D740" w14:textId="61212B0C" w:rsidR="0011698E" w:rsidRPr="005B3D3A" w:rsidRDefault="0011698E" w:rsidP="0011698E">
      <w:pPr>
        <w:pStyle w:val="Default"/>
        <w:tabs>
          <w:tab w:val="left" w:pos="1440"/>
        </w:tabs>
        <w:spacing w:after="198"/>
        <w:jc w:val="both"/>
        <w:rPr>
          <w:rFonts w:ascii="Arial" w:hAnsi="Arial" w:cs="Arial"/>
        </w:rPr>
      </w:pPr>
      <w:r w:rsidRPr="005B3D3A">
        <w:rPr>
          <w:rFonts w:ascii="Arial" w:hAnsi="Arial" w:cs="Arial"/>
          <w:color w:val="auto"/>
        </w:rPr>
        <w:t xml:space="preserve">Brower, T. (2023). </w:t>
      </w:r>
      <w:r w:rsidRPr="005B3D3A">
        <w:rPr>
          <w:rFonts w:ascii="Arial" w:hAnsi="Arial" w:cs="Arial"/>
          <w:i/>
          <w:iCs/>
          <w:color w:val="auto"/>
        </w:rPr>
        <w:t xml:space="preserve">Retention on the rise: what’s driving the trend for satisfaction and staying. </w:t>
      </w:r>
      <w:r w:rsidRPr="005B3D3A">
        <w:rPr>
          <w:rFonts w:ascii="Arial" w:hAnsi="Arial" w:cs="Arial"/>
          <w:color w:val="auto"/>
        </w:rPr>
        <w:t xml:space="preserve">Available at: </w:t>
      </w:r>
      <w:r w:rsidRPr="00DA3DC3">
        <w:rPr>
          <w:rFonts w:ascii="Arial" w:hAnsi="Arial" w:cs="Arial"/>
        </w:rPr>
        <w:t>https://www.forbes.com/sites/tracybrower/2023/08/06/retention-on-the-rise-whats-driving-the-trend-for-satisfaction-and-staying/</w:t>
      </w:r>
      <w:r w:rsidRPr="005B3D3A">
        <w:rPr>
          <w:rFonts w:ascii="Arial" w:hAnsi="Arial" w:cs="Arial"/>
        </w:rPr>
        <w:t xml:space="preserve"> (Accessed on</w:t>
      </w:r>
      <w:r w:rsidR="00DA3DC3">
        <w:rPr>
          <w:rFonts w:ascii="Arial" w:hAnsi="Arial" w:cs="Arial"/>
        </w:rPr>
        <w:t xml:space="preserve"> 26</w:t>
      </w:r>
      <w:r w:rsidR="00DA3DC3" w:rsidRPr="00DA3DC3">
        <w:rPr>
          <w:rFonts w:ascii="Arial" w:hAnsi="Arial" w:cs="Arial"/>
          <w:vertAlign w:val="superscript"/>
        </w:rPr>
        <w:t>th</w:t>
      </w:r>
      <w:r w:rsidR="00DA3DC3">
        <w:rPr>
          <w:rFonts w:ascii="Arial" w:hAnsi="Arial" w:cs="Arial"/>
        </w:rPr>
        <w:t xml:space="preserve"> June 2025</w:t>
      </w:r>
      <w:r w:rsidRPr="005B3D3A">
        <w:rPr>
          <w:rFonts w:ascii="Arial" w:hAnsi="Arial" w:cs="Arial"/>
        </w:rPr>
        <w:t xml:space="preserve">). </w:t>
      </w:r>
    </w:p>
    <w:p w14:paraId="16C15A69" w14:textId="7011ABB3" w:rsidR="00EE3D18" w:rsidRPr="005B3D3A" w:rsidRDefault="00EE3D18" w:rsidP="00EE3D18">
      <w:pPr>
        <w:spacing w:line="240" w:lineRule="auto"/>
        <w:rPr>
          <w:rFonts w:ascii="Arial" w:hAnsi="Arial" w:cs="Arial"/>
          <w:sz w:val="24"/>
          <w:szCs w:val="24"/>
        </w:rPr>
      </w:pPr>
      <w:r w:rsidRPr="005B3D3A">
        <w:rPr>
          <w:rFonts w:ascii="Arial" w:hAnsi="Arial" w:cs="Arial"/>
          <w:sz w:val="24"/>
          <w:szCs w:val="24"/>
        </w:rPr>
        <w:t xml:space="preserve">CIPD (2023). An estimated 4 million UK employees have changed careers due to lack of flexibility at work. Available at: </w:t>
      </w:r>
      <w:r w:rsidRPr="00DA3DC3">
        <w:rPr>
          <w:rFonts w:ascii="Arial" w:hAnsi="Arial" w:cs="Arial"/>
          <w:sz w:val="24"/>
          <w:szCs w:val="24"/>
        </w:rPr>
        <w:t>https://www.cipd.org/uk/about/press-releases/4-million-career-changes-flexibility-issues/</w:t>
      </w:r>
      <w:r w:rsidRPr="005B3D3A">
        <w:rPr>
          <w:rFonts w:ascii="Arial" w:hAnsi="Arial" w:cs="Arial"/>
          <w:sz w:val="24"/>
          <w:szCs w:val="24"/>
        </w:rPr>
        <w:t xml:space="preserve"> (Accessed 7</w:t>
      </w:r>
      <w:r w:rsidRPr="005B3D3A">
        <w:rPr>
          <w:rFonts w:ascii="Arial" w:hAnsi="Arial" w:cs="Arial"/>
          <w:sz w:val="24"/>
          <w:szCs w:val="24"/>
          <w:vertAlign w:val="superscript"/>
        </w:rPr>
        <w:t>th</w:t>
      </w:r>
      <w:r w:rsidRPr="005B3D3A">
        <w:rPr>
          <w:rFonts w:ascii="Arial" w:hAnsi="Arial" w:cs="Arial"/>
          <w:sz w:val="24"/>
          <w:szCs w:val="24"/>
        </w:rPr>
        <w:t xml:space="preserve"> </w:t>
      </w:r>
      <w:r w:rsidR="00DA3DC3">
        <w:rPr>
          <w:rFonts w:ascii="Arial" w:hAnsi="Arial" w:cs="Arial"/>
          <w:sz w:val="24"/>
          <w:szCs w:val="24"/>
        </w:rPr>
        <w:t xml:space="preserve">June </w:t>
      </w:r>
      <w:r w:rsidRPr="005B3D3A">
        <w:rPr>
          <w:rFonts w:ascii="Arial" w:hAnsi="Arial" w:cs="Arial"/>
          <w:sz w:val="24"/>
          <w:szCs w:val="24"/>
        </w:rPr>
        <w:t>202</w:t>
      </w:r>
      <w:r w:rsidR="00DA3DC3">
        <w:rPr>
          <w:rFonts w:ascii="Arial" w:hAnsi="Arial" w:cs="Arial"/>
          <w:sz w:val="24"/>
          <w:szCs w:val="24"/>
        </w:rPr>
        <w:t>5</w:t>
      </w:r>
      <w:r w:rsidRPr="005B3D3A">
        <w:rPr>
          <w:rFonts w:ascii="Arial" w:hAnsi="Arial" w:cs="Arial"/>
          <w:sz w:val="24"/>
          <w:szCs w:val="24"/>
        </w:rPr>
        <w:t>).</w:t>
      </w:r>
    </w:p>
    <w:p w14:paraId="4343797F" w14:textId="3CCE8645" w:rsidR="00EE3D18" w:rsidRPr="005B3D3A" w:rsidRDefault="00EE3D18" w:rsidP="00D05FFD">
      <w:pPr>
        <w:spacing w:line="240" w:lineRule="auto"/>
        <w:rPr>
          <w:rFonts w:ascii="Arial" w:hAnsi="Arial" w:cs="Arial"/>
          <w:sz w:val="24"/>
          <w:szCs w:val="24"/>
        </w:rPr>
      </w:pPr>
      <w:r w:rsidRPr="005B3D3A">
        <w:rPr>
          <w:rFonts w:ascii="Arial" w:hAnsi="Arial" w:cs="Arial"/>
          <w:sz w:val="24"/>
          <w:szCs w:val="24"/>
        </w:rPr>
        <w:t xml:space="preserve">Costa, N. (2023) Creative strategies for recruiting talent during a labour shortage. Available at: </w:t>
      </w:r>
      <w:r w:rsidRPr="00DA3DC3">
        <w:rPr>
          <w:rFonts w:ascii="Arial" w:hAnsi="Arial" w:cs="Arial"/>
          <w:sz w:val="24"/>
          <w:szCs w:val="24"/>
        </w:rPr>
        <w:t>https://hbr.org/2023/11/creative-strategies-for-recruiting-talent-during-a-labor-shortage</w:t>
      </w:r>
      <w:r w:rsidRPr="005B3D3A">
        <w:rPr>
          <w:rFonts w:ascii="Arial" w:hAnsi="Arial" w:cs="Arial"/>
          <w:sz w:val="24"/>
          <w:szCs w:val="24"/>
        </w:rPr>
        <w:t xml:space="preserve"> (Accessed </w:t>
      </w:r>
      <w:r w:rsidR="00DA3DC3">
        <w:rPr>
          <w:rFonts w:ascii="Arial" w:hAnsi="Arial" w:cs="Arial"/>
          <w:sz w:val="24"/>
          <w:szCs w:val="24"/>
        </w:rPr>
        <w:t>June 7th, 2025)</w:t>
      </w:r>
      <w:r w:rsidRPr="005B3D3A">
        <w:rPr>
          <w:rFonts w:ascii="Arial" w:hAnsi="Arial" w:cs="Arial"/>
          <w:sz w:val="24"/>
          <w:szCs w:val="24"/>
        </w:rPr>
        <w:t xml:space="preserve">. </w:t>
      </w:r>
    </w:p>
    <w:p w14:paraId="43FDB58D" w14:textId="486BF215" w:rsidR="00973F21" w:rsidRPr="005B3D3A" w:rsidRDefault="004C3F63">
      <w:pPr>
        <w:rPr>
          <w:rFonts w:ascii="Arial" w:hAnsi="Arial" w:cs="Arial"/>
          <w:sz w:val="24"/>
          <w:szCs w:val="24"/>
        </w:rPr>
      </w:pPr>
      <w:r w:rsidRPr="005B3D3A">
        <w:rPr>
          <w:rFonts w:ascii="Arial" w:hAnsi="Arial" w:cs="Arial"/>
          <w:sz w:val="24"/>
          <w:szCs w:val="24"/>
          <w:shd w:val="clear" w:color="auto" w:fill="FFFFFF"/>
        </w:rPr>
        <w:t>Dwesini, N. (2019) Causes and prevention of high employee turnover within the hospitality industry: A literature review. </w:t>
      </w:r>
      <w:r w:rsidRPr="005B3D3A">
        <w:rPr>
          <w:rFonts w:ascii="Arial" w:hAnsi="Arial" w:cs="Arial"/>
          <w:i/>
          <w:iCs/>
          <w:sz w:val="24"/>
          <w:szCs w:val="24"/>
          <w:shd w:val="clear" w:color="auto" w:fill="FFFFFF"/>
        </w:rPr>
        <w:t>African Journal of Hospitality, Tourism and Leisure</w:t>
      </w:r>
      <w:r w:rsidRPr="005B3D3A">
        <w:rPr>
          <w:rFonts w:ascii="Arial" w:hAnsi="Arial" w:cs="Arial"/>
          <w:sz w:val="24"/>
          <w:szCs w:val="24"/>
          <w:shd w:val="clear" w:color="auto" w:fill="FFFFFF"/>
        </w:rPr>
        <w:t>. </w:t>
      </w:r>
      <w:r w:rsidRPr="005B3D3A">
        <w:rPr>
          <w:rFonts w:ascii="Arial" w:hAnsi="Arial" w:cs="Arial"/>
          <w:i/>
          <w:iCs/>
          <w:sz w:val="24"/>
          <w:szCs w:val="24"/>
          <w:shd w:val="clear" w:color="auto" w:fill="FFFFFF"/>
        </w:rPr>
        <w:t>8</w:t>
      </w:r>
      <w:r w:rsidRPr="005B3D3A">
        <w:rPr>
          <w:rFonts w:ascii="Arial" w:hAnsi="Arial" w:cs="Arial"/>
          <w:sz w:val="24"/>
          <w:szCs w:val="24"/>
          <w:shd w:val="clear" w:color="auto" w:fill="FFFFFF"/>
        </w:rPr>
        <w:t>(3), 1-15.</w:t>
      </w:r>
    </w:p>
    <w:p w14:paraId="0CF8E4F8" w14:textId="6BC1333C" w:rsidR="00973F21" w:rsidRPr="005B3D3A" w:rsidRDefault="00973F21" w:rsidP="00973F21">
      <w:pPr>
        <w:rPr>
          <w:rFonts w:ascii="Arial" w:hAnsi="Arial" w:cs="Arial"/>
          <w:sz w:val="24"/>
          <w:szCs w:val="24"/>
        </w:rPr>
      </w:pPr>
      <w:r w:rsidRPr="005B3D3A">
        <w:rPr>
          <w:rFonts w:ascii="Arial" w:hAnsi="Arial" w:cs="Arial"/>
          <w:sz w:val="24"/>
          <w:szCs w:val="24"/>
        </w:rPr>
        <w:lastRenderedPageBreak/>
        <w:t xml:space="preserve">Edwards, S. (2024) </w:t>
      </w:r>
      <w:r w:rsidRPr="005B3D3A">
        <w:rPr>
          <w:rFonts w:ascii="Arial" w:hAnsi="Arial" w:cs="Arial"/>
          <w:i/>
          <w:iCs/>
          <w:sz w:val="24"/>
          <w:szCs w:val="24"/>
        </w:rPr>
        <w:t>15 benefits to effective onboarding.</w:t>
      </w:r>
      <w:r w:rsidRPr="005B3D3A">
        <w:rPr>
          <w:rFonts w:ascii="Arial" w:hAnsi="Arial" w:cs="Arial"/>
          <w:sz w:val="24"/>
          <w:szCs w:val="24"/>
        </w:rPr>
        <w:t xml:space="preserve"> Available at: </w:t>
      </w:r>
      <w:r w:rsidRPr="00DA3DC3">
        <w:rPr>
          <w:rFonts w:ascii="Arial" w:hAnsi="Arial" w:cs="Arial"/>
          <w:sz w:val="24"/>
          <w:szCs w:val="24"/>
        </w:rPr>
        <w:t>https://www.bamboohr.com/blog/effective-onboarding-infographic</w:t>
      </w:r>
      <w:r w:rsidRPr="005B3D3A">
        <w:rPr>
          <w:rFonts w:ascii="Arial" w:hAnsi="Arial" w:cs="Arial"/>
          <w:sz w:val="24"/>
          <w:szCs w:val="24"/>
        </w:rPr>
        <w:t xml:space="preserve"> (Accessed on </w:t>
      </w:r>
      <w:r w:rsidR="00DA3DC3">
        <w:rPr>
          <w:rFonts w:ascii="Arial" w:hAnsi="Arial" w:cs="Arial"/>
          <w:sz w:val="24"/>
          <w:szCs w:val="24"/>
        </w:rPr>
        <w:t>July 1st</w:t>
      </w:r>
      <w:r w:rsidR="00DA3DC3" w:rsidRPr="005B3D3A">
        <w:rPr>
          <w:rFonts w:ascii="Arial" w:hAnsi="Arial" w:cs="Arial"/>
          <w:sz w:val="24"/>
          <w:szCs w:val="24"/>
        </w:rPr>
        <w:t>, 2025</w:t>
      </w:r>
      <w:r w:rsidRPr="005B3D3A">
        <w:rPr>
          <w:rFonts w:ascii="Arial" w:hAnsi="Arial" w:cs="Arial"/>
          <w:sz w:val="24"/>
          <w:szCs w:val="24"/>
        </w:rPr>
        <w:t>).</w:t>
      </w:r>
    </w:p>
    <w:p w14:paraId="27CB1098" w14:textId="77777777" w:rsidR="00E940FC" w:rsidRPr="005B3D3A" w:rsidRDefault="00E940FC" w:rsidP="00E940FC">
      <w:pPr>
        <w:pStyle w:val="Default"/>
        <w:spacing w:after="198"/>
        <w:rPr>
          <w:rFonts w:ascii="Arial" w:hAnsi="Arial" w:cs="Arial"/>
          <w:color w:val="auto"/>
          <w:shd w:val="clear" w:color="auto" w:fill="FFFFFF"/>
        </w:rPr>
      </w:pPr>
      <w:r w:rsidRPr="005B3D3A">
        <w:rPr>
          <w:rFonts w:ascii="Arial" w:hAnsi="Arial" w:cs="Arial"/>
          <w:color w:val="auto"/>
          <w:shd w:val="clear" w:color="auto" w:fill="FFFFFF"/>
        </w:rPr>
        <w:t>Gill, R. (2011) An Integrated Literature Review: Strengthening Reputation through EOC and CSR. </w:t>
      </w:r>
      <w:r w:rsidRPr="005B3D3A">
        <w:rPr>
          <w:rStyle w:val="Emphasis"/>
          <w:rFonts w:ascii="Arial" w:hAnsi="Arial" w:cs="Arial"/>
          <w:color w:val="auto"/>
          <w:bdr w:val="none" w:sz="0" w:space="0" w:color="auto" w:frame="1"/>
          <w:shd w:val="clear" w:color="auto" w:fill="FFFFFF"/>
        </w:rPr>
        <w:t>International Journal of Humanities and Social Science</w:t>
      </w:r>
      <w:r w:rsidRPr="005B3D3A">
        <w:rPr>
          <w:rFonts w:ascii="Arial" w:hAnsi="Arial" w:cs="Arial"/>
          <w:color w:val="auto"/>
          <w:shd w:val="clear" w:color="auto" w:fill="FFFFFF"/>
        </w:rPr>
        <w:t>. 1(12).</w:t>
      </w:r>
    </w:p>
    <w:p w14:paraId="728B12C3" w14:textId="538562AF" w:rsidR="00D05FFD" w:rsidRPr="005B3D3A" w:rsidRDefault="00D05FFD" w:rsidP="00D05FFD">
      <w:pPr>
        <w:spacing w:line="240" w:lineRule="auto"/>
        <w:rPr>
          <w:rFonts w:ascii="Arial" w:hAnsi="Arial" w:cs="Arial"/>
          <w:sz w:val="24"/>
          <w:szCs w:val="24"/>
        </w:rPr>
      </w:pPr>
      <w:r w:rsidRPr="005B3D3A">
        <w:rPr>
          <w:rFonts w:ascii="Arial" w:hAnsi="Arial" w:cs="Arial"/>
          <w:sz w:val="24"/>
          <w:szCs w:val="24"/>
        </w:rPr>
        <w:t xml:space="preserve">Goddu, J. (2023) </w:t>
      </w:r>
      <w:r w:rsidRPr="005B3D3A">
        <w:rPr>
          <w:rFonts w:ascii="Arial" w:hAnsi="Arial" w:cs="Arial"/>
          <w:i/>
          <w:iCs/>
          <w:sz w:val="24"/>
          <w:szCs w:val="24"/>
        </w:rPr>
        <w:t xml:space="preserve">Why interesting and challenging work matters in employee engagement. </w:t>
      </w:r>
      <w:r w:rsidRPr="005B3D3A">
        <w:rPr>
          <w:rFonts w:ascii="Arial" w:hAnsi="Arial" w:cs="Arial"/>
          <w:sz w:val="24"/>
          <w:szCs w:val="24"/>
        </w:rPr>
        <w:t xml:space="preserve">Available at: </w:t>
      </w:r>
      <w:r w:rsidRPr="00DA3DC3">
        <w:rPr>
          <w:rFonts w:ascii="Arial" w:hAnsi="Arial" w:cs="Arial"/>
          <w:sz w:val="24"/>
          <w:szCs w:val="24"/>
        </w:rPr>
        <w:t>https://www.sogolytics.com/blog/interesting-challenging-work-impacts-employee-engagement/</w:t>
      </w:r>
      <w:r w:rsidRPr="005B3D3A">
        <w:rPr>
          <w:rFonts w:ascii="Arial" w:hAnsi="Arial" w:cs="Arial"/>
          <w:sz w:val="24"/>
          <w:szCs w:val="24"/>
        </w:rPr>
        <w:t xml:space="preserve"> (Accessed </w:t>
      </w:r>
      <w:r w:rsidR="00DA3DC3">
        <w:rPr>
          <w:rFonts w:ascii="Arial" w:hAnsi="Arial" w:cs="Arial"/>
          <w:sz w:val="24"/>
          <w:szCs w:val="24"/>
        </w:rPr>
        <w:t>June 23rd</w:t>
      </w:r>
      <w:r w:rsidR="00DA3DC3" w:rsidRPr="005B3D3A">
        <w:rPr>
          <w:rFonts w:ascii="Arial" w:hAnsi="Arial" w:cs="Arial"/>
          <w:sz w:val="24"/>
          <w:szCs w:val="24"/>
        </w:rPr>
        <w:t>, 2025</w:t>
      </w:r>
      <w:r w:rsidRPr="005B3D3A">
        <w:rPr>
          <w:rFonts w:ascii="Arial" w:hAnsi="Arial" w:cs="Arial"/>
          <w:sz w:val="24"/>
          <w:szCs w:val="24"/>
        </w:rPr>
        <w:t xml:space="preserve">). </w:t>
      </w:r>
    </w:p>
    <w:p w14:paraId="458A636F" w14:textId="77777777" w:rsidR="00D05FFD" w:rsidRPr="005B3D3A" w:rsidRDefault="00D05FFD" w:rsidP="00D05FFD">
      <w:pPr>
        <w:spacing w:line="240" w:lineRule="auto"/>
        <w:rPr>
          <w:rFonts w:ascii="Arial" w:hAnsi="Arial" w:cs="Arial"/>
          <w:color w:val="000000"/>
          <w:sz w:val="24"/>
          <w:szCs w:val="24"/>
          <w:shd w:val="clear" w:color="auto" w:fill="FFFFFF"/>
        </w:rPr>
      </w:pPr>
      <w:r w:rsidRPr="005B3D3A">
        <w:rPr>
          <w:rFonts w:ascii="Arial" w:hAnsi="Arial" w:cs="Arial"/>
          <w:color w:val="000000"/>
          <w:sz w:val="24"/>
          <w:szCs w:val="24"/>
          <w:shd w:val="clear" w:color="auto" w:fill="FFFFFF"/>
        </w:rPr>
        <w:t xml:space="preserve">Herzberg, F., Mausner, B., &amp; Snyderman, B. (1959). The motivation to work. </w:t>
      </w:r>
      <w:r w:rsidRPr="005B3D3A">
        <w:rPr>
          <w:rFonts w:ascii="Arial" w:hAnsi="Arial" w:cs="Arial"/>
          <w:i/>
          <w:iCs/>
          <w:color w:val="000000"/>
          <w:sz w:val="24"/>
          <w:szCs w:val="24"/>
          <w:shd w:val="clear" w:color="auto" w:fill="FFFFFF"/>
        </w:rPr>
        <w:t>Second Edition</w:t>
      </w:r>
      <w:r w:rsidRPr="005B3D3A">
        <w:rPr>
          <w:rFonts w:ascii="Arial" w:hAnsi="Arial" w:cs="Arial"/>
          <w:color w:val="000000"/>
          <w:sz w:val="24"/>
          <w:szCs w:val="24"/>
          <w:shd w:val="clear" w:color="auto" w:fill="FFFFFF"/>
        </w:rPr>
        <w:t>. New York:</w:t>
      </w:r>
      <w:r w:rsidRPr="005B3D3A">
        <w:rPr>
          <w:rFonts w:ascii="Arial" w:hAnsi="Arial" w:cs="Arial"/>
          <w:color w:val="000000"/>
          <w:sz w:val="24"/>
          <w:szCs w:val="24"/>
        </w:rPr>
        <w:t xml:space="preserve"> </w:t>
      </w:r>
      <w:r w:rsidRPr="005B3D3A">
        <w:rPr>
          <w:rFonts w:ascii="Arial" w:hAnsi="Arial" w:cs="Arial"/>
          <w:color w:val="000000"/>
          <w:sz w:val="24"/>
          <w:szCs w:val="24"/>
          <w:shd w:val="clear" w:color="auto" w:fill="FFFFFF"/>
        </w:rPr>
        <w:t>John Wiley.</w:t>
      </w:r>
    </w:p>
    <w:p w14:paraId="0D7E43C2" w14:textId="77777777" w:rsidR="00E940FC" w:rsidRPr="005B3D3A" w:rsidRDefault="00E940FC" w:rsidP="00E940FC">
      <w:pPr>
        <w:pStyle w:val="Default"/>
        <w:spacing w:after="198"/>
        <w:rPr>
          <w:rFonts w:ascii="Arial" w:hAnsi="Arial" w:cs="Arial"/>
          <w:color w:val="auto"/>
          <w:shd w:val="clear" w:color="auto" w:fill="FFFFFF"/>
        </w:rPr>
      </w:pPr>
      <w:r w:rsidRPr="005B3D3A">
        <w:rPr>
          <w:rFonts w:ascii="Arial" w:hAnsi="Arial" w:cs="Arial"/>
          <w:color w:val="auto"/>
          <w:shd w:val="clear" w:color="auto" w:fill="FFFFFF"/>
        </w:rPr>
        <w:t xml:space="preserve">Higgs, M. (2004) Future Trends in HR. </w:t>
      </w:r>
      <w:r w:rsidRPr="005B3D3A">
        <w:rPr>
          <w:rFonts w:ascii="Arial" w:hAnsi="Arial" w:cs="Arial"/>
          <w:i/>
          <w:iCs/>
          <w:color w:val="auto"/>
          <w:shd w:val="clear" w:color="auto" w:fill="FFFFFF"/>
        </w:rPr>
        <w:t xml:space="preserve">In: </w:t>
      </w:r>
      <w:r w:rsidRPr="005B3D3A">
        <w:rPr>
          <w:rFonts w:ascii="Arial" w:hAnsi="Arial" w:cs="Arial"/>
          <w:color w:val="auto"/>
          <w:shd w:val="clear" w:color="auto" w:fill="FFFFFF"/>
        </w:rPr>
        <w:t xml:space="preserve">Rees, D. and McBain, R. </w:t>
      </w:r>
      <w:r w:rsidRPr="005B3D3A">
        <w:rPr>
          <w:rFonts w:ascii="Arial" w:hAnsi="Arial" w:cs="Arial"/>
          <w:i/>
          <w:iCs/>
          <w:color w:val="auto"/>
          <w:shd w:val="clear" w:color="auto" w:fill="FFFFFF"/>
        </w:rPr>
        <w:t xml:space="preserve">People Management Challenges and Opportunities. </w:t>
      </w:r>
      <w:r w:rsidRPr="005B3D3A">
        <w:rPr>
          <w:rFonts w:ascii="Arial" w:hAnsi="Arial" w:cs="Arial"/>
          <w:color w:val="auto"/>
          <w:shd w:val="clear" w:color="auto" w:fill="FFFFFF"/>
        </w:rPr>
        <w:t xml:space="preserve">Basingstoke: Palgrave Macmillan. </w:t>
      </w:r>
    </w:p>
    <w:p w14:paraId="08FD1712" w14:textId="37B12628" w:rsidR="00B420A1" w:rsidRPr="005B3D3A" w:rsidRDefault="00B420A1" w:rsidP="00E940FC">
      <w:pPr>
        <w:pStyle w:val="Default"/>
        <w:spacing w:after="198"/>
        <w:rPr>
          <w:rFonts w:ascii="Arial" w:hAnsi="Arial" w:cs="Arial"/>
          <w:color w:val="auto"/>
          <w:shd w:val="clear" w:color="auto" w:fill="FFFFFF"/>
        </w:rPr>
      </w:pPr>
      <w:r w:rsidRPr="005B3D3A">
        <w:rPr>
          <w:rFonts w:ascii="Arial" w:hAnsi="Arial" w:cs="Arial"/>
        </w:rPr>
        <w:t xml:space="preserve">Holiday, M. (2021). </w:t>
      </w:r>
      <w:r w:rsidRPr="005B3D3A">
        <w:rPr>
          <w:rFonts w:ascii="Arial" w:hAnsi="Arial" w:cs="Arial"/>
          <w:i/>
          <w:iCs/>
        </w:rPr>
        <w:t>10 causes of employee turnover and how to prevent/reduce them</w:t>
      </w:r>
      <w:r w:rsidRPr="005B3D3A">
        <w:rPr>
          <w:rFonts w:ascii="Arial" w:hAnsi="Arial" w:cs="Arial"/>
        </w:rPr>
        <w:t xml:space="preserve">. Available at: </w:t>
      </w:r>
      <w:r w:rsidRPr="00DA3DC3">
        <w:rPr>
          <w:rFonts w:ascii="Arial" w:hAnsi="Arial" w:cs="Arial"/>
        </w:rPr>
        <w:t>10 Causes of Employee Turnover &amp; How to Prevent/Reduce Them | NetSuite</w:t>
      </w:r>
      <w:r w:rsidRPr="005B3D3A">
        <w:rPr>
          <w:rFonts w:ascii="Arial" w:hAnsi="Arial" w:cs="Arial"/>
        </w:rPr>
        <w:t xml:space="preserve"> (Accessed on </w:t>
      </w:r>
      <w:r w:rsidR="00DA3DC3">
        <w:rPr>
          <w:rFonts w:ascii="Arial" w:hAnsi="Arial" w:cs="Arial"/>
        </w:rPr>
        <w:t>June</w:t>
      </w:r>
      <w:r w:rsidRPr="005B3D3A">
        <w:rPr>
          <w:rFonts w:ascii="Arial" w:hAnsi="Arial" w:cs="Arial"/>
        </w:rPr>
        <w:t xml:space="preserve"> 7</w:t>
      </w:r>
      <w:r w:rsidRPr="005B3D3A">
        <w:rPr>
          <w:rFonts w:ascii="Arial" w:hAnsi="Arial" w:cs="Arial"/>
          <w:vertAlign w:val="superscript"/>
        </w:rPr>
        <w:t>th</w:t>
      </w:r>
      <w:r w:rsidR="00DA3DC3" w:rsidRPr="005B3D3A">
        <w:rPr>
          <w:rFonts w:ascii="Arial" w:hAnsi="Arial" w:cs="Arial"/>
        </w:rPr>
        <w:t>, 202</w:t>
      </w:r>
      <w:r w:rsidR="00DA3DC3">
        <w:rPr>
          <w:rFonts w:ascii="Arial" w:hAnsi="Arial" w:cs="Arial"/>
        </w:rPr>
        <w:t>5</w:t>
      </w:r>
      <w:r w:rsidRPr="005B3D3A">
        <w:rPr>
          <w:rFonts w:ascii="Arial" w:hAnsi="Arial" w:cs="Arial"/>
        </w:rPr>
        <w:t xml:space="preserve">). </w:t>
      </w:r>
    </w:p>
    <w:p w14:paraId="4D09B1FA" w14:textId="769D8C6B" w:rsidR="00151CFF" w:rsidRPr="005B3D3A" w:rsidRDefault="00151CFF" w:rsidP="00EE3D18">
      <w:pPr>
        <w:spacing w:line="240" w:lineRule="auto"/>
        <w:rPr>
          <w:rFonts w:ascii="Arial" w:hAnsi="Arial" w:cs="Arial"/>
          <w:sz w:val="24"/>
          <w:szCs w:val="24"/>
        </w:rPr>
      </w:pPr>
      <w:r w:rsidRPr="005B3D3A">
        <w:rPr>
          <w:rFonts w:ascii="Arial" w:hAnsi="Arial" w:cs="Arial"/>
          <w:sz w:val="24"/>
          <w:szCs w:val="24"/>
        </w:rPr>
        <w:t xml:space="preserve">Holmes, A. (2023) </w:t>
      </w:r>
      <w:r w:rsidRPr="005B3D3A">
        <w:rPr>
          <w:rFonts w:ascii="Arial" w:hAnsi="Arial" w:cs="Arial"/>
          <w:i/>
          <w:iCs/>
          <w:sz w:val="24"/>
          <w:szCs w:val="24"/>
        </w:rPr>
        <w:t>The big debate: are work trial days invaluable or ineffective?</w:t>
      </w:r>
      <w:r w:rsidRPr="005B3D3A">
        <w:rPr>
          <w:rFonts w:ascii="Arial" w:hAnsi="Arial" w:cs="Arial"/>
          <w:sz w:val="24"/>
          <w:szCs w:val="24"/>
        </w:rPr>
        <w:t xml:space="preserve"> Available at: </w:t>
      </w:r>
      <w:r w:rsidRPr="00DA3DC3">
        <w:rPr>
          <w:rFonts w:ascii="Arial" w:hAnsi="Arial" w:cs="Arial"/>
          <w:sz w:val="24"/>
          <w:szCs w:val="24"/>
        </w:rPr>
        <w:t>https://www.raconteur.net/talent-culture/big-debate-trial-days</w:t>
      </w:r>
      <w:r w:rsidRPr="005B3D3A">
        <w:rPr>
          <w:rFonts w:ascii="Arial" w:hAnsi="Arial" w:cs="Arial"/>
          <w:sz w:val="24"/>
          <w:szCs w:val="24"/>
        </w:rPr>
        <w:t xml:space="preserve"> (Accessed on </w:t>
      </w:r>
      <w:r w:rsidR="00DA3DC3">
        <w:rPr>
          <w:rFonts w:ascii="Arial" w:hAnsi="Arial" w:cs="Arial"/>
          <w:sz w:val="24"/>
          <w:szCs w:val="24"/>
        </w:rPr>
        <w:t>June 28th</w:t>
      </w:r>
      <w:proofErr w:type="gramStart"/>
      <w:r w:rsidRPr="005B3D3A">
        <w:rPr>
          <w:rFonts w:ascii="Arial" w:hAnsi="Arial" w:cs="Arial"/>
          <w:sz w:val="24"/>
          <w:szCs w:val="24"/>
        </w:rPr>
        <w:t xml:space="preserve"> 202</w:t>
      </w:r>
      <w:r w:rsidR="00DA3DC3">
        <w:rPr>
          <w:rFonts w:ascii="Arial" w:hAnsi="Arial" w:cs="Arial"/>
          <w:sz w:val="24"/>
          <w:szCs w:val="24"/>
        </w:rPr>
        <w:t>5</w:t>
      </w:r>
      <w:proofErr w:type="gramEnd"/>
      <w:r w:rsidRPr="005B3D3A">
        <w:rPr>
          <w:rFonts w:ascii="Arial" w:hAnsi="Arial" w:cs="Arial"/>
          <w:sz w:val="24"/>
          <w:szCs w:val="24"/>
        </w:rPr>
        <w:t>).</w:t>
      </w:r>
    </w:p>
    <w:p w14:paraId="165DA928" w14:textId="7D523B7C" w:rsidR="00151CFF" w:rsidRPr="005B3D3A" w:rsidRDefault="00EE3D18" w:rsidP="00151CFF">
      <w:pPr>
        <w:spacing w:line="240" w:lineRule="auto"/>
        <w:rPr>
          <w:rFonts w:ascii="Arial" w:hAnsi="Arial" w:cs="Arial"/>
          <w:sz w:val="24"/>
          <w:szCs w:val="24"/>
        </w:rPr>
      </w:pPr>
      <w:r w:rsidRPr="005B3D3A">
        <w:rPr>
          <w:rFonts w:ascii="Arial" w:hAnsi="Arial" w:cs="Arial"/>
          <w:sz w:val="24"/>
          <w:szCs w:val="24"/>
        </w:rPr>
        <w:t xml:space="preserve">Ingrassia, R. (2019) Labour Market </w:t>
      </w:r>
      <w:r w:rsidR="00DA3DC3" w:rsidRPr="005B3D3A">
        <w:rPr>
          <w:rFonts w:ascii="Arial" w:hAnsi="Arial" w:cs="Arial"/>
          <w:sz w:val="24"/>
          <w:szCs w:val="24"/>
        </w:rPr>
        <w:t>Imbalances</w:t>
      </w:r>
      <w:r w:rsidRPr="005B3D3A">
        <w:rPr>
          <w:rFonts w:ascii="Arial" w:hAnsi="Arial" w:cs="Arial"/>
          <w:sz w:val="24"/>
          <w:szCs w:val="24"/>
        </w:rPr>
        <w:t xml:space="preserve"> and Personnel Recruitment. </w:t>
      </w:r>
      <w:r w:rsidRPr="005B3D3A">
        <w:rPr>
          <w:rFonts w:ascii="Arial" w:hAnsi="Arial" w:cs="Arial"/>
          <w:i/>
          <w:iCs/>
          <w:sz w:val="24"/>
          <w:szCs w:val="24"/>
        </w:rPr>
        <w:t xml:space="preserve">American Journal of Industrial and Business Management. </w:t>
      </w:r>
      <w:r w:rsidRPr="005B3D3A">
        <w:rPr>
          <w:rFonts w:ascii="Arial" w:hAnsi="Arial" w:cs="Arial"/>
          <w:sz w:val="24"/>
          <w:szCs w:val="24"/>
        </w:rPr>
        <w:t>9(6), 1376-1394.</w:t>
      </w:r>
    </w:p>
    <w:p w14:paraId="222F1583" w14:textId="77777777" w:rsidR="00151CFF" w:rsidRDefault="00151CFF" w:rsidP="00151CFF">
      <w:pPr>
        <w:spacing w:line="240" w:lineRule="auto"/>
        <w:rPr>
          <w:rFonts w:ascii="Arial" w:hAnsi="Arial" w:cs="Arial"/>
          <w:sz w:val="24"/>
          <w:szCs w:val="24"/>
        </w:rPr>
      </w:pPr>
      <w:r w:rsidRPr="005B3D3A">
        <w:rPr>
          <w:rFonts w:ascii="Arial" w:hAnsi="Arial" w:cs="Arial"/>
          <w:sz w:val="24"/>
          <w:szCs w:val="24"/>
        </w:rPr>
        <w:t>Jacobs, D. (2009). Surviving the social explosion.</w:t>
      </w:r>
      <w:r w:rsidRPr="005B3D3A">
        <w:rPr>
          <w:rFonts w:ascii="Arial" w:hAnsi="Arial" w:cs="Arial"/>
          <w:i/>
          <w:iCs/>
          <w:sz w:val="24"/>
          <w:szCs w:val="24"/>
        </w:rPr>
        <w:t xml:space="preserve"> Landscape Management. </w:t>
      </w:r>
      <w:r w:rsidRPr="005B3D3A">
        <w:rPr>
          <w:rFonts w:ascii="Arial" w:hAnsi="Arial" w:cs="Arial"/>
          <w:sz w:val="24"/>
          <w:szCs w:val="24"/>
        </w:rPr>
        <w:t>48, 10-13.</w:t>
      </w:r>
    </w:p>
    <w:p w14:paraId="4B30E12C" w14:textId="1DD33491" w:rsidR="00AA1985" w:rsidRPr="005B3D3A" w:rsidRDefault="00AA1985" w:rsidP="00151CFF">
      <w:pPr>
        <w:spacing w:line="240" w:lineRule="auto"/>
        <w:rPr>
          <w:rFonts w:ascii="Arial" w:hAnsi="Arial" w:cs="Arial"/>
          <w:sz w:val="24"/>
          <w:szCs w:val="24"/>
        </w:rPr>
      </w:pPr>
      <w:r w:rsidRPr="00AA1985">
        <w:rPr>
          <w:rFonts w:ascii="Arial" w:hAnsi="Arial" w:cs="Arial"/>
          <w:sz w:val="24"/>
          <w:szCs w:val="24"/>
        </w:rPr>
        <w:t>Jorgensen, N</w:t>
      </w:r>
      <w:r w:rsidRPr="00AA1985">
        <w:rPr>
          <w:rFonts w:ascii="Arial" w:hAnsi="Arial" w:cs="Arial"/>
          <w:b/>
          <w:bCs/>
          <w:sz w:val="24"/>
          <w:szCs w:val="24"/>
        </w:rPr>
        <w:t>.</w:t>
      </w:r>
      <w:r w:rsidRPr="00AA1985">
        <w:rPr>
          <w:rFonts w:ascii="Arial" w:hAnsi="Arial" w:cs="Arial"/>
          <w:sz w:val="24"/>
          <w:szCs w:val="24"/>
        </w:rPr>
        <w:t> (2023) </w:t>
      </w:r>
      <w:r w:rsidRPr="00AA1985">
        <w:rPr>
          <w:rFonts w:ascii="Arial" w:hAnsi="Arial" w:cs="Arial"/>
          <w:i/>
          <w:iCs/>
          <w:sz w:val="24"/>
          <w:szCs w:val="24"/>
        </w:rPr>
        <w:t>The power of social media in recruiting</w:t>
      </w:r>
      <w:r w:rsidRPr="00AA1985">
        <w:rPr>
          <w:rFonts w:ascii="Arial" w:hAnsi="Arial" w:cs="Arial"/>
          <w:sz w:val="24"/>
          <w:szCs w:val="24"/>
        </w:rPr>
        <w:t>. Forbes. Available at: https://www.forbes.com/councils/forbeshumanresourcescouncil/2023/01/12/the-power-of-social-media-in-recruiting/ (Accessed: 3 July 2025).</w:t>
      </w:r>
    </w:p>
    <w:p w14:paraId="7B6DF914" w14:textId="77777777" w:rsidR="005B3D3A" w:rsidRDefault="00151CFF" w:rsidP="005B3D3A">
      <w:pPr>
        <w:spacing w:line="240" w:lineRule="auto"/>
        <w:rPr>
          <w:rFonts w:ascii="Arial" w:hAnsi="Arial" w:cs="Arial"/>
          <w:sz w:val="24"/>
          <w:szCs w:val="24"/>
        </w:rPr>
      </w:pPr>
      <w:r w:rsidRPr="005B3D3A">
        <w:rPr>
          <w:rFonts w:ascii="Arial" w:hAnsi="Arial" w:cs="Arial"/>
          <w:sz w:val="24"/>
          <w:szCs w:val="24"/>
        </w:rPr>
        <w:t xml:space="preserve">Kroeze, R. (2015) Recruitment via Social Media Sites: A critical Review and Research Agenda. </w:t>
      </w:r>
      <w:r w:rsidRPr="005B3D3A">
        <w:rPr>
          <w:rFonts w:ascii="Arial" w:hAnsi="Arial" w:cs="Arial"/>
          <w:i/>
          <w:iCs/>
          <w:sz w:val="24"/>
          <w:szCs w:val="24"/>
        </w:rPr>
        <w:t xml:space="preserve">The Faculty of Behavioural, Management and Social Sciences Journal. </w:t>
      </w:r>
      <w:r w:rsidRPr="005B3D3A">
        <w:rPr>
          <w:rFonts w:ascii="Arial" w:hAnsi="Arial" w:cs="Arial"/>
          <w:sz w:val="24"/>
          <w:szCs w:val="24"/>
        </w:rPr>
        <w:t>1, 1-24.</w:t>
      </w:r>
      <w:r w:rsidR="005B3D3A">
        <w:rPr>
          <w:rFonts w:ascii="Arial" w:hAnsi="Arial" w:cs="Arial"/>
          <w:sz w:val="24"/>
          <w:szCs w:val="24"/>
        </w:rPr>
        <w:br/>
      </w:r>
    </w:p>
    <w:p w14:paraId="5A89B615" w14:textId="5C7479B5" w:rsidR="005B1A60" w:rsidRPr="005B3D3A" w:rsidRDefault="005B1A60" w:rsidP="005B3D3A">
      <w:pPr>
        <w:spacing w:line="240" w:lineRule="auto"/>
        <w:rPr>
          <w:rFonts w:ascii="Arial" w:hAnsi="Arial" w:cs="Arial"/>
          <w:sz w:val="24"/>
          <w:szCs w:val="24"/>
        </w:rPr>
      </w:pPr>
      <w:r w:rsidRPr="005B3D3A">
        <w:rPr>
          <w:rFonts w:ascii="Arial" w:hAnsi="Arial" w:cs="Arial"/>
          <w:sz w:val="24"/>
          <w:szCs w:val="24"/>
        </w:rPr>
        <w:t xml:space="preserve">Laribee, J. (1991) Undergraduate and graduate courses in Information Resources Management: Educational and managerial judgement about appropriate course content. </w:t>
      </w:r>
      <w:r w:rsidRPr="005B3D3A">
        <w:rPr>
          <w:rFonts w:ascii="Arial" w:hAnsi="Arial" w:cs="Arial"/>
          <w:i/>
          <w:iCs/>
          <w:sz w:val="24"/>
          <w:szCs w:val="24"/>
        </w:rPr>
        <w:t xml:space="preserve">Journal of Education for Information. </w:t>
      </w:r>
      <w:r w:rsidRPr="005B3D3A">
        <w:rPr>
          <w:rFonts w:ascii="Arial" w:hAnsi="Arial" w:cs="Arial"/>
          <w:sz w:val="24"/>
          <w:szCs w:val="24"/>
        </w:rPr>
        <w:t>10(1), 17-33.</w:t>
      </w:r>
    </w:p>
    <w:p w14:paraId="78382A00" w14:textId="70EF1D6B" w:rsidR="00973F21" w:rsidRPr="005B3D3A" w:rsidRDefault="00973F21" w:rsidP="005B1A60">
      <w:pPr>
        <w:pStyle w:val="Heading1"/>
        <w:shd w:val="clear" w:color="auto" w:fill="FFFFFF"/>
        <w:spacing w:before="0" w:after="300"/>
        <w:rPr>
          <w:rFonts w:ascii="Arial" w:hAnsi="Arial" w:cs="Arial"/>
          <w:color w:val="auto"/>
          <w:sz w:val="24"/>
          <w:szCs w:val="24"/>
        </w:rPr>
      </w:pPr>
      <w:r w:rsidRPr="005B3D3A">
        <w:rPr>
          <w:rFonts w:ascii="Arial" w:hAnsi="Arial" w:cs="Arial"/>
          <w:color w:val="auto"/>
          <w:sz w:val="24"/>
          <w:szCs w:val="24"/>
        </w:rPr>
        <w:t xml:space="preserve">MacIntosh, E. W., &amp; Doherty, A. (2010). The influence of organizational culture on job satisfaction and intention to leave. </w:t>
      </w:r>
      <w:r w:rsidRPr="005B3D3A">
        <w:rPr>
          <w:rFonts w:ascii="Arial" w:hAnsi="Arial" w:cs="Arial"/>
          <w:i/>
          <w:iCs/>
          <w:color w:val="auto"/>
          <w:sz w:val="24"/>
          <w:szCs w:val="24"/>
        </w:rPr>
        <w:t>Sport Management Review</w:t>
      </w:r>
      <w:r w:rsidRPr="005B3D3A">
        <w:rPr>
          <w:rFonts w:ascii="Arial" w:hAnsi="Arial" w:cs="Arial"/>
          <w:color w:val="auto"/>
          <w:sz w:val="24"/>
          <w:szCs w:val="24"/>
        </w:rPr>
        <w:t xml:space="preserve">, </w:t>
      </w:r>
      <w:r w:rsidRPr="005B3D3A">
        <w:rPr>
          <w:rFonts w:ascii="Arial" w:hAnsi="Arial" w:cs="Arial"/>
          <w:i/>
          <w:iCs/>
          <w:color w:val="auto"/>
          <w:sz w:val="24"/>
          <w:szCs w:val="24"/>
        </w:rPr>
        <w:t>13</w:t>
      </w:r>
      <w:r w:rsidRPr="005B3D3A">
        <w:rPr>
          <w:rFonts w:ascii="Arial" w:hAnsi="Arial" w:cs="Arial"/>
          <w:color w:val="auto"/>
          <w:sz w:val="24"/>
          <w:szCs w:val="24"/>
        </w:rPr>
        <w:t>(2), 106–117.</w:t>
      </w:r>
    </w:p>
    <w:p w14:paraId="02CC3E0B" w14:textId="70B8743A" w:rsidR="00AB14E6" w:rsidRPr="005B3D3A" w:rsidRDefault="00AB14E6" w:rsidP="00AB14E6">
      <w:pPr>
        <w:pStyle w:val="Default"/>
        <w:spacing w:after="198"/>
        <w:rPr>
          <w:rFonts w:ascii="Arial" w:hAnsi="Arial" w:cs="Arial"/>
        </w:rPr>
      </w:pPr>
      <w:r w:rsidRPr="005B3D3A">
        <w:rPr>
          <w:rFonts w:ascii="Arial" w:hAnsi="Arial" w:cs="Arial"/>
        </w:rPr>
        <w:t xml:space="preserve">McFall, M. (2002) Invest in your employees to improve retention. Available at: </w:t>
      </w:r>
      <w:r w:rsidRPr="00DA3DC3">
        <w:rPr>
          <w:rFonts w:ascii="Arial" w:hAnsi="Arial" w:cs="Arial"/>
        </w:rPr>
        <w:t>https://www.forbes.com/councils/forbesbusinesscouncil/2022/03/01/invest-in-your-employees-to-improve-retention/</w:t>
      </w:r>
      <w:r w:rsidRPr="005B3D3A">
        <w:rPr>
          <w:rFonts w:ascii="Arial" w:hAnsi="Arial" w:cs="Arial"/>
        </w:rPr>
        <w:t xml:space="preserve"> (Accessed on </w:t>
      </w:r>
      <w:r w:rsidR="00DA3DC3">
        <w:rPr>
          <w:rFonts w:ascii="Arial" w:hAnsi="Arial" w:cs="Arial"/>
        </w:rPr>
        <w:t>June 23</w:t>
      </w:r>
      <w:r w:rsidR="00DA3DC3" w:rsidRPr="00DA3DC3">
        <w:rPr>
          <w:rFonts w:ascii="Arial" w:hAnsi="Arial" w:cs="Arial"/>
          <w:vertAlign w:val="superscript"/>
        </w:rPr>
        <w:t>rd</w:t>
      </w:r>
      <w:proofErr w:type="gramStart"/>
      <w:r w:rsidR="00DA3DC3">
        <w:rPr>
          <w:rFonts w:ascii="Arial" w:hAnsi="Arial" w:cs="Arial"/>
        </w:rPr>
        <w:t xml:space="preserve"> 2025</w:t>
      </w:r>
      <w:proofErr w:type="gramEnd"/>
      <w:r w:rsidRPr="005B3D3A">
        <w:rPr>
          <w:rFonts w:ascii="Arial" w:hAnsi="Arial" w:cs="Arial"/>
        </w:rPr>
        <w:t xml:space="preserve">). </w:t>
      </w:r>
    </w:p>
    <w:p w14:paraId="53B8BB92" w14:textId="693A10D5" w:rsidR="0011698E" w:rsidRPr="005B3D3A" w:rsidRDefault="0011698E" w:rsidP="0011698E">
      <w:pPr>
        <w:pStyle w:val="Default"/>
        <w:tabs>
          <w:tab w:val="left" w:pos="1440"/>
        </w:tabs>
        <w:spacing w:after="198"/>
        <w:jc w:val="both"/>
        <w:rPr>
          <w:rFonts w:ascii="Arial" w:hAnsi="Arial" w:cs="Arial"/>
          <w:color w:val="auto"/>
        </w:rPr>
      </w:pPr>
      <w:r w:rsidRPr="005B3D3A">
        <w:rPr>
          <w:rFonts w:ascii="Arial" w:hAnsi="Arial" w:cs="Arial"/>
        </w:rPr>
        <w:t xml:space="preserve">Morris, M. (2022). Fixed Term Contracts: Pros and Cons. Available at: </w:t>
      </w:r>
      <w:r w:rsidRPr="00DA3DC3">
        <w:rPr>
          <w:rFonts w:ascii="Arial" w:hAnsi="Arial" w:cs="Arial"/>
        </w:rPr>
        <w:t>https://www.davidsonmorris.com/fixed-term-contracts-pros-and-cons/</w:t>
      </w:r>
      <w:r w:rsidRPr="005B3D3A">
        <w:rPr>
          <w:rFonts w:ascii="Arial" w:hAnsi="Arial" w:cs="Arial"/>
        </w:rPr>
        <w:t xml:space="preserve"> (Accessed on </w:t>
      </w:r>
      <w:r w:rsidR="00DA3DC3">
        <w:rPr>
          <w:rFonts w:ascii="Arial" w:hAnsi="Arial" w:cs="Arial"/>
        </w:rPr>
        <w:t>June 23</w:t>
      </w:r>
      <w:r w:rsidR="00DA3DC3" w:rsidRPr="00DA3DC3">
        <w:rPr>
          <w:rFonts w:ascii="Arial" w:hAnsi="Arial" w:cs="Arial"/>
          <w:vertAlign w:val="superscript"/>
        </w:rPr>
        <w:t>rd</w:t>
      </w:r>
      <w:r w:rsidR="00DA3DC3">
        <w:rPr>
          <w:rFonts w:ascii="Arial" w:hAnsi="Arial" w:cs="Arial"/>
        </w:rPr>
        <w:t>, 2025</w:t>
      </w:r>
      <w:r w:rsidRPr="005B3D3A">
        <w:rPr>
          <w:rFonts w:ascii="Arial" w:hAnsi="Arial" w:cs="Arial"/>
        </w:rPr>
        <w:t xml:space="preserve">). </w:t>
      </w:r>
    </w:p>
    <w:p w14:paraId="3C3EC522" w14:textId="700B2A7A" w:rsidR="00151CFF" w:rsidRPr="005B3D3A" w:rsidRDefault="00151CFF" w:rsidP="00151CFF">
      <w:pPr>
        <w:spacing w:line="240" w:lineRule="auto"/>
        <w:rPr>
          <w:rFonts w:ascii="Arial" w:hAnsi="Arial" w:cs="Arial"/>
          <w:sz w:val="24"/>
          <w:szCs w:val="24"/>
        </w:rPr>
      </w:pPr>
      <w:r w:rsidRPr="005B3D3A">
        <w:rPr>
          <w:rFonts w:ascii="Arial" w:hAnsi="Arial" w:cs="Arial"/>
          <w:sz w:val="24"/>
          <w:szCs w:val="24"/>
        </w:rPr>
        <w:t>Newman, G. (2024</w:t>
      </w:r>
      <w:r w:rsidRPr="005B3D3A">
        <w:rPr>
          <w:rFonts w:ascii="Arial" w:hAnsi="Arial" w:cs="Arial"/>
          <w:i/>
          <w:iCs/>
          <w:sz w:val="24"/>
          <w:szCs w:val="24"/>
        </w:rPr>
        <w:t xml:space="preserve">). Advantages and disadvantages for recruitment. </w:t>
      </w:r>
      <w:r w:rsidRPr="005B3D3A">
        <w:rPr>
          <w:rFonts w:ascii="Arial" w:hAnsi="Arial" w:cs="Arial"/>
          <w:sz w:val="24"/>
          <w:szCs w:val="24"/>
        </w:rPr>
        <w:t xml:space="preserve">Available at: </w:t>
      </w:r>
      <w:r w:rsidR="00DA3DC3" w:rsidRPr="00DA3DC3">
        <w:rPr>
          <w:rFonts w:ascii="Arial" w:hAnsi="Arial" w:cs="Arial"/>
          <w:sz w:val="24"/>
          <w:szCs w:val="24"/>
        </w:rPr>
        <w:t>Jobcentre</w:t>
      </w:r>
      <w:r w:rsidRPr="00DA3DC3">
        <w:rPr>
          <w:rFonts w:ascii="Arial" w:hAnsi="Arial" w:cs="Arial"/>
          <w:sz w:val="24"/>
          <w:szCs w:val="24"/>
        </w:rPr>
        <w:t xml:space="preserve"> Plus: Advantages &amp; Disadvantages for Recruitment (starget.co.uk)</w:t>
      </w:r>
      <w:r w:rsidRPr="005B3D3A">
        <w:rPr>
          <w:rFonts w:ascii="Arial" w:hAnsi="Arial" w:cs="Arial"/>
          <w:sz w:val="24"/>
          <w:szCs w:val="24"/>
        </w:rPr>
        <w:t xml:space="preserve"> (Accessed on </w:t>
      </w:r>
      <w:r w:rsidR="00DA3DC3">
        <w:rPr>
          <w:rFonts w:ascii="Arial" w:hAnsi="Arial" w:cs="Arial"/>
          <w:sz w:val="24"/>
          <w:szCs w:val="24"/>
        </w:rPr>
        <w:t>July 1st</w:t>
      </w:r>
      <w:r w:rsidR="00DA3DC3" w:rsidRPr="005B3D3A">
        <w:rPr>
          <w:rFonts w:ascii="Arial" w:hAnsi="Arial" w:cs="Arial"/>
          <w:sz w:val="24"/>
          <w:szCs w:val="24"/>
        </w:rPr>
        <w:t>, 2025</w:t>
      </w:r>
      <w:r w:rsidRPr="005B3D3A">
        <w:rPr>
          <w:rFonts w:ascii="Arial" w:hAnsi="Arial" w:cs="Arial"/>
          <w:sz w:val="24"/>
          <w:szCs w:val="24"/>
        </w:rPr>
        <w:t xml:space="preserve">). </w:t>
      </w:r>
    </w:p>
    <w:p w14:paraId="0E0A03E8" w14:textId="667B7CDB" w:rsidR="00DA3DC3" w:rsidRDefault="00AB14E6" w:rsidP="00AB14E6">
      <w:pPr>
        <w:pStyle w:val="Default"/>
        <w:spacing w:after="198"/>
        <w:rPr>
          <w:rFonts w:ascii="Arial" w:hAnsi="Arial" w:cs="Arial"/>
        </w:rPr>
      </w:pPr>
      <w:r w:rsidRPr="005B3D3A">
        <w:rPr>
          <w:rFonts w:ascii="Arial" w:hAnsi="Arial" w:cs="Arial"/>
        </w:rPr>
        <w:t xml:space="preserve">Organ, S. (2024) Workforce Planning: Definition &amp; Best Practices. Available at: </w:t>
      </w:r>
      <w:r w:rsidRPr="00DA3DC3">
        <w:rPr>
          <w:rFonts w:ascii="Arial" w:hAnsi="Arial" w:cs="Arial"/>
        </w:rPr>
        <w:t>Workforce Planning: Definition &amp; Best Practices – Forbes Advisor</w:t>
      </w:r>
      <w:r w:rsidRPr="005B3D3A">
        <w:rPr>
          <w:rFonts w:ascii="Arial" w:hAnsi="Arial" w:cs="Arial"/>
        </w:rPr>
        <w:t xml:space="preserve"> (Accessed on </w:t>
      </w:r>
      <w:r w:rsidR="00DA3DC3">
        <w:rPr>
          <w:rFonts w:ascii="Arial" w:hAnsi="Arial" w:cs="Arial"/>
        </w:rPr>
        <w:t>June 13th, 2025</w:t>
      </w:r>
      <w:r w:rsidRPr="005B3D3A">
        <w:rPr>
          <w:rFonts w:ascii="Arial" w:hAnsi="Arial" w:cs="Arial"/>
        </w:rPr>
        <w:t xml:space="preserve">). </w:t>
      </w:r>
    </w:p>
    <w:p w14:paraId="43A4B019" w14:textId="2DE5DDD2" w:rsidR="00DA3DC3" w:rsidRPr="00DA3DC3" w:rsidRDefault="00DA3DC3" w:rsidP="00AB14E6">
      <w:pPr>
        <w:pStyle w:val="Default"/>
        <w:spacing w:after="198"/>
        <w:rPr>
          <w:rFonts w:ascii="Arial" w:hAnsi="Arial" w:cs="Arial"/>
        </w:rPr>
      </w:pPr>
      <w:r w:rsidRPr="00DA3DC3">
        <w:rPr>
          <w:rFonts w:ascii="Arial" w:hAnsi="Arial" w:cs="Arial"/>
        </w:rPr>
        <w:t>Phelan, J</w:t>
      </w:r>
      <w:r w:rsidRPr="00DA3DC3">
        <w:rPr>
          <w:rFonts w:ascii="Arial" w:hAnsi="Arial" w:cs="Arial"/>
          <w:b/>
          <w:bCs/>
        </w:rPr>
        <w:t>.</w:t>
      </w:r>
      <w:r w:rsidRPr="00DA3DC3">
        <w:rPr>
          <w:rFonts w:ascii="Arial" w:hAnsi="Arial" w:cs="Arial"/>
        </w:rPr>
        <w:t> (2024) </w:t>
      </w:r>
      <w:r w:rsidRPr="00DA3DC3">
        <w:rPr>
          <w:rFonts w:ascii="Arial" w:hAnsi="Arial" w:cs="Arial"/>
          <w:i/>
          <w:iCs/>
        </w:rPr>
        <w:t>Onboarding new employees — without overwhelming them</w:t>
      </w:r>
      <w:r w:rsidRPr="00DA3DC3">
        <w:rPr>
          <w:rFonts w:ascii="Arial" w:hAnsi="Arial" w:cs="Arial"/>
        </w:rPr>
        <w:t>. Harvard Business Review. Available at: https://hbr.org/2024/04/onboarding-new-employees-without-overwhelming-them (Accessed: 3 July 2025).</w:t>
      </w:r>
    </w:p>
    <w:p w14:paraId="53EA354B" w14:textId="36378F6F" w:rsidR="00151CFF" w:rsidRPr="005B3D3A" w:rsidRDefault="00151CFF" w:rsidP="00973F21">
      <w:pPr>
        <w:spacing w:line="240" w:lineRule="auto"/>
        <w:rPr>
          <w:rFonts w:ascii="Arial" w:hAnsi="Arial" w:cs="Arial"/>
          <w:sz w:val="24"/>
          <w:szCs w:val="24"/>
        </w:rPr>
      </w:pPr>
      <w:r w:rsidRPr="005B3D3A">
        <w:rPr>
          <w:rFonts w:ascii="Arial" w:hAnsi="Arial" w:cs="Arial"/>
          <w:sz w:val="24"/>
          <w:szCs w:val="24"/>
        </w:rPr>
        <w:lastRenderedPageBreak/>
        <w:t xml:space="preserve">Podda, I. (2023) </w:t>
      </w:r>
      <w:r w:rsidRPr="005B3D3A">
        <w:rPr>
          <w:rFonts w:ascii="Arial" w:hAnsi="Arial" w:cs="Arial"/>
          <w:i/>
          <w:iCs/>
          <w:sz w:val="24"/>
          <w:szCs w:val="24"/>
        </w:rPr>
        <w:t>The big debate: are work trial days invaluable or ineffective?</w:t>
      </w:r>
      <w:r w:rsidRPr="005B3D3A">
        <w:rPr>
          <w:rFonts w:ascii="Arial" w:hAnsi="Arial" w:cs="Arial"/>
          <w:sz w:val="24"/>
          <w:szCs w:val="24"/>
        </w:rPr>
        <w:t xml:space="preserve"> Available at: </w:t>
      </w:r>
      <w:r w:rsidRPr="00DA3DC3">
        <w:rPr>
          <w:rFonts w:ascii="Arial" w:hAnsi="Arial" w:cs="Arial"/>
          <w:sz w:val="24"/>
          <w:szCs w:val="24"/>
        </w:rPr>
        <w:t>https://www.raconteur.net/talent-culture/big-debate-trial-days</w:t>
      </w:r>
      <w:r w:rsidRPr="005B3D3A">
        <w:rPr>
          <w:rFonts w:ascii="Arial" w:hAnsi="Arial" w:cs="Arial"/>
          <w:sz w:val="24"/>
          <w:szCs w:val="24"/>
        </w:rPr>
        <w:t xml:space="preserve"> (Accessed on </w:t>
      </w:r>
      <w:r w:rsidR="00DA3DC3">
        <w:rPr>
          <w:rFonts w:ascii="Arial" w:hAnsi="Arial" w:cs="Arial"/>
          <w:sz w:val="24"/>
          <w:szCs w:val="24"/>
        </w:rPr>
        <w:t>June 13th, 2025</w:t>
      </w:r>
      <w:r w:rsidRPr="005B3D3A">
        <w:rPr>
          <w:rFonts w:ascii="Arial" w:hAnsi="Arial" w:cs="Arial"/>
          <w:sz w:val="24"/>
          <w:szCs w:val="24"/>
        </w:rPr>
        <w:t>).</w:t>
      </w:r>
    </w:p>
    <w:p w14:paraId="57165A00" w14:textId="53813E74" w:rsidR="00151CFF" w:rsidRPr="005B3D3A" w:rsidRDefault="00EE3D18" w:rsidP="00151CFF">
      <w:pPr>
        <w:spacing w:line="240" w:lineRule="auto"/>
        <w:rPr>
          <w:rFonts w:ascii="Arial" w:hAnsi="Arial" w:cs="Arial"/>
          <w:sz w:val="24"/>
          <w:szCs w:val="24"/>
          <w:shd w:val="clear" w:color="auto" w:fill="FFFFFF"/>
        </w:rPr>
      </w:pPr>
      <w:r w:rsidRPr="005B3D3A">
        <w:rPr>
          <w:rFonts w:ascii="Arial" w:hAnsi="Arial" w:cs="Arial"/>
          <w:sz w:val="24"/>
          <w:szCs w:val="24"/>
          <w:shd w:val="clear" w:color="auto" w:fill="FFFFFF"/>
        </w:rPr>
        <w:t xml:space="preserve">Sabel, C. (2019) Moebius-strip organizations and open </w:t>
      </w:r>
      <w:r w:rsidR="00DA3DC3" w:rsidRPr="005B3D3A">
        <w:rPr>
          <w:rFonts w:ascii="Arial" w:hAnsi="Arial" w:cs="Arial"/>
          <w:sz w:val="24"/>
          <w:szCs w:val="24"/>
          <w:shd w:val="clear" w:color="auto" w:fill="FFFFFF"/>
        </w:rPr>
        <w:t>labour</w:t>
      </w:r>
      <w:r w:rsidRPr="005B3D3A">
        <w:rPr>
          <w:rFonts w:ascii="Arial" w:hAnsi="Arial" w:cs="Arial"/>
          <w:sz w:val="24"/>
          <w:szCs w:val="24"/>
          <w:shd w:val="clear" w:color="auto" w:fill="FFFFFF"/>
        </w:rPr>
        <w:t xml:space="preserve"> markets: some consequences of the reintegration of conception and execution in a volatile economy. In </w:t>
      </w:r>
      <w:r w:rsidRPr="005B3D3A">
        <w:rPr>
          <w:rFonts w:ascii="Arial" w:hAnsi="Arial" w:cs="Arial"/>
          <w:i/>
          <w:iCs/>
          <w:sz w:val="24"/>
          <w:szCs w:val="24"/>
          <w:shd w:val="clear" w:color="auto" w:fill="FFFFFF"/>
        </w:rPr>
        <w:t>Social theory for a changing society</w:t>
      </w:r>
      <w:r w:rsidRPr="005B3D3A">
        <w:rPr>
          <w:rFonts w:ascii="Arial" w:hAnsi="Arial" w:cs="Arial"/>
          <w:sz w:val="24"/>
          <w:szCs w:val="24"/>
          <w:shd w:val="clear" w:color="auto" w:fill="FFFFFF"/>
        </w:rPr>
        <w:t> (pp. 23-61). Routledge.</w:t>
      </w:r>
    </w:p>
    <w:p w14:paraId="092CFF50" w14:textId="77777777" w:rsidR="005B1A60" w:rsidRPr="005B3D3A" w:rsidRDefault="005B1A60" w:rsidP="005B1A60">
      <w:pPr>
        <w:pStyle w:val="Default"/>
        <w:tabs>
          <w:tab w:val="left" w:pos="1440"/>
        </w:tabs>
        <w:spacing w:after="198"/>
        <w:jc w:val="both"/>
        <w:rPr>
          <w:rFonts w:ascii="Arial" w:hAnsi="Arial" w:cs="Arial"/>
          <w:color w:val="auto"/>
        </w:rPr>
      </w:pPr>
      <w:r w:rsidRPr="005B3D3A">
        <w:rPr>
          <w:rFonts w:ascii="Arial" w:hAnsi="Arial" w:cs="Arial"/>
          <w:color w:val="auto"/>
        </w:rPr>
        <w:t xml:space="preserve">Sainju, B. (2020). Job Satisfaction and Employee Turnover Determinants in Fortune 50 Companies: Insights from Employee Reviews. </w:t>
      </w:r>
      <w:r w:rsidRPr="005B3D3A">
        <w:rPr>
          <w:rFonts w:ascii="Arial" w:hAnsi="Arial" w:cs="Arial"/>
          <w:i/>
          <w:iCs/>
          <w:color w:val="auto"/>
        </w:rPr>
        <w:t xml:space="preserve">Computer Science Commons. </w:t>
      </w:r>
      <w:r w:rsidRPr="005B3D3A">
        <w:rPr>
          <w:rFonts w:ascii="Arial" w:hAnsi="Arial" w:cs="Arial"/>
          <w:color w:val="auto"/>
        </w:rPr>
        <w:t>1(3), 1-68.</w:t>
      </w:r>
    </w:p>
    <w:p w14:paraId="33A2B7E0" w14:textId="77777777" w:rsidR="00E940FC" w:rsidRPr="005B3D3A" w:rsidRDefault="00E940FC" w:rsidP="00E940FC">
      <w:pPr>
        <w:pStyle w:val="Default"/>
        <w:spacing w:after="198"/>
        <w:rPr>
          <w:rFonts w:ascii="Arial" w:hAnsi="Arial" w:cs="Arial"/>
          <w:color w:val="auto"/>
        </w:rPr>
      </w:pPr>
      <w:r w:rsidRPr="005B3D3A">
        <w:rPr>
          <w:rFonts w:ascii="Arial" w:hAnsi="Arial" w:cs="Arial"/>
          <w:color w:val="auto"/>
        </w:rPr>
        <w:t xml:space="preserve">Shaker, F., and Ahmed, A. (2014) Influence of Employer Brand Image on Employee Identity. </w:t>
      </w:r>
      <w:r w:rsidRPr="005B3D3A">
        <w:rPr>
          <w:rFonts w:ascii="Arial" w:hAnsi="Arial" w:cs="Arial"/>
          <w:i/>
          <w:iCs/>
          <w:color w:val="auto"/>
        </w:rPr>
        <w:t>Global Disclosure of Economics and Business</w:t>
      </w:r>
      <w:r w:rsidRPr="005B3D3A">
        <w:rPr>
          <w:rFonts w:ascii="Arial" w:hAnsi="Arial" w:cs="Arial"/>
          <w:color w:val="auto"/>
        </w:rPr>
        <w:t>. 3(3), 51- 59.</w:t>
      </w:r>
    </w:p>
    <w:p w14:paraId="2E81EB2A" w14:textId="68B247ED" w:rsidR="00E940FC" w:rsidRPr="005B3D3A" w:rsidRDefault="00E940FC" w:rsidP="005B3D3A">
      <w:pPr>
        <w:pStyle w:val="Heading1"/>
        <w:rPr>
          <w:rFonts w:ascii="Arial" w:hAnsi="Arial" w:cs="Arial"/>
          <w:color w:val="auto"/>
          <w:sz w:val="24"/>
          <w:szCs w:val="24"/>
        </w:rPr>
      </w:pPr>
      <w:r w:rsidRPr="005B3D3A">
        <w:rPr>
          <w:rFonts w:ascii="Arial" w:hAnsi="Arial" w:cs="Arial"/>
          <w:color w:val="auto"/>
          <w:sz w:val="24"/>
          <w:szCs w:val="24"/>
        </w:rPr>
        <w:t xml:space="preserve">Simionescu, M., and Naros, M. (2019) The tole of foreign direct investment in human capital formation for a competitive labour market. </w:t>
      </w:r>
      <w:r w:rsidRPr="005B3D3A">
        <w:rPr>
          <w:rFonts w:ascii="Arial" w:hAnsi="Arial" w:cs="Arial"/>
          <w:i/>
          <w:iCs/>
          <w:color w:val="auto"/>
          <w:sz w:val="24"/>
          <w:szCs w:val="24"/>
        </w:rPr>
        <w:t xml:space="preserve">Management Research and Practice. </w:t>
      </w:r>
      <w:r w:rsidRPr="005B3D3A">
        <w:rPr>
          <w:rFonts w:ascii="Arial" w:hAnsi="Arial" w:cs="Arial"/>
          <w:color w:val="auto"/>
          <w:sz w:val="24"/>
          <w:szCs w:val="24"/>
        </w:rPr>
        <w:t>11(1), 5-14.</w:t>
      </w:r>
      <w:r w:rsidR="005B3D3A">
        <w:rPr>
          <w:rFonts w:ascii="Arial" w:hAnsi="Arial" w:cs="Arial"/>
          <w:color w:val="auto"/>
          <w:sz w:val="24"/>
          <w:szCs w:val="24"/>
        </w:rPr>
        <w:br/>
      </w:r>
    </w:p>
    <w:p w14:paraId="0F87925C" w14:textId="67471F20" w:rsidR="00151CFF" w:rsidRPr="005B3D3A" w:rsidRDefault="00151CFF" w:rsidP="00151CFF">
      <w:pPr>
        <w:spacing w:line="240" w:lineRule="auto"/>
        <w:rPr>
          <w:rFonts w:ascii="Arial" w:hAnsi="Arial" w:cs="Arial"/>
          <w:sz w:val="24"/>
          <w:szCs w:val="24"/>
        </w:rPr>
      </w:pPr>
      <w:r w:rsidRPr="005B3D3A">
        <w:rPr>
          <w:rFonts w:ascii="Arial" w:hAnsi="Arial" w:cs="Arial"/>
          <w:sz w:val="24"/>
          <w:szCs w:val="24"/>
        </w:rPr>
        <w:t xml:space="preserve">Suder, S. (2014). Pre-employment background checks on social networking sites - may your boss be watching? </w:t>
      </w:r>
      <w:r w:rsidRPr="005B3D3A">
        <w:rPr>
          <w:rFonts w:ascii="Arial" w:hAnsi="Arial" w:cs="Arial"/>
          <w:i/>
          <w:iCs/>
          <w:sz w:val="24"/>
          <w:szCs w:val="24"/>
        </w:rPr>
        <w:t>Masaryk University Journal of Law and Technology</w:t>
      </w:r>
      <w:r w:rsidRPr="005B3D3A">
        <w:rPr>
          <w:rFonts w:ascii="Arial" w:hAnsi="Arial" w:cs="Arial"/>
          <w:sz w:val="24"/>
          <w:szCs w:val="24"/>
        </w:rPr>
        <w:t>. 123-136.</w:t>
      </w:r>
    </w:p>
    <w:p w14:paraId="3DE94222" w14:textId="77777777" w:rsidR="00E940FC" w:rsidRPr="005B3D3A" w:rsidRDefault="00E940FC" w:rsidP="00E940FC">
      <w:pPr>
        <w:pStyle w:val="Default"/>
        <w:spacing w:after="198"/>
        <w:rPr>
          <w:rFonts w:ascii="Arial" w:hAnsi="Arial" w:cs="Arial"/>
          <w:color w:val="auto"/>
        </w:rPr>
      </w:pPr>
      <w:r w:rsidRPr="005B3D3A">
        <w:rPr>
          <w:rFonts w:ascii="Arial" w:hAnsi="Arial" w:cs="Arial"/>
          <w:color w:val="auto"/>
          <w:shd w:val="clear" w:color="auto" w:fill="FFFFFF"/>
        </w:rPr>
        <w:t>Taylor, S. and Woodhams, C. (2012) </w:t>
      </w:r>
      <w:r w:rsidRPr="005B3D3A">
        <w:rPr>
          <w:rStyle w:val="Emphasis"/>
          <w:rFonts w:ascii="Arial" w:hAnsi="Arial" w:cs="Arial"/>
          <w:color w:val="auto"/>
          <w:bdr w:val="none" w:sz="0" w:space="0" w:color="auto" w:frame="1"/>
          <w:shd w:val="clear" w:color="auto" w:fill="FFFFFF"/>
        </w:rPr>
        <w:t>Managing People and Organisations</w:t>
      </w:r>
      <w:r w:rsidRPr="005B3D3A">
        <w:rPr>
          <w:rFonts w:ascii="Arial" w:hAnsi="Arial" w:cs="Arial"/>
          <w:color w:val="auto"/>
          <w:shd w:val="clear" w:color="auto" w:fill="FFFFFF"/>
        </w:rPr>
        <w:t>. London: CIPD.</w:t>
      </w:r>
    </w:p>
    <w:p w14:paraId="33672E84" w14:textId="77777777" w:rsidR="00D05FFD" w:rsidRDefault="00D05FFD" w:rsidP="00D05FFD">
      <w:pPr>
        <w:spacing w:line="240" w:lineRule="auto"/>
        <w:rPr>
          <w:rFonts w:ascii="Arial" w:hAnsi="Arial" w:cs="Arial"/>
          <w:sz w:val="24"/>
          <w:szCs w:val="24"/>
        </w:rPr>
      </w:pPr>
      <w:r w:rsidRPr="005B3D3A">
        <w:rPr>
          <w:rFonts w:ascii="Arial" w:hAnsi="Arial" w:cs="Arial"/>
          <w:sz w:val="24"/>
          <w:szCs w:val="24"/>
        </w:rPr>
        <w:t xml:space="preserve">Tumi, N., Hasan, A., and Khalid, J. (2021) Impact of compensation, job enrichment and enlargement and training on employee motivation. </w:t>
      </w:r>
      <w:r w:rsidRPr="005B3D3A">
        <w:rPr>
          <w:rFonts w:ascii="Arial" w:hAnsi="Arial" w:cs="Arial"/>
          <w:i/>
          <w:iCs/>
          <w:sz w:val="24"/>
          <w:szCs w:val="24"/>
        </w:rPr>
        <w:t xml:space="preserve">Somaiya Institute of Management. </w:t>
      </w:r>
      <w:r w:rsidRPr="005B3D3A">
        <w:rPr>
          <w:rFonts w:ascii="Arial" w:hAnsi="Arial" w:cs="Arial"/>
          <w:sz w:val="24"/>
          <w:szCs w:val="24"/>
        </w:rPr>
        <w:t xml:space="preserve">10(1). </w:t>
      </w:r>
    </w:p>
    <w:p w14:paraId="7EF3A9CC" w14:textId="4790BDBB" w:rsidR="008B5806" w:rsidRPr="005B3D3A" w:rsidRDefault="008B5806" w:rsidP="00D05FFD">
      <w:pPr>
        <w:spacing w:line="240" w:lineRule="auto"/>
        <w:rPr>
          <w:rFonts w:ascii="Arial" w:hAnsi="Arial" w:cs="Arial"/>
          <w:sz w:val="24"/>
          <w:szCs w:val="24"/>
        </w:rPr>
      </w:pPr>
      <w:r w:rsidRPr="008B5806">
        <w:rPr>
          <w:rFonts w:ascii="Arial" w:hAnsi="Arial" w:cs="Arial"/>
          <w:sz w:val="24"/>
          <w:szCs w:val="24"/>
        </w:rPr>
        <w:t>Verlinden, N. (2025) </w:t>
      </w:r>
      <w:r w:rsidRPr="008B5806">
        <w:rPr>
          <w:rFonts w:ascii="Arial" w:hAnsi="Arial" w:cs="Arial"/>
          <w:i/>
          <w:iCs/>
          <w:sz w:val="24"/>
          <w:szCs w:val="24"/>
        </w:rPr>
        <w:t>25 employee onboarding statistics you must know in 2025</w:t>
      </w:r>
      <w:r w:rsidRPr="008B5806">
        <w:rPr>
          <w:rFonts w:ascii="Arial" w:hAnsi="Arial" w:cs="Arial"/>
          <w:sz w:val="24"/>
          <w:szCs w:val="24"/>
        </w:rPr>
        <w:t>. AIHR. Available at: https://www.aihr.com/blog/employee-onboarding-statistics/ (Accessed: 3 July 2025).</w:t>
      </w:r>
    </w:p>
    <w:p w14:paraId="18703EC5" w14:textId="77777777" w:rsidR="00D05FFD" w:rsidRPr="005B3D3A" w:rsidRDefault="00D05FFD" w:rsidP="00D05FFD">
      <w:pPr>
        <w:rPr>
          <w:rFonts w:ascii="Arial" w:hAnsi="Arial" w:cs="Arial"/>
          <w:sz w:val="24"/>
          <w:szCs w:val="24"/>
        </w:rPr>
      </w:pPr>
    </w:p>
    <w:p w14:paraId="3F326FD4" w14:textId="77777777" w:rsidR="00973F21" w:rsidRDefault="00973F21"/>
    <w:sectPr w:rsidR="00973F21" w:rsidSect="006036E6">
      <w:pgSz w:w="11899" w:h="17340"/>
      <w:pgMar w:top="1154" w:right="611" w:bottom="1139" w:left="78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15320"/>
    <w:multiLevelType w:val="multilevel"/>
    <w:tmpl w:val="74FEC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F1635"/>
    <w:multiLevelType w:val="multilevel"/>
    <w:tmpl w:val="522A6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45206F"/>
    <w:multiLevelType w:val="multilevel"/>
    <w:tmpl w:val="C04CC19A"/>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0797FB8"/>
    <w:multiLevelType w:val="multilevel"/>
    <w:tmpl w:val="00F03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BE1B13"/>
    <w:multiLevelType w:val="multilevel"/>
    <w:tmpl w:val="BE0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E717E09"/>
    <w:multiLevelType w:val="multilevel"/>
    <w:tmpl w:val="EAC892C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8225D12"/>
    <w:multiLevelType w:val="multilevel"/>
    <w:tmpl w:val="77A67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B32530"/>
    <w:multiLevelType w:val="multilevel"/>
    <w:tmpl w:val="B11CE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7C811C7"/>
    <w:multiLevelType w:val="multilevel"/>
    <w:tmpl w:val="73108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6272460">
    <w:abstractNumId w:val="2"/>
  </w:num>
  <w:num w:numId="2" w16cid:durableId="1313413914">
    <w:abstractNumId w:val="8"/>
  </w:num>
  <w:num w:numId="3" w16cid:durableId="559562209">
    <w:abstractNumId w:val="4"/>
  </w:num>
  <w:num w:numId="4" w16cid:durableId="1838425298">
    <w:abstractNumId w:val="9"/>
  </w:num>
  <w:num w:numId="5" w16cid:durableId="1288589094">
    <w:abstractNumId w:val="7"/>
  </w:num>
  <w:num w:numId="6" w16cid:durableId="542601528">
    <w:abstractNumId w:val="3"/>
  </w:num>
  <w:num w:numId="7" w16cid:durableId="8864535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91407476">
    <w:abstractNumId w:val="0"/>
  </w:num>
  <w:num w:numId="9" w16cid:durableId="681930689">
    <w:abstractNumId w:val="6"/>
  </w:num>
  <w:num w:numId="10" w16cid:durableId="8495670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6E6"/>
    <w:rsid w:val="00072341"/>
    <w:rsid w:val="000F10B0"/>
    <w:rsid w:val="0011698E"/>
    <w:rsid w:val="00151CFF"/>
    <w:rsid w:val="00162C10"/>
    <w:rsid w:val="001A087B"/>
    <w:rsid w:val="001C6512"/>
    <w:rsid w:val="00212AD9"/>
    <w:rsid w:val="00262C69"/>
    <w:rsid w:val="00304A7C"/>
    <w:rsid w:val="003124EC"/>
    <w:rsid w:val="003945BF"/>
    <w:rsid w:val="003C66DD"/>
    <w:rsid w:val="0042798E"/>
    <w:rsid w:val="00430E08"/>
    <w:rsid w:val="0046602E"/>
    <w:rsid w:val="004C3F63"/>
    <w:rsid w:val="00503395"/>
    <w:rsid w:val="00530E54"/>
    <w:rsid w:val="00543AD3"/>
    <w:rsid w:val="00572B1A"/>
    <w:rsid w:val="00582BC6"/>
    <w:rsid w:val="005B1A60"/>
    <w:rsid w:val="005B3D3A"/>
    <w:rsid w:val="005F6062"/>
    <w:rsid w:val="006036E6"/>
    <w:rsid w:val="006052DC"/>
    <w:rsid w:val="00842755"/>
    <w:rsid w:val="008832AC"/>
    <w:rsid w:val="008A5E21"/>
    <w:rsid w:val="008B0E12"/>
    <w:rsid w:val="008B238C"/>
    <w:rsid w:val="008B5806"/>
    <w:rsid w:val="00973F21"/>
    <w:rsid w:val="00996D4F"/>
    <w:rsid w:val="009A552D"/>
    <w:rsid w:val="009B1755"/>
    <w:rsid w:val="009F0051"/>
    <w:rsid w:val="00A37132"/>
    <w:rsid w:val="00A845C5"/>
    <w:rsid w:val="00AA1985"/>
    <w:rsid w:val="00AB14E6"/>
    <w:rsid w:val="00AD188E"/>
    <w:rsid w:val="00AF6A9B"/>
    <w:rsid w:val="00B420A1"/>
    <w:rsid w:val="00B43125"/>
    <w:rsid w:val="00B61139"/>
    <w:rsid w:val="00B96D89"/>
    <w:rsid w:val="00BE6373"/>
    <w:rsid w:val="00BE6675"/>
    <w:rsid w:val="00C85D07"/>
    <w:rsid w:val="00C960C2"/>
    <w:rsid w:val="00D010CC"/>
    <w:rsid w:val="00D05FFD"/>
    <w:rsid w:val="00D615DF"/>
    <w:rsid w:val="00D74BE9"/>
    <w:rsid w:val="00DA3DC3"/>
    <w:rsid w:val="00DA4ABB"/>
    <w:rsid w:val="00DB55EE"/>
    <w:rsid w:val="00DD7FF4"/>
    <w:rsid w:val="00E6773F"/>
    <w:rsid w:val="00E940FC"/>
    <w:rsid w:val="00EE3D18"/>
    <w:rsid w:val="00EE7EFF"/>
    <w:rsid w:val="00EF263D"/>
    <w:rsid w:val="00F12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47651"/>
  <w15:chartTrackingRefBased/>
  <w15:docId w15:val="{2126B465-23DE-48F9-90B0-FDAACF24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1A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430E08"/>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036E6"/>
    <w:pPr>
      <w:autoSpaceDE w:val="0"/>
      <w:autoSpaceDN w:val="0"/>
      <w:adjustRightInd w:val="0"/>
      <w:spacing w:after="0" w:line="240" w:lineRule="auto"/>
    </w:pPr>
    <w:rPr>
      <w:rFonts w:ascii="Trebuchet MS" w:hAnsi="Trebuchet MS" w:cs="Trebuchet MS"/>
      <w:color w:val="000000"/>
      <w:kern w:val="0"/>
      <w:sz w:val="24"/>
      <w:szCs w:val="24"/>
    </w:rPr>
  </w:style>
  <w:style w:type="paragraph" w:customStyle="1" w:styleId="nw">
    <w:name w:val="nw"/>
    <w:basedOn w:val="Normal"/>
    <w:rsid w:val="00430E0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w-post-body-paragraph">
    <w:name w:val="pw-post-body-paragraph"/>
    <w:basedOn w:val="Normal"/>
    <w:rsid w:val="00430E0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430E08"/>
    <w:rPr>
      <w:i/>
      <w:iCs/>
    </w:rPr>
  </w:style>
  <w:style w:type="character" w:customStyle="1" w:styleId="Heading3Char">
    <w:name w:val="Heading 3 Char"/>
    <w:basedOn w:val="DefaultParagraphFont"/>
    <w:link w:val="Heading3"/>
    <w:uiPriority w:val="9"/>
    <w:rsid w:val="00430E08"/>
    <w:rPr>
      <w:rFonts w:ascii="Times New Roman" w:eastAsia="Times New Roman" w:hAnsi="Times New Roman" w:cs="Times New Roman"/>
      <w:b/>
      <w:bCs/>
      <w:kern w:val="0"/>
      <w:sz w:val="27"/>
      <w:szCs w:val="27"/>
      <w:lang w:eastAsia="en-GB"/>
      <w14:ligatures w14:val="none"/>
    </w:rPr>
  </w:style>
  <w:style w:type="character" w:styleId="Strong">
    <w:name w:val="Strong"/>
    <w:basedOn w:val="DefaultParagraphFont"/>
    <w:uiPriority w:val="22"/>
    <w:qFormat/>
    <w:rsid w:val="00430E08"/>
    <w:rPr>
      <w:b/>
      <w:bCs/>
    </w:rPr>
  </w:style>
  <w:style w:type="character" w:styleId="Hyperlink">
    <w:name w:val="Hyperlink"/>
    <w:basedOn w:val="DefaultParagraphFont"/>
    <w:uiPriority w:val="99"/>
    <w:unhideWhenUsed/>
    <w:rsid w:val="00973F21"/>
    <w:rPr>
      <w:color w:val="0000FF"/>
      <w:u w:val="single"/>
    </w:rPr>
  </w:style>
  <w:style w:type="paragraph" w:styleId="NormalWeb">
    <w:name w:val="Normal (Web)"/>
    <w:basedOn w:val="Normal"/>
    <w:uiPriority w:val="99"/>
    <w:unhideWhenUsed/>
    <w:rsid w:val="00973F21"/>
    <w:pPr>
      <w:spacing w:before="100" w:beforeAutospacing="1" w:after="100" w:afterAutospacing="1" w:line="240" w:lineRule="auto"/>
    </w:pPr>
    <w:rPr>
      <w:rFonts w:ascii="Times New Roman" w:eastAsia="Times New Roman" w:hAnsi="Times New Roman" w:cs="Times New Roman"/>
      <w:kern w:val="0"/>
      <w:sz w:val="24"/>
      <w:szCs w:val="24"/>
      <w:lang w:val="en-US" w:eastAsia="zh-CN"/>
      <w14:ligatures w14:val="none"/>
    </w:rPr>
  </w:style>
  <w:style w:type="character" w:styleId="UnresolvedMention">
    <w:name w:val="Unresolved Mention"/>
    <w:basedOn w:val="DefaultParagraphFont"/>
    <w:uiPriority w:val="99"/>
    <w:semiHidden/>
    <w:unhideWhenUsed/>
    <w:rsid w:val="004C3F63"/>
    <w:rPr>
      <w:color w:val="605E5C"/>
      <w:shd w:val="clear" w:color="auto" w:fill="E1DFDD"/>
    </w:rPr>
  </w:style>
  <w:style w:type="character" w:customStyle="1" w:styleId="Heading1Char">
    <w:name w:val="Heading 1 Char"/>
    <w:basedOn w:val="DefaultParagraphFont"/>
    <w:link w:val="Heading1"/>
    <w:uiPriority w:val="9"/>
    <w:rsid w:val="005B1A6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link w:val="ListParagraphChar"/>
    <w:uiPriority w:val="34"/>
    <w:qFormat/>
    <w:rsid w:val="00B61139"/>
    <w:pPr>
      <w:ind w:left="720"/>
      <w:contextualSpacing/>
    </w:pPr>
    <w:rPr>
      <w:kern w:val="0"/>
      <w14:ligatures w14:val="none"/>
    </w:rPr>
  </w:style>
  <w:style w:type="paragraph" w:customStyle="1" w:styleId="TableParagraph">
    <w:name w:val="Table Paragraph"/>
    <w:basedOn w:val="Normal"/>
    <w:uiPriority w:val="1"/>
    <w:qFormat/>
    <w:rsid w:val="00B61139"/>
    <w:pPr>
      <w:widowControl w:val="0"/>
      <w:autoSpaceDE w:val="0"/>
      <w:autoSpaceDN w:val="0"/>
      <w:spacing w:after="0" w:line="240" w:lineRule="auto"/>
    </w:pPr>
    <w:rPr>
      <w:rFonts w:ascii="Arial" w:eastAsia="Arial" w:hAnsi="Arial" w:cs="Arial"/>
      <w:kern w:val="0"/>
      <w14:ligatures w14:val="none"/>
    </w:rPr>
  </w:style>
  <w:style w:type="character" w:customStyle="1" w:styleId="ListParagraphChar">
    <w:name w:val="List Paragraph Char"/>
    <w:basedOn w:val="DefaultParagraphFont"/>
    <w:link w:val="ListParagraph"/>
    <w:uiPriority w:val="34"/>
    <w:rsid w:val="00B61139"/>
    <w:rPr>
      <w:kern w:val="0"/>
      <w14:ligatures w14:val="none"/>
    </w:rPr>
  </w:style>
  <w:style w:type="paragraph" w:customStyle="1" w:styleId="elementtoproof">
    <w:name w:val="elementtoproof"/>
    <w:basedOn w:val="Normal"/>
    <w:uiPriority w:val="99"/>
    <w:semiHidden/>
    <w:rsid w:val="00B61139"/>
    <w:pPr>
      <w:spacing w:after="0" w:line="240" w:lineRule="auto"/>
    </w:pPr>
    <w:rPr>
      <w:rFonts w:ascii="Aptos" w:hAnsi="Aptos" w:cs="Aptos"/>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80834">
      <w:bodyDiv w:val="1"/>
      <w:marLeft w:val="0"/>
      <w:marRight w:val="0"/>
      <w:marTop w:val="0"/>
      <w:marBottom w:val="0"/>
      <w:divBdr>
        <w:top w:val="none" w:sz="0" w:space="0" w:color="auto"/>
        <w:left w:val="none" w:sz="0" w:space="0" w:color="auto"/>
        <w:bottom w:val="none" w:sz="0" w:space="0" w:color="auto"/>
        <w:right w:val="none" w:sz="0" w:space="0" w:color="auto"/>
      </w:divBdr>
    </w:div>
    <w:div w:id="229852398">
      <w:bodyDiv w:val="1"/>
      <w:marLeft w:val="0"/>
      <w:marRight w:val="0"/>
      <w:marTop w:val="0"/>
      <w:marBottom w:val="0"/>
      <w:divBdr>
        <w:top w:val="none" w:sz="0" w:space="0" w:color="auto"/>
        <w:left w:val="none" w:sz="0" w:space="0" w:color="auto"/>
        <w:bottom w:val="none" w:sz="0" w:space="0" w:color="auto"/>
        <w:right w:val="none" w:sz="0" w:space="0" w:color="auto"/>
      </w:divBdr>
    </w:div>
    <w:div w:id="271405877">
      <w:bodyDiv w:val="1"/>
      <w:marLeft w:val="0"/>
      <w:marRight w:val="0"/>
      <w:marTop w:val="0"/>
      <w:marBottom w:val="0"/>
      <w:divBdr>
        <w:top w:val="none" w:sz="0" w:space="0" w:color="auto"/>
        <w:left w:val="none" w:sz="0" w:space="0" w:color="auto"/>
        <w:bottom w:val="none" w:sz="0" w:space="0" w:color="auto"/>
        <w:right w:val="none" w:sz="0" w:space="0" w:color="auto"/>
      </w:divBdr>
    </w:div>
    <w:div w:id="592981295">
      <w:bodyDiv w:val="1"/>
      <w:marLeft w:val="0"/>
      <w:marRight w:val="0"/>
      <w:marTop w:val="0"/>
      <w:marBottom w:val="0"/>
      <w:divBdr>
        <w:top w:val="none" w:sz="0" w:space="0" w:color="auto"/>
        <w:left w:val="none" w:sz="0" w:space="0" w:color="auto"/>
        <w:bottom w:val="none" w:sz="0" w:space="0" w:color="auto"/>
        <w:right w:val="none" w:sz="0" w:space="0" w:color="auto"/>
      </w:divBdr>
    </w:div>
    <w:div w:id="1338733873">
      <w:bodyDiv w:val="1"/>
      <w:marLeft w:val="0"/>
      <w:marRight w:val="0"/>
      <w:marTop w:val="0"/>
      <w:marBottom w:val="0"/>
      <w:divBdr>
        <w:top w:val="none" w:sz="0" w:space="0" w:color="auto"/>
        <w:left w:val="none" w:sz="0" w:space="0" w:color="auto"/>
        <w:bottom w:val="none" w:sz="0" w:space="0" w:color="auto"/>
        <w:right w:val="none" w:sz="0" w:space="0" w:color="auto"/>
      </w:divBdr>
    </w:div>
    <w:div w:id="1373112550">
      <w:bodyDiv w:val="1"/>
      <w:marLeft w:val="0"/>
      <w:marRight w:val="0"/>
      <w:marTop w:val="0"/>
      <w:marBottom w:val="0"/>
      <w:divBdr>
        <w:top w:val="none" w:sz="0" w:space="0" w:color="auto"/>
        <w:left w:val="none" w:sz="0" w:space="0" w:color="auto"/>
        <w:bottom w:val="none" w:sz="0" w:space="0" w:color="auto"/>
        <w:right w:val="none" w:sz="0" w:space="0" w:color="auto"/>
      </w:divBdr>
    </w:div>
    <w:div w:id="1486629610">
      <w:bodyDiv w:val="1"/>
      <w:marLeft w:val="0"/>
      <w:marRight w:val="0"/>
      <w:marTop w:val="0"/>
      <w:marBottom w:val="0"/>
      <w:divBdr>
        <w:top w:val="none" w:sz="0" w:space="0" w:color="auto"/>
        <w:left w:val="none" w:sz="0" w:space="0" w:color="auto"/>
        <w:bottom w:val="none" w:sz="0" w:space="0" w:color="auto"/>
        <w:right w:val="none" w:sz="0" w:space="0" w:color="auto"/>
      </w:divBdr>
    </w:div>
    <w:div w:id="1826554788">
      <w:bodyDiv w:val="1"/>
      <w:marLeft w:val="0"/>
      <w:marRight w:val="0"/>
      <w:marTop w:val="0"/>
      <w:marBottom w:val="0"/>
      <w:divBdr>
        <w:top w:val="none" w:sz="0" w:space="0" w:color="auto"/>
        <w:left w:val="none" w:sz="0" w:space="0" w:color="auto"/>
        <w:bottom w:val="none" w:sz="0" w:space="0" w:color="auto"/>
        <w:right w:val="none" w:sz="0" w:space="0" w:color="auto"/>
      </w:divBdr>
    </w:div>
    <w:div w:id="1940019692">
      <w:bodyDiv w:val="1"/>
      <w:marLeft w:val="0"/>
      <w:marRight w:val="0"/>
      <w:marTop w:val="0"/>
      <w:marBottom w:val="0"/>
      <w:divBdr>
        <w:top w:val="none" w:sz="0" w:space="0" w:color="auto"/>
        <w:left w:val="none" w:sz="0" w:space="0" w:color="auto"/>
        <w:bottom w:val="none" w:sz="0" w:space="0" w:color="auto"/>
        <w:right w:val="none" w:sz="0" w:space="0" w:color="auto"/>
      </w:divBdr>
    </w:div>
    <w:div w:id="1969358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9</Pages>
  <Words>5481</Words>
  <Characters>31246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Rowley, Lucy</dc:creator>
  <cp:keywords/>
  <dc:description/>
  <cp:lastModifiedBy>Alexandra Brown</cp:lastModifiedBy>
  <cp:revision>3</cp:revision>
  <dcterms:created xsi:type="dcterms:W3CDTF">2025-07-01T13:19:00Z</dcterms:created>
  <dcterms:modified xsi:type="dcterms:W3CDTF">2025-07-03T10:39:00Z</dcterms:modified>
</cp:coreProperties>
</file>