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73F20" w14:textId="77777777" w:rsidR="002E056A" w:rsidRDefault="002E056A" w:rsidP="002E056A">
      <w:pPr>
        <w:spacing w:line="276" w:lineRule="auto"/>
        <w:rPr>
          <w:rFonts w:ascii="Arial" w:hAnsi="Arial" w:cs="Arial" w:hint="eastAsia"/>
          <w:b/>
          <w:bCs/>
          <w:sz w:val="24"/>
          <w:szCs w:val="24"/>
        </w:rPr>
      </w:pPr>
    </w:p>
    <w:p w14:paraId="6AC6860D" w14:textId="4415DDAE" w:rsidR="002E056A" w:rsidRDefault="002E056A" w:rsidP="002E056A">
      <w:pPr>
        <w:spacing w:line="276" w:lineRule="auto"/>
        <w:ind w:firstLineChars="900" w:firstLine="2160"/>
        <w:rPr>
          <w:rFonts w:ascii="Arial" w:hAnsi="Arial" w:cs="Arial"/>
          <w:b/>
          <w:bCs/>
          <w:sz w:val="24"/>
          <w:szCs w:val="24"/>
        </w:rPr>
      </w:pPr>
      <w:r>
        <w:rPr>
          <w:rFonts w:ascii="Arial" w:hAnsi="Arial" w:cs="Arial"/>
          <w:b/>
          <w:bCs/>
          <w:noProof/>
          <w:sz w:val="24"/>
          <w:szCs w:val="24"/>
        </w:rPr>
        <w:drawing>
          <wp:inline distT="0" distB="0" distL="0" distR="0" wp14:anchorId="15E638E6" wp14:editId="3C219D7B">
            <wp:extent cx="2377440" cy="1134110"/>
            <wp:effectExtent l="0" t="0" r="3810" b="8890"/>
            <wp:docPr id="20815165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7440" cy="1134110"/>
                    </a:xfrm>
                    <a:prstGeom prst="rect">
                      <a:avLst/>
                    </a:prstGeom>
                    <a:noFill/>
                  </pic:spPr>
                </pic:pic>
              </a:graphicData>
            </a:graphic>
          </wp:inline>
        </w:drawing>
      </w:r>
    </w:p>
    <w:p w14:paraId="03D6C9C8" w14:textId="77777777" w:rsidR="002E056A" w:rsidRDefault="002E056A" w:rsidP="00F52875">
      <w:pPr>
        <w:spacing w:line="276" w:lineRule="auto"/>
        <w:ind w:firstLineChars="500" w:firstLine="1200"/>
        <w:rPr>
          <w:rFonts w:ascii="Arial" w:hAnsi="Arial" w:cs="Arial"/>
          <w:b/>
          <w:bCs/>
          <w:sz w:val="24"/>
          <w:szCs w:val="24"/>
        </w:rPr>
      </w:pPr>
    </w:p>
    <w:p w14:paraId="5E98BAB3" w14:textId="77777777" w:rsidR="002E056A" w:rsidRDefault="002E056A" w:rsidP="00F52875">
      <w:pPr>
        <w:spacing w:line="276" w:lineRule="auto"/>
        <w:ind w:firstLineChars="500" w:firstLine="1200"/>
        <w:rPr>
          <w:rFonts w:ascii="Arial" w:hAnsi="Arial" w:cs="Arial"/>
          <w:b/>
          <w:bCs/>
          <w:sz w:val="24"/>
          <w:szCs w:val="24"/>
        </w:rPr>
      </w:pPr>
    </w:p>
    <w:p w14:paraId="2D676D8C" w14:textId="77777777" w:rsidR="002E056A" w:rsidRDefault="002E056A" w:rsidP="002E056A">
      <w:pPr>
        <w:spacing w:line="360" w:lineRule="auto"/>
        <w:jc w:val="center"/>
        <w:rPr>
          <w:rFonts w:ascii="Times New Roman" w:hAnsi="Times New Roman" w:cs="Times New Roman"/>
          <w:b/>
          <w:bCs/>
          <w:sz w:val="40"/>
          <w:szCs w:val="40"/>
        </w:rPr>
      </w:pPr>
    </w:p>
    <w:p w14:paraId="4F6BFBBD" w14:textId="7438724D" w:rsidR="002E056A" w:rsidRPr="002E056A" w:rsidRDefault="002E056A" w:rsidP="002E056A">
      <w:pPr>
        <w:spacing w:line="360" w:lineRule="auto"/>
        <w:jc w:val="center"/>
        <w:rPr>
          <w:rFonts w:ascii="Times New Roman" w:hAnsi="Times New Roman" w:cs="Times New Roman"/>
          <w:b/>
          <w:bCs/>
          <w:sz w:val="36"/>
          <w:szCs w:val="36"/>
        </w:rPr>
      </w:pPr>
      <w:r w:rsidRPr="002E056A">
        <w:rPr>
          <w:rFonts w:ascii="Times New Roman" w:hAnsi="Times New Roman" w:cs="Times New Roman"/>
          <w:b/>
          <w:bCs/>
          <w:sz w:val="36"/>
          <w:szCs w:val="36"/>
        </w:rPr>
        <w:t>Module: Facilitating Change and Managing Quality</w:t>
      </w:r>
    </w:p>
    <w:p w14:paraId="7CA565B0" w14:textId="54E2BF6C" w:rsidR="002E056A" w:rsidRDefault="002E056A" w:rsidP="002E056A">
      <w:pPr>
        <w:spacing w:line="360" w:lineRule="auto"/>
        <w:jc w:val="center"/>
        <w:rPr>
          <w:rFonts w:ascii="Times New Roman" w:hAnsi="Times New Roman" w:cs="Times New Roman"/>
          <w:b/>
          <w:bCs/>
          <w:sz w:val="36"/>
          <w:szCs w:val="36"/>
        </w:rPr>
      </w:pPr>
      <w:r w:rsidRPr="002E056A">
        <w:rPr>
          <w:rFonts w:ascii="Times New Roman" w:hAnsi="Times New Roman" w:cs="Times New Roman"/>
          <w:b/>
          <w:bCs/>
          <w:sz w:val="36"/>
          <w:szCs w:val="36"/>
        </w:rPr>
        <w:t>Module Code: BMHP6013</w:t>
      </w:r>
    </w:p>
    <w:p w14:paraId="4211F0C0" w14:textId="56B41224" w:rsidR="002E056A" w:rsidRPr="002E056A" w:rsidRDefault="002E056A" w:rsidP="002E056A">
      <w:pPr>
        <w:spacing w:line="360" w:lineRule="auto"/>
        <w:jc w:val="center"/>
        <w:rPr>
          <w:rFonts w:ascii="Times New Roman" w:hAnsi="Times New Roman" w:cs="Times New Roman" w:hint="eastAsia"/>
          <w:b/>
          <w:bCs/>
          <w:sz w:val="36"/>
          <w:szCs w:val="36"/>
        </w:rPr>
      </w:pPr>
      <w:r>
        <w:rPr>
          <w:rFonts w:ascii="Times New Roman" w:hAnsi="Times New Roman" w:cs="Times New Roman" w:hint="eastAsia"/>
          <w:b/>
          <w:bCs/>
          <w:sz w:val="36"/>
          <w:szCs w:val="36"/>
        </w:rPr>
        <w:t>Name: Kuiyou Liu</w:t>
      </w:r>
    </w:p>
    <w:p w14:paraId="703AFD95" w14:textId="77777777" w:rsidR="002E056A" w:rsidRPr="002E056A" w:rsidRDefault="002E056A" w:rsidP="002E056A">
      <w:pPr>
        <w:spacing w:line="360" w:lineRule="auto"/>
        <w:jc w:val="center"/>
        <w:rPr>
          <w:rFonts w:ascii="Times New Roman" w:hAnsi="Times New Roman" w:cs="Times New Roman"/>
          <w:b/>
          <w:bCs/>
          <w:sz w:val="36"/>
          <w:szCs w:val="36"/>
        </w:rPr>
      </w:pPr>
      <w:r w:rsidRPr="002E056A">
        <w:rPr>
          <w:rFonts w:ascii="Times New Roman" w:hAnsi="Times New Roman" w:cs="Times New Roman"/>
          <w:b/>
          <w:bCs/>
          <w:sz w:val="36"/>
          <w:szCs w:val="36"/>
        </w:rPr>
        <w:t>Student number:2101094</w:t>
      </w:r>
    </w:p>
    <w:p w14:paraId="221F25A8" w14:textId="55BA04BF" w:rsidR="002E056A" w:rsidRDefault="002E056A" w:rsidP="002E056A">
      <w:pPr>
        <w:spacing w:line="360" w:lineRule="auto"/>
        <w:jc w:val="center"/>
        <w:rPr>
          <w:rFonts w:ascii="Times New Roman" w:hAnsi="Times New Roman" w:cs="Times New Roman"/>
          <w:b/>
          <w:bCs/>
          <w:sz w:val="36"/>
          <w:szCs w:val="36"/>
        </w:rPr>
      </w:pPr>
      <w:r w:rsidRPr="002E056A">
        <w:rPr>
          <w:rFonts w:ascii="Times New Roman" w:hAnsi="Times New Roman" w:cs="Times New Roman"/>
          <w:b/>
          <w:bCs/>
          <w:sz w:val="36"/>
          <w:szCs w:val="36"/>
        </w:rPr>
        <w:t>Lecturer: Jan Howells-Johnson</w:t>
      </w:r>
    </w:p>
    <w:p w14:paraId="1C9BE3E9" w14:textId="792D96F3" w:rsidR="002E056A" w:rsidRPr="002E056A" w:rsidRDefault="002E056A" w:rsidP="002E056A">
      <w:pPr>
        <w:spacing w:line="360" w:lineRule="auto"/>
        <w:jc w:val="center"/>
        <w:rPr>
          <w:rFonts w:ascii="Times New Roman" w:hAnsi="Times New Roman" w:cs="Times New Roman" w:hint="eastAsia"/>
          <w:b/>
          <w:bCs/>
          <w:sz w:val="36"/>
          <w:szCs w:val="36"/>
        </w:rPr>
      </w:pPr>
      <w:r>
        <w:rPr>
          <w:rFonts w:ascii="Times New Roman" w:hAnsi="Times New Roman" w:cs="Times New Roman" w:hint="eastAsia"/>
          <w:b/>
          <w:bCs/>
          <w:sz w:val="36"/>
          <w:szCs w:val="36"/>
        </w:rPr>
        <w:t>Date: 19.04.2024</w:t>
      </w:r>
    </w:p>
    <w:p w14:paraId="2C04DDAC" w14:textId="77777777" w:rsidR="002E056A" w:rsidRDefault="002E056A" w:rsidP="00F52875">
      <w:pPr>
        <w:spacing w:line="276" w:lineRule="auto"/>
        <w:ind w:firstLineChars="500" w:firstLine="1200"/>
        <w:rPr>
          <w:rFonts w:ascii="Arial" w:hAnsi="Arial" w:cs="Arial"/>
          <w:b/>
          <w:bCs/>
          <w:sz w:val="24"/>
          <w:szCs w:val="24"/>
        </w:rPr>
      </w:pPr>
    </w:p>
    <w:p w14:paraId="3B2725FE" w14:textId="77777777" w:rsidR="002E056A" w:rsidRDefault="002E056A" w:rsidP="00F52875">
      <w:pPr>
        <w:spacing w:line="276" w:lineRule="auto"/>
        <w:ind w:firstLineChars="500" w:firstLine="1200"/>
        <w:rPr>
          <w:rFonts w:ascii="Arial" w:hAnsi="Arial" w:cs="Arial"/>
          <w:b/>
          <w:bCs/>
          <w:sz w:val="24"/>
          <w:szCs w:val="24"/>
        </w:rPr>
      </w:pPr>
    </w:p>
    <w:p w14:paraId="5209EE8B" w14:textId="77777777" w:rsidR="002E056A" w:rsidRDefault="002E056A" w:rsidP="002E056A">
      <w:pPr>
        <w:spacing w:line="276" w:lineRule="auto"/>
        <w:rPr>
          <w:rFonts w:ascii="Arial" w:hAnsi="Arial" w:cs="Arial"/>
          <w:b/>
          <w:bCs/>
          <w:sz w:val="24"/>
          <w:szCs w:val="24"/>
        </w:rPr>
      </w:pPr>
    </w:p>
    <w:p w14:paraId="4566F787" w14:textId="77777777" w:rsidR="002E056A" w:rsidRDefault="002E056A" w:rsidP="00F52875">
      <w:pPr>
        <w:spacing w:line="276" w:lineRule="auto"/>
        <w:ind w:firstLineChars="500" w:firstLine="1200"/>
        <w:rPr>
          <w:rFonts w:ascii="Arial" w:hAnsi="Arial" w:cs="Arial"/>
          <w:b/>
          <w:bCs/>
          <w:sz w:val="24"/>
          <w:szCs w:val="24"/>
        </w:rPr>
      </w:pPr>
    </w:p>
    <w:p w14:paraId="2B18BA5E" w14:textId="77777777" w:rsidR="002E056A" w:rsidRDefault="002E056A" w:rsidP="00F52875">
      <w:pPr>
        <w:spacing w:line="276" w:lineRule="auto"/>
        <w:ind w:firstLineChars="500" w:firstLine="1200"/>
        <w:rPr>
          <w:rFonts w:ascii="Arial" w:hAnsi="Arial" w:cs="Arial"/>
          <w:b/>
          <w:bCs/>
          <w:sz w:val="24"/>
          <w:szCs w:val="24"/>
        </w:rPr>
      </w:pPr>
    </w:p>
    <w:p w14:paraId="513A3831" w14:textId="77777777" w:rsidR="002E056A" w:rsidRDefault="002E056A" w:rsidP="00F52875">
      <w:pPr>
        <w:spacing w:line="276" w:lineRule="auto"/>
        <w:ind w:firstLineChars="500" w:firstLine="1200"/>
        <w:rPr>
          <w:rFonts w:ascii="Arial" w:hAnsi="Arial" w:cs="Arial"/>
          <w:b/>
          <w:bCs/>
          <w:sz w:val="24"/>
          <w:szCs w:val="24"/>
        </w:rPr>
      </w:pPr>
    </w:p>
    <w:p w14:paraId="7EA63E04" w14:textId="77777777" w:rsidR="002E056A" w:rsidRDefault="002E056A" w:rsidP="00F52875">
      <w:pPr>
        <w:spacing w:line="276" w:lineRule="auto"/>
        <w:ind w:firstLineChars="500" w:firstLine="1200"/>
        <w:rPr>
          <w:rFonts w:ascii="Arial" w:hAnsi="Arial" w:cs="Arial"/>
          <w:b/>
          <w:bCs/>
          <w:sz w:val="24"/>
          <w:szCs w:val="24"/>
        </w:rPr>
      </w:pPr>
    </w:p>
    <w:p w14:paraId="63893139" w14:textId="77777777" w:rsidR="002E056A" w:rsidRDefault="002E056A" w:rsidP="00F52875">
      <w:pPr>
        <w:spacing w:line="276" w:lineRule="auto"/>
        <w:ind w:firstLineChars="500" w:firstLine="1200"/>
        <w:rPr>
          <w:rFonts w:ascii="Arial" w:hAnsi="Arial" w:cs="Arial"/>
          <w:b/>
          <w:bCs/>
          <w:sz w:val="24"/>
          <w:szCs w:val="24"/>
        </w:rPr>
      </w:pPr>
    </w:p>
    <w:p w14:paraId="200D9DBA" w14:textId="77777777" w:rsidR="002E056A" w:rsidRDefault="002E056A" w:rsidP="00F52875">
      <w:pPr>
        <w:spacing w:line="276" w:lineRule="auto"/>
        <w:ind w:firstLineChars="500" w:firstLine="1200"/>
        <w:rPr>
          <w:rFonts w:ascii="Arial" w:hAnsi="Arial" w:cs="Arial"/>
          <w:b/>
          <w:bCs/>
          <w:sz w:val="24"/>
          <w:szCs w:val="24"/>
        </w:rPr>
      </w:pPr>
    </w:p>
    <w:p w14:paraId="5E58EEEE" w14:textId="77777777" w:rsidR="002E056A" w:rsidRDefault="002E056A" w:rsidP="00F52875">
      <w:pPr>
        <w:spacing w:line="276" w:lineRule="auto"/>
        <w:ind w:firstLineChars="500" w:firstLine="1200"/>
        <w:rPr>
          <w:rFonts w:ascii="Arial" w:hAnsi="Arial" w:cs="Arial"/>
          <w:b/>
          <w:bCs/>
          <w:sz w:val="24"/>
          <w:szCs w:val="24"/>
        </w:rPr>
      </w:pPr>
    </w:p>
    <w:p w14:paraId="7C40D47F" w14:textId="77777777" w:rsidR="002E056A" w:rsidRDefault="002E056A" w:rsidP="00F52875">
      <w:pPr>
        <w:spacing w:line="276" w:lineRule="auto"/>
        <w:ind w:firstLineChars="500" w:firstLine="1200"/>
        <w:rPr>
          <w:rFonts w:ascii="Arial" w:hAnsi="Arial" w:cs="Arial"/>
          <w:b/>
          <w:bCs/>
          <w:sz w:val="24"/>
          <w:szCs w:val="24"/>
        </w:rPr>
      </w:pPr>
    </w:p>
    <w:p w14:paraId="4C82AC5B" w14:textId="77777777" w:rsidR="002E056A" w:rsidRDefault="002E056A" w:rsidP="00F52875">
      <w:pPr>
        <w:spacing w:line="276" w:lineRule="auto"/>
        <w:ind w:firstLineChars="500" w:firstLine="1200"/>
        <w:rPr>
          <w:rFonts w:ascii="Arial" w:hAnsi="Arial" w:cs="Arial"/>
          <w:b/>
          <w:bCs/>
          <w:sz w:val="24"/>
          <w:szCs w:val="24"/>
        </w:rPr>
      </w:pPr>
    </w:p>
    <w:p w14:paraId="44A86040" w14:textId="77777777" w:rsidR="002E056A" w:rsidRDefault="002E056A" w:rsidP="00F52875">
      <w:pPr>
        <w:spacing w:line="276" w:lineRule="auto"/>
        <w:ind w:firstLineChars="500" w:firstLine="1200"/>
        <w:rPr>
          <w:rFonts w:ascii="Arial" w:hAnsi="Arial" w:cs="Arial"/>
          <w:b/>
          <w:bCs/>
          <w:sz w:val="24"/>
          <w:szCs w:val="24"/>
        </w:rPr>
      </w:pPr>
    </w:p>
    <w:p w14:paraId="1BBDABCD" w14:textId="77777777" w:rsidR="002E056A" w:rsidRDefault="002E056A" w:rsidP="00F52875">
      <w:pPr>
        <w:spacing w:line="276" w:lineRule="auto"/>
        <w:ind w:firstLineChars="500" w:firstLine="1200"/>
        <w:rPr>
          <w:rFonts w:ascii="Arial" w:hAnsi="Arial" w:cs="Arial"/>
          <w:b/>
          <w:bCs/>
          <w:sz w:val="24"/>
          <w:szCs w:val="24"/>
        </w:rPr>
      </w:pPr>
    </w:p>
    <w:p w14:paraId="514DEF13" w14:textId="77777777" w:rsidR="002E056A" w:rsidRDefault="002E056A" w:rsidP="00F52875">
      <w:pPr>
        <w:spacing w:line="276" w:lineRule="auto"/>
        <w:ind w:firstLineChars="500" w:firstLine="1200"/>
        <w:rPr>
          <w:rFonts w:ascii="Arial" w:hAnsi="Arial" w:cs="Arial"/>
          <w:b/>
          <w:bCs/>
          <w:sz w:val="24"/>
          <w:szCs w:val="24"/>
        </w:rPr>
      </w:pPr>
    </w:p>
    <w:p w14:paraId="7892D1A9" w14:textId="77777777" w:rsidR="002E056A" w:rsidRDefault="002E056A" w:rsidP="00F52875">
      <w:pPr>
        <w:spacing w:line="276" w:lineRule="auto"/>
        <w:ind w:firstLineChars="500" w:firstLine="1200"/>
        <w:rPr>
          <w:rFonts w:ascii="Arial" w:hAnsi="Arial" w:cs="Arial"/>
          <w:b/>
          <w:bCs/>
          <w:sz w:val="24"/>
          <w:szCs w:val="24"/>
        </w:rPr>
      </w:pPr>
    </w:p>
    <w:p w14:paraId="27651A5D" w14:textId="77777777" w:rsidR="002E056A" w:rsidRDefault="002E056A" w:rsidP="00F52875">
      <w:pPr>
        <w:spacing w:line="276" w:lineRule="auto"/>
        <w:ind w:firstLineChars="500" w:firstLine="1200"/>
        <w:rPr>
          <w:rFonts w:ascii="Arial" w:hAnsi="Arial" w:cs="Arial"/>
          <w:b/>
          <w:bCs/>
          <w:sz w:val="24"/>
          <w:szCs w:val="24"/>
        </w:rPr>
      </w:pPr>
    </w:p>
    <w:p w14:paraId="61781247" w14:textId="77777777" w:rsidR="002E056A" w:rsidRDefault="002E056A" w:rsidP="00F52875">
      <w:pPr>
        <w:spacing w:line="276" w:lineRule="auto"/>
        <w:ind w:firstLineChars="500" w:firstLine="1200"/>
        <w:rPr>
          <w:rFonts w:ascii="Arial" w:hAnsi="Arial" w:cs="Arial"/>
          <w:b/>
          <w:bCs/>
          <w:sz w:val="24"/>
          <w:szCs w:val="24"/>
        </w:rPr>
      </w:pPr>
    </w:p>
    <w:p w14:paraId="078090E3" w14:textId="366A2A87" w:rsidR="00341248" w:rsidRPr="00F52875" w:rsidRDefault="00341248" w:rsidP="002E056A">
      <w:pPr>
        <w:spacing w:line="276" w:lineRule="auto"/>
        <w:ind w:firstLineChars="500" w:firstLine="1200"/>
        <w:rPr>
          <w:rFonts w:ascii="Arial" w:hAnsi="Arial" w:cs="Arial"/>
          <w:b/>
          <w:bCs/>
          <w:sz w:val="24"/>
          <w:szCs w:val="24"/>
        </w:rPr>
      </w:pPr>
      <w:r w:rsidRPr="00F52875">
        <w:rPr>
          <w:rFonts w:ascii="Arial" w:hAnsi="Arial" w:cs="Arial"/>
          <w:b/>
          <w:bCs/>
          <w:sz w:val="24"/>
          <w:szCs w:val="24"/>
        </w:rPr>
        <w:lastRenderedPageBreak/>
        <w:t>The NHS Talking Therapies: Change Management</w:t>
      </w:r>
    </w:p>
    <w:p w14:paraId="6A4315A6" w14:textId="77777777" w:rsidR="00341248" w:rsidRPr="00341248" w:rsidRDefault="00341248" w:rsidP="00341248">
      <w:pPr>
        <w:spacing w:line="276" w:lineRule="auto"/>
        <w:rPr>
          <w:rFonts w:ascii="Arial" w:hAnsi="Arial" w:cs="Arial"/>
        </w:rPr>
      </w:pPr>
    </w:p>
    <w:p w14:paraId="7AE9E2D9" w14:textId="762F101F" w:rsidR="00F52875" w:rsidRPr="00242EDD" w:rsidRDefault="00F52875" w:rsidP="00242EDD">
      <w:pPr>
        <w:spacing w:line="360" w:lineRule="auto"/>
        <w:rPr>
          <w:rFonts w:ascii="Arial" w:hAnsi="Arial" w:cs="Arial"/>
          <w:sz w:val="24"/>
          <w:szCs w:val="24"/>
        </w:rPr>
      </w:pPr>
      <w:bookmarkStart w:id="0" w:name="OLE_LINK41"/>
      <w:r w:rsidRPr="00242EDD">
        <w:rPr>
          <w:rFonts w:ascii="Arial" w:hAnsi="Arial" w:cs="Arial"/>
          <w:sz w:val="24"/>
          <w:szCs w:val="24"/>
        </w:rPr>
        <w:t xml:space="preserve">Many changes have been implemented </w:t>
      </w:r>
      <w:r w:rsidR="00506E48" w:rsidRPr="00242EDD">
        <w:rPr>
          <w:rFonts w:ascii="Arial" w:hAnsi="Arial" w:cs="Arial"/>
          <w:sz w:val="24"/>
          <w:szCs w:val="24"/>
        </w:rPr>
        <w:t>in</w:t>
      </w:r>
      <w:r w:rsidRPr="00242EDD">
        <w:rPr>
          <w:rFonts w:ascii="Arial" w:hAnsi="Arial" w:cs="Arial"/>
          <w:sz w:val="24"/>
          <w:szCs w:val="24"/>
        </w:rPr>
        <w:t xml:space="preserve"> the United Kingdom’s National Health Service (NHS) Improving Access to Psychological Therapies (IAPT), a branch of its mental health services, since the last decade. This paper will talk about how it used change management principles to enact the success it has gathered for nearly two decades.</w:t>
      </w:r>
      <w:r w:rsidR="009B694D" w:rsidRPr="00242EDD">
        <w:rPr>
          <w:rFonts w:ascii="Arial" w:hAnsi="Arial" w:cs="Arial"/>
          <w:sz w:val="24"/>
          <w:szCs w:val="24"/>
        </w:rPr>
        <w:t xml:space="preserve"> </w:t>
      </w:r>
      <w:r w:rsidR="00242EDD" w:rsidRPr="00242EDD">
        <w:rPr>
          <w:rFonts w:ascii="Arial" w:hAnsi="Arial" w:cs="Arial"/>
          <w:sz w:val="24"/>
          <w:szCs w:val="24"/>
        </w:rPr>
        <w:t xml:space="preserve">Firstly, it will discuss the concepts of change management </w:t>
      </w:r>
      <w:r w:rsidR="00A95CB7">
        <w:rPr>
          <w:rFonts w:ascii="Arial" w:hAnsi="Arial" w:cs="Arial"/>
          <w:sz w:val="24"/>
          <w:szCs w:val="24"/>
        </w:rPr>
        <w:t>items</w:t>
      </w:r>
      <w:r w:rsidR="00242EDD" w:rsidRPr="00242EDD">
        <w:rPr>
          <w:rFonts w:ascii="Arial" w:hAnsi="Arial" w:cs="Arial"/>
          <w:sz w:val="24"/>
          <w:szCs w:val="24"/>
        </w:rPr>
        <w:t xml:space="preserve">. </w:t>
      </w:r>
    </w:p>
    <w:p w14:paraId="5ABF1D27" w14:textId="77777777" w:rsidR="00F52875" w:rsidRPr="00242EDD" w:rsidRDefault="00F52875" w:rsidP="00242EDD">
      <w:pPr>
        <w:spacing w:line="360" w:lineRule="auto"/>
        <w:rPr>
          <w:rFonts w:ascii="Arial" w:hAnsi="Arial" w:cs="Arial"/>
          <w:sz w:val="24"/>
          <w:szCs w:val="24"/>
        </w:rPr>
      </w:pPr>
    </w:p>
    <w:p w14:paraId="2AA2828F" w14:textId="076797D0"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Change management, a relatively new concept originating in the 20th century (Jacobsen, 2021), is becoming increasingly necessary as modern societies evolve (Tiefensee, 2022). After all, change is unavoidable. As the wise </w:t>
      </w:r>
      <w:r w:rsidR="00F52875" w:rsidRPr="00242EDD">
        <w:rPr>
          <w:rFonts w:ascii="Arial" w:hAnsi="Arial" w:cs="Arial"/>
          <w:sz w:val="24"/>
          <w:szCs w:val="24"/>
        </w:rPr>
        <w:t>Greek philosopher Heraclitus</w:t>
      </w:r>
      <w:r w:rsidRPr="00242EDD">
        <w:rPr>
          <w:rFonts w:ascii="Arial" w:hAnsi="Arial" w:cs="Arial"/>
          <w:sz w:val="24"/>
          <w:szCs w:val="24"/>
        </w:rPr>
        <w:t xml:space="preserve"> </w:t>
      </w:r>
      <w:r w:rsidR="00A95CB7">
        <w:rPr>
          <w:rFonts w:ascii="Arial" w:hAnsi="Arial" w:cs="Arial"/>
          <w:sz w:val="24"/>
          <w:szCs w:val="24"/>
        </w:rPr>
        <w:t>has</w:t>
      </w:r>
      <w:r w:rsidRPr="00242EDD">
        <w:rPr>
          <w:rFonts w:ascii="Arial" w:hAnsi="Arial" w:cs="Arial"/>
          <w:sz w:val="24"/>
          <w:szCs w:val="24"/>
        </w:rPr>
        <w:t xml:space="preserve"> said, “No man ever steps in the same river twice.” </w:t>
      </w:r>
    </w:p>
    <w:p w14:paraId="37776817" w14:textId="77777777" w:rsidR="00341248" w:rsidRPr="00242EDD" w:rsidRDefault="00341248" w:rsidP="00242EDD">
      <w:pPr>
        <w:spacing w:line="360" w:lineRule="auto"/>
        <w:rPr>
          <w:rFonts w:ascii="Arial" w:hAnsi="Arial" w:cs="Arial"/>
          <w:sz w:val="24"/>
          <w:szCs w:val="24"/>
        </w:rPr>
      </w:pPr>
    </w:p>
    <w:p w14:paraId="7AE10069" w14:textId="112AF1BA"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Change management is referred to as both a skill and a process (Creasey, 2021). It is widely defined as the act of applying tools and structured processes to lead a team or a group of people to achieve a common goal. It is a process that organizations use or should use, to ensure that the changes they desire are implemented and delivered effectively (Staff, 2023). In </w:t>
      </w:r>
      <w:r w:rsidR="00EF4B34">
        <w:rPr>
          <w:rFonts w:ascii="Arial" w:hAnsi="Arial" w:cs="Arial"/>
          <w:sz w:val="24"/>
          <w:szCs w:val="24"/>
        </w:rPr>
        <w:t>simple</w:t>
      </w:r>
      <w:r w:rsidRPr="00242EDD">
        <w:rPr>
          <w:rFonts w:ascii="Arial" w:hAnsi="Arial" w:cs="Arial"/>
          <w:sz w:val="24"/>
          <w:szCs w:val="24"/>
        </w:rPr>
        <w:t xml:space="preserve"> words, it focuses on the role of people involved in the change. It </w:t>
      </w:r>
      <w:r w:rsidR="00F52875" w:rsidRPr="00242EDD">
        <w:rPr>
          <w:rFonts w:ascii="Arial" w:hAnsi="Arial" w:cs="Arial"/>
          <w:sz w:val="24"/>
          <w:szCs w:val="24"/>
        </w:rPr>
        <w:t>needs to impetus</w:t>
      </w:r>
      <w:r w:rsidRPr="00242EDD">
        <w:rPr>
          <w:rFonts w:ascii="Arial" w:hAnsi="Arial" w:cs="Arial"/>
          <w:sz w:val="24"/>
          <w:szCs w:val="24"/>
        </w:rPr>
        <w:t xml:space="preserve"> a leader to guide a team in engaging, adopting, and utilizing a change in their daily work (Creasey, 2021).</w:t>
      </w:r>
    </w:p>
    <w:p w14:paraId="24D9B5FB" w14:textId="77777777" w:rsidR="00341248" w:rsidRPr="00242EDD" w:rsidRDefault="00341248" w:rsidP="00242EDD">
      <w:pPr>
        <w:spacing w:line="360" w:lineRule="auto"/>
        <w:rPr>
          <w:rFonts w:ascii="Arial" w:hAnsi="Arial" w:cs="Arial"/>
          <w:sz w:val="24"/>
          <w:szCs w:val="24"/>
        </w:rPr>
      </w:pPr>
    </w:p>
    <w:p w14:paraId="27D3B123" w14:textId="0A12FDA7" w:rsidR="004B2482"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Tim Creasey, an innovation researcher in change management, regards it as effective </w:t>
      </w:r>
      <w:r w:rsidR="00EF4B34">
        <w:rPr>
          <w:rFonts w:ascii="Arial" w:hAnsi="Arial" w:cs="Arial"/>
          <w:sz w:val="24"/>
          <w:szCs w:val="24"/>
        </w:rPr>
        <w:t>people management</w:t>
      </w:r>
      <w:r w:rsidRPr="00242EDD">
        <w:rPr>
          <w:rFonts w:ascii="Arial" w:hAnsi="Arial" w:cs="Arial"/>
          <w:sz w:val="24"/>
          <w:szCs w:val="24"/>
        </w:rPr>
        <w:t>. Creasey (2021) regards this type of management as the more challenging and critical component of transforming an organization.</w:t>
      </w:r>
    </w:p>
    <w:p w14:paraId="02FB5ACD" w14:textId="77777777" w:rsidR="00341248" w:rsidRPr="00242EDD" w:rsidRDefault="00341248" w:rsidP="00242EDD">
      <w:pPr>
        <w:spacing w:line="360" w:lineRule="auto"/>
        <w:rPr>
          <w:rFonts w:ascii="Arial" w:hAnsi="Arial" w:cs="Arial"/>
          <w:sz w:val="24"/>
          <w:szCs w:val="24"/>
        </w:rPr>
      </w:pPr>
    </w:p>
    <w:p w14:paraId="534F24BE" w14:textId="0FB99B78"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Managing how people receive the change, engage, adopt, and use it ensures success for the organization (Waldron, 2021). One might mistakenly think that </w:t>
      </w:r>
      <w:r w:rsidRPr="00242EDD">
        <w:rPr>
          <w:rFonts w:ascii="Arial" w:hAnsi="Arial" w:cs="Arial"/>
          <w:sz w:val="24"/>
          <w:szCs w:val="24"/>
        </w:rPr>
        <w:lastRenderedPageBreak/>
        <w:t>change occurs only on the technical side (Waldron, 2021). For example: medical system updates, data system integration and financial problems. However, Creasey (2021) argues that any kind of change within an organization happens one worker at a time. When every worker changes the way they do their work, the cumulative effect of their success will bring forth the desired change and success for the entire organization. When one employee does not make the necessary changes to their daily tasks, the organization’s effort at transformation does not ensue (Creasey, 2021).</w:t>
      </w:r>
    </w:p>
    <w:p w14:paraId="1E416FA2" w14:textId="77777777" w:rsidR="00341248" w:rsidRPr="00242EDD" w:rsidRDefault="00341248" w:rsidP="00242EDD">
      <w:pPr>
        <w:spacing w:line="360" w:lineRule="auto"/>
        <w:rPr>
          <w:rFonts w:ascii="Arial" w:hAnsi="Arial" w:cs="Arial"/>
          <w:sz w:val="24"/>
          <w:szCs w:val="24"/>
        </w:rPr>
      </w:pPr>
    </w:p>
    <w:p w14:paraId="4F644ED3" w14:textId="7ED1495E"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Nowadays, lots of organizations are constantly evolving and adapting their systems to survive in increasingly dynamic and complex environments. Change management is risky and difficult work, and many organizations struggle to implement changes and realize their desired goals. However, the failure rate of change management is 60 to 70 </w:t>
      </w:r>
      <w:r w:rsidR="002148BB">
        <w:rPr>
          <w:rFonts w:ascii="Arial" w:hAnsi="Arial" w:cs="Arial"/>
          <w:sz w:val="24"/>
          <w:szCs w:val="24"/>
        </w:rPr>
        <w:t>per cent</w:t>
      </w:r>
      <w:r w:rsidRPr="00242EDD">
        <w:rPr>
          <w:rFonts w:ascii="Arial" w:hAnsi="Arial" w:cs="Arial"/>
          <w:sz w:val="24"/>
          <w:szCs w:val="24"/>
        </w:rPr>
        <w:t xml:space="preserve"> (Hamlin, Ellinger, and Jones, 2020). This problem also applies to the healthcare industry where almost 2 out of every 3 change initiatives fail (Barrow, Annamaraju and Toney-Butler, 2022).</w:t>
      </w:r>
    </w:p>
    <w:p w14:paraId="5630DE9A" w14:textId="77777777" w:rsidR="00341248" w:rsidRPr="00242EDD" w:rsidRDefault="00341248" w:rsidP="00242EDD">
      <w:pPr>
        <w:spacing w:line="360" w:lineRule="auto"/>
        <w:rPr>
          <w:rFonts w:ascii="Arial" w:hAnsi="Arial" w:cs="Arial"/>
          <w:sz w:val="24"/>
          <w:szCs w:val="24"/>
        </w:rPr>
      </w:pPr>
    </w:p>
    <w:p w14:paraId="2BD88DA4" w14:textId="4806BD61"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Errida and Lotfi (2021) examined the determinants that significantly affect the success of change management. They reviewed 37 change models and extracted 74 subfactors from a comprehensive analysis of these models. While many of these models were similar, some factors were mentioned only once or twice in a few models. The authors group</w:t>
      </w:r>
      <w:r w:rsidR="002010F5">
        <w:rPr>
          <w:rFonts w:ascii="Arial" w:hAnsi="Arial" w:cs="Arial" w:hint="eastAsia"/>
          <w:sz w:val="24"/>
          <w:szCs w:val="24"/>
        </w:rPr>
        <w:t>ed</w:t>
      </w:r>
      <w:r w:rsidRPr="00242EDD">
        <w:rPr>
          <w:rFonts w:ascii="Arial" w:hAnsi="Arial" w:cs="Arial"/>
          <w:sz w:val="24"/>
          <w:szCs w:val="24"/>
        </w:rPr>
        <w:t xml:space="preserve"> the 74 factors into the following twelve general categories:</w:t>
      </w:r>
    </w:p>
    <w:p w14:paraId="2DBEA24C" w14:textId="4B0D97E8"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002010F5">
        <w:rPr>
          <w:rFonts w:ascii="Arial" w:hAnsi="Arial" w:cs="Arial" w:hint="eastAsia"/>
          <w:sz w:val="24"/>
          <w:szCs w:val="24"/>
        </w:rPr>
        <w:t xml:space="preserve">   </w:t>
      </w:r>
      <w:r w:rsidRPr="00242EDD">
        <w:rPr>
          <w:rFonts w:ascii="Arial" w:hAnsi="Arial" w:cs="Arial"/>
          <w:sz w:val="24"/>
          <w:szCs w:val="24"/>
        </w:rPr>
        <w:t xml:space="preserve">Category 1. A communicated and shared vision or strategy to reach the desired change. </w:t>
      </w:r>
    </w:p>
    <w:p w14:paraId="05650FA9"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2. The readiness to change, coupled with the capacity for changes</w:t>
      </w:r>
    </w:p>
    <w:p w14:paraId="111675E7"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3. Organizing individuals to form a change team</w:t>
      </w:r>
    </w:p>
    <w:p w14:paraId="25B5D88A"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4. Train and empower employees to support them through the change process.</w:t>
      </w:r>
    </w:p>
    <w:p w14:paraId="4C40F3C2"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lastRenderedPageBreak/>
        <w:t>•</w:t>
      </w:r>
      <w:r w:rsidRPr="00242EDD">
        <w:rPr>
          <w:rFonts w:ascii="Arial" w:hAnsi="Arial" w:cs="Arial"/>
          <w:sz w:val="24"/>
          <w:szCs w:val="24"/>
        </w:rPr>
        <w:tab/>
        <w:t>Category 5. Effectively manage resistance to change</w:t>
      </w:r>
    </w:p>
    <w:p w14:paraId="72D43A35"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6. Communicating effectively</w:t>
      </w:r>
    </w:p>
    <w:p w14:paraId="52C9F033"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7. Keeping workers and leaders (change agents) engaged and motivated</w:t>
      </w:r>
    </w:p>
    <w:p w14:paraId="2810B290"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8. Engagement of relevant stakeholders</w:t>
      </w:r>
    </w:p>
    <w:p w14:paraId="239F1695"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9. Strong leadership and powerful sponsorship</w:t>
      </w:r>
    </w:p>
    <w:p w14:paraId="2932048F"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10. Reinforcing and sustaining the change</w:t>
      </w:r>
    </w:p>
    <w:p w14:paraId="7EE59ECA"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11. Approaching and planning for change</w:t>
      </w:r>
    </w:p>
    <w:p w14:paraId="4A09981A"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w:t>
      </w:r>
      <w:r w:rsidRPr="00242EDD">
        <w:rPr>
          <w:rFonts w:ascii="Arial" w:hAnsi="Arial" w:cs="Arial"/>
          <w:sz w:val="24"/>
          <w:szCs w:val="24"/>
        </w:rPr>
        <w:tab/>
        <w:t>Category 12. Monitoring or measuring the change</w:t>
      </w:r>
    </w:p>
    <w:p w14:paraId="6D1D0CDC"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Of all these factors, resistance from the people represents the most substantial barrier to change (Rehman et al., 2021). Therefore, change management was traditionally employed to find the sources of resistance and root them out effectively or anticipate the resistance and find ways to avoid it (Cummings, Worley, and Donovan, 2020).</w:t>
      </w:r>
    </w:p>
    <w:p w14:paraId="0E8357F3" w14:textId="77777777" w:rsidR="00341248" w:rsidRPr="00242EDD" w:rsidRDefault="00341248" w:rsidP="00242EDD">
      <w:pPr>
        <w:spacing w:line="360" w:lineRule="auto"/>
        <w:rPr>
          <w:rFonts w:ascii="Arial" w:hAnsi="Arial" w:cs="Arial"/>
          <w:sz w:val="24"/>
          <w:szCs w:val="24"/>
        </w:rPr>
      </w:pPr>
    </w:p>
    <w:p w14:paraId="5FD1BAD9" w14:textId="44E053E9"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Kurt Lewin (1951) proposed that leaders and change agents must find a balance between the opposing forces of resistance and push through effective communication (change reasoning) and people management (change management). He devised a three-stage model using his force field theory. In his theory</w:t>
      </w:r>
      <w:r w:rsidR="002148BB">
        <w:rPr>
          <w:rFonts w:ascii="Arial" w:hAnsi="Arial" w:cs="Arial"/>
          <w:sz w:val="24"/>
          <w:szCs w:val="24"/>
        </w:rPr>
        <w:t>,</w:t>
      </w:r>
      <w:r w:rsidRPr="00242EDD">
        <w:rPr>
          <w:rFonts w:ascii="Arial" w:hAnsi="Arial" w:cs="Arial"/>
          <w:sz w:val="24"/>
          <w:szCs w:val="24"/>
        </w:rPr>
        <w:t xml:space="preserve"> it is believed that </w:t>
      </w:r>
      <w:r w:rsidR="002148BB">
        <w:rPr>
          <w:rFonts w:ascii="Arial" w:hAnsi="Arial" w:cs="Arial"/>
          <w:sz w:val="24"/>
          <w:szCs w:val="24"/>
        </w:rPr>
        <w:t>multiple forces influence</w:t>
      </w:r>
      <w:r w:rsidRPr="00242EDD">
        <w:rPr>
          <w:rFonts w:ascii="Arial" w:hAnsi="Arial" w:cs="Arial"/>
          <w:sz w:val="24"/>
          <w:szCs w:val="24"/>
        </w:rPr>
        <w:t xml:space="preserve"> people's </w:t>
      </w:r>
      <w:proofErr w:type="spellStart"/>
      <w:r w:rsidR="00EF4B34">
        <w:rPr>
          <w:rFonts w:ascii="Arial" w:hAnsi="Arial" w:cs="Arial"/>
          <w:sz w:val="24"/>
          <w:szCs w:val="24"/>
        </w:rPr>
        <w:t>behaviour</w:t>
      </w:r>
      <w:proofErr w:type="spellEnd"/>
      <w:r w:rsidRPr="00242EDD">
        <w:rPr>
          <w:rFonts w:ascii="Arial" w:hAnsi="Arial" w:cs="Arial"/>
          <w:sz w:val="24"/>
          <w:szCs w:val="24"/>
        </w:rPr>
        <w:t xml:space="preserve">. The binding force is the main obstacle that resists change. Driving forces promote motivation and guide people towards success are important for initiating change. </w:t>
      </w:r>
    </w:p>
    <w:p w14:paraId="0BFA122B" w14:textId="77777777" w:rsidR="00341248" w:rsidRPr="00242EDD" w:rsidRDefault="00341248" w:rsidP="00242EDD">
      <w:pPr>
        <w:spacing w:line="360" w:lineRule="auto"/>
        <w:rPr>
          <w:rFonts w:ascii="Arial" w:hAnsi="Arial" w:cs="Arial"/>
          <w:sz w:val="24"/>
          <w:szCs w:val="24"/>
        </w:rPr>
      </w:pPr>
    </w:p>
    <w:p w14:paraId="782C6166" w14:textId="325B55D0"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Lewin (1951) proposed that change reasoning through effective communication was a critical aspect of change management. This was restated in the case study analysis done by Appelbaum et al. (2019). They concluded that a key factor in the successful realization of change is constant and effective communication by the change agent. This will create an atmosphere of readiness for everything amongst employees, reduce resistance and gain agreement </w:t>
      </w:r>
      <w:r w:rsidR="00EF4B34">
        <w:rPr>
          <w:rFonts w:ascii="Arial" w:hAnsi="Arial" w:cs="Arial"/>
          <w:sz w:val="24"/>
          <w:szCs w:val="24"/>
        </w:rPr>
        <w:t>among</w:t>
      </w:r>
      <w:r w:rsidRPr="00242EDD">
        <w:rPr>
          <w:rFonts w:ascii="Arial" w:hAnsi="Arial" w:cs="Arial"/>
          <w:sz w:val="24"/>
          <w:szCs w:val="24"/>
        </w:rPr>
        <w:t xml:space="preserve"> employees to realize the change. Additionally, desired </w:t>
      </w:r>
      <w:r w:rsidRPr="00242EDD">
        <w:rPr>
          <w:rFonts w:ascii="Arial" w:hAnsi="Arial" w:cs="Arial"/>
          <w:sz w:val="24"/>
          <w:szCs w:val="24"/>
        </w:rPr>
        <w:lastRenderedPageBreak/>
        <w:t>changes should be presented in the form of goals that are specific and clear, and have measurable outcomes and reasonable deadlines. A report from the University of California (2020) describes that goal-setting should follow the SMART acronym by writing the goal more precisely and breaking it down into smaller goals: S - Specific; M - Measurable; A - Achievable; R - Relevant, or will produce important results that are consistent with the end goal; T - Appropriate timeframe.</w:t>
      </w:r>
    </w:p>
    <w:p w14:paraId="40D532F4" w14:textId="77777777" w:rsidR="00341248" w:rsidRPr="00242EDD" w:rsidRDefault="00341248" w:rsidP="00242EDD">
      <w:pPr>
        <w:spacing w:line="360" w:lineRule="auto"/>
        <w:rPr>
          <w:rFonts w:ascii="Arial" w:hAnsi="Arial" w:cs="Arial"/>
          <w:sz w:val="24"/>
          <w:szCs w:val="24"/>
        </w:rPr>
      </w:pPr>
    </w:p>
    <w:p w14:paraId="73047B50"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It is not enough for change to occur; it should be sustained and monitored (LaRock, 2020). For example, a person who is trying to lose weight and manages to lose 5kg in a month will eventually bounce back if not adequately maintained and supported. Depending on the type of organization, anything can be defined - whether it's time recording, completing tasks on time, or the average length of time it takes to respond to a customer enquiry.</w:t>
      </w:r>
    </w:p>
    <w:p w14:paraId="0DFB945E" w14:textId="77777777" w:rsidR="00341248" w:rsidRPr="00242EDD" w:rsidRDefault="00341248" w:rsidP="00242EDD">
      <w:pPr>
        <w:spacing w:line="360" w:lineRule="auto"/>
        <w:rPr>
          <w:rFonts w:ascii="Arial" w:hAnsi="Arial" w:cs="Arial"/>
          <w:sz w:val="24"/>
          <w:szCs w:val="24"/>
        </w:rPr>
      </w:pPr>
    </w:p>
    <w:p w14:paraId="077787A2" w14:textId="1FFC8C9C"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Traditionally, measuring employee productivity has been very simple: the HR manager monitors an employee's clock-in time; does he </w:t>
      </w:r>
      <w:r w:rsidR="002148BB">
        <w:rPr>
          <w:rFonts w:ascii="Arial" w:hAnsi="Arial" w:cs="Arial"/>
          <w:sz w:val="24"/>
          <w:szCs w:val="24"/>
        </w:rPr>
        <w:t>comes</w:t>
      </w:r>
      <w:r w:rsidRPr="00242EDD">
        <w:rPr>
          <w:rFonts w:ascii="Arial" w:hAnsi="Arial" w:cs="Arial"/>
          <w:sz w:val="24"/>
          <w:szCs w:val="24"/>
        </w:rPr>
        <w:t xml:space="preserve"> to work on time, does he clock out after 5 p.m. However, it has been found that these performance indicators do not reliably measure productivity (Reitsma, 2021). Instead, management professionals measure a person's productivity through actual engagement levels and performance. These can be translated into KPIs (Jackson, 2023). Similarly, monitoring employee engagement and adaptability to change and managing change management requires objective measurements. KPIs can be anything measurable, such as net profit, turnover or revenue growth rates. Importantly, setting clear and specific goals </w:t>
      </w:r>
      <w:r w:rsidR="009C6540">
        <w:rPr>
          <w:rFonts w:ascii="Arial" w:hAnsi="Arial" w:cs="Arial"/>
          <w:sz w:val="24"/>
          <w:szCs w:val="24"/>
        </w:rPr>
        <w:t>regularly</w:t>
      </w:r>
      <w:r w:rsidRPr="00242EDD">
        <w:rPr>
          <w:rFonts w:ascii="Arial" w:hAnsi="Arial" w:cs="Arial"/>
          <w:sz w:val="24"/>
          <w:szCs w:val="24"/>
        </w:rPr>
        <w:t xml:space="preserve"> is critical to performance metrics. These goals need to be revisited monthly, quarterly, or even annually (Jackson, 2023). Full integration of all 12 components of change management is critical to realizing the desired change (Errida and Lotfi, 2021). </w:t>
      </w:r>
    </w:p>
    <w:p w14:paraId="5AE7C424" w14:textId="77777777" w:rsidR="009C6540" w:rsidRDefault="009C6540" w:rsidP="00242EDD">
      <w:pPr>
        <w:spacing w:line="360" w:lineRule="auto"/>
        <w:rPr>
          <w:rFonts w:ascii="Arial" w:hAnsi="Arial" w:cs="Arial"/>
          <w:b/>
          <w:bCs/>
          <w:sz w:val="24"/>
          <w:szCs w:val="24"/>
        </w:rPr>
      </w:pPr>
    </w:p>
    <w:p w14:paraId="44A700CE" w14:textId="36AB0B92"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lastRenderedPageBreak/>
        <w:t>A brief history of the IAPT</w:t>
      </w:r>
    </w:p>
    <w:p w14:paraId="55D6A99D" w14:textId="77777777" w:rsidR="00341248" w:rsidRPr="00242EDD" w:rsidRDefault="00341248" w:rsidP="00242EDD">
      <w:pPr>
        <w:spacing w:line="360" w:lineRule="auto"/>
        <w:rPr>
          <w:rFonts w:ascii="Arial" w:hAnsi="Arial" w:cs="Arial"/>
          <w:sz w:val="24"/>
          <w:szCs w:val="24"/>
        </w:rPr>
      </w:pPr>
    </w:p>
    <w:p w14:paraId="2735D084" w14:textId="618E468E"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IAPT was founded in 2008 </w:t>
      </w:r>
      <w:r w:rsidR="009C6540">
        <w:rPr>
          <w:rFonts w:ascii="Arial" w:hAnsi="Arial" w:cs="Arial"/>
          <w:sz w:val="24"/>
          <w:szCs w:val="24"/>
        </w:rPr>
        <w:t>to provide</w:t>
      </w:r>
      <w:r w:rsidRPr="00242EDD">
        <w:rPr>
          <w:rFonts w:ascii="Arial" w:hAnsi="Arial" w:cs="Arial"/>
          <w:sz w:val="24"/>
          <w:szCs w:val="24"/>
        </w:rPr>
        <w:t xml:space="preserve"> appropriate mental health services to more people with anxiety and depression, which were the most common mental illnesses at the time (NICE, 2011) and remain so to this day (Mental Health Foundation, 2023). About two years ago, a report published by the London School of Economics highlighted the extent of mental health illness in the UK. They reported that one in six people suffered from 'major depression' and 'chronic anxiety'. More specifically, this report makes a compelling case from an economic perspective - treating depression and anxiety saves money. As patients recover, they return to work more efficiently, effectively paying for psychotherapy and medication (Mcdaid and Park, 2022). This solidified the IAPT’s position. By making evidence-based psychological services more accessible, people who have been incapacitated by depression and anxiety will now be able to manage their symptoms and function effectively in society. </w:t>
      </w:r>
    </w:p>
    <w:p w14:paraId="568D21AE" w14:textId="77777777" w:rsidR="00341248" w:rsidRPr="00242EDD" w:rsidRDefault="00341248" w:rsidP="00242EDD">
      <w:pPr>
        <w:spacing w:line="360" w:lineRule="auto"/>
        <w:rPr>
          <w:rFonts w:ascii="Arial" w:hAnsi="Arial" w:cs="Arial"/>
          <w:sz w:val="24"/>
          <w:szCs w:val="24"/>
        </w:rPr>
      </w:pPr>
    </w:p>
    <w:p w14:paraId="7F520638" w14:textId="0F7AD462"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Before the creation of IAPT, the average waiting time for talking therapies was up to 18 months (Clark and Whittington, 2023). The National Institute for Health and Care Excellence (NICE) (2022) recommended psychological or talking therapies as a first-line clinical intervention option for the treatment of both conditions (Thornicroft, 2018). The public also </w:t>
      </w:r>
      <w:r w:rsidR="009C6540">
        <w:rPr>
          <w:rFonts w:ascii="Arial" w:hAnsi="Arial" w:cs="Arial"/>
          <w:sz w:val="24"/>
          <w:szCs w:val="24"/>
        </w:rPr>
        <w:t>has</w:t>
      </w:r>
      <w:r w:rsidRPr="00242EDD">
        <w:rPr>
          <w:rFonts w:ascii="Arial" w:hAnsi="Arial" w:cs="Arial"/>
          <w:sz w:val="24"/>
          <w:szCs w:val="24"/>
        </w:rPr>
        <w:t xml:space="preserve"> a preference for these therapies over drug therapies. McHugh et al. (2013) in their meta-analysis stated that the preference ratio for psychological therapies was 3:1. The IAPT proposed a solution to this problem: training more therapists and establishing 40 IAPT teams across the country </w:t>
      </w:r>
      <w:r w:rsidR="009C6540">
        <w:rPr>
          <w:rFonts w:ascii="Arial" w:hAnsi="Arial" w:cs="Arial"/>
          <w:sz w:val="24"/>
          <w:szCs w:val="24"/>
        </w:rPr>
        <w:t>to</w:t>
      </w:r>
      <w:r w:rsidRPr="00242EDD">
        <w:rPr>
          <w:rFonts w:ascii="Arial" w:hAnsi="Arial" w:cs="Arial"/>
          <w:sz w:val="24"/>
          <w:szCs w:val="24"/>
        </w:rPr>
        <w:t xml:space="preserve"> shorten waiting times and make the service more accessible (Thornicroft 2018). </w:t>
      </w:r>
    </w:p>
    <w:p w14:paraId="08C595C6" w14:textId="77777777" w:rsidR="00341248" w:rsidRPr="00242EDD" w:rsidRDefault="00341248" w:rsidP="00242EDD">
      <w:pPr>
        <w:spacing w:line="360" w:lineRule="auto"/>
        <w:rPr>
          <w:rFonts w:ascii="Arial" w:hAnsi="Arial" w:cs="Arial"/>
          <w:sz w:val="24"/>
          <w:szCs w:val="24"/>
        </w:rPr>
      </w:pPr>
    </w:p>
    <w:p w14:paraId="1F0F711F" w14:textId="76326653"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IAPT has been achieving its goals all the time. In its tenth year of establishment, the organization aims to serve up to 1.9 million people with anxiety and depression by 2024 (Clark, 2019). This bold movement towards mental health </w:t>
      </w:r>
      <w:r w:rsidRPr="00242EDD">
        <w:rPr>
          <w:rFonts w:ascii="Arial" w:hAnsi="Arial" w:cs="Arial"/>
          <w:sz w:val="24"/>
          <w:szCs w:val="24"/>
        </w:rPr>
        <w:lastRenderedPageBreak/>
        <w:t xml:space="preserve">services required many changes. Despite its success in its first decade, Professor David Clarke (2019), one of the founders of IAPT, wrote in his blog that the organization is still a work in progress. In addition, many people with anxiety and depression still do not have access to treatment. For this reason, the NHS has committed to expanding IAPT services in a long-term plan set out in 2019. Specifically, it aims to provide services to 1.9 million people by 2024. This figure represents just a quarter of the number of people with anxiety or depression in the 2019 prevalence statistics (Clark, 2019). </w:t>
      </w:r>
    </w:p>
    <w:p w14:paraId="2E7381D6" w14:textId="77777777" w:rsidR="00341248" w:rsidRPr="00242EDD" w:rsidRDefault="00341248" w:rsidP="00242EDD">
      <w:pPr>
        <w:spacing w:line="360" w:lineRule="auto"/>
        <w:rPr>
          <w:rFonts w:ascii="Arial" w:hAnsi="Arial" w:cs="Arial"/>
          <w:sz w:val="24"/>
          <w:szCs w:val="24"/>
        </w:rPr>
      </w:pPr>
    </w:p>
    <w:p w14:paraId="2048C4D6" w14:textId="77777777"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 xml:space="preserve">Changes within the NHS IAPT </w:t>
      </w:r>
    </w:p>
    <w:p w14:paraId="22B41445" w14:textId="77777777" w:rsidR="00341248" w:rsidRPr="00242EDD" w:rsidRDefault="00341248" w:rsidP="00242EDD">
      <w:pPr>
        <w:spacing w:line="360" w:lineRule="auto"/>
        <w:rPr>
          <w:rFonts w:ascii="Arial" w:hAnsi="Arial" w:cs="Arial"/>
          <w:sz w:val="24"/>
          <w:szCs w:val="24"/>
        </w:rPr>
      </w:pPr>
    </w:p>
    <w:p w14:paraId="717A5C54" w14:textId="56AD1CAB"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Firstly, the IAPT promised psychological therapies provided by well-trained mental health </w:t>
      </w:r>
      <w:r w:rsidR="009C6540">
        <w:rPr>
          <w:rFonts w:ascii="Arial" w:hAnsi="Arial" w:cs="Arial"/>
          <w:sz w:val="24"/>
          <w:szCs w:val="24"/>
        </w:rPr>
        <w:t>counsellors</w:t>
      </w:r>
      <w:r w:rsidRPr="00242EDD">
        <w:rPr>
          <w:rFonts w:ascii="Arial" w:hAnsi="Arial" w:cs="Arial"/>
          <w:sz w:val="24"/>
          <w:szCs w:val="24"/>
        </w:rPr>
        <w:t xml:space="preserve"> who are adequately supervised. Over 10,500 therapists were trained and dispatched to various areas served by the NHS IAPT (Clark, 2019), and over 40 new IAPT teams were established. </w:t>
      </w:r>
    </w:p>
    <w:p w14:paraId="7E34E45E" w14:textId="77777777" w:rsidR="00341248" w:rsidRPr="00242EDD" w:rsidRDefault="00341248" w:rsidP="00242EDD">
      <w:pPr>
        <w:spacing w:line="360" w:lineRule="auto"/>
        <w:rPr>
          <w:rFonts w:ascii="Arial" w:hAnsi="Arial" w:cs="Arial"/>
          <w:sz w:val="24"/>
          <w:szCs w:val="24"/>
        </w:rPr>
      </w:pPr>
    </w:p>
    <w:p w14:paraId="4E29F30B" w14:textId="270613FB"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Secondly, the IAPT aims to provide evidence-based services. It provides services that are approved and recognized by NICE. As an example: for milder forms of depression, the first line of treatment begins with guided self-help, followed by cognitive </w:t>
      </w:r>
      <w:r w:rsidR="009C6540">
        <w:rPr>
          <w:rFonts w:ascii="Arial" w:hAnsi="Arial" w:cs="Arial"/>
          <w:sz w:val="24"/>
          <w:szCs w:val="24"/>
        </w:rPr>
        <w:t>behavioural</w:t>
      </w:r>
      <w:r w:rsidRPr="00242EDD">
        <w:rPr>
          <w:rFonts w:ascii="Arial" w:hAnsi="Arial" w:cs="Arial"/>
          <w:sz w:val="24"/>
          <w:szCs w:val="24"/>
        </w:rPr>
        <w:t xml:space="preserve"> therapy (CBT) and group therapy with </w:t>
      </w:r>
      <w:r w:rsidR="009C6540">
        <w:rPr>
          <w:rFonts w:ascii="Arial" w:hAnsi="Arial" w:cs="Arial"/>
          <w:sz w:val="24"/>
          <w:szCs w:val="24"/>
        </w:rPr>
        <w:t>behavioural</w:t>
      </w:r>
      <w:r w:rsidRPr="00242EDD">
        <w:rPr>
          <w:rFonts w:ascii="Arial" w:hAnsi="Arial" w:cs="Arial"/>
          <w:sz w:val="24"/>
          <w:szCs w:val="24"/>
        </w:rPr>
        <w:t xml:space="preserve"> activation. When group therapy fails to achieve the client's goals, individualized therapy - cognitive </w:t>
      </w:r>
      <w:r w:rsidR="009C6540">
        <w:rPr>
          <w:rFonts w:ascii="Arial" w:hAnsi="Arial" w:cs="Arial"/>
          <w:sz w:val="24"/>
          <w:szCs w:val="24"/>
        </w:rPr>
        <w:t>behavioural</w:t>
      </w:r>
      <w:r w:rsidRPr="00242EDD">
        <w:rPr>
          <w:rFonts w:ascii="Arial" w:hAnsi="Arial" w:cs="Arial"/>
          <w:sz w:val="24"/>
          <w:szCs w:val="24"/>
        </w:rPr>
        <w:t xml:space="preserve"> therapy or </w:t>
      </w:r>
      <w:r w:rsidR="009C6540">
        <w:rPr>
          <w:rFonts w:ascii="Arial" w:hAnsi="Arial" w:cs="Arial"/>
          <w:sz w:val="24"/>
          <w:szCs w:val="24"/>
        </w:rPr>
        <w:t>behavioural</w:t>
      </w:r>
      <w:r w:rsidRPr="00242EDD">
        <w:rPr>
          <w:rFonts w:ascii="Arial" w:hAnsi="Arial" w:cs="Arial"/>
          <w:sz w:val="24"/>
          <w:szCs w:val="24"/>
        </w:rPr>
        <w:t xml:space="preserve"> activation therapy is used. Medication (for example: selective serotonin receptor inhibitors) is not offered at first unless the client wants it. This approach to treating mental illness is considered cost-effective and evidence-based (NICE, 2022). Other therapies such as psychodynamic psychotherapy, exposure and response therapy, ACT and counselling are also offered (Clark, 2019). </w:t>
      </w:r>
    </w:p>
    <w:p w14:paraId="3A5DC171" w14:textId="77777777" w:rsidR="00341248" w:rsidRPr="00242EDD" w:rsidRDefault="00341248" w:rsidP="00242EDD">
      <w:pPr>
        <w:spacing w:line="360" w:lineRule="auto"/>
        <w:rPr>
          <w:rFonts w:ascii="Arial" w:hAnsi="Arial" w:cs="Arial"/>
          <w:sz w:val="24"/>
          <w:szCs w:val="24"/>
        </w:rPr>
      </w:pPr>
    </w:p>
    <w:p w14:paraId="39D2DABA" w14:textId="438EA3BE"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Thirdly, through the regular publication of literature, the organization has raised awareness of the magnitude of mental illness and its impact on the individual, </w:t>
      </w:r>
      <w:r w:rsidRPr="00242EDD">
        <w:rPr>
          <w:rFonts w:ascii="Arial" w:hAnsi="Arial" w:cs="Arial"/>
          <w:sz w:val="24"/>
          <w:szCs w:val="24"/>
        </w:rPr>
        <w:lastRenderedPageBreak/>
        <w:t xml:space="preserve">national and socio-political levels. Fourthly, this organization recognizes that the issue of mental illness has been denied and ignored in the allocation of national resources in the past. This position is reflected in its 2011 campaign entitled "No health without mental health", in which the organization reminded the public that mental health is as important as physical health. Then, more funding has been allocated to these services. In 2010, the UK provided a further 400 million in funding for IAPT (Department of Health, 2012). Finally, </w:t>
      </w:r>
      <w:r w:rsidR="009C6540">
        <w:rPr>
          <w:rFonts w:ascii="Arial" w:hAnsi="Arial" w:cs="Arial"/>
          <w:sz w:val="24"/>
          <w:szCs w:val="24"/>
        </w:rPr>
        <w:t>to</w:t>
      </w:r>
      <w:r w:rsidRPr="00242EDD">
        <w:rPr>
          <w:rFonts w:ascii="Arial" w:hAnsi="Arial" w:cs="Arial"/>
          <w:sz w:val="24"/>
          <w:szCs w:val="24"/>
        </w:rPr>
        <w:t xml:space="preserve"> increase public transparency, NHS IAPT services in the UK measure each client's baseline anxiety and depression before and at the end of each session, and clinical outcomes are recorded (Clark et al., 2018). </w:t>
      </w:r>
    </w:p>
    <w:p w14:paraId="691DE0C4" w14:textId="77777777" w:rsidR="00341248" w:rsidRPr="00242EDD" w:rsidRDefault="00341248" w:rsidP="00242EDD">
      <w:pPr>
        <w:spacing w:line="360" w:lineRule="auto"/>
        <w:rPr>
          <w:rFonts w:ascii="Arial" w:hAnsi="Arial" w:cs="Arial"/>
          <w:sz w:val="24"/>
          <w:szCs w:val="24"/>
        </w:rPr>
      </w:pPr>
    </w:p>
    <w:p w14:paraId="3A44BF2E"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The NHS IAPT publishes these statistical data in annual reports available on NHS Digital (2022) showing the organization’s progress. </w:t>
      </w:r>
    </w:p>
    <w:p w14:paraId="7A672AD6" w14:textId="77777777" w:rsidR="00341248" w:rsidRPr="00242EDD" w:rsidRDefault="00341248" w:rsidP="00242EDD">
      <w:pPr>
        <w:spacing w:line="360" w:lineRule="auto"/>
        <w:rPr>
          <w:rFonts w:ascii="Arial" w:hAnsi="Arial" w:cs="Arial"/>
          <w:sz w:val="24"/>
          <w:szCs w:val="24"/>
        </w:rPr>
      </w:pPr>
    </w:p>
    <w:p w14:paraId="62E35FDB" w14:textId="77777777"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 xml:space="preserve">Growth of the IAPT </w:t>
      </w:r>
    </w:p>
    <w:p w14:paraId="47E1482C" w14:textId="77777777" w:rsidR="00341248" w:rsidRPr="00242EDD" w:rsidRDefault="00341248" w:rsidP="00242EDD">
      <w:pPr>
        <w:spacing w:line="360" w:lineRule="auto"/>
        <w:rPr>
          <w:rFonts w:ascii="Arial" w:hAnsi="Arial" w:cs="Arial"/>
          <w:sz w:val="24"/>
          <w:szCs w:val="24"/>
        </w:rPr>
      </w:pPr>
    </w:p>
    <w:p w14:paraId="289AA43D" w14:textId="00A7FC7C"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In the tenth year since its inception, IAPT has received one million people and delivered 550,000 talking therapy sessions. In recent years, between 2021 and 2022, IAPT provided talk therapy to 1.81 million clients, a 24.5 per cent increase </w:t>
      </w:r>
      <w:r w:rsidR="009C6540">
        <w:rPr>
          <w:rFonts w:ascii="Arial" w:hAnsi="Arial" w:cs="Arial"/>
          <w:sz w:val="24"/>
          <w:szCs w:val="24"/>
        </w:rPr>
        <w:t>compared</w:t>
      </w:r>
      <w:r w:rsidRPr="00242EDD">
        <w:rPr>
          <w:rFonts w:ascii="Arial" w:hAnsi="Arial" w:cs="Arial"/>
          <w:sz w:val="24"/>
          <w:szCs w:val="24"/>
        </w:rPr>
        <w:t xml:space="preserve"> to the previous year (2020-2021). In 2022, approximately 91.1 per cent of clients received talk therapy services within six weeks, with an average of 7.9 sessions per client. In addition, 664,087 people completed sessions, an increase of 4.6 per cent on last year, and 50.2 per cent recovered. However, the recovery value has decreased by 1.2% from last year (NHS Digital, 2022).</w:t>
      </w:r>
    </w:p>
    <w:p w14:paraId="4F9B9359" w14:textId="77777777" w:rsidR="00341248" w:rsidRPr="00242EDD" w:rsidRDefault="00341248" w:rsidP="00242EDD">
      <w:pPr>
        <w:spacing w:line="360" w:lineRule="auto"/>
        <w:rPr>
          <w:rFonts w:ascii="Arial" w:hAnsi="Arial" w:cs="Arial"/>
          <w:sz w:val="24"/>
          <w:szCs w:val="24"/>
        </w:rPr>
      </w:pPr>
    </w:p>
    <w:p w14:paraId="1E709959"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The average waiting time was reduced to 19 days from 18 months previously. Between March 2022 and 2023, 90.2 per cent of referrals had an average wait of just six weeks. Over 98% of referrals received psychological therapy within 18 weeks (NHS Digital, 2023). These figures are higher than the targets set by the IAPT of 75% of referrals having an average wait of 6 weeks and 95% of </w:t>
      </w:r>
      <w:r w:rsidRPr="00242EDD">
        <w:rPr>
          <w:rFonts w:ascii="Arial" w:hAnsi="Arial" w:cs="Arial"/>
          <w:sz w:val="24"/>
          <w:szCs w:val="24"/>
        </w:rPr>
        <w:lastRenderedPageBreak/>
        <w:t>referrals having an average wait of 18 weeks (NHS, 2023).</w:t>
      </w:r>
    </w:p>
    <w:p w14:paraId="60B7A0E7" w14:textId="77777777" w:rsidR="00341248" w:rsidRPr="00242EDD" w:rsidRDefault="00341248" w:rsidP="00242EDD">
      <w:pPr>
        <w:spacing w:line="360" w:lineRule="auto"/>
        <w:rPr>
          <w:rFonts w:ascii="Arial" w:hAnsi="Arial" w:cs="Arial"/>
          <w:sz w:val="24"/>
          <w:szCs w:val="24"/>
        </w:rPr>
      </w:pPr>
    </w:p>
    <w:p w14:paraId="7FA4B93F" w14:textId="0C514A24"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The overall results are promising. Seven out of 10 patients showed reliable and substantial improvement in symptoms of anxiety and depression. Given that talk therapy is more challenging than simple medication, clinical recovery rates are not expected to be high. However, IAPT aims to achieve a recovery rate of at least 50 per cent across all clients. Achieving this may seem difficult and has taken nearly a decade. Since January 2017, over half (51 per cent) of referrals have been categorized as recovered (Community and Mental Health Teams, NHS Digital, 20</w:t>
      </w:r>
      <w:r w:rsidR="0006290C">
        <w:rPr>
          <w:rFonts w:ascii="Arial" w:hAnsi="Arial" w:cs="Arial" w:hint="eastAsia"/>
          <w:sz w:val="24"/>
          <w:szCs w:val="24"/>
        </w:rPr>
        <w:t>18</w:t>
      </w:r>
      <w:r w:rsidRPr="00242EDD">
        <w:rPr>
          <w:rFonts w:ascii="Arial" w:hAnsi="Arial" w:cs="Arial"/>
          <w:sz w:val="24"/>
          <w:szCs w:val="24"/>
        </w:rPr>
        <w:t xml:space="preserve">). </w:t>
      </w:r>
    </w:p>
    <w:p w14:paraId="6D63A556" w14:textId="77777777" w:rsidR="00341248" w:rsidRPr="00242EDD" w:rsidRDefault="00341248" w:rsidP="00242EDD">
      <w:pPr>
        <w:spacing w:line="360" w:lineRule="auto"/>
        <w:rPr>
          <w:rFonts w:ascii="Arial" w:hAnsi="Arial" w:cs="Arial"/>
          <w:sz w:val="24"/>
          <w:szCs w:val="24"/>
        </w:rPr>
      </w:pPr>
    </w:p>
    <w:p w14:paraId="22CAD366"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By understanding this data, the IAPT can consider how best to deliver treatment and improve services for patients. The success of the IAPT to date is a reflection of the dedication and skill of the clinicians and IAPT staff, and at the same time demonstrates that the changes the IAPT has made over the years have been beneficial to both patients and organizations. </w:t>
      </w:r>
    </w:p>
    <w:p w14:paraId="5A1CACF8" w14:textId="77777777" w:rsidR="00341248" w:rsidRPr="00242EDD" w:rsidRDefault="00341248" w:rsidP="00242EDD">
      <w:pPr>
        <w:spacing w:line="360" w:lineRule="auto"/>
        <w:rPr>
          <w:rFonts w:ascii="Arial" w:hAnsi="Arial" w:cs="Arial"/>
          <w:sz w:val="24"/>
          <w:szCs w:val="24"/>
        </w:rPr>
      </w:pPr>
    </w:p>
    <w:p w14:paraId="192499C9" w14:textId="27302994"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 xml:space="preserve">How the IAPT Utilized Change Management Principles and </w:t>
      </w:r>
      <w:r w:rsidR="009C6540">
        <w:rPr>
          <w:rFonts w:ascii="Arial" w:hAnsi="Arial" w:cs="Arial"/>
          <w:b/>
          <w:bCs/>
          <w:sz w:val="24"/>
          <w:szCs w:val="24"/>
        </w:rPr>
        <w:t>Models</w:t>
      </w:r>
    </w:p>
    <w:p w14:paraId="2C2C78E1" w14:textId="77777777" w:rsidR="00341248" w:rsidRPr="00242EDD" w:rsidRDefault="00341248" w:rsidP="00242EDD">
      <w:pPr>
        <w:spacing w:line="360" w:lineRule="auto"/>
        <w:rPr>
          <w:rFonts w:ascii="Arial" w:hAnsi="Arial" w:cs="Arial"/>
          <w:sz w:val="24"/>
          <w:szCs w:val="24"/>
        </w:rPr>
      </w:pPr>
    </w:p>
    <w:p w14:paraId="412626CE" w14:textId="40F050D3" w:rsidR="00341248" w:rsidRPr="00242EDD" w:rsidRDefault="00341248" w:rsidP="00242EDD">
      <w:pPr>
        <w:spacing w:line="360" w:lineRule="auto"/>
        <w:rPr>
          <w:rFonts w:ascii="Arial" w:hAnsi="Arial" w:cs="Arial"/>
          <w:sz w:val="24"/>
          <w:szCs w:val="24"/>
        </w:rPr>
      </w:pPr>
      <w:bookmarkStart w:id="1" w:name="OLE_LINK39"/>
      <w:r w:rsidRPr="00242EDD">
        <w:rPr>
          <w:rFonts w:ascii="Arial" w:hAnsi="Arial" w:cs="Arial"/>
          <w:sz w:val="24"/>
          <w:szCs w:val="24"/>
        </w:rPr>
        <w:t xml:space="preserve">Many changes have been made to expand IAPT services. The organization successfully used the change management model to achieve its objectives. Firstly, IAPT tackled a large and complex problem in a relatively simple way. It recognized the fact that depression and anxiety were becoming prevalent in England, particularly </w:t>
      </w:r>
      <w:r w:rsidR="009C6540">
        <w:rPr>
          <w:rFonts w:ascii="Arial" w:hAnsi="Arial" w:cs="Arial"/>
          <w:sz w:val="24"/>
          <w:szCs w:val="24"/>
        </w:rPr>
        <w:t>among</w:t>
      </w:r>
      <w:r w:rsidRPr="00242EDD">
        <w:rPr>
          <w:rFonts w:ascii="Arial" w:hAnsi="Arial" w:cs="Arial"/>
          <w:sz w:val="24"/>
          <w:szCs w:val="24"/>
        </w:rPr>
        <w:t xml:space="preserve"> young people, and it realized that the waiting times to receive treatment were unacceptably long (Pindar, 2022). Talking therapies and cognitive </w:t>
      </w:r>
      <w:r w:rsidR="009C6540">
        <w:rPr>
          <w:rFonts w:ascii="Arial" w:hAnsi="Arial" w:cs="Arial"/>
          <w:sz w:val="24"/>
          <w:szCs w:val="24"/>
        </w:rPr>
        <w:t>behavioural</w:t>
      </w:r>
      <w:r w:rsidRPr="00242EDD">
        <w:rPr>
          <w:rFonts w:ascii="Arial" w:hAnsi="Arial" w:cs="Arial"/>
          <w:sz w:val="24"/>
          <w:szCs w:val="24"/>
        </w:rPr>
        <w:t xml:space="preserve"> therapies </w:t>
      </w:r>
      <w:r w:rsidR="009C6540">
        <w:rPr>
          <w:rFonts w:ascii="Arial" w:hAnsi="Arial" w:cs="Arial"/>
          <w:sz w:val="24"/>
          <w:szCs w:val="24"/>
        </w:rPr>
        <w:t>are</w:t>
      </w:r>
      <w:r w:rsidRPr="00242EDD">
        <w:rPr>
          <w:rFonts w:ascii="Arial" w:hAnsi="Arial" w:cs="Arial"/>
          <w:sz w:val="24"/>
          <w:szCs w:val="24"/>
        </w:rPr>
        <w:t xml:space="preserve"> superior to other modalities in the management and treatment of depression and anxiety (NICE, 2022). </w:t>
      </w:r>
    </w:p>
    <w:p w14:paraId="6FAB8938" w14:textId="77777777" w:rsidR="00341248" w:rsidRPr="00242EDD" w:rsidRDefault="00341248" w:rsidP="00242EDD">
      <w:pPr>
        <w:spacing w:line="360" w:lineRule="auto"/>
        <w:rPr>
          <w:rFonts w:ascii="Arial" w:hAnsi="Arial" w:cs="Arial"/>
          <w:sz w:val="24"/>
          <w:szCs w:val="24"/>
        </w:rPr>
      </w:pPr>
    </w:p>
    <w:p w14:paraId="22BC2820"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IAPT has proposed concrete solutions and made changes in measurable ways. The organization lists areas such as improving the appropriate treatment dose </w:t>
      </w:r>
      <w:r w:rsidRPr="00242EDD">
        <w:rPr>
          <w:rFonts w:ascii="Arial" w:hAnsi="Arial" w:cs="Arial"/>
          <w:sz w:val="24"/>
          <w:szCs w:val="24"/>
        </w:rPr>
        <w:lastRenderedPageBreak/>
        <w:t>or number of sessions, reducing waiting times between initial intake and follow-up, increasing the number of therapists and distributing them across the country, ensuring that patients achieve recovery, increasing respect for patient autonomy, and ensuring the well-being of staff and clinicians. In addition, IAPT aims to provide equal access to services for people with long-term or chronic physical conditions (LTCs), and finally to provide integrated technological advances in digital healthcare.</w:t>
      </w:r>
    </w:p>
    <w:p w14:paraId="275C13FE" w14:textId="77777777" w:rsidR="00341248" w:rsidRPr="00242EDD" w:rsidRDefault="00341248" w:rsidP="00242EDD">
      <w:pPr>
        <w:spacing w:line="360" w:lineRule="auto"/>
        <w:rPr>
          <w:rFonts w:ascii="Arial" w:hAnsi="Arial" w:cs="Arial"/>
          <w:sz w:val="24"/>
          <w:szCs w:val="24"/>
        </w:rPr>
      </w:pPr>
    </w:p>
    <w:p w14:paraId="1277ABE0" w14:textId="5E598E7C"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Now, we will look at how NHS IAPT successfully used </w:t>
      </w:r>
      <w:r w:rsidR="009C6540">
        <w:rPr>
          <w:rFonts w:ascii="Arial" w:hAnsi="Arial" w:cs="Arial"/>
          <w:sz w:val="24"/>
          <w:szCs w:val="24"/>
        </w:rPr>
        <w:t xml:space="preserve">the </w:t>
      </w:r>
      <w:r w:rsidRPr="00242EDD">
        <w:rPr>
          <w:rFonts w:ascii="Arial" w:hAnsi="Arial" w:cs="Arial"/>
          <w:sz w:val="24"/>
          <w:szCs w:val="24"/>
        </w:rPr>
        <w:t>change management model in implementing its changes.</w:t>
      </w:r>
    </w:p>
    <w:p w14:paraId="1409777C" w14:textId="77777777" w:rsidR="00341248" w:rsidRPr="00242EDD" w:rsidRDefault="00341248" w:rsidP="00242EDD">
      <w:pPr>
        <w:spacing w:line="360" w:lineRule="auto"/>
        <w:rPr>
          <w:rFonts w:ascii="Arial" w:hAnsi="Arial" w:cs="Arial"/>
          <w:sz w:val="24"/>
          <w:szCs w:val="24"/>
        </w:rPr>
      </w:pPr>
    </w:p>
    <w:p w14:paraId="4A3991FC" w14:textId="45E8D50E"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Lewin’s (1951) model of change management begins with an ‘unfreezing’ stage in which the status is questioned, and a desired state or goal is presented. The second stage is called ‘change.’ This is where a new set of attitudes, </w:t>
      </w:r>
      <w:r w:rsidR="009C6540">
        <w:rPr>
          <w:rFonts w:ascii="Arial" w:hAnsi="Arial" w:cs="Arial"/>
          <w:sz w:val="24"/>
          <w:szCs w:val="24"/>
        </w:rPr>
        <w:t>behaviours</w:t>
      </w:r>
      <w:r w:rsidRPr="00242EDD">
        <w:rPr>
          <w:rFonts w:ascii="Arial" w:hAnsi="Arial" w:cs="Arial"/>
          <w:sz w:val="24"/>
          <w:szCs w:val="24"/>
        </w:rPr>
        <w:t xml:space="preserve">, processes, and/or systems are introduced to achieve the desired state. The final stage is called ‘refreezing.’ In this stage, the new status or ‘new normal’ is promoted and stabilized. </w:t>
      </w:r>
    </w:p>
    <w:p w14:paraId="114B4D20" w14:textId="77777777" w:rsidR="002010F5" w:rsidRDefault="002010F5" w:rsidP="00242EDD">
      <w:pPr>
        <w:spacing w:line="360" w:lineRule="auto"/>
        <w:rPr>
          <w:rFonts w:ascii="Arial" w:hAnsi="Arial" w:cs="Arial"/>
          <w:sz w:val="24"/>
          <w:szCs w:val="24"/>
        </w:rPr>
      </w:pPr>
    </w:p>
    <w:p w14:paraId="1DA24465" w14:textId="17CFAC69"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Capitalizing on Lewin’s model, Dr. John Kotter in 1995 developed the Eight-step Change Model divided into three components (Kotter, 2023). Stages 1 to 4 primarily focus on the behaviors associated with Lewin’s “unfreezing.” These include the establishment of urgency, the formation of a strong guiding coalition, the creation of a vision, and the communication of this vision to those involved. The second set of steps is identical to Lewin's "change" stages. Stages 5 to 7 consist of empowering the people involved to take action to realize the vision, develop plans and short-term goals, and consolidate these small successes </w:t>
      </w:r>
      <w:r w:rsidR="00EF4B34">
        <w:rPr>
          <w:rFonts w:ascii="Arial" w:hAnsi="Arial" w:cs="Arial"/>
          <w:sz w:val="24"/>
          <w:szCs w:val="24"/>
        </w:rPr>
        <w:t>to</w:t>
      </w:r>
      <w:r w:rsidRPr="00242EDD">
        <w:rPr>
          <w:rFonts w:ascii="Arial" w:hAnsi="Arial" w:cs="Arial"/>
          <w:sz w:val="24"/>
          <w:szCs w:val="24"/>
        </w:rPr>
        <w:t xml:space="preserve"> produce greater change. The last stage aligns with Lewin's "refreeze" stage. It is the eighth step and involves institutionalizing the new approach.</w:t>
      </w:r>
    </w:p>
    <w:p w14:paraId="752693FB" w14:textId="77777777" w:rsidR="00341248" w:rsidRPr="00242EDD" w:rsidRDefault="00341248" w:rsidP="00242EDD">
      <w:pPr>
        <w:spacing w:line="360" w:lineRule="auto"/>
        <w:rPr>
          <w:rFonts w:ascii="Arial" w:hAnsi="Arial" w:cs="Arial"/>
          <w:sz w:val="24"/>
          <w:szCs w:val="24"/>
        </w:rPr>
      </w:pPr>
    </w:p>
    <w:p w14:paraId="6407F459" w14:textId="74F7DDDB"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 xml:space="preserve">How did the IAPT successfully incorporate the eight-step change </w:t>
      </w:r>
      <w:r w:rsidRPr="00242EDD">
        <w:rPr>
          <w:rFonts w:ascii="Arial" w:hAnsi="Arial" w:cs="Arial"/>
          <w:b/>
          <w:bCs/>
          <w:sz w:val="24"/>
          <w:szCs w:val="24"/>
        </w:rPr>
        <w:lastRenderedPageBreak/>
        <w:t>management model into its organization</w:t>
      </w:r>
      <w:r w:rsidR="00EF4B34">
        <w:rPr>
          <w:rFonts w:ascii="Arial" w:hAnsi="Arial" w:cs="Arial"/>
          <w:b/>
          <w:bCs/>
          <w:sz w:val="24"/>
          <w:szCs w:val="24"/>
        </w:rPr>
        <w:t>?</w:t>
      </w:r>
    </w:p>
    <w:p w14:paraId="2035F764" w14:textId="77777777" w:rsidR="00341248" w:rsidRPr="00242EDD" w:rsidRDefault="00341248" w:rsidP="00242EDD">
      <w:pPr>
        <w:spacing w:line="360" w:lineRule="auto"/>
        <w:rPr>
          <w:rFonts w:ascii="Arial" w:hAnsi="Arial" w:cs="Arial"/>
          <w:b/>
          <w:bCs/>
          <w:sz w:val="24"/>
          <w:szCs w:val="24"/>
        </w:rPr>
      </w:pPr>
    </w:p>
    <w:p w14:paraId="516070DF" w14:textId="3F2D293F"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Firstly, the first step is to establish a sense of urgency: a sense that something is not right and needs to change. Before the establishment of IAPT, people with anxiety and depression did not have timely and adequate access to psychological therapies. After NICE suggested that talking therapies had been shown to manage anxiety and depression, the change agents - the founders of IAPT - challenged the status quo, and the need for change was recognized. As a result, a new organization called IAPT emerged. This was the second stage. IAPT set out a goal to provide effective mental health services that would benefit more people with anxiety and depression. In addition to this, they wanted to provide evidence-based treatment using a NICE-approved stepped approach. They have set out a vision to deliver </w:t>
      </w:r>
      <w:r w:rsidR="00EF4B34">
        <w:rPr>
          <w:rFonts w:ascii="Arial" w:hAnsi="Arial" w:cs="Arial"/>
          <w:sz w:val="24"/>
          <w:szCs w:val="24"/>
        </w:rPr>
        <w:t>high-quality</w:t>
      </w:r>
      <w:r w:rsidRPr="00242EDD">
        <w:rPr>
          <w:rFonts w:ascii="Arial" w:hAnsi="Arial" w:cs="Arial"/>
          <w:sz w:val="24"/>
          <w:szCs w:val="24"/>
        </w:rPr>
        <w:t xml:space="preserve"> psychological therapies to more people at a faster pace. This is the third stage. In stage 4, this vision was communicated to the UK public, who need access to appropriate psychological services. New attitudes and systems were implemented, representing the ‘change’ stage. </w:t>
      </w:r>
    </w:p>
    <w:p w14:paraId="7BD70807" w14:textId="77777777" w:rsidR="00341248" w:rsidRPr="00242EDD" w:rsidRDefault="00341248" w:rsidP="00242EDD">
      <w:pPr>
        <w:spacing w:line="360" w:lineRule="auto"/>
        <w:rPr>
          <w:rFonts w:ascii="Arial" w:hAnsi="Arial" w:cs="Arial"/>
          <w:sz w:val="24"/>
          <w:szCs w:val="24"/>
        </w:rPr>
      </w:pPr>
    </w:p>
    <w:p w14:paraId="035BFFC4"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The IAPT needed to train more staff and gain more funding. They successfully empowered clinicians and created measurable and achievable goals such as – training new therapists, reaching 1 million patients, and achieving 50% yearly recovery rates. </w:t>
      </w:r>
    </w:p>
    <w:p w14:paraId="2B7A29DF" w14:textId="77777777" w:rsidR="002010F5" w:rsidRDefault="002010F5" w:rsidP="00242EDD">
      <w:pPr>
        <w:spacing w:line="360" w:lineRule="auto"/>
        <w:rPr>
          <w:rFonts w:ascii="Arial" w:hAnsi="Arial" w:cs="Arial"/>
          <w:sz w:val="24"/>
          <w:szCs w:val="24"/>
        </w:rPr>
      </w:pPr>
    </w:p>
    <w:p w14:paraId="7B6FA232" w14:textId="37B6BCAB"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NHS England's IAPT service measures each client's baseline anxiety and depression before and at the end of each session. The organization publishes these statistics in its annual report, demonstrating that it has made great progress. Year after year, these goals are continually reviewed and published, and small successes are celebrated. These successes encourage members </w:t>
      </w:r>
      <w:r w:rsidR="00EF4B34">
        <w:rPr>
          <w:rFonts w:ascii="Arial" w:hAnsi="Arial" w:cs="Arial"/>
          <w:sz w:val="24"/>
          <w:szCs w:val="24"/>
        </w:rPr>
        <w:t>of</w:t>
      </w:r>
      <w:r w:rsidRPr="00242EDD">
        <w:rPr>
          <w:rFonts w:ascii="Arial" w:hAnsi="Arial" w:cs="Arial"/>
          <w:sz w:val="24"/>
          <w:szCs w:val="24"/>
        </w:rPr>
        <w:t xml:space="preserve"> the organization to adopt the necessary </w:t>
      </w:r>
      <w:r w:rsidR="00EF4B34">
        <w:rPr>
          <w:rFonts w:ascii="Arial" w:hAnsi="Arial" w:cs="Arial"/>
          <w:sz w:val="24"/>
          <w:szCs w:val="24"/>
        </w:rPr>
        <w:t>behaviours</w:t>
      </w:r>
      <w:r w:rsidRPr="00242EDD">
        <w:rPr>
          <w:rFonts w:ascii="Arial" w:hAnsi="Arial" w:cs="Arial"/>
          <w:sz w:val="24"/>
          <w:szCs w:val="24"/>
        </w:rPr>
        <w:t xml:space="preserve"> to achieve these changes. The organization’s </w:t>
      </w:r>
      <w:r w:rsidR="00EF4B34">
        <w:rPr>
          <w:rFonts w:ascii="Arial" w:hAnsi="Arial" w:cs="Arial"/>
          <w:sz w:val="24"/>
          <w:szCs w:val="24"/>
        </w:rPr>
        <w:t>behaviours</w:t>
      </w:r>
      <w:r w:rsidRPr="00242EDD">
        <w:rPr>
          <w:rFonts w:ascii="Arial" w:hAnsi="Arial" w:cs="Arial"/>
          <w:sz w:val="24"/>
          <w:szCs w:val="24"/>
        </w:rPr>
        <w:t xml:space="preserve"> of empowering IAPT staff, developing SMART </w:t>
      </w:r>
      <w:r w:rsidRPr="00242EDD">
        <w:rPr>
          <w:rFonts w:ascii="Arial" w:hAnsi="Arial" w:cs="Arial"/>
          <w:sz w:val="24"/>
          <w:szCs w:val="24"/>
        </w:rPr>
        <w:lastRenderedPageBreak/>
        <w:t>plans and achievable short-term goals, and consolidating successful outcomes to enable further change represent stages 5 to 7 of Kotter's 8-step model.</w:t>
      </w:r>
    </w:p>
    <w:p w14:paraId="04AE4783" w14:textId="77777777" w:rsidR="00341248" w:rsidRPr="00242EDD" w:rsidRDefault="00341248" w:rsidP="00242EDD">
      <w:pPr>
        <w:spacing w:line="360" w:lineRule="auto"/>
        <w:rPr>
          <w:rFonts w:ascii="Arial" w:hAnsi="Arial" w:cs="Arial"/>
          <w:sz w:val="24"/>
          <w:szCs w:val="24"/>
        </w:rPr>
      </w:pPr>
    </w:p>
    <w:p w14:paraId="2CFA1D12" w14:textId="170B9B33"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IAPT has established psychotherapy </w:t>
      </w:r>
      <w:r w:rsidR="00EF4B34">
        <w:rPr>
          <w:rFonts w:ascii="Arial" w:hAnsi="Arial" w:cs="Arial"/>
          <w:sz w:val="24"/>
          <w:szCs w:val="24"/>
        </w:rPr>
        <w:t>centres</w:t>
      </w:r>
      <w:r w:rsidRPr="00242EDD">
        <w:rPr>
          <w:rFonts w:ascii="Arial" w:hAnsi="Arial" w:cs="Arial"/>
          <w:sz w:val="24"/>
          <w:szCs w:val="24"/>
        </w:rPr>
        <w:t xml:space="preserve"> throughout the UK, each offering individual and group therapy, primarily using a CBT approach (Thornicroft, 2018). Clients are enrolled into the program after an initial assessment over the phone. Clients are first assessed for their needs and then referred accordingly based on the level of care required (The National Collaborating Centre for Mental Health, 2018). </w:t>
      </w:r>
    </w:p>
    <w:bookmarkEnd w:id="1"/>
    <w:p w14:paraId="123A0306" w14:textId="77777777" w:rsidR="00341248" w:rsidRPr="00242EDD" w:rsidRDefault="00341248" w:rsidP="00242EDD">
      <w:pPr>
        <w:spacing w:line="360" w:lineRule="auto"/>
        <w:rPr>
          <w:rFonts w:ascii="Arial" w:hAnsi="Arial" w:cs="Arial"/>
          <w:sz w:val="24"/>
          <w:szCs w:val="24"/>
        </w:rPr>
      </w:pPr>
    </w:p>
    <w:p w14:paraId="5692BB98" w14:textId="48317ED3" w:rsidR="00341248" w:rsidRPr="00242EDD" w:rsidRDefault="00341248" w:rsidP="00242EDD">
      <w:pPr>
        <w:spacing w:line="360" w:lineRule="auto"/>
        <w:rPr>
          <w:rFonts w:ascii="Arial" w:hAnsi="Arial" w:cs="Arial"/>
          <w:sz w:val="24"/>
          <w:szCs w:val="24"/>
        </w:rPr>
      </w:pPr>
      <w:bookmarkStart w:id="2" w:name="OLE_LINK40"/>
      <w:r w:rsidRPr="00242EDD">
        <w:rPr>
          <w:rFonts w:ascii="Arial" w:hAnsi="Arial" w:cs="Arial"/>
          <w:sz w:val="24"/>
          <w:szCs w:val="24"/>
        </w:rPr>
        <w:t xml:space="preserve">Thornicroft (2018) also suggested that the program is unusual because it has unique features. Firstly, the program uses standardized guidelines and evidence-based protocols under intensive supervision in place of empirical protocols. Secondly, each client completes a monitoring form after each session, providing objective feedback to staff and clients. Thirdly, services are provided free of charge and funded by the NHS. Fourthly, clients may be offered a combination of psychological and medical treatment. Finally, the program aims to achieve a target number of users and a target level of recovery rate. IAPT has consistently achieved its targets and established a new status quo. This explains how IAPT has evolved. However, success cannot be achieved without change. The IAPT organization has undergone </w:t>
      </w:r>
      <w:r w:rsidR="00EF4B34">
        <w:rPr>
          <w:rFonts w:ascii="Arial" w:hAnsi="Arial" w:cs="Arial"/>
          <w:sz w:val="24"/>
          <w:szCs w:val="24"/>
        </w:rPr>
        <w:t>several</w:t>
      </w:r>
      <w:r w:rsidRPr="00242EDD">
        <w:rPr>
          <w:rFonts w:ascii="Arial" w:hAnsi="Arial" w:cs="Arial"/>
          <w:sz w:val="24"/>
          <w:szCs w:val="24"/>
        </w:rPr>
        <w:t xml:space="preserve"> changes over the last decade.</w:t>
      </w:r>
    </w:p>
    <w:p w14:paraId="56339BD2" w14:textId="77777777" w:rsidR="00341248" w:rsidRPr="00242EDD" w:rsidRDefault="00341248" w:rsidP="00242EDD">
      <w:pPr>
        <w:spacing w:line="360" w:lineRule="auto"/>
        <w:rPr>
          <w:rFonts w:ascii="Arial" w:hAnsi="Arial" w:cs="Arial"/>
          <w:sz w:val="24"/>
          <w:szCs w:val="24"/>
        </w:rPr>
      </w:pPr>
    </w:p>
    <w:p w14:paraId="14EDACD2" w14:textId="77777777"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 xml:space="preserve">How did the IAPT continue incorporating the eight-step change model and change management principles? </w:t>
      </w:r>
    </w:p>
    <w:p w14:paraId="7D0BAC7B" w14:textId="77777777" w:rsidR="00341248" w:rsidRPr="00242EDD" w:rsidRDefault="00341248" w:rsidP="00242EDD">
      <w:pPr>
        <w:spacing w:line="360" w:lineRule="auto"/>
        <w:rPr>
          <w:rFonts w:ascii="Arial" w:hAnsi="Arial" w:cs="Arial"/>
          <w:sz w:val="24"/>
          <w:szCs w:val="24"/>
        </w:rPr>
      </w:pPr>
    </w:p>
    <w:p w14:paraId="43E4F3BA" w14:textId="79769CD4"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Firstly, the IAPT determined that despite providing its services to 1 million people, psychological therapies continued to be needed. This called for another unfreezing. They questioned the status quo, stating that 1.9 million is merely a quarter of the individuals with anxiety or depression in the 2019 prevalence </w:t>
      </w:r>
      <w:r w:rsidRPr="00242EDD">
        <w:rPr>
          <w:rFonts w:ascii="Arial" w:hAnsi="Arial" w:cs="Arial"/>
          <w:sz w:val="24"/>
          <w:szCs w:val="24"/>
        </w:rPr>
        <w:lastRenderedPageBreak/>
        <w:t xml:space="preserve">statistics. They presented goals of serving this number of individuals by 2024, improving the adequate treatment dose or number of sessions, reducing the waiting period between an initial intake and the subsequent treatment, improving respect for patient autonomy, and ensuring the staff and clinician’s well-being. To meet this large demand, it is necessary to focus on training an increasing number of clinicians. The aim is to have 10,500 new trained and supervised clinicians by 2021 (Clark, 2019). </w:t>
      </w:r>
      <w:r w:rsidR="00EF4B34">
        <w:rPr>
          <w:rFonts w:ascii="Arial" w:hAnsi="Arial" w:cs="Arial"/>
          <w:sz w:val="24"/>
          <w:szCs w:val="24"/>
        </w:rPr>
        <w:t>Despite</w:t>
      </w:r>
      <w:r w:rsidRPr="00242EDD">
        <w:rPr>
          <w:rFonts w:ascii="Arial" w:hAnsi="Arial" w:cs="Arial"/>
          <w:sz w:val="24"/>
          <w:szCs w:val="24"/>
        </w:rPr>
        <w:t xml:space="preserve"> the increasing demand for psychological therapy, the IAPT services report a yearly increase in the number of clients it sees and the percentage of patients reaching recovery (Clark, 2019). </w:t>
      </w:r>
    </w:p>
    <w:p w14:paraId="416708F4" w14:textId="77777777" w:rsidR="00341248" w:rsidRPr="00242EDD" w:rsidRDefault="00341248" w:rsidP="00242EDD">
      <w:pPr>
        <w:spacing w:line="360" w:lineRule="auto"/>
        <w:rPr>
          <w:rFonts w:ascii="Arial" w:hAnsi="Arial" w:cs="Arial"/>
          <w:sz w:val="24"/>
          <w:szCs w:val="24"/>
        </w:rPr>
      </w:pPr>
    </w:p>
    <w:p w14:paraId="28CF3F13"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According to the latest data, about 52.1% of clients who received psychological therapy from the IAPT reached recovery, which was 1.3 percentage points more than the previous year (50.8%) (NHS Digital, 2023). The IAPT founders did not just draw figures and goals out of thin air. They first analyzed how service-level qualities (such as waiting time) affected the outcome of treatment. They understood that a better outcome was influenced not only by the clinician’s skills or the effectiveness of a psychotherapeutic drug but also by the service-level qualities. </w:t>
      </w:r>
    </w:p>
    <w:p w14:paraId="31B38BDA" w14:textId="77777777" w:rsidR="00341248" w:rsidRPr="00242EDD" w:rsidRDefault="00341248" w:rsidP="00242EDD">
      <w:pPr>
        <w:spacing w:line="360" w:lineRule="auto"/>
        <w:rPr>
          <w:rFonts w:ascii="Arial" w:hAnsi="Arial" w:cs="Arial"/>
          <w:sz w:val="24"/>
          <w:szCs w:val="24"/>
        </w:rPr>
      </w:pPr>
    </w:p>
    <w:p w14:paraId="5008FCC4" w14:textId="0117108E"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Over the last 15 years of the IAPT services, clients with clinical anxiety and depressive disorder diagnoses showed improvement, increased attendance to treatment sessions, and more sessions in </w:t>
      </w:r>
      <w:r w:rsidR="00EF4B34">
        <w:rPr>
          <w:rFonts w:ascii="Arial" w:hAnsi="Arial" w:cs="Arial"/>
          <w:sz w:val="24"/>
          <w:szCs w:val="24"/>
        </w:rPr>
        <w:t>centres</w:t>
      </w:r>
      <w:r w:rsidRPr="00242EDD">
        <w:rPr>
          <w:rFonts w:ascii="Arial" w:hAnsi="Arial" w:cs="Arial"/>
          <w:sz w:val="24"/>
          <w:szCs w:val="24"/>
        </w:rPr>
        <w:t xml:space="preserve"> incorporating the IAPT program. These teams were also able to accept more clients, thereby increasing access. Conversely, those </w:t>
      </w:r>
      <w:r w:rsidR="00EF4B34">
        <w:rPr>
          <w:rFonts w:ascii="Arial" w:hAnsi="Arial" w:cs="Arial"/>
          <w:sz w:val="24"/>
          <w:szCs w:val="24"/>
        </w:rPr>
        <w:t>centres</w:t>
      </w:r>
      <w:r w:rsidRPr="00242EDD">
        <w:rPr>
          <w:rFonts w:ascii="Arial" w:hAnsi="Arial" w:cs="Arial"/>
          <w:sz w:val="24"/>
          <w:szCs w:val="24"/>
        </w:rPr>
        <w:t xml:space="preserve"> with longer waiting </w:t>
      </w:r>
      <w:r w:rsidR="00EF4B34">
        <w:rPr>
          <w:rFonts w:ascii="Arial" w:hAnsi="Arial" w:cs="Arial"/>
          <w:sz w:val="24"/>
          <w:szCs w:val="24"/>
        </w:rPr>
        <w:t>times</w:t>
      </w:r>
      <w:r w:rsidRPr="00242EDD">
        <w:rPr>
          <w:rFonts w:ascii="Arial" w:hAnsi="Arial" w:cs="Arial"/>
          <w:sz w:val="24"/>
          <w:szCs w:val="24"/>
        </w:rPr>
        <w:t xml:space="preserve"> had worse clinical outcomes for their clients and lower treatment attendance (Clark, et al, 2018). To reach these goals, the IAPT required changes in the clinician and staff attitudes and the integration of new systems. </w:t>
      </w:r>
    </w:p>
    <w:bookmarkEnd w:id="2"/>
    <w:p w14:paraId="03D5CB7D" w14:textId="77777777" w:rsidR="00341248" w:rsidRPr="00242EDD" w:rsidRDefault="00341248" w:rsidP="00242EDD">
      <w:pPr>
        <w:spacing w:line="360" w:lineRule="auto"/>
        <w:rPr>
          <w:rFonts w:ascii="Arial" w:hAnsi="Arial" w:cs="Arial"/>
          <w:sz w:val="24"/>
          <w:szCs w:val="24"/>
        </w:rPr>
      </w:pPr>
    </w:p>
    <w:p w14:paraId="3BEC3D8C" w14:textId="6CE2B747"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 xml:space="preserve">The Impact of </w:t>
      </w:r>
      <w:r w:rsidR="00EF4B34">
        <w:rPr>
          <w:rFonts w:ascii="Arial" w:hAnsi="Arial" w:cs="Arial"/>
          <w:b/>
          <w:bCs/>
          <w:sz w:val="24"/>
          <w:szCs w:val="24"/>
        </w:rPr>
        <w:t xml:space="preserve">the </w:t>
      </w:r>
      <w:r w:rsidRPr="00242EDD">
        <w:rPr>
          <w:rFonts w:ascii="Arial" w:hAnsi="Arial" w:cs="Arial"/>
          <w:b/>
          <w:bCs/>
          <w:sz w:val="24"/>
          <w:szCs w:val="24"/>
        </w:rPr>
        <w:t>COVID-19 Pandemic on IAPT Services</w:t>
      </w:r>
    </w:p>
    <w:p w14:paraId="7101F41B" w14:textId="77777777" w:rsidR="00341248" w:rsidRPr="00242EDD" w:rsidRDefault="00341248" w:rsidP="00242EDD">
      <w:pPr>
        <w:spacing w:line="360" w:lineRule="auto"/>
        <w:rPr>
          <w:rFonts w:ascii="Arial" w:hAnsi="Arial" w:cs="Arial"/>
          <w:sz w:val="24"/>
          <w:szCs w:val="24"/>
        </w:rPr>
      </w:pPr>
    </w:p>
    <w:p w14:paraId="72FE9E40" w14:textId="028EB19D"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lastRenderedPageBreak/>
        <w:t xml:space="preserve">The pandemic has directly impacted the way IAPT services are delivered. Instead of the traditional face-to-face approach, services were provided remotely. After the lockdown, the number of people accessing IAPT services for the first time decreased by 74 per cent. However, with many patients switching to teletherapy, the number of patients accessing mental health services only decreased by 28 per cent (Bauer-Staeb, Davis, Smith et al., 2021). Capobianco et al., (2023) also observed in their cross-sectional analysis that the provision of digital and </w:t>
      </w:r>
      <w:r w:rsidR="00EF4B34">
        <w:rPr>
          <w:rFonts w:ascii="Arial" w:hAnsi="Arial" w:cs="Arial"/>
          <w:sz w:val="24"/>
          <w:szCs w:val="24"/>
        </w:rPr>
        <w:t>tele</w:t>
      </w:r>
      <w:r w:rsidR="00EF4B34">
        <w:rPr>
          <w:rFonts w:ascii="Arial" w:hAnsi="Arial" w:cs="Arial" w:hint="eastAsia"/>
          <w:sz w:val="24"/>
          <w:szCs w:val="24"/>
        </w:rPr>
        <w:t xml:space="preserve"> </w:t>
      </w:r>
      <w:r w:rsidR="00EF4B34">
        <w:rPr>
          <w:rFonts w:ascii="Arial" w:hAnsi="Arial" w:cs="Arial"/>
          <w:sz w:val="24"/>
          <w:szCs w:val="24"/>
        </w:rPr>
        <w:t>psychological</w:t>
      </w:r>
      <w:r w:rsidRPr="00242EDD">
        <w:rPr>
          <w:rFonts w:ascii="Arial" w:hAnsi="Arial" w:cs="Arial"/>
          <w:sz w:val="24"/>
          <w:szCs w:val="24"/>
        </w:rPr>
        <w:t xml:space="preserve"> treatments was associated with improvements in anxiety and depression. There were no significant differences between face-to-face and remote services before and after the lockdown.</w:t>
      </w:r>
    </w:p>
    <w:p w14:paraId="2D09F390" w14:textId="77777777" w:rsidR="00341248" w:rsidRPr="00242EDD" w:rsidRDefault="00341248" w:rsidP="00242EDD">
      <w:pPr>
        <w:spacing w:line="360" w:lineRule="auto"/>
        <w:rPr>
          <w:rFonts w:ascii="Arial" w:hAnsi="Arial" w:cs="Arial"/>
          <w:sz w:val="24"/>
          <w:szCs w:val="24"/>
        </w:rPr>
      </w:pPr>
    </w:p>
    <w:p w14:paraId="71D1ADF5" w14:textId="77777777" w:rsidR="00341248" w:rsidRPr="00242EDD" w:rsidRDefault="00341248" w:rsidP="00242EDD">
      <w:pPr>
        <w:spacing w:line="360" w:lineRule="auto"/>
        <w:rPr>
          <w:rFonts w:ascii="Arial" w:hAnsi="Arial" w:cs="Arial"/>
          <w:b/>
          <w:bCs/>
          <w:sz w:val="24"/>
          <w:szCs w:val="24"/>
        </w:rPr>
      </w:pPr>
      <w:r w:rsidRPr="00242EDD">
        <w:rPr>
          <w:rFonts w:ascii="Arial" w:hAnsi="Arial" w:cs="Arial"/>
          <w:b/>
          <w:bCs/>
          <w:sz w:val="24"/>
          <w:szCs w:val="24"/>
        </w:rPr>
        <w:t>The Future of NHS Talking Therapies (formerly IAPT)</w:t>
      </w:r>
    </w:p>
    <w:p w14:paraId="140B7742" w14:textId="77777777" w:rsidR="00341248" w:rsidRPr="00242EDD" w:rsidRDefault="00341248" w:rsidP="00242EDD">
      <w:pPr>
        <w:spacing w:line="360" w:lineRule="auto"/>
        <w:rPr>
          <w:rFonts w:ascii="Arial" w:hAnsi="Arial" w:cs="Arial"/>
          <w:sz w:val="24"/>
          <w:szCs w:val="24"/>
        </w:rPr>
      </w:pPr>
    </w:p>
    <w:p w14:paraId="16EADE25" w14:textId="08D74EA6"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The next round of changes did not begin until recently. In 2023, IAPT leaders </w:t>
      </w:r>
      <w:r w:rsidR="00EF4B34">
        <w:rPr>
          <w:rFonts w:ascii="Arial" w:hAnsi="Arial" w:cs="Arial"/>
          <w:sz w:val="24"/>
          <w:szCs w:val="24"/>
        </w:rPr>
        <w:t>Dr</w:t>
      </w:r>
      <w:r w:rsidRPr="00242EDD">
        <w:rPr>
          <w:rFonts w:ascii="Arial" w:hAnsi="Arial" w:cs="Arial"/>
          <w:sz w:val="24"/>
          <w:szCs w:val="24"/>
        </w:rPr>
        <w:t xml:space="preserve"> Clark and </w:t>
      </w:r>
      <w:r w:rsidR="00EF4B34">
        <w:rPr>
          <w:rFonts w:ascii="Arial" w:hAnsi="Arial" w:cs="Arial"/>
          <w:sz w:val="24"/>
          <w:szCs w:val="24"/>
        </w:rPr>
        <w:t>Dr</w:t>
      </w:r>
      <w:r w:rsidRPr="00242EDD">
        <w:rPr>
          <w:rFonts w:ascii="Arial" w:hAnsi="Arial" w:cs="Arial"/>
          <w:sz w:val="24"/>
          <w:szCs w:val="24"/>
        </w:rPr>
        <w:t xml:space="preserve"> Whittington (2023) announced that IAPT had changed its name to "Talking Therapies," specifically for anxiety and depression. The unfreezing phase followed a public consultation. It was noted that anxiety and depression were fast becoming an epidemic and that those experiencing these syndromes had not utilized IAPT services. IAPT has enabled access to services through self-referral, meaning that there is no need for a referral letter from a Primary Care or General Practitioner and that services can be accessed on a walk-in basis (NHS, 2022). In terms of service access, Thornicroft, Chatterji, Evans-Lacko et al. (2017) observed that in 21 countries, nearly half of people diagnosed with anxiety or depression were either in denial about their difficulties or decided that treatment was not right for them. Therefore, IAPT needs to expand its reach and increase help-seeking </w:t>
      </w:r>
      <w:r w:rsidR="00EF4B34">
        <w:rPr>
          <w:rFonts w:ascii="Arial" w:hAnsi="Arial" w:cs="Arial"/>
          <w:sz w:val="24"/>
          <w:szCs w:val="24"/>
        </w:rPr>
        <w:t>behaviour</w:t>
      </w:r>
      <w:r w:rsidRPr="00242EDD">
        <w:rPr>
          <w:rFonts w:ascii="Arial" w:hAnsi="Arial" w:cs="Arial"/>
          <w:sz w:val="24"/>
          <w:szCs w:val="24"/>
        </w:rPr>
        <w:t xml:space="preserve"> among the public.  Thornicroft, (2018), Professor of Psychiatry at King's College London, stated that providing equitable access is also important. Avoiding or reducing disparities due to gender, age, social status, and race/ethnicity is critical to getting more clients into programs. Using focus group research data and public </w:t>
      </w:r>
      <w:r w:rsidRPr="00242EDD">
        <w:rPr>
          <w:rFonts w:ascii="Arial" w:hAnsi="Arial" w:cs="Arial"/>
          <w:sz w:val="24"/>
          <w:szCs w:val="24"/>
        </w:rPr>
        <w:lastRenderedPageBreak/>
        <w:t xml:space="preserve">consultation with approximately 4,000 respondents, it was determined that IAPT needed a new name (Clark, 2019). The goal was to remove the stigma of psychiatrists and psychologists and allow patients and the public to freely access services. Talking Therapies is an overall term for the psychological therapies offered by the organization. Most of the services are practical and involve clinician-directed self-help (NHS, 2022). </w:t>
      </w:r>
    </w:p>
    <w:p w14:paraId="4B58E9A3" w14:textId="77777777" w:rsidR="00341248" w:rsidRPr="00242EDD" w:rsidRDefault="00341248" w:rsidP="00242EDD">
      <w:pPr>
        <w:spacing w:line="360" w:lineRule="auto"/>
        <w:rPr>
          <w:rFonts w:ascii="Arial" w:hAnsi="Arial" w:cs="Arial"/>
          <w:sz w:val="24"/>
          <w:szCs w:val="24"/>
        </w:rPr>
      </w:pPr>
    </w:p>
    <w:p w14:paraId="2D07F4E6" w14:textId="3E351C32" w:rsidR="00341248" w:rsidRPr="00242EDD" w:rsidRDefault="002010F5" w:rsidP="00242EDD">
      <w:pPr>
        <w:spacing w:line="360" w:lineRule="auto"/>
        <w:rPr>
          <w:rFonts w:ascii="Arial" w:hAnsi="Arial" w:cs="Arial"/>
          <w:b/>
          <w:bCs/>
          <w:sz w:val="24"/>
          <w:szCs w:val="24"/>
        </w:rPr>
      </w:pPr>
      <w:r>
        <w:rPr>
          <w:rFonts w:ascii="Arial" w:hAnsi="Arial" w:cs="Arial" w:hint="eastAsia"/>
          <w:b/>
          <w:bCs/>
          <w:sz w:val="24"/>
          <w:szCs w:val="24"/>
        </w:rPr>
        <w:t>L</w:t>
      </w:r>
      <w:r w:rsidR="00341248" w:rsidRPr="00242EDD">
        <w:rPr>
          <w:rFonts w:ascii="Arial" w:hAnsi="Arial" w:cs="Arial"/>
          <w:b/>
          <w:bCs/>
          <w:sz w:val="24"/>
          <w:szCs w:val="24"/>
        </w:rPr>
        <w:t>eaders introduced a new goal: offering digitally-enabled therapies.</w:t>
      </w:r>
    </w:p>
    <w:p w14:paraId="254AD780" w14:textId="77777777" w:rsidR="00341248" w:rsidRPr="00242EDD" w:rsidRDefault="00341248" w:rsidP="00242EDD">
      <w:pPr>
        <w:spacing w:line="360" w:lineRule="auto"/>
        <w:rPr>
          <w:rFonts w:ascii="Arial" w:hAnsi="Arial" w:cs="Arial"/>
          <w:sz w:val="24"/>
          <w:szCs w:val="24"/>
        </w:rPr>
      </w:pPr>
    </w:p>
    <w:p w14:paraId="433A08F7"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Digital therapy is now being evaluated for adults and has been conditionally recommended since last year (NICE, 2023). Following a consultation, eight therapies have been recommended, conditionally while awaiting further evidence, to be incorporated into the Talking therapies program. These therapies combined can potentially help over 40,000 people achieve recovery. The demand for Talking Therapies services is still high. Although the waiting period has been remarkably reduced from 15 years ago, it still takes about six weeks for an individual to access professional help. Introducing digitally-enabled therapy after a formal assessment can help reduce these waiting periods and act as an alternative access, offering flexibility with time and location. According to NICE’s (2023) director of medical technology, Mark Chapman, these digital therapies are developed according to CBT methods and have each demonstrated, in a rapid assessment, a potential to help thousands reach recovery. In consultation with a panel of experts, these technologies were welcomed with the hopes of reducing waiting periods and isolation, improving access in remote areas, alleviating loneliness beyond office hours, providing autonomy for one to navigate toward mental wellness, and reducing face-to-face contact (National Institute for Health and Care Excellence, 2023).</w:t>
      </w:r>
    </w:p>
    <w:p w14:paraId="2476BFCD" w14:textId="77777777" w:rsidR="00341248" w:rsidRPr="00242EDD" w:rsidRDefault="00341248" w:rsidP="00242EDD">
      <w:pPr>
        <w:spacing w:line="360" w:lineRule="auto"/>
        <w:rPr>
          <w:rFonts w:ascii="Arial" w:hAnsi="Arial" w:cs="Arial"/>
          <w:sz w:val="24"/>
          <w:szCs w:val="24"/>
        </w:rPr>
      </w:pPr>
    </w:p>
    <w:p w14:paraId="7AA8EDAA"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 xml:space="preserve">Similar technologies have also been developed for children (5-18), which involved a combination of games and interactive audiovisual material to help </w:t>
      </w:r>
      <w:r w:rsidRPr="00242EDD">
        <w:rPr>
          <w:rFonts w:ascii="Arial" w:hAnsi="Arial" w:cs="Arial"/>
          <w:sz w:val="24"/>
          <w:szCs w:val="24"/>
        </w:rPr>
        <w:lastRenderedPageBreak/>
        <w:t xml:space="preserve">alleviate mild to moderate anxiety and improve mood. These can be delivered through various devices and have been recommended by NICE (Wise, 2023) but are still awaiting NHS approval. </w:t>
      </w:r>
    </w:p>
    <w:p w14:paraId="3DB29CED" w14:textId="77777777" w:rsidR="00341248" w:rsidRPr="00242EDD" w:rsidRDefault="00341248" w:rsidP="00242EDD">
      <w:pPr>
        <w:spacing w:line="360" w:lineRule="auto"/>
        <w:rPr>
          <w:rFonts w:ascii="Arial" w:hAnsi="Arial" w:cs="Arial"/>
          <w:sz w:val="24"/>
          <w:szCs w:val="24"/>
        </w:rPr>
      </w:pPr>
    </w:p>
    <w:p w14:paraId="083B07D8" w14:textId="77777777"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Currently, the practical approach to mental health conditions utilized by Talking Therapies involves problem-solving strategies and exercises to be aware of and overcome anxieties, worries, and fears. It may involve a little pain by working through and facing one’s traumatic experiences. However, the clinician’s task is to make it safe for the clients. Likely, the client will expect to leave a session with some suggestions and advice. Most importantly, the therapy involves talking. This is the main reason it is renamed to “talking therapies.”</w:t>
      </w:r>
    </w:p>
    <w:p w14:paraId="5BA8917B" w14:textId="77777777" w:rsidR="00341248" w:rsidRPr="00242EDD" w:rsidRDefault="00341248" w:rsidP="00242EDD">
      <w:pPr>
        <w:spacing w:line="360" w:lineRule="auto"/>
        <w:rPr>
          <w:rFonts w:ascii="Arial" w:hAnsi="Arial" w:cs="Arial"/>
          <w:sz w:val="24"/>
          <w:szCs w:val="24"/>
        </w:rPr>
      </w:pPr>
    </w:p>
    <w:p w14:paraId="6CE1F55F" w14:textId="46F0FA6A" w:rsidR="00341248" w:rsidRPr="00242EDD" w:rsidRDefault="00341248" w:rsidP="00242EDD">
      <w:pPr>
        <w:spacing w:line="360" w:lineRule="auto"/>
        <w:rPr>
          <w:rFonts w:ascii="Arial" w:hAnsi="Arial" w:cs="Arial"/>
          <w:sz w:val="24"/>
          <w:szCs w:val="24"/>
        </w:rPr>
      </w:pPr>
      <w:r w:rsidRPr="00242EDD">
        <w:rPr>
          <w:rFonts w:ascii="Arial" w:hAnsi="Arial" w:cs="Arial"/>
          <w:sz w:val="24"/>
          <w:szCs w:val="24"/>
        </w:rPr>
        <w:t>Secondly, the organization specified that its services would be provided for anxiety and depression. Many referrals, such as psychosis, schizophrenia, or personality disorders, require specialist services to provide complex management for these cases. The new name with the description will support those with anxiety and depressive disorders to seek help as well as inform the public that these services are offered for common mental conditions under the category of anxiety disorders and depressive disorders. These categories are broad and include agoraphobia (or fear of crowds and open spaces), body dysmorphia, major depression, seasonal depression, dysthymia, phobias (specific fears such as spiders, enclosed spaces, or flying), hypochondriasis (health anxiety), and generalized anxiety, obsessive-compulsive, post-traumatic stress, social anxiety, and panic disorders (Clark and Whittington, 2023).</w:t>
      </w:r>
    </w:p>
    <w:p w14:paraId="338F279C" w14:textId="77777777" w:rsidR="00341248" w:rsidRPr="00242EDD" w:rsidRDefault="00341248" w:rsidP="00242EDD">
      <w:pPr>
        <w:spacing w:line="360" w:lineRule="auto"/>
        <w:rPr>
          <w:rFonts w:ascii="Arial" w:hAnsi="Arial" w:cs="Arial"/>
          <w:sz w:val="24"/>
          <w:szCs w:val="24"/>
        </w:rPr>
      </w:pPr>
    </w:p>
    <w:p w14:paraId="6BBE5421" w14:textId="158D66E6" w:rsidR="00341248" w:rsidRDefault="00341248" w:rsidP="00242EDD">
      <w:pPr>
        <w:spacing w:line="360" w:lineRule="auto"/>
        <w:rPr>
          <w:rFonts w:ascii="Arial" w:hAnsi="Arial" w:cs="Arial"/>
          <w:sz w:val="24"/>
          <w:szCs w:val="24"/>
        </w:rPr>
      </w:pPr>
      <w:r w:rsidRPr="00242EDD">
        <w:rPr>
          <w:rFonts w:ascii="Arial" w:hAnsi="Arial" w:cs="Arial"/>
          <w:sz w:val="24"/>
          <w:szCs w:val="24"/>
        </w:rPr>
        <w:t xml:space="preserve">In conclusion, these changes enacted by the mental health services in the NHS </w:t>
      </w:r>
      <w:r w:rsidR="00EF4B34">
        <w:rPr>
          <w:rFonts w:ascii="Arial" w:hAnsi="Arial" w:cs="Arial"/>
          <w:sz w:val="24"/>
          <w:szCs w:val="24"/>
        </w:rPr>
        <w:t>have</w:t>
      </w:r>
      <w:r w:rsidRPr="00242EDD">
        <w:rPr>
          <w:rFonts w:ascii="Arial" w:hAnsi="Arial" w:cs="Arial"/>
          <w:sz w:val="24"/>
          <w:szCs w:val="24"/>
        </w:rPr>
        <w:t xml:space="preserve"> been significant enough to gain worldwide recognition. Other countries, such as Australia and Norway, have adopted and incorporated the IAPT models for delivering mental health services with promising results (Carey, 2019; </w:t>
      </w:r>
      <w:r w:rsidRPr="00242EDD">
        <w:rPr>
          <w:rFonts w:ascii="Arial" w:hAnsi="Arial" w:cs="Arial"/>
          <w:sz w:val="24"/>
          <w:szCs w:val="24"/>
        </w:rPr>
        <w:lastRenderedPageBreak/>
        <w:t xml:space="preserve">Knapstad et al., 2019).  Treatment access rates for anxiety and depression have increased significantly since 2007, from 24% to 37% in 2014 to now about 50% (Baker and Kirk-Wade, 2023). The latest statistics show that between the years 2022 and 2023, there was a recovery rate of more than 60% among those who received treatment for anxiety and depression, regardless of ethnic group (NHS England, 2020). With all these remarkable successes, the Talking Therapies’ work is not yet over. The longer-term goal remains, that is, to improve mental well-being among its citizens. This involves achieving an overall reduction in the prevalence of the two disorders - anxiety and depression. The current figures remain high, and in any given week, about one </w:t>
      </w:r>
      <w:r w:rsidR="00EF4B34">
        <w:rPr>
          <w:rFonts w:ascii="Arial" w:hAnsi="Arial" w:cs="Arial"/>
          <w:sz w:val="24"/>
          <w:szCs w:val="24"/>
        </w:rPr>
        <w:t>in</w:t>
      </w:r>
      <w:r w:rsidRPr="00242EDD">
        <w:rPr>
          <w:rFonts w:ascii="Arial" w:hAnsi="Arial" w:cs="Arial"/>
          <w:sz w:val="24"/>
          <w:szCs w:val="24"/>
        </w:rPr>
        <w:t xml:space="preserve"> every 16 people still experience difficulties from these two (Pindar, 2022). These figures should be reduced, at least by 10% each year, by ensuring that the quality and access to services remain high, encouraging more people to receive treatment, providing equitable services to all ages, ethnicities, genders, and social classes, and incorporating the use of digital mental health technologies.</w:t>
      </w:r>
    </w:p>
    <w:bookmarkEnd w:id="0"/>
    <w:p w14:paraId="5D8FF68F" w14:textId="77777777" w:rsidR="002A3570" w:rsidRDefault="002A3570" w:rsidP="00242EDD">
      <w:pPr>
        <w:spacing w:line="360" w:lineRule="auto"/>
        <w:rPr>
          <w:rFonts w:ascii="Arial" w:hAnsi="Arial" w:cs="Arial"/>
          <w:sz w:val="24"/>
          <w:szCs w:val="24"/>
        </w:rPr>
      </w:pPr>
    </w:p>
    <w:p w14:paraId="56E8BB61" w14:textId="77777777" w:rsidR="002A3570" w:rsidRDefault="002A3570" w:rsidP="00242EDD">
      <w:pPr>
        <w:spacing w:line="360" w:lineRule="auto"/>
        <w:rPr>
          <w:rFonts w:ascii="Arial" w:hAnsi="Arial" w:cs="Arial"/>
          <w:sz w:val="24"/>
          <w:szCs w:val="24"/>
        </w:rPr>
      </w:pPr>
    </w:p>
    <w:p w14:paraId="1B24FC6B" w14:textId="77777777" w:rsidR="002A3570" w:rsidRDefault="002A3570" w:rsidP="00242EDD">
      <w:pPr>
        <w:spacing w:line="360" w:lineRule="auto"/>
        <w:rPr>
          <w:rFonts w:ascii="Arial" w:hAnsi="Arial" w:cs="Arial"/>
          <w:sz w:val="24"/>
          <w:szCs w:val="24"/>
        </w:rPr>
      </w:pPr>
    </w:p>
    <w:p w14:paraId="5E3165D8" w14:textId="77777777" w:rsidR="002A3570" w:rsidRDefault="002A3570" w:rsidP="00242EDD">
      <w:pPr>
        <w:spacing w:line="360" w:lineRule="auto"/>
        <w:rPr>
          <w:rFonts w:ascii="Arial" w:hAnsi="Arial" w:cs="Arial"/>
          <w:sz w:val="24"/>
          <w:szCs w:val="24"/>
        </w:rPr>
      </w:pPr>
    </w:p>
    <w:p w14:paraId="78014F70" w14:textId="77777777" w:rsidR="002A3570" w:rsidRDefault="002A3570" w:rsidP="00242EDD">
      <w:pPr>
        <w:spacing w:line="360" w:lineRule="auto"/>
        <w:rPr>
          <w:rFonts w:ascii="Arial" w:hAnsi="Arial" w:cs="Arial"/>
          <w:sz w:val="24"/>
          <w:szCs w:val="24"/>
        </w:rPr>
      </w:pPr>
    </w:p>
    <w:p w14:paraId="005B7EFA" w14:textId="77777777" w:rsidR="002A3570" w:rsidRDefault="002A3570" w:rsidP="00242EDD">
      <w:pPr>
        <w:spacing w:line="360" w:lineRule="auto"/>
        <w:rPr>
          <w:rFonts w:ascii="Arial" w:hAnsi="Arial" w:cs="Arial"/>
          <w:sz w:val="24"/>
          <w:szCs w:val="24"/>
        </w:rPr>
      </w:pPr>
    </w:p>
    <w:p w14:paraId="460A3288" w14:textId="77777777" w:rsidR="002A3570" w:rsidRDefault="002A3570" w:rsidP="00242EDD">
      <w:pPr>
        <w:spacing w:line="360" w:lineRule="auto"/>
        <w:rPr>
          <w:rFonts w:ascii="Arial" w:hAnsi="Arial" w:cs="Arial"/>
          <w:sz w:val="24"/>
          <w:szCs w:val="24"/>
        </w:rPr>
      </w:pPr>
    </w:p>
    <w:p w14:paraId="369CA1A8" w14:textId="77777777" w:rsidR="002A3570" w:rsidRDefault="002A3570" w:rsidP="00242EDD">
      <w:pPr>
        <w:spacing w:line="360" w:lineRule="auto"/>
        <w:rPr>
          <w:rFonts w:ascii="Arial" w:hAnsi="Arial" w:cs="Arial"/>
          <w:sz w:val="24"/>
          <w:szCs w:val="24"/>
        </w:rPr>
      </w:pPr>
    </w:p>
    <w:p w14:paraId="3DFC47BB" w14:textId="77777777" w:rsidR="002A3570" w:rsidRDefault="002A3570" w:rsidP="00242EDD">
      <w:pPr>
        <w:spacing w:line="360" w:lineRule="auto"/>
        <w:rPr>
          <w:rFonts w:ascii="Arial" w:hAnsi="Arial" w:cs="Arial"/>
          <w:sz w:val="24"/>
          <w:szCs w:val="24"/>
        </w:rPr>
      </w:pPr>
    </w:p>
    <w:p w14:paraId="6C887786" w14:textId="77777777" w:rsidR="002A3570" w:rsidRDefault="002A3570" w:rsidP="00242EDD">
      <w:pPr>
        <w:spacing w:line="360" w:lineRule="auto"/>
        <w:rPr>
          <w:rFonts w:ascii="Arial" w:hAnsi="Arial" w:cs="Arial"/>
          <w:sz w:val="24"/>
          <w:szCs w:val="24"/>
        </w:rPr>
      </w:pPr>
    </w:p>
    <w:p w14:paraId="1E5F4BF5" w14:textId="77777777" w:rsidR="002A3570" w:rsidRDefault="002A3570" w:rsidP="00242EDD">
      <w:pPr>
        <w:spacing w:line="360" w:lineRule="auto"/>
        <w:rPr>
          <w:rFonts w:ascii="Arial" w:hAnsi="Arial" w:cs="Arial"/>
          <w:sz w:val="24"/>
          <w:szCs w:val="24"/>
        </w:rPr>
      </w:pPr>
    </w:p>
    <w:p w14:paraId="6832FF10" w14:textId="77777777" w:rsidR="00EF4B34" w:rsidRDefault="00EF4B34" w:rsidP="00242EDD">
      <w:pPr>
        <w:spacing w:line="360" w:lineRule="auto"/>
        <w:rPr>
          <w:rFonts w:ascii="Arial" w:hAnsi="Arial" w:cs="Arial"/>
          <w:b/>
          <w:bCs/>
          <w:sz w:val="32"/>
          <w:szCs w:val="32"/>
        </w:rPr>
      </w:pPr>
    </w:p>
    <w:p w14:paraId="6FE8B231" w14:textId="77777777" w:rsidR="00EF4B34" w:rsidRDefault="00EF4B34" w:rsidP="00242EDD">
      <w:pPr>
        <w:spacing w:line="360" w:lineRule="auto"/>
        <w:rPr>
          <w:rFonts w:ascii="Arial" w:hAnsi="Arial" w:cs="Arial"/>
          <w:b/>
          <w:bCs/>
          <w:sz w:val="32"/>
          <w:szCs w:val="32"/>
        </w:rPr>
      </w:pPr>
    </w:p>
    <w:p w14:paraId="6BEF8582" w14:textId="77777777" w:rsidR="00EF4B34" w:rsidRDefault="00EF4B34" w:rsidP="00242EDD">
      <w:pPr>
        <w:spacing w:line="360" w:lineRule="auto"/>
        <w:rPr>
          <w:rFonts w:ascii="Arial" w:hAnsi="Arial" w:cs="Arial"/>
          <w:b/>
          <w:bCs/>
          <w:sz w:val="32"/>
          <w:szCs w:val="32"/>
        </w:rPr>
      </w:pPr>
    </w:p>
    <w:p w14:paraId="7D891C9D" w14:textId="4D08F6C3" w:rsidR="002A3570" w:rsidRPr="002A3570" w:rsidRDefault="002A3570" w:rsidP="00242EDD">
      <w:pPr>
        <w:spacing w:line="360" w:lineRule="auto"/>
        <w:rPr>
          <w:rFonts w:ascii="Arial" w:hAnsi="Arial" w:cs="Arial"/>
          <w:b/>
          <w:bCs/>
          <w:sz w:val="32"/>
          <w:szCs w:val="32"/>
        </w:rPr>
      </w:pPr>
      <w:r w:rsidRPr="002A3570">
        <w:rPr>
          <w:rFonts w:ascii="Arial" w:hAnsi="Arial" w:cs="Arial" w:hint="eastAsia"/>
          <w:b/>
          <w:bCs/>
          <w:sz w:val="32"/>
          <w:szCs w:val="32"/>
        </w:rPr>
        <w:lastRenderedPageBreak/>
        <w:t>Reference list</w:t>
      </w:r>
    </w:p>
    <w:p w14:paraId="129552E1" w14:textId="77777777" w:rsidR="002A3570" w:rsidRDefault="002A3570" w:rsidP="00242EDD">
      <w:pPr>
        <w:spacing w:line="360" w:lineRule="auto"/>
        <w:rPr>
          <w:rFonts w:ascii="Arial" w:hAnsi="Arial" w:cs="Arial"/>
          <w:sz w:val="24"/>
          <w:szCs w:val="24"/>
        </w:rPr>
      </w:pPr>
    </w:p>
    <w:p w14:paraId="2340A694" w14:textId="77777777" w:rsidR="002A7C84" w:rsidRDefault="00985A56" w:rsidP="00985A56">
      <w:pPr>
        <w:spacing w:line="360" w:lineRule="auto"/>
        <w:rPr>
          <w:rFonts w:ascii="Arial" w:hAnsi="Arial" w:cs="Arial"/>
          <w:sz w:val="22"/>
        </w:rPr>
      </w:pPr>
      <w:r w:rsidRPr="00985A56">
        <w:rPr>
          <w:rFonts w:ascii="Arial" w:hAnsi="Arial" w:cs="Arial"/>
          <w:sz w:val="22"/>
        </w:rPr>
        <w:t xml:space="preserve">Appelbaum, S.H., Cameron, A., Ensink, F., Hazarika, J., Attir, R., Ezzedine, R. and Shekhar, V. (2017) </w:t>
      </w:r>
      <w:r>
        <w:rPr>
          <w:rFonts w:ascii="Arial" w:hAnsi="Arial" w:cs="Arial"/>
          <w:sz w:val="22"/>
        </w:rPr>
        <w:t>‘</w:t>
      </w:r>
      <w:r w:rsidRPr="00985A56">
        <w:rPr>
          <w:rFonts w:ascii="Arial" w:hAnsi="Arial" w:cs="Arial"/>
          <w:sz w:val="22"/>
        </w:rPr>
        <w:t>Factors that impact the success of an organizational change: a case study analysis</w:t>
      </w:r>
      <w:r>
        <w:rPr>
          <w:rFonts w:ascii="Arial" w:hAnsi="Arial" w:cs="Arial"/>
          <w:sz w:val="22"/>
        </w:rPr>
        <w:t>’</w:t>
      </w:r>
      <w:r>
        <w:rPr>
          <w:rFonts w:ascii="Arial" w:hAnsi="Arial" w:cs="Arial" w:hint="eastAsia"/>
          <w:sz w:val="22"/>
        </w:rPr>
        <w:t>,</w:t>
      </w:r>
      <w:r w:rsidRPr="00985A56">
        <w:rPr>
          <w:rFonts w:ascii="Arial" w:hAnsi="Arial" w:cs="Arial"/>
          <w:sz w:val="22"/>
        </w:rPr>
        <w:t xml:space="preserve"> </w:t>
      </w:r>
      <w:r w:rsidRPr="00985A56">
        <w:rPr>
          <w:rFonts w:ascii="Arial" w:hAnsi="Arial" w:cs="Arial"/>
          <w:i/>
          <w:iCs/>
          <w:sz w:val="22"/>
        </w:rPr>
        <w:t>Industrial and Commercial Training</w:t>
      </w:r>
      <w:r w:rsidRPr="00985A56">
        <w:rPr>
          <w:rFonts w:ascii="Arial" w:hAnsi="Arial" w:cs="Arial"/>
          <w:sz w:val="22"/>
        </w:rPr>
        <w:t xml:space="preserve">, 49(5), pp.213–230. </w:t>
      </w:r>
    </w:p>
    <w:p w14:paraId="24983B76" w14:textId="6BB692CC" w:rsidR="00985A56" w:rsidRPr="00985A56" w:rsidRDefault="002A7C84" w:rsidP="00985A56">
      <w:pPr>
        <w:spacing w:line="360" w:lineRule="auto"/>
        <w:rPr>
          <w:rFonts w:ascii="Arial" w:hAnsi="Arial" w:cs="Arial"/>
          <w:sz w:val="22"/>
        </w:rPr>
      </w:pPr>
      <w:r>
        <w:rPr>
          <w:rFonts w:ascii="Arial" w:hAnsi="Arial" w:cs="Arial" w:hint="eastAsia"/>
          <w:sz w:val="22"/>
        </w:rPr>
        <w:t>d</w:t>
      </w:r>
      <w:r w:rsidR="00985A56" w:rsidRPr="00985A56">
        <w:rPr>
          <w:rFonts w:ascii="Arial" w:hAnsi="Arial" w:cs="Arial"/>
          <w:sz w:val="22"/>
        </w:rPr>
        <w:t xml:space="preserve">oi: https://doi.org/10.1108/ict-02-2017-0006. </w:t>
      </w:r>
    </w:p>
    <w:p w14:paraId="4F100D1B" w14:textId="77777777" w:rsidR="00985A56" w:rsidRDefault="00985A56" w:rsidP="00985A56">
      <w:pPr>
        <w:spacing w:line="360" w:lineRule="auto"/>
        <w:rPr>
          <w:rFonts w:ascii="Arial" w:hAnsi="Arial" w:cs="Arial"/>
          <w:sz w:val="22"/>
        </w:rPr>
      </w:pPr>
    </w:p>
    <w:p w14:paraId="69A1089E" w14:textId="7E7AFFFC" w:rsidR="0098766A" w:rsidRDefault="00985A56" w:rsidP="00985A56">
      <w:pPr>
        <w:spacing w:line="360" w:lineRule="auto"/>
        <w:rPr>
          <w:rFonts w:ascii="Arial" w:hAnsi="Arial" w:cs="Arial"/>
          <w:sz w:val="22"/>
        </w:rPr>
      </w:pPr>
      <w:r w:rsidRPr="00985A56">
        <w:rPr>
          <w:rFonts w:ascii="Arial" w:hAnsi="Arial" w:cs="Arial"/>
          <w:sz w:val="22"/>
        </w:rPr>
        <w:t xml:space="preserve">Baker, C and Kirk-Wade, E. (2023) </w:t>
      </w:r>
      <w:r w:rsidRPr="00D27136">
        <w:rPr>
          <w:rFonts w:ascii="Arial" w:hAnsi="Arial" w:cs="Arial"/>
          <w:i/>
          <w:iCs/>
          <w:sz w:val="22"/>
        </w:rPr>
        <w:t>Mental health statistics for England: prevalence, services and funding in England</w:t>
      </w:r>
      <w:r w:rsidR="0098766A">
        <w:rPr>
          <w:rFonts w:ascii="Arial" w:hAnsi="Arial" w:cs="Arial" w:hint="eastAsia"/>
          <w:sz w:val="22"/>
        </w:rPr>
        <w:t xml:space="preserve">. </w:t>
      </w:r>
      <w:r w:rsidRPr="00985A56">
        <w:rPr>
          <w:rFonts w:ascii="Arial" w:hAnsi="Arial" w:cs="Arial"/>
          <w:sz w:val="22"/>
        </w:rPr>
        <w:t xml:space="preserve">Available at: </w:t>
      </w:r>
    </w:p>
    <w:p w14:paraId="7F2DE186" w14:textId="13B6E664" w:rsidR="00985A56" w:rsidRPr="00D27136" w:rsidRDefault="00000000" w:rsidP="00985A56">
      <w:pPr>
        <w:spacing w:line="360" w:lineRule="auto"/>
        <w:rPr>
          <w:rFonts w:ascii="Arial" w:hAnsi="Arial" w:cs="Arial"/>
          <w:sz w:val="22"/>
        </w:rPr>
      </w:pPr>
      <w:hyperlink r:id="rId7" w:history="1">
        <w:r w:rsidR="0098766A" w:rsidRPr="0098766A">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https://researchbriefings.files.parliament.uk/documents/SN06988/SN06988.pdf</w:t>
        </w:r>
      </w:hyperlink>
      <w:r w:rsidR="00D27136" w:rsidRPr="00D27136">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27136">
        <w:rPr>
          <w:rFonts w:ascii="Arial" w:hAnsi="Arial" w:cs="Arial" w:hint="eastAsia"/>
          <w:sz w:val="22"/>
        </w:rPr>
        <w:t xml:space="preserve">(Accessed 10 March 2024). </w:t>
      </w:r>
    </w:p>
    <w:p w14:paraId="3C6FF067" w14:textId="77777777" w:rsidR="00985A56" w:rsidRPr="00D27136" w:rsidRDefault="00985A56" w:rsidP="00985A56">
      <w:pPr>
        <w:spacing w:line="360" w:lineRule="auto"/>
        <w:rPr>
          <w:rFonts w:ascii="Arial" w:hAnsi="Arial" w:cs="Arial"/>
          <w:sz w:val="22"/>
        </w:rPr>
      </w:pPr>
    </w:p>
    <w:p w14:paraId="22870115" w14:textId="67CD0D5B" w:rsidR="00D27136" w:rsidRDefault="00985A56" w:rsidP="00985A56">
      <w:pPr>
        <w:spacing w:line="360" w:lineRule="auto"/>
        <w:rPr>
          <w:rFonts w:ascii="Arial" w:hAnsi="Arial" w:cs="Arial"/>
          <w:sz w:val="22"/>
        </w:rPr>
      </w:pPr>
      <w:r w:rsidRPr="00985A56">
        <w:rPr>
          <w:rFonts w:ascii="Arial" w:hAnsi="Arial" w:cs="Arial"/>
          <w:sz w:val="22"/>
        </w:rPr>
        <w:t xml:space="preserve">Bauer-Staeb, C., Davis, A., Smith, T., Wilsher, W., Betts, D., Eldridge, C., Griffith, E., Faraway, J. and Button, K.S. (2021) </w:t>
      </w:r>
      <w:r w:rsidR="00D27136">
        <w:rPr>
          <w:rFonts w:ascii="Arial" w:hAnsi="Arial" w:cs="Arial"/>
          <w:sz w:val="22"/>
        </w:rPr>
        <w:t>‘</w:t>
      </w:r>
      <w:r w:rsidRPr="00985A56">
        <w:rPr>
          <w:rFonts w:ascii="Arial" w:hAnsi="Arial" w:cs="Arial"/>
          <w:sz w:val="22"/>
        </w:rPr>
        <w:t>The early impact of COVID-19 on primary care psychological therapy services: A descriptive time series of electronic healthcare records</w:t>
      </w:r>
      <w:r w:rsidR="00D27136">
        <w:rPr>
          <w:rFonts w:ascii="Arial" w:hAnsi="Arial" w:cs="Arial"/>
          <w:sz w:val="22"/>
        </w:rPr>
        <w:t>’</w:t>
      </w:r>
      <w:r w:rsidR="00D27136">
        <w:rPr>
          <w:rFonts w:ascii="Arial" w:hAnsi="Arial" w:cs="Arial" w:hint="eastAsia"/>
          <w:sz w:val="22"/>
        </w:rPr>
        <w:t xml:space="preserve">, </w:t>
      </w:r>
      <w:r w:rsidR="00D27136" w:rsidRPr="00D27136">
        <w:rPr>
          <w:rFonts w:ascii="Arial" w:hAnsi="Arial" w:cs="Arial"/>
          <w:i/>
          <w:iCs/>
          <w:sz w:val="22"/>
        </w:rPr>
        <w:t>E</w:t>
      </w:r>
      <w:r w:rsidR="00D27136" w:rsidRPr="00D27136">
        <w:rPr>
          <w:rFonts w:ascii="Arial" w:hAnsi="Arial" w:cs="Arial" w:hint="eastAsia"/>
          <w:i/>
          <w:iCs/>
          <w:sz w:val="22"/>
        </w:rPr>
        <w:t xml:space="preserve"> </w:t>
      </w:r>
      <w:r w:rsidR="00D27136" w:rsidRPr="00D27136">
        <w:rPr>
          <w:rFonts w:ascii="Arial" w:hAnsi="Arial" w:cs="Arial"/>
          <w:i/>
          <w:iCs/>
          <w:sz w:val="22"/>
        </w:rPr>
        <w:t>Clinical</w:t>
      </w:r>
      <w:r w:rsidR="00D27136" w:rsidRPr="00D27136">
        <w:rPr>
          <w:rFonts w:ascii="Arial" w:hAnsi="Arial" w:cs="Arial" w:hint="eastAsia"/>
          <w:i/>
          <w:iCs/>
          <w:sz w:val="22"/>
        </w:rPr>
        <w:t xml:space="preserve"> </w:t>
      </w:r>
      <w:r w:rsidR="00D27136" w:rsidRPr="00D27136">
        <w:rPr>
          <w:rFonts w:ascii="Arial" w:hAnsi="Arial" w:cs="Arial"/>
          <w:i/>
          <w:iCs/>
          <w:sz w:val="22"/>
        </w:rPr>
        <w:t>Medicine</w:t>
      </w:r>
      <w:r w:rsidRPr="00985A56">
        <w:rPr>
          <w:rFonts w:ascii="Arial" w:hAnsi="Arial" w:cs="Arial"/>
          <w:sz w:val="22"/>
        </w:rPr>
        <w:t xml:space="preserve">, </w:t>
      </w:r>
      <w:r w:rsidR="00D27136">
        <w:rPr>
          <w:rFonts w:ascii="Arial" w:hAnsi="Arial" w:cs="Arial" w:hint="eastAsia"/>
          <w:sz w:val="22"/>
        </w:rPr>
        <w:t xml:space="preserve">37, </w:t>
      </w:r>
      <w:r w:rsidRPr="00985A56">
        <w:rPr>
          <w:rFonts w:ascii="Arial" w:hAnsi="Arial" w:cs="Arial"/>
          <w:sz w:val="22"/>
        </w:rPr>
        <w:t>p</w:t>
      </w:r>
      <w:r w:rsidR="00D27136">
        <w:rPr>
          <w:rFonts w:ascii="Arial" w:hAnsi="Arial" w:cs="Arial" w:hint="eastAsia"/>
          <w:sz w:val="22"/>
        </w:rPr>
        <w:t>p</w:t>
      </w:r>
      <w:r w:rsidRPr="00985A56">
        <w:rPr>
          <w:rFonts w:ascii="Arial" w:hAnsi="Arial" w:cs="Arial"/>
          <w:sz w:val="22"/>
        </w:rPr>
        <w:t xml:space="preserve">.100939. </w:t>
      </w:r>
    </w:p>
    <w:p w14:paraId="1E31D2B5" w14:textId="1CB1142E" w:rsidR="00985A56" w:rsidRPr="00D27136" w:rsidRDefault="00EF4B34" w:rsidP="00985A56">
      <w:pPr>
        <w:spacing w:line="360" w:lineRule="auto"/>
        <w:rPr>
          <w:rFonts w:ascii="Arial" w:hAnsi="Arial" w:cs="Arial"/>
          <w:sz w:val="22"/>
        </w:rPr>
      </w:pPr>
      <w:proofErr w:type="spellStart"/>
      <w:r>
        <w:rPr>
          <w:rFonts w:ascii="Arial" w:hAnsi="Arial" w:cs="Arial" w:hint="eastAsia"/>
          <w:sz w:val="22"/>
        </w:rPr>
        <w:t>d</w:t>
      </w:r>
      <w:r w:rsidR="00D27136" w:rsidRPr="00985A56">
        <w:rPr>
          <w:rFonts w:ascii="Arial" w:hAnsi="Arial" w:cs="Arial"/>
          <w:sz w:val="22"/>
        </w:rPr>
        <w:t>oi</w:t>
      </w:r>
      <w:proofErr w:type="spellEnd"/>
      <w:r>
        <w:rPr>
          <w:rFonts w:ascii="Arial" w:hAnsi="Arial" w:cs="Arial" w:hint="eastAsia"/>
          <w:sz w:val="22"/>
        </w:rPr>
        <w:t>:</w:t>
      </w:r>
      <w:r w:rsidR="00D27136" w:rsidRPr="00D27136">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8" w:history="1">
        <w:r w:rsidR="00D27136" w:rsidRPr="00D27136">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https://doi.org/10.1016/j.eclinm.2021.100939</w:t>
        </w:r>
      </w:hyperlink>
      <w:r w:rsidR="00985A56" w:rsidRPr="00985A56">
        <w:rPr>
          <w:rFonts w:ascii="Arial" w:hAnsi="Arial" w:cs="Arial"/>
          <w:sz w:val="22"/>
        </w:rPr>
        <w:t>.</w:t>
      </w:r>
      <w:r w:rsidR="00D27136">
        <w:rPr>
          <w:rFonts w:ascii="Arial" w:hAnsi="Arial" w:cs="Arial" w:hint="eastAsia"/>
          <w:sz w:val="22"/>
        </w:rPr>
        <w:t xml:space="preserve"> </w:t>
      </w:r>
    </w:p>
    <w:p w14:paraId="6E788942" w14:textId="77777777" w:rsidR="00D27136" w:rsidRPr="00EF4B34" w:rsidRDefault="00D27136" w:rsidP="00985A56">
      <w:pPr>
        <w:spacing w:line="360" w:lineRule="auto"/>
        <w:rPr>
          <w:rFonts w:ascii="Arial" w:hAnsi="Arial" w:cs="Arial"/>
          <w:sz w:val="22"/>
        </w:rPr>
      </w:pPr>
    </w:p>
    <w:p w14:paraId="786D3B7F" w14:textId="24EC2450" w:rsidR="00985A56" w:rsidRPr="00D27136" w:rsidRDefault="00985A56" w:rsidP="00985A56">
      <w:pPr>
        <w:spacing w:line="360" w:lineRule="auto"/>
        <w:rPr>
          <w:rFonts w:ascii="Arial" w:hAnsi="Arial" w:cs="Arial"/>
          <w:sz w:val="22"/>
        </w:rPr>
      </w:pPr>
      <w:r w:rsidRPr="00985A56">
        <w:rPr>
          <w:rFonts w:ascii="Arial" w:hAnsi="Arial" w:cs="Arial"/>
          <w:sz w:val="22"/>
        </w:rPr>
        <w:t xml:space="preserve">Barrow, J.M., Toney-Butler, T.J. and Annamaraju, P. (2022) </w:t>
      </w:r>
      <w:r w:rsidRPr="00D27136">
        <w:rPr>
          <w:rFonts w:ascii="Arial" w:hAnsi="Arial" w:cs="Arial"/>
          <w:i/>
          <w:iCs/>
          <w:sz w:val="22"/>
        </w:rPr>
        <w:t>Change Management</w:t>
      </w:r>
      <w:r w:rsidRPr="00985A56">
        <w:rPr>
          <w:rFonts w:ascii="Arial" w:hAnsi="Arial" w:cs="Arial"/>
          <w:sz w:val="22"/>
        </w:rPr>
        <w:t xml:space="preserve">. PubMed. Available at: </w:t>
      </w:r>
      <w:hyperlink r:id="rId9" w:history="1">
        <w:r w:rsidR="00D27136" w:rsidRPr="00D27136">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https://www.ncbi.nlm.nih.gov/books/NBK459380/</w:t>
        </w:r>
      </w:hyperlink>
      <w:r w:rsidR="00D27136">
        <w:rPr>
          <w:rFonts w:ascii="Arial" w:hAnsi="Arial" w:cs="Arial" w:hint="eastAsia"/>
          <w:sz w:val="22"/>
        </w:rPr>
        <w:t xml:space="preserve"> (Accessed 11 March 2024). </w:t>
      </w:r>
    </w:p>
    <w:p w14:paraId="11907DDC" w14:textId="77777777" w:rsidR="00985A56" w:rsidRPr="00985A56" w:rsidRDefault="00985A56" w:rsidP="00985A56">
      <w:pPr>
        <w:spacing w:line="360" w:lineRule="auto"/>
        <w:rPr>
          <w:rFonts w:ascii="Arial" w:hAnsi="Arial" w:cs="Arial"/>
          <w:sz w:val="22"/>
        </w:rPr>
      </w:pPr>
    </w:p>
    <w:p w14:paraId="12779B45" w14:textId="77777777" w:rsidR="00D27136" w:rsidRDefault="00985A56" w:rsidP="00985A56">
      <w:pPr>
        <w:spacing w:line="360" w:lineRule="auto"/>
        <w:rPr>
          <w:rFonts w:ascii="Arial" w:hAnsi="Arial" w:cs="Arial"/>
          <w:sz w:val="22"/>
        </w:rPr>
      </w:pPr>
      <w:r w:rsidRPr="00985A56">
        <w:rPr>
          <w:rFonts w:ascii="Arial" w:hAnsi="Arial" w:cs="Arial"/>
          <w:sz w:val="22"/>
        </w:rPr>
        <w:t xml:space="preserve">Carey, T. (2019) </w:t>
      </w:r>
      <w:r w:rsidRPr="00D27136">
        <w:rPr>
          <w:rFonts w:ascii="Arial" w:hAnsi="Arial" w:cs="Arial"/>
          <w:i/>
          <w:iCs/>
          <w:sz w:val="22"/>
        </w:rPr>
        <w:t>Stepped care for mental health treatment. A system in need of psychological expertise</w:t>
      </w:r>
      <w:r w:rsidRPr="00985A56">
        <w:rPr>
          <w:rFonts w:ascii="Arial" w:hAnsi="Arial" w:cs="Arial"/>
          <w:sz w:val="22"/>
        </w:rPr>
        <w:t>.</w:t>
      </w:r>
      <w:r w:rsidR="00D27136">
        <w:rPr>
          <w:rFonts w:ascii="Arial" w:hAnsi="Arial" w:cs="Arial" w:hint="eastAsia"/>
          <w:sz w:val="22"/>
        </w:rPr>
        <w:t xml:space="preserve"> </w:t>
      </w:r>
      <w:r w:rsidRPr="00985A56">
        <w:rPr>
          <w:rFonts w:ascii="Arial" w:hAnsi="Arial" w:cs="Arial"/>
          <w:sz w:val="22"/>
        </w:rPr>
        <w:t>Available</w:t>
      </w:r>
      <w:r w:rsidR="00D27136">
        <w:rPr>
          <w:rFonts w:ascii="Arial" w:hAnsi="Arial" w:cs="Arial" w:hint="eastAsia"/>
          <w:sz w:val="22"/>
        </w:rPr>
        <w:t xml:space="preserve"> </w:t>
      </w:r>
      <w:r w:rsidRPr="00985A56">
        <w:rPr>
          <w:rFonts w:ascii="Arial" w:hAnsi="Arial" w:cs="Arial"/>
          <w:sz w:val="22"/>
        </w:rPr>
        <w:t xml:space="preserve">at: </w:t>
      </w:r>
    </w:p>
    <w:p w14:paraId="7F3A3768" w14:textId="634DC5F8" w:rsidR="00985A56" w:rsidRPr="00985A56" w:rsidRDefault="00985A56" w:rsidP="00985A56">
      <w:pPr>
        <w:spacing w:line="360" w:lineRule="auto"/>
        <w:rPr>
          <w:rFonts w:ascii="Arial" w:hAnsi="Arial" w:cs="Arial"/>
          <w:sz w:val="22"/>
        </w:rPr>
      </w:pPr>
      <w:r w:rsidRPr="00985A56">
        <w:rPr>
          <w:rFonts w:ascii="Arial" w:hAnsi="Arial" w:cs="Arial"/>
          <w:sz w:val="22"/>
        </w:rPr>
        <w:t xml:space="preserve">https://psychology.org.au/for-members/publications/inpsych/2018/december-issue-6/stepped-care-for-mental-health-treatment-a-system </w:t>
      </w:r>
      <w:r w:rsidR="00D27136">
        <w:rPr>
          <w:rFonts w:ascii="Arial" w:hAnsi="Arial" w:cs="Arial" w:hint="eastAsia"/>
          <w:sz w:val="22"/>
        </w:rPr>
        <w:t>(</w:t>
      </w:r>
      <w:r w:rsidRPr="00985A56">
        <w:rPr>
          <w:rFonts w:ascii="Arial" w:hAnsi="Arial" w:cs="Arial"/>
          <w:sz w:val="22"/>
        </w:rPr>
        <w:t>Accessed 29 Feb</w:t>
      </w:r>
      <w:r w:rsidR="00D27136">
        <w:rPr>
          <w:rFonts w:ascii="Arial" w:hAnsi="Arial" w:cs="Arial" w:hint="eastAsia"/>
          <w:sz w:val="22"/>
        </w:rPr>
        <w:t>ruary</w:t>
      </w:r>
      <w:r w:rsidRPr="00985A56">
        <w:rPr>
          <w:rFonts w:ascii="Arial" w:hAnsi="Arial" w:cs="Arial"/>
          <w:sz w:val="22"/>
        </w:rPr>
        <w:t xml:space="preserve"> 2024</w:t>
      </w:r>
      <w:r w:rsidR="00D27136">
        <w:rPr>
          <w:rFonts w:ascii="Arial" w:hAnsi="Arial" w:cs="Arial" w:hint="eastAsia"/>
          <w:sz w:val="22"/>
        </w:rPr>
        <w:t xml:space="preserve">). </w:t>
      </w:r>
    </w:p>
    <w:p w14:paraId="776C9DDE" w14:textId="77777777" w:rsidR="00985A56" w:rsidRPr="00985A56" w:rsidRDefault="00985A56" w:rsidP="00985A56">
      <w:pPr>
        <w:spacing w:line="360" w:lineRule="auto"/>
        <w:rPr>
          <w:rFonts w:ascii="Arial" w:hAnsi="Arial" w:cs="Arial"/>
          <w:sz w:val="22"/>
        </w:rPr>
      </w:pPr>
    </w:p>
    <w:p w14:paraId="707273DF" w14:textId="0FBFCF6B" w:rsidR="00985A56" w:rsidRPr="00D27136" w:rsidRDefault="00985A56" w:rsidP="00985A56">
      <w:pPr>
        <w:spacing w:line="360" w:lineRule="auto"/>
        <w:rPr>
          <w:rFonts w:ascii="Arial" w:hAnsi="Arial" w:cs="Arial"/>
          <w:sz w:val="22"/>
        </w:rPr>
      </w:pPr>
      <w:r w:rsidRPr="00985A56">
        <w:rPr>
          <w:rFonts w:ascii="Arial" w:hAnsi="Arial" w:cs="Arial"/>
          <w:sz w:val="22"/>
        </w:rPr>
        <w:t xml:space="preserve">Clark, D. (2019) </w:t>
      </w:r>
      <w:r w:rsidRPr="00D27136">
        <w:rPr>
          <w:rFonts w:ascii="Arial" w:hAnsi="Arial" w:cs="Arial"/>
          <w:i/>
          <w:iCs/>
          <w:sz w:val="22"/>
        </w:rPr>
        <w:t>NHS England IAPT at 10: Achievements and challenges.</w:t>
      </w:r>
      <w:r w:rsidR="00D27136">
        <w:rPr>
          <w:rFonts w:ascii="Arial" w:hAnsi="Arial" w:cs="Arial" w:hint="eastAsia"/>
          <w:sz w:val="22"/>
        </w:rPr>
        <w:t xml:space="preserve"> </w:t>
      </w:r>
      <w:r w:rsidRPr="00985A56">
        <w:rPr>
          <w:rFonts w:ascii="Arial" w:hAnsi="Arial" w:cs="Arial"/>
          <w:sz w:val="22"/>
        </w:rPr>
        <w:t xml:space="preserve">Available at: </w:t>
      </w:r>
      <w:hyperlink r:id="rId10" w:history="1">
        <w:r w:rsidR="00D27136" w:rsidRPr="00D27136">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https://www.england.nhs.uk/blog/iapt-at-10-achievements-and-challenges/</w:t>
        </w:r>
      </w:hyperlink>
      <w:r w:rsidR="00D27136">
        <w:rPr>
          <w:rFonts w:ascii="Arial" w:hAnsi="Arial" w:cs="Arial" w:hint="eastAsia"/>
          <w:sz w:val="22"/>
        </w:rPr>
        <w:t xml:space="preserve"> (Accessed </w:t>
      </w:r>
      <w:r w:rsidR="00D27136" w:rsidRPr="00D27136">
        <w:rPr>
          <w:rFonts w:ascii="Arial" w:hAnsi="Arial" w:cs="Arial"/>
          <w:sz w:val="22"/>
        </w:rPr>
        <w:lastRenderedPageBreak/>
        <w:t>29 February 2024</w:t>
      </w:r>
      <w:r w:rsidR="00D27136">
        <w:rPr>
          <w:rFonts w:ascii="Arial" w:hAnsi="Arial" w:cs="Arial" w:hint="eastAsia"/>
          <w:sz w:val="22"/>
        </w:rPr>
        <w:t xml:space="preserve">). </w:t>
      </w:r>
    </w:p>
    <w:p w14:paraId="11859645" w14:textId="77777777" w:rsidR="00D27136" w:rsidRDefault="00D27136" w:rsidP="00985A56">
      <w:pPr>
        <w:spacing w:line="360" w:lineRule="auto"/>
        <w:rPr>
          <w:rFonts w:ascii="Arial" w:hAnsi="Arial" w:cs="Arial"/>
          <w:sz w:val="22"/>
        </w:rPr>
      </w:pPr>
    </w:p>
    <w:p w14:paraId="71D41D28" w14:textId="64A22692" w:rsidR="00985A56" w:rsidRPr="00985A56" w:rsidRDefault="00985A56" w:rsidP="00985A56">
      <w:pPr>
        <w:spacing w:line="360" w:lineRule="auto"/>
        <w:rPr>
          <w:rFonts w:ascii="Arial" w:hAnsi="Arial" w:cs="Arial"/>
          <w:sz w:val="22"/>
        </w:rPr>
      </w:pPr>
      <w:r w:rsidRPr="00985A56">
        <w:rPr>
          <w:rFonts w:ascii="Arial" w:hAnsi="Arial" w:cs="Arial"/>
          <w:sz w:val="22"/>
        </w:rPr>
        <w:t xml:space="preserve">Clark, D. and Whittington, A. (2023) </w:t>
      </w:r>
      <w:r w:rsidRPr="00D27136">
        <w:rPr>
          <w:rFonts w:ascii="Arial" w:hAnsi="Arial" w:cs="Arial"/>
          <w:i/>
          <w:iCs/>
          <w:sz w:val="22"/>
        </w:rPr>
        <w:t>NHS England» What’s in a name? NHS Talking Therapies, for anxiety and depression – the new name for IAPT services</w:t>
      </w:r>
      <w:r w:rsidRPr="00985A56">
        <w:rPr>
          <w:rFonts w:ascii="Arial" w:hAnsi="Arial" w:cs="Arial"/>
          <w:sz w:val="22"/>
        </w:rPr>
        <w:t xml:space="preserve">. Available at: https://www.england.nhs.uk/blog/whats-in-a-name-nhs-talking-therapies-for-anxiety-and-depression-the-new-name-for-iapt-services/ </w:t>
      </w:r>
      <w:r w:rsidR="00D27136">
        <w:rPr>
          <w:rFonts w:ascii="Arial" w:hAnsi="Arial" w:cs="Arial" w:hint="eastAsia"/>
          <w:sz w:val="22"/>
        </w:rPr>
        <w:t>(</w:t>
      </w:r>
      <w:r w:rsidRPr="00985A56">
        <w:rPr>
          <w:rFonts w:ascii="Arial" w:hAnsi="Arial" w:cs="Arial"/>
          <w:sz w:val="22"/>
        </w:rPr>
        <w:t xml:space="preserve">Accessed 29 </w:t>
      </w:r>
      <w:r w:rsidR="00D27136" w:rsidRPr="00D27136">
        <w:rPr>
          <w:rFonts w:ascii="Arial" w:hAnsi="Arial" w:cs="Arial"/>
          <w:sz w:val="22"/>
        </w:rPr>
        <w:t>February 2024</w:t>
      </w:r>
      <w:r w:rsidR="00D27136">
        <w:rPr>
          <w:rFonts w:ascii="Arial" w:hAnsi="Arial" w:cs="Arial" w:hint="eastAsia"/>
          <w:sz w:val="22"/>
        </w:rPr>
        <w:t xml:space="preserve">). </w:t>
      </w:r>
      <w:r w:rsidRPr="00985A56">
        <w:rPr>
          <w:rFonts w:ascii="Arial" w:hAnsi="Arial" w:cs="Arial"/>
          <w:sz w:val="22"/>
        </w:rPr>
        <w:t xml:space="preserve"> </w:t>
      </w:r>
    </w:p>
    <w:p w14:paraId="2C68CDF8" w14:textId="77777777" w:rsidR="00D27136" w:rsidRDefault="00D27136" w:rsidP="00985A56">
      <w:pPr>
        <w:spacing w:line="360" w:lineRule="auto"/>
        <w:rPr>
          <w:rFonts w:ascii="Arial" w:hAnsi="Arial" w:cs="Arial"/>
          <w:sz w:val="22"/>
        </w:rPr>
      </w:pPr>
    </w:p>
    <w:p w14:paraId="2FB48F12" w14:textId="097BA747" w:rsidR="00D27136" w:rsidRDefault="00985A56" w:rsidP="00985A56">
      <w:pPr>
        <w:spacing w:line="360" w:lineRule="auto"/>
        <w:rPr>
          <w:rFonts w:ascii="Arial" w:hAnsi="Arial" w:cs="Arial"/>
          <w:sz w:val="22"/>
        </w:rPr>
      </w:pPr>
      <w:r w:rsidRPr="00985A56">
        <w:rPr>
          <w:rFonts w:ascii="Arial" w:hAnsi="Arial" w:cs="Arial"/>
          <w:sz w:val="22"/>
        </w:rPr>
        <w:t xml:space="preserve">Clark, D.M., Canvin, L., Green, J., Layard, R., Pilling, S. and Janecka, M. (2018) </w:t>
      </w:r>
      <w:r w:rsidR="00D27136">
        <w:rPr>
          <w:rFonts w:ascii="Arial" w:hAnsi="Arial" w:cs="Arial"/>
          <w:sz w:val="22"/>
        </w:rPr>
        <w:t>‘</w:t>
      </w:r>
      <w:r w:rsidRPr="00985A56">
        <w:rPr>
          <w:rFonts w:ascii="Arial" w:hAnsi="Arial" w:cs="Arial"/>
          <w:sz w:val="22"/>
        </w:rPr>
        <w:t>Transparency about the outcomes of mental health services (IAPT approach): an analysis of public data</w:t>
      </w:r>
      <w:r w:rsidR="00D27136">
        <w:rPr>
          <w:rFonts w:ascii="Arial" w:hAnsi="Arial" w:cs="Arial"/>
          <w:sz w:val="22"/>
        </w:rPr>
        <w:t>’</w:t>
      </w:r>
      <w:r w:rsidR="00D27136">
        <w:rPr>
          <w:rFonts w:ascii="Arial" w:hAnsi="Arial" w:cs="Arial" w:hint="eastAsia"/>
          <w:sz w:val="22"/>
        </w:rPr>
        <w:t xml:space="preserve">, </w:t>
      </w:r>
      <w:r w:rsidRPr="00D27136">
        <w:rPr>
          <w:rFonts w:ascii="Arial" w:hAnsi="Arial" w:cs="Arial"/>
          <w:i/>
          <w:iCs/>
          <w:sz w:val="22"/>
        </w:rPr>
        <w:t>The</w:t>
      </w:r>
      <w:r w:rsidR="00D27136" w:rsidRPr="00D27136">
        <w:rPr>
          <w:rFonts w:ascii="Arial" w:hAnsi="Arial" w:cs="Arial" w:hint="eastAsia"/>
          <w:i/>
          <w:iCs/>
          <w:sz w:val="22"/>
        </w:rPr>
        <w:t xml:space="preserve"> </w:t>
      </w:r>
      <w:r w:rsidRPr="00D27136">
        <w:rPr>
          <w:rFonts w:ascii="Arial" w:hAnsi="Arial" w:cs="Arial"/>
          <w:i/>
          <w:iCs/>
          <w:sz w:val="22"/>
        </w:rPr>
        <w:t>Lancet</w:t>
      </w:r>
      <w:r w:rsidRPr="00985A56">
        <w:rPr>
          <w:rFonts w:ascii="Arial" w:hAnsi="Arial" w:cs="Arial"/>
          <w:sz w:val="22"/>
        </w:rPr>
        <w:t xml:space="preserve">, 391(10121), pp.679–686. </w:t>
      </w:r>
    </w:p>
    <w:p w14:paraId="716F7E24" w14:textId="4EA8D9CB" w:rsidR="00985A56" w:rsidRPr="00985A56" w:rsidRDefault="0005108F" w:rsidP="00985A56">
      <w:pPr>
        <w:spacing w:line="360" w:lineRule="auto"/>
        <w:rPr>
          <w:rFonts w:ascii="Arial" w:hAnsi="Arial" w:cs="Arial"/>
          <w:sz w:val="22"/>
        </w:rPr>
      </w:pPr>
      <w:r>
        <w:rPr>
          <w:rFonts w:ascii="Arial" w:hAnsi="Arial" w:cs="Arial" w:hint="eastAsia"/>
          <w:sz w:val="22"/>
        </w:rPr>
        <w:t>d</w:t>
      </w:r>
      <w:r w:rsidR="00D27136" w:rsidRPr="00985A56">
        <w:rPr>
          <w:rFonts w:ascii="Arial" w:hAnsi="Arial" w:cs="Arial"/>
          <w:sz w:val="22"/>
        </w:rPr>
        <w:t>oi</w:t>
      </w:r>
      <w:r w:rsidR="00985A56" w:rsidRPr="00985A56">
        <w:rPr>
          <w:rFonts w:ascii="Arial" w:hAnsi="Arial" w:cs="Arial"/>
          <w:sz w:val="22"/>
        </w:rPr>
        <w:t>:</w:t>
      </w:r>
      <w:r w:rsidR="00D27136">
        <w:rPr>
          <w:rFonts w:ascii="Arial" w:hAnsi="Arial" w:cs="Arial" w:hint="eastAsia"/>
          <w:sz w:val="22"/>
        </w:rPr>
        <w:t xml:space="preserve"> </w:t>
      </w:r>
      <w:r w:rsidR="00985A56" w:rsidRPr="00985A56">
        <w:rPr>
          <w:rFonts w:ascii="Arial" w:hAnsi="Arial" w:cs="Arial"/>
          <w:sz w:val="22"/>
        </w:rPr>
        <w:t>https://doi.org/10.1016/s0140-6736(17)32133-5</w:t>
      </w:r>
    </w:p>
    <w:p w14:paraId="5D471999" w14:textId="77777777" w:rsidR="00985A56" w:rsidRPr="00985A56" w:rsidRDefault="00985A56" w:rsidP="00985A56">
      <w:pPr>
        <w:spacing w:line="360" w:lineRule="auto"/>
        <w:rPr>
          <w:rFonts w:ascii="Arial" w:hAnsi="Arial" w:cs="Arial"/>
          <w:sz w:val="22"/>
        </w:rPr>
      </w:pPr>
    </w:p>
    <w:p w14:paraId="0BADD96D" w14:textId="52574992" w:rsidR="00985A56" w:rsidRPr="0006290C" w:rsidRDefault="00985A56" w:rsidP="00985A56">
      <w:pPr>
        <w:spacing w:line="360" w:lineRule="auto"/>
        <w:rPr>
          <w:rFonts w:ascii="Arial" w:hAnsi="Arial" w:cs="Arial"/>
          <w:sz w:val="22"/>
        </w:rPr>
      </w:pPr>
      <w:r w:rsidRPr="00985A56">
        <w:rPr>
          <w:rFonts w:ascii="Arial" w:hAnsi="Arial" w:cs="Arial"/>
          <w:sz w:val="22"/>
        </w:rPr>
        <w:t xml:space="preserve">Community and Mental Health team, NHS Digital (2018) </w:t>
      </w:r>
      <w:r w:rsidRPr="0006290C">
        <w:rPr>
          <w:rFonts w:ascii="Arial" w:hAnsi="Arial" w:cs="Arial"/>
          <w:i/>
          <w:iCs/>
          <w:sz w:val="22"/>
        </w:rPr>
        <w:t>Psychological Therapies Annual report on the use of IAPT services, England 2017-18</w:t>
      </w:r>
      <w:r w:rsidRPr="00985A56">
        <w:rPr>
          <w:rFonts w:ascii="Arial" w:hAnsi="Arial" w:cs="Arial"/>
          <w:sz w:val="22"/>
        </w:rPr>
        <w:t xml:space="preserve">. Available at: </w:t>
      </w:r>
      <w:hyperlink r:id="rId11" w:history="1">
        <w:r w:rsidR="0006290C" w:rsidRPr="0006290C">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https://files.digital.nhs.uk/52/D3168F/psych-ther-2017-18-ann-rep.pdf</w:t>
        </w:r>
      </w:hyperlink>
      <w:r w:rsidR="0006290C">
        <w:rPr>
          <w:rFonts w:ascii="Arial" w:hAnsi="Arial" w:cs="Arial" w:hint="eastAsia"/>
          <w:sz w:val="22"/>
        </w:rPr>
        <w:t xml:space="preserve"> (Accessed 7 March). </w:t>
      </w:r>
    </w:p>
    <w:p w14:paraId="74F1A8A5" w14:textId="77777777" w:rsidR="00D27136" w:rsidRPr="0006290C" w:rsidRDefault="00D27136" w:rsidP="00985A56">
      <w:pPr>
        <w:spacing w:line="360" w:lineRule="auto"/>
        <w:rPr>
          <w:rFonts w:ascii="Arial" w:hAnsi="Arial" w:cs="Arial"/>
          <w:sz w:val="22"/>
        </w:rPr>
      </w:pPr>
    </w:p>
    <w:p w14:paraId="2F6BD88A" w14:textId="300D4E25" w:rsidR="0006290C" w:rsidRDefault="00985A56" w:rsidP="00985A56">
      <w:pPr>
        <w:spacing w:line="360" w:lineRule="auto"/>
        <w:rPr>
          <w:rFonts w:ascii="Arial" w:hAnsi="Arial" w:cs="Arial"/>
          <w:sz w:val="22"/>
        </w:rPr>
      </w:pPr>
      <w:r w:rsidRPr="00985A56">
        <w:rPr>
          <w:rFonts w:ascii="Arial" w:hAnsi="Arial" w:cs="Arial"/>
          <w:sz w:val="22"/>
        </w:rPr>
        <w:t>Capobianco, L., Verbist, I., Heal, C., Huey, D., &amp; Wells, A. (2023)</w:t>
      </w:r>
      <w:r w:rsidR="0006290C">
        <w:rPr>
          <w:rFonts w:ascii="Arial" w:hAnsi="Arial" w:cs="Arial" w:hint="eastAsia"/>
          <w:sz w:val="22"/>
        </w:rPr>
        <w:t xml:space="preserve"> </w:t>
      </w:r>
      <w:r w:rsidR="0006290C">
        <w:rPr>
          <w:rFonts w:ascii="Arial" w:hAnsi="Arial" w:cs="Arial"/>
          <w:sz w:val="22"/>
        </w:rPr>
        <w:t>‘</w:t>
      </w:r>
      <w:r w:rsidRPr="00985A56">
        <w:rPr>
          <w:rFonts w:ascii="Arial" w:hAnsi="Arial" w:cs="Arial"/>
          <w:sz w:val="22"/>
        </w:rPr>
        <w:t>Improving access to psychological therapies: Analysis of effects associated with remote provision during COVID-19</w:t>
      </w:r>
      <w:r w:rsidR="0006290C">
        <w:rPr>
          <w:rFonts w:ascii="Arial" w:hAnsi="Arial" w:cs="Arial"/>
          <w:sz w:val="22"/>
        </w:rPr>
        <w:t>’</w:t>
      </w:r>
      <w:r w:rsidR="0006290C">
        <w:rPr>
          <w:rFonts w:ascii="Arial" w:hAnsi="Arial" w:cs="Arial" w:hint="eastAsia"/>
          <w:sz w:val="22"/>
        </w:rPr>
        <w:t xml:space="preserve">, </w:t>
      </w:r>
      <w:r w:rsidRPr="0006290C">
        <w:rPr>
          <w:rFonts w:ascii="Arial" w:hAnsi="Arial" w:cs="Arial"/>
          <w:i/>
          <w:iCs/>
          <w:sz w:val="22"/>
        </w:rPr>
        <w:t>British Journal of Clinical Psychology</w:t>
      </w:r>
      <w:r w:rsidRPr="00985A56">
        <w:rPr>
          <w:rFonts w:ascii="Arial" w:hAnsi="Arial" w:cs="Arial"/>
          <w:sz w:val="22"/>
        </w:rPr>
        <w:t>,</w:t>
      </w:r>
      <w:r w:rsidR="0006290C">
        <w:rPr>
          <w:rFonts w:ascii="Arial" w:hAnsi="Arial" w:cs="Arial" w:hint="eastAsia"/>
          <w:sz w:val="22"/>
        </w:rPr>
        <w:t xml:space="preserve"> </w:t>
      </w:r>
      <w:r w:rsidRPr="00985A56">
        <w:rPr>
          <w:rFonts w:ascii="Arial" w:hAnsi="Arial" w:cs="Arial"/>
          <w:sz w:val="22"/>
        </w:rPr>
        <w:t>62,</w:t>
      </w:r>
      <w:r w:rsidR="0006290C">
        <w:rPr>
          <w:rFonts w:ascii="Arial" w:hAnsi="Arial" w:cs="Arial" w:hint="eastAsia"/>
          <w:sz w:val="22"/>
        </w:rPr>
        <w:t xml:space="preserve"> pp. </w:t>
      </w:r>
      <w:r w:rsidRPr="00985A56">
        <w:rPr>
          <w:rFonts w:ascii="Arial" w:hAnsi="Arial" w:cs="Arial"/>
          <w:sz w:val="22"/>
        </w:rPr>
        <w:t xml:space="preserve">312–324. </w:t>
      </w:r>
    </w:p>
    <w:p w14:paraId="277AF215" w14:textId="726F690C" w:rsidR="00985A56" w:rsidRPr="0006290C" w:rsidRDefault="0006290C" w:rsidP="00985A56">
      <w:pPr>
        <w:spacing w:line="360" w:lineRule="auto"/>
        <w:rPr>
          <w:rFonts w:ascii="Arial" w:hAnsi="Arial" w:cs="Arial"/>
          <w:sz w:val="22"/>
        </w:rPr>
      </w:pPr>
      <w:r>
        <w:rPr>
          <w:rFonts w:ascii="Arial" w:hAnsi="Arial" w:cs="Arial" w:hint="eastAsia"/>
          <w:sz w:val="22"/>
        </w:rPr>
        <w:t>Available at:</w:t>
      </w:r>
      <w:r w:rsidRPr="0006290C">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2" w:history="1">
        <w:r w:rsidRPr="0006290C">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https://doi.org/10.1111/bjc.12410</w:t>
        </w:r>
      </w:hyperlink>
    </w:p>
    <w:p w14:paraId="2E7ED945" w14:textId="77777777" w:rsidR="0006290C" w:rsidRDefault="0006290C" w:rsidP="00985A56">
      <w:pPr>
        <w:spacing w:line="360" w:lineRule="auto"/>
        <w:rPr>
          <w:rFonts w:ascii="Arial" w:hAnsi="Arial" w:cs="Arial"/>
          <w:sz w:val="22"/>
        </w:rPr>
      </w:pPr>
    </w:p>
    <w:p w14:paraId="32A5CE0C" w14:textId="40B948E3" w:rsidR="00985A56" w:rsidRPr="00985A56" w:rsidRDefault="00985A56" w:rsidP="00985A56">
      <w:pPr>
        <w:spacing w:line="360" w:lineRule="auto"/>
        <w:rPr>
          <w:rFonts w:ascii="Arial" w:hAnsi="Arial" w:cs="Arial"/>
          <w:sz w:val="22"/>
        </w:rPr>
      </w:pPr>
      <w:r w:rsidRPr="00985A56">
        <w:rPr>
          <w:rFonts w:ascii="Arial" w:hAnsi="Arial" w:cs="Arial"/>
          <w:sz w:val="22"/>
        </w:rPr>
        <w:t xml:space="preserve">Creasey, T. (2021) </w:t>
      </w:r>
      <w:r w:rsidRPr="0006290C">
        <w:rPr>
          <w:rFonts w:ascii="Arial" w:hAnsi="Arial" w:cs="Arial"/>
          <w:i/>
          <w:iCs/>
          <w:sz w:val="22"/>
        </w:rPr>
        <w:t>What is Change Management and How Does it Work?</w:t>
      </w:r>
      <w:r w:rsidR="0006290C">
        <w:rPr>
          <w:rFonts w:ascii="Arial" w:hAnsi="Arial" w:cs="Arial" w:hint="eastAsia"/>
          <w:sz w:val="22"/>
        </w:rPr>
        <w:t xml:space="preserve"> </w:t>
      </w:r>
      <w:r w:rsidRPr="00985A56">
        <w:rPr>
          <w:rFonts w:ascii="Arial" w:hAnsi="Arial" w:cs="Arial"/>
          <w:sz w:val="22"/>
        </w:rPr>
        <w:t xml:space="preserve">Available at: https://www.prosci.com/blog/what-is-change-management-and-how-does-it-work </w:t>
      </w:r>
      <w:r w:rsidR="0006290C">
        <w:rPr>
          <w:rFonts w:ascii="Arial" w:hAnsi="Arial" w:cs="Arial" w:hint="eastAsia"/>
          <w:sz w:val="22"/>
        </w:rPr>
        <w:t>(</w:t>
      </w:r>
      <w:r w:rsidRPr="00985A56">
        <w:rPr>
          <w:rFonts w:ascii="Arial" w:hAnsi="Arial" w:cs="Arial"/>
          <w:sz w:val="22"/>
        </w:rPr>
        <w:t>Accessed 29 Feb</w:t>
      </w:r>
      <w:r w:rsidR="0006290C">
        <w:rPr>
          <w:rFonts w:ascii="Arial" w:hAnsi="Arial" w:cs="Arial" w:hint="eastAsia"/>
          <w:sz w:val="22"/>
        </w:rPr>
        <w:t>ruary</w:t>
      </w:r>
      <w:r w:rsidRPr="00985A56">
        <w:rPr>
          <w:rFonts w:ascii="Arial" w:hAnsi="Arial" w:cs="Arial"/>
          <w:sz w:val="22"/>
        </w:rPr>
        <w:t xml:space="preserve"> 2024</w:t>
      </w:r>
      <w:r w:rsidR="0006290C">
        <w:rPr>
          <w:rFonts w:ascii="Arial" w:hAnsi="Arial" w:cs="Arial" w:hint="eastAsia"/>
          <w:sz w:val="22"/>
        </w:rPr>
        <w:t>)</w:t>
      </w:r>
      <w:r w:rsidRPr="00985A56">
        <w:rPr>
          <w:rFonts w:ascii="Arial" w:hAnsi="Arial" w:cs="Arial"/>
          <w:sz w:val="22"/>
        </w:rPr>
        <w:t xml:space="preserve">. </w:t>
      </w:r>
    </w:p>
    <w:p w14:paraId="135E6C56" w14:textId="77777777" w:rsidR="0006290C" w:rsidRDefault="0006290C" w:rsidP="00985A56">
      <w:pPr>
        <w:spacing w:line="360" w:lineRule="auto"/>
        <w:rPr>
          <w:rFonts w:ascii="Arial" w:hAnsi="Arial" w:cs="Arial"/>
          <w:sz w:val="22"/>
        </w:rPr>
      </w:pPr>
    </w:p>
    <w:p w14:paraId="1DDE619A" w14:textId="7F33C035" w:rsidR="00985A56" w:rsidRPr="00985A56" w:rsidRDefault="00985A56" w:rsidP="00985A56">
      <w:pPr>
        <w:spacing w:line="360" w:lineRule="auto"/>
        <w:rPr>
          <w:rFonts w:ascii="Arial" w:hAnsi="Arial" w:cs="Arial"/>
          <w:sz w:val="22"/>
        </w:rPr>
      </w:pPr>
      <w:r w:rsidRPr="00985A56">
        <w:rPr>
          <w:rFonts w:ascii="Arial" w:hAnsi="Arial" w:cs="Arial"/>
          <w:sz w:val="22"/>
        </w:rPr>
        <w:t xml:space="preserve">Cummings, T.G., Worley, C.G. and Donovan, P. (2020) </w:t>
      </w:r>
      <w:r w:rsidRPr="00F30F51">
        <w:rPr>
          <w:rFonts w:ascii="Arial" w:hAnsi="Arial" w:cs="Arial"/>
          <w:i/>
          <w:iCs/>
          <w:sz w:val="22"/>
        </w:rPr>
        <w:t>Organization development and change</w:t>
      </w:r>
      <w:r w:rsidRPr="00985A56">
        <w:rPr>
          <w:rFonts w:ascii="Arial" w:hAnsi="Arial" w:cs="Arial"/>
          <w:sz w:val="22"/>
        </w:rPr>
        <w:t xml:space="preserve">. Boston: Cengage. </w:t>
      </w:r>
    </w:p>
    <w:p w14:paraId="16C42E5F" w14:textId="77777777" w:rsidR="00F30F51" w:rsidRDefault="00F30F51" w:rsidP="00985A56">
      <w:pPr>
        <w:spacing w:line="360" w:lineRule="auto"/>
        <w:rPr>
          <w:rFonts w:ascii="Arial" w:hAnsi="Arial" w:cs="Arial"/>
          <w:sz w:val="22"/>
        </w:rPr>
      </w:pPr>
    </w:p>
    <w:p w14:paraId="381FFB52" w14:textId="77777777" w:rsidR="0005108F" w:rsidRDefault="00985A56" w:rsidP="00985A56">
      <w:pPr>
        <w:spacing w:line="360" w:lineRule="auto"/>
        <w:rPr>
          <w:rFonts w:ascii="Arial" w:hAnsi="Arial" w:cs="Arial"/>
          <w:sz w:val="22"/>
        </w:rPr>
      </w:pPr>
      <w:r w:rsidRPr="00985A56">
        <w:rPr>
          <w:rFonts w:ascii="Arial" w:hAnsi="Arial" w:cs="Arial"/>
          <w:sz w:val="22"/>
        </w:rPr>
        <w:t xml:space="preserve">Department of Health (2012) </w:t>
      </w:r>
      <w:r w:rsidRPr="00F30F51">
        <w:rPr>
          <w:rFonts w:ascii="Arial" w:hAnsi="Arial" w:cs="Arial"/>
          <w:i/>
          <w:iCs/>
          <w:sz w:val="22"/>
        </w:rPr>
        <w:t xml:space="preserve">IAPT three-year report </w:t>
      </w:r>
      <w:r w:rsidR="00F30F51" w:rsidRPr="00F30F51">
        <w:rPr>
          <w:rFonts w:ascii="Arial" w:hAnsi="Arial" w:cs="Arial"/>
          <w:i/>
          <w:iCs/>
          <w:sz w:val="22"/>
        </w:rPr>
        <w:t>the</w:t>
      </w:r>
      <w:r w:rsidRPr="00F30F51">
        <w:rPr>
          <w:rFonts w:ascii="Arial" w:hAnsi="Arial" w:cs="Arial"/>
          <w:i/>
          <w:iCs/>
          <w:sz w:val="22"/>
        </w:rPr>
        <w:t xml:space="preserve"> first million patients.</w:t>
      </w:r>
      <w:r w:rsidR="00F30F51">
        <w:rPr>
          <w:rFonts w:ascii="Arial" w:hAnsi="Arial" w:cs="Arial" w:hint="eastAsia"/>
          <w:sz w:val="22"/>
        </w:rPr>
        <w:t xml:space="preserve"> </w:t>
      </w:r>
    </w:p>
    <w:p w14:paraId="7753101B" w14:textId="3EB81C3C" w:rsidR="00985A56" w:rsidRPr="00985A56" w:rsidRDefault="00985A56" w:rsidP="00985A56">
      <w:pPr>
        <w:spacing w:line="360" w:lineRule="auto"/>
        <w:rPr>
          <w:rFonts w:ascii="Arial" w:hAnsi="Arial" w:cs="Arial"/>
          <w:sz w:val="22"/>
        </w:rPr>
      </w:pPr>
      <w:r w:rsidRPr="00985A56">
        <w:rPr>
          <w:rFonts w:ascii="Arial" w:hAnsi="Arial" w:cs="Arial"/>
          <w:sz w:val="22"/>
        </w:rPr>
        <w:lastRenderedPageBreak/>
        <w:t xml:space="preserve">Available at: https://swsenate.nhs.uk/wp-content/uploads/2014/01/3-IAPT-3-year-report.pdf </w:t>
      </w:r>
      <w:r w:rsidR="00F30F51">
        <w:rPr>
          <w:rFonts w:ascii="Arial" w:hAnsi="Arial" w:cs="Arial" w:hint="eastAsia"/>
          <w:sz w:val="22"/>
        </w:rPr>
        <w:t>(</w:t>
      </w:r>
      <w:r w:rsidRPr="00985A56">
        <w:rPr>
          <w:rFonts w:ascii="Arial" w:hAnsi="Arial" w:cs="Arial"/>
          <w:sz w:val="22"/>
        </w:rPr>
        <w:t xml:space="preserve">Accessed </w:t>
      </w:r>
      <w:r w:rsidR="00F30F51">
        <w:rPr>
          <w:rFonts w:ascii="Arial" w:hAnsi="Arial" w:cs="Arial" w:hint="eastAsia"/>
          <w:sz w:val="22"/>
        </w:rPr>
        <w:t>9</w:t>
      </w:r>
      <w:r w:rsidRPr="00985A56">
        <w:rPr>
          <w:rFonts w:ascii="Arial" w:hAnsi="Arial" w:cs="Arial"/>
          <w:sz w:val="22"/>
        </w:rPr>
        <w:t xml:space="preserve"> </w:t>
      </w:r>
      <w:r w:rsidR="00F30F51">
        <w:rPr>
          <w:rFonts w:ascii="Arial" w:hAnsi="Arial" w:cs="Arial" w:hint="eastAsia"/>
          <w:sz w:val="22"/>
        </w:rPr>
        <w:t>March</w:t>
      </w:r>
      <w:r w:rsidRPr="00985A56">
        <w:rPr>
          <w:rFonts w:ascii="Arial" w:hAnsi="Arial" w:cs="Arial"/>
          <w:sz w:val="22"/>
        </w:rPr>
        <w:t xml:space="preserve"> 2023</w:t>
      </w:r>
      <w:r w:rsidR="00F30F51">
        <w:rPr>
          <w:rFonts w:ascii="Arial" w:hAnsi="Arial" w:cs="Arial" w:hint="eastAsia"/>
          <w:sz w:val="22"/>
        </w:rPr>
        <w:t xml:space="preserve">). </w:t>
      </w:r>
    </w:p>
    <w:p w14:paraId="5BDCE3C1" w14:textId="77777777" w:rsidR="00F30F51" w:rsidRDefault="00F30F51" w:rsidP="00985A56">
      <w:pPr>
        <w:spacing w:line="360" w:lineRule="auto"/>
        <w:rPr>
          <w:rFonts w:ascii="Arial" w:hAnsi="Arial" w:cs="Arial"/>
          <w:sz w:val="22"/>
        </w:rPr>
      </w:pPr>
    </w:p>
    <w:p w14:paraId="565E50EA" w14:textId="670EF7F8" w:rsidR="00F30F51" w:rsidRDefault="00985A56" w:rsidP="00985A56">
      <w:pPr>
        <w:spacing w:line="360" w:lineRule="auto"/>
        <w:rPr>
          <w:rFonts w:ascii="Arial" w:hAnsi="Arial" w:cs="Arial"/>
          <w:sz w:val="22"/>
        </w:rPr>
      </w:pPr>
      <w:r w:rsidRPr="00985A56">
        <w:rPr>
          <w:rFonts w:ascii="Arial" w:hAnsi="Arial" w:cs="Arial"/>
          <w:sz w:val="22"/>
        </w:rPr>
        <w:t xml:space="preserve">Errida, A. and Lotfi, B. (2021) </w:t>
      </w:r>
      <w:r w:rsidR="00F30F51">
        <w:rPr>
          <w:rFonts w:ascii="Arial" w:hAnsi="Arial" w:cs="Arial"/>
          <w:sz w:val="22"/>
        </w:rPr>
        <w:t>‘</w:t>
      </w:r>
      <w:r w:rsidRPr="00985A56">
        <w:rPr>
          <w:rFonts w:ascii="Arial" w:hAnsi="Arial" w:cs="Arial"/>
          <w:sz w:val="22"/>
        </w:rPr>
        <w:t>The Determinants of Organizational Change Management Success: Literature Review and Case Study</w:t>
      </w:r>
      <w:r w:rsidR="00F30F51">
        <w:rPr>
          <w:rFonts w:ascii="Arial" w:hAnsi="Arial" w:cs="Arial"/>
          <w:sz w:val="22"/>
        </w:rPr>
        <w:t>’</w:t>
      </w:r>
      <w:r w:rsidR="00F30F51">
        <w:rPr>
          <w:rFonts w:ascii="Arial" w:hAnsi="Arial" w:cs="Arial" w:hint="eastAsia"/>
          <w:sz w:val="22"/>
        </w:rPr>
        <w:t xml:space="preserve">, </w:t>
      </w:r>
      <w:r w:rsidRPr="00F30F51">
        <w:rPr>
          <w:rFonts w:ascii="Arial" w:hAnsi="Arial" w:cs="Arial"/>
          <w:i/>
          <w:iCs/>
          <w:sz w:val="22"/>
        </w:rPr>
        <w:t>International Journal of Engineering Business Management</w:t>
      </w:r>
      <w:r w:rsidR="00F30F51">
        <w:rPr>
          <w:rFonts w:ascii="Arial" w:hAnsi="Arial" w:cs="Arial" w:hint="eastAsia"/>
          <w:sz w:val="22"/>
        </w:rPr>
        <w:t xml:space="preserve">, </w:t>
      </w:r>
      <w:r w:rsidRPr="00985A56">
        <w:rPr>
          <w:rFonts w:ascii="Arial" w:hAnsi="Arial" w:cs="Arial"/>
          <w:sz w:val="22"/>
        </w:rPr>
        <w:t xml:space="preserve">13(1), pp.1–15. </w:t>
      </w:r>
    </w:p>
    <w:p w14:paraId="489DE0BB" w14:textId="6E4FC077" w:rsidR="00985A56" w:rsidRPr="00985A56" w:rsidRDefault="003F66B0" w:rsidP="00985A56">
      <w:pPr>
        <w:spacing w:line="360" w:lineRule="auto"/>
        <w:rPr>
          <w:rFonts w:ascii="Arial" w:hAnsi="Arial" w:cs="Arial"/>
          <w:sz w:val="22"/>
        </w:rPr>
      </w:pPr>
      <w:r>
        <w:rPr>
          <w:rFonts w:ascii="Arial" w:hAnsi="Arial" w:cs="Arial"/>
          <w:sz w:val="22"/>
        </w:rPr>
        <w:t>doi</w:t>
      </w:r>
      <w:r w:rsidR="00985A56" w:rsidRPr="00985A56">
        <w:rPr>
          <w:rFonts w:ascii="Arial" w:hAnsi="Arial" w:cs="Arial"/>
          <w:sz w:val="22"/>
        </w:rPr>
        <w:t>:</w:t>
      </w:r>
      <w:r w:rsidR="00F30F51">
        <w:rPr>
          <w:rFonts w:ascii="Arial" w:hAnsi="Arial" w:cs="Arial" w:hint="eastAsia"/>
          <w:sz w:val="22"/>
        </w:rPr>
        <w:t xml:space="preserve"> </w:t>
      </w:r>
      <w:bookmarkStart w:id="3" w:name="OLE_LINK1"/>
      <w:r w:rsidR="00985A56" w:rsidRPr="00985A56">
        <w:rPr>
          <w:rFonts w:ascii="Arial" w:hAnsi="Arial" w:cs="Arial"/>
          <w:sz w:val="22"/>
        </w:rPr>
        <w:t xml:space="preserve">https://doi.org/10.1177/18479790211016273 </w:t>
      </w:r>
    </w:p>
    <w:bookmarkEnd w:id="3"/>
    <w:p w14:paraId="1C209C76" w14:textId="77777777" w:rsidR="00F30F51" w:rsidRDefault="00F30F51" w:rsidP="00985A56">
      <w:pPr>
        <w:spacing w:line="360" w:lineRule="auto"/>
        <w:rPr>
          <w:rFonts w:ascii="Arial" w:hAnsi="Arial" w:cs="Arial"/>
          <w:sz w:val="22"/>
        </w:rPr>
      </w:pPr>
    </w:p>
    <w:p w14:paraId="4E74F670" w14:textId="524F4054" w:rsidR="004A2FA6" w:rsidRDefault="00985A56" w:rsidP="00985A56">
      <w:pPr>
        <w:spacing w:line="360" w:lineRule="auto"/>
        <w:rPr>
          <w:rFonts w:ascii="Arial" w:hAnsi="Arial" w:cs="Arial"/>
          <w:sz w:val="22"/>
        </w:rPr>
      </w:pPr>
      <w:r w:rsidRPr="00985A56">
        <w:rPr>
          <w:rFonts w:ascii="Arial" w:hAnsi="Arial" w:cs="Arial"/>
          <w:sz w:val="22"/>
        </w:rPr>
        <w:t xml:space="preserve">Hamlin, R., Ellinger, A. and Jones, J. (2020) </w:t>
      </w:r>
      <w:r w:rsidR="004A2FA6">
        <w:rPr>
          <w:rFonts w:ascii="Arial" w:hAnsi="Arial" w:cs="Arial"/>
          <w:sz w:val="22"/>
        </w:rPr>
        <w:t>‘</w:t>
      </w:r>
      <w:r w:rsidRPr="00985A56">
        <w:rPr>
          <w:rFonts w:ascii="Arial" w:hAnsi="Arial" w:cs="Arial"/>
          <w:sz w:val="22"/>
        </w:rPr>
        <w:t>Evidence</w:t>
      </w:r>
      <w:r w:rsidRPr="00985A56">
        <w:rPr>
          <w:rFonts w:ascii="宋体" w:eastAsia="宋体" w:hAnsi="宋体" w:cs="宋体" w:hint="eastAsia"/>
          <w:sz w:val="22"/>
        </w:rPr>
        <w:t>‐</w:t>
      </w:r>
      <w:r w:rsidRPr="00985A56">
        <w:rPr>
          <w:rFonts w:ascii="Arial" w:hAnsi="Arial" w:cs="Arial"/>
          <w:sz w:val="22"/>
        </w:rPr>
        <w:t>Based Initiatives for Organizational Change and Development</w:t>
      </w:r>
      <w:r w:rsidR="004A2FA6">
        <w:rPr>
          <w:rFonts w:ascii="Arial" w:hAnsi="Arial" w:cs="Arial"/>
          <w:sz w:val="22"/>
        </w:rPr>
        <w:t>’</w:t>
      </w:r>
      <w:r w:rsidR="004A2FA6">
        <w:rPr>
          <w:rFonts w:ascii="Arial" w:hAnsi="Arial" w:cs="Arial" w:hint="eastAsia"/>
          <w:sz w:val="22"/>
        </w:rPr>
        <w:t>,</w:t>
      </w:r>
      <w:r w:rsidRPr="00985A56">
        <w:rPr>
          <w:rFonts w:ascii="Arial" w:hAnsi="Arial" w:cs="Arial"/>
          <w:sz w:val="22"/>
        </w:rPr>
        <w:t xml:space="preserve"> </w:t>
      </w:r>
      <w:r w:rsidRPr="004A2FA6">
        <w:rPr>
          <w:rFonts w:ascii="Arial" w:hAnsi="Arial" w:cs="Arial"/>
          <w:i/>
          <w:iCs/>
          <w:sz w:val="22"/>
        </w:rPr>
        <w:t>New Horizons in Adult Education and Human Resource Development</w:t>
      </w:r>
      <w:r w:rsidRPr="00985A56">
        <w:rPr>
          <w:rFonts w:ascii="Arial" w:hAnsi="Arial" w:cs="Arial"/>
          <w:sz w:val="22"/>
        </w:rPr>
        <w:t xml:space="preserve">, 32(3), pp.85–87. </w:t>
      </w:r>
    </w:p>
    <w:p w14:paraId="6BC348C3" w14:textId="6DF533E6" w:rsidR="00985A56" w:rsidRPr="00985A56" w:rsidRDefault="003F66B0" w:rsidP="00985A56">
      <w:pPr>
        <w:spacing w:line="360" w:lineRule="auto"/>
        <w:rPr>
          <w:rFonts w:ascii="Arial" w:hAnsi="Arial" w:cs="Arial"/>
          <w:sz w:val="22"/>
        </w:rPr>
      </w:pPr>
      <w:r>
        <w:rPr>
          <w:rFonts w:ascii="Arial" w:hAnsi="Arial" w:cs="Arial"/>
          <w:sz w:val="22"/>
        </w:rPr>
        <w:t>doi</w:t>
      </w:r>
      <w:r w:rsidR="00985A56" w:rsidRPr="00985A56">
        <w:rPr>
          <w:rFonts w:ascii="Arial" w:hAnsi="Arial" w:cs="Arial"/>
          <w:sz w:val="22"/>
        </w:rPr>
        <w:t>:</w:t>
      </w:r>
      <w:r w:rsidR="004A2FA6">
        <w:rPr>
          <w:rFonts w:ascii="Arial" w:hAnsi="Arial" w:cs="Arial" w:hint="eastAsia"/>
          <w:sz w:val="22"/>
        </w:rPr>
        <w:t xml:space="preserve"> </w:t>
      </w:r>
      <w:r w:rsidR="00985A56" w:rsidRPr="00985A56">
        <w:rPr>
          <w:rFonts w:ascii="Arial" w:hAnsi="Arial" w:cs="Arial"/>
          <w:sz w:val="22"/>
        </w:rPr>
        <w:t>https://doi.org/10.1002/nha3.20291</w:t>
      </w:r>
    </w:p>
    <w:p w14:paraId="3A4857CD" w14:textId="77777777" w:rsidR="004A2FA6" w:rsidRDefault="004A2FA6" w:rsidP="00985A56">
      <w:pPr>
        <w:spacing w:line="360" w:lineRule="auto"/>
        <w:rPr>
          <w:rFonts w:ascii="Arial" w:hAnsi="Arial" w:cs="Arial"/>
          <w:sz w:val="22"/>
        </w:rPr>
      </w:pPr>
    </w:p>
    <w:p w14:paraId="021079D1" w14:textId="77777777" w:rsidR="0005108F" w:rsidRDefault="00985A56" w:rsidP="00985A56">
      <w:pPr>
        <w:spacing w:line="360" w:lineRule="auto"/>
        <w:rPr>
          <w:rFonts w:ascii="Arial" w:hAnsi="Arial" w:cs="Arial"/>
          <w:sz w:val="22"/>
        </w:rPr>
      </w:pPr>
      <w:r w:rsidRPr="00985A56">
        <w:rPr>
          <w:rFonts w:ascii="Arial" w:hAnsi="Arial" w:cs="Arial"/>
          <w:sz w:val="22"/>
        </w:rPr>
        <w:t xml:space="preserve">Innes-Smith, J. (2022) </w:t>
      </w:r>
      <w:r w:rsidRPr="004A2FA6">
        <w:rPr>
          <w:rFonts w:ascii="Arial" w:hAnsi="Arial" w:cs="Arial"/>
          <w:i/>
          <w:iCs/>
          <w:sz w:val="22"/>
        </w:rPr>
        <w:t>The truth about the anxiety epidemic.</w:t>
      </w:r>
      <w:r w:rsidR="004A2FA6">
        <w:rPr>
          <w:rFonts w:ascii="Arial" w:hAnsi="Arial" w:cs="Arial" w:hint="eastAsia"/>
          <w:sz w:val="22"/>
        </w:rPr>
        <w:t xml:space="preserve"> </w:t>
      </w:r>
      <w:r w:rsidRPr="00985A56">
        <w:rPr>
          <w:rFonts w:ascii="Arial" w:hAnsi="Arial" w:cs="Arial"/>
          <w:sz w:val="22"/>
        </w:rPr>
        <w:t xml:space="preserve">The Spectator. </w:t>
      </w:r>
    </w:p>
    <w:p w14:paraId="3DCB5115" w14:textId="26E6DF47" w:rsidR="00985A56" w:rsidRPr="00985A56" w:rsidRDefault="00985A56" w:rsidP="00985A56">
      <w:pPr>
        <w:spacing w:line="360" w:lineRule="auto"/>
        <w:rPr>
          <w:rFonts w:ascii="Arial" w:hAnsi="Arial" w:cs="Arial"/>
          <w:sz w:val="22"/>
        </w:rPr>
      </w:pPr>
      <w:r w:rsidRPr="00985A56">
        <w:rPr>
          <w:rFonts w:ascii="Arial" w:hAnsi="Arial" w:cs="Arial"/>
          <w:sz w:val="22"/>
        </w:rPr>
        <w:t xml:space="preserve">Available at: https://www.spectator.co.uk/article/the-truth-about-the-anxiety-epidemic/ </w:t>
      </w:r>
      <w:r w:rsidR="004A2FA6">
        <w:rPr>
          <w:rFonts w:ascii="Arial" w:hAnsi="Arial" w:cs="Arial" w:hint="eastAsia"/>
          <w:sz w:val="22"/>
        </w:rPr>
        <w:t>(</w:t>
      </w:r>
      <w:r w:rsidRPr="00985A56">
        <w:rPr>
          <w:rFonts w:ascii="Arial" w:hAnsi="Arial" w:cs="Arial"/>
          <w:sz w:val="22"/>
        </w:rPr>
        <w:t>Accessed 29 Feb</w:t>
      </w:r>
      <w:r w:rsidR="004A2FA6">
        <w:rPr>
          <w:rFonts w:ascii="Arial" w:hAnsi="Arial" w:cs="Arial" w:hint="eastAsia"/>
          <w:sz w:val="22"/>
        </w:rPr>
        <w:t>ruary</w:t>
      </w:r>
      <w:r w:rsidRPr="00985A56">
        <w:rPr>
          <w:rFonts w:ascii="Arial" w:hAnsi="Arial" w:cs="Arial"/>
          <w:sz w:val="22"/>
        </w:rPr>
        <w:t xml:space="preserve"> 2024</w:t>
      </w:r>
      <w:r w:rsidR="004A2FA6">
        <w:rPr>
          <w:rFonts w:ascii="Arial" w:hAnsi="Arial" w:cs="Arial" w:hint="eastAsia"/>
          <w:sz w:val="22"/>
        </w:rPr>
        <w:t xml:space="preserve">). </w:t>
      </w:r>
    </w:p>
    <w:p w14:paraId="651E75DA" w14:textId="77777777" w:rsidR="004A2FA6" w:rsidRDefault="004A2FA6" w:rsidP="00985A56">
      <w:pPr>
        <w:spacing w:line="360" w:lineRule="auto"/>
        <w:rPr>
          <w:rFonts w:ascii="Arial" w:hAnsi="Arial" w:cs="Arial"/>
          <w:sz w:val="22"/>
        </w:rPr>
      </w:pPr>
    </w:p>
    <w:p w14:paraId="3BF2705D" w14:textId="2151A7E8" w:rsidR="00985A56" w:rsidRPr="00985A56" w:rsidRDefault="00985A56" w:rsidP="00985A56">
      <w:pPr>
        <w:spacing w:line="360" w:lineRule="auto"/>
        <w:rPr>
          <w:rFonts w:ascii="Arial" w:hAnsi="Arial" w:cs="Arial"/>
          <w:sz w:val="22"/>
        </w:rPr>
      </w:pPr>
      <w:r w:rsidRPr="00985A56">
        <w:rPr>
          <w:rFonts w:ascii="Arial" w:hAnsi="Arial" w:cs="Arial"/>
          <w:sz w:val="22"/>
        </w:rPr>
        <w:t xml:space="preserve">Jackson, T. (2023) </w:t>
      </w:r>
      <w:r w:rsidRPr="004A2FA6">
        <w:rPr>
          <w:rFonts w:ascii="Arial" w:hAnsi="Arial" w:cs="Arial"/>
          <w:i/>
          <w:iCs/>
          <w:sz w:val="22"/>
        </w:rPr>
        <w:t xml:space="preserve">30 KPIs To Measure Performance (&amp; How </w:t>
      </w:r>
      <w:r w:rsidR="004A2FA6" w:rsidRPr="004A2FA6">
        <w:rPr>
          <w:rFonts w:ascii="Arial" w:hAnsi="Arial" w:cs="Arial"/>
          <w:i/>
          <w:iCs/>
          <w:sz w:val="22"/>
        </w:rPr>
        <w:t>to</w:t>
      </w:r>
      <w:r w:rsidRPr="004A2FA6">
        <w:rPr>
          <w:rFonts w:ascii="Arial" w:hAnsi="Arial" w:cs="Arial"/>
          <w:i/>
          <w:iCs/>
          <w:sz w:val="22"/>
        </w:rPr>
        <w:t xml:space="preserve"> Choose &amp; Track Them)</w:t>
      </w:r>
      <w:r w:rsidRPr="00985A56">
        <w:rPr>
          <w:rFonts w:ascii="Arial" w:hAnsi="Arial" w:cs="Arial"/>
          <w:sz w:val="22"/>
        </w:rPr>
        <w:t>.</w:t>
      </w:r>
      <w:r w:rsidR="004A2FA6">
        <w:rPr>
          <w:rFonts w:ascii="Arial" w:hAnsi="Arial" w:cs="Arial" w:hint="eastAsia"/>
          <w:sz w:val="22"/>
        </w:rPr>
        <w:t xml:space="preserve"> </w:t>
      </w:r>
      <w:r w:rsidRPr="00985A56">
        <w:rPr>
          <w:rFonts w:ascii="Arial" w:hAnsi="Arial" w:cs="Arial"/>
          <w:sz w:val="22"/>
        </w:rPr>
        <w:t xml:space="preserve">Available at: </w:t>
      </w:r>
      <w:hyperlink r:id="rId13" w:history="1">
        <w:r w:rsidR="004A2FA6" w:rsidRPr="004A2FA6">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https://www.clearpointstrategy.com/blog/18-key-performance-indicators</w:t>
        </w:r>
      </w:hyperlink>
      <w:r w:rsidR="004A2FA6">
        <w:rPr>
          <w:rFonts w:ascii="Arial" w:hAnsi="Arial" w:cs="Arial" w:hint="eastAsia"/>
          <w:sz w:val="22"/>
        </w:rPr>
        <w:t xml:space="preserve"> (Accessed 7 March 2024). </w:t>
      </w:r>
      <w:r w:rsidRPr="00985A56">
        <w:rPr>
          <w:rFonts w:ascii="Arial" w:hAnsi="Arial" w:cs="Arial"/>
          <w:sz w:val="22"/>
        </w:rPr>
        <w:t xml:space="preserve"> </w:t>
      </w:r>
    </w:p>
    <w:p w14:paraId="06B23F7F" w14:textId="77777777" w:rsidR="004A2FA6" w:rsidRDefault="004A2FA6" w:rsidP="00985A56">
      <w:pPr>
        <w:spacing w:line="360" w:lineRule="auto"/>
        <w:rPr>
          <w:rFonts w:ascii="Arial" w:hAnsi="Arial" w:cs="Arial"/>
          <w:sz w:val="22"/>
        </w:rPr>
      </w:pPr>
    </w:p>
    <w:p w14:paraId="5ECD828A" w14:textId="5B88166E" w:rsidR="00985A56" w:rsidRPr="00985A56" w:rsidRDefault="00985A56" w:rsidP="00985A56">
      <w:pPr>
        <w:spacing w:line="360" w:lineRule="auto"/>
        <w:rPr>
          <w:rFonts w:ascii="Arial" w:hAnsi="Arial" w:cs="Arial"/>
          <w:sz w:val="22"/>
        </w:rPr>
      </w:pPr>
      <w:r w:rsidRPr="00985A56">
        <w:rPr>
          <w:rFonts w:ascii="Arial" w:hAnsi="Arial" w:cs="Arial"/>
          <w:sz w:val="22"/>
        </w:rPr>
        <w:t xml:space="preserve">Jacobsen, D.I. (2021) </w:t>
      </w:r>
      <w:r w:rsidRPr="004A2FA6">
        <w:rPr>
          <w:rFonts w:ascii="Arial" w:hAnsi="Arial" w:cs="Arial"/>
          <w:i/>
          <w:iCs/>
          <w:sz w:val="22"/>
        </w:rPr>
        <w:t>Organizational Change and Change Management</w:t>
      </w:r>
      <w:r w:rsidRPr="00985A56">
        <w:rPr>
          <w:rFonts w:ascii="Arial" w:hAnsi="Arial" w:cs="Arial"/>
          <w:sz w:val="22"/>
        </w:rPr>
        <w:t xml:space="preserve">. Vigmostad &amp; Bjørke. </w:t>
      </w:r>
    </w:p>
    <w:p w14:paraId="2FAEAF4E" w14:textId="77777777" w:rsidR="004A2FA6" w:rsidRDefault="004A2FA6" w:rsidP="00985A56">
      <w:pPr>
        <w:spacing w:line="360" w:lineRule="auto"/>
        <w:rPr>
          <w:rFonts w:ascii="Arial" w:hAnsi="Arial" w:cs="Arial"/>
          <w:sz w:val="22"/>
        </w:rPr>
      </w:pPr>
    </w:p>
    <w:p w14:paraId="0D15D169" w14:textId="063C2DE3" w:rsidR="00985A56" w:rsidRPr="00985A56" w:rsidRDefault="00985A56" w:rsidP="00985A56">
      <w:pPr>
        <w:spacing w:line="360" w:lineRule="auto"/>
        <w:rPr>
          <w:rFonts w:ascii="Arial" w:hAnsi="Arial" w:cs="Arial"/>
          <w:sz w:val="22"/>
        </w:rPr>
      </w:pPr>
      <w:r w:rsidRPr="00985A56">
        <w:rPr>
          <w:rFonts w:ascii="Arial" w:hAnsi="Arial" w:cs="Arial"/>
          <w:sz w:val="22"/>
        </w:rPr>
        <w:t xml:space="preserve">Knapstad, M., Lervik, L., Sæther, S., Aarø, L. and Smith, Otto Robert F. (2019) </w:t>
      </w:r>
      <w:r w:rsidR="004A2FA6">
        <w:rPr>
          <w:rFonts w:ascii="Arial" w:hAnsi="Arial" w:cs="Arial"/>
          <w:sz w:val="22"/>
        </w:rPr>
        <w:t>‘</w:t>
      </w:r>
      <w:r w:rsidRPr="00985A56">
        <w:rPr>
          <w:rFonts w:ascii="Arial" w:hAnsi="Arial" w:cs="Arial"/>
          <w:sz w:val="22"/>
        </w:rPr>
        <w:t>Effectiveness of Prompt Mental Health Care, the Norwegian Version of Improving Access to Psychological Therapies: A Randomized Controlled Trial</w:t>
      </w:r>
      <w:r w:rsidR="004A2FA6">
        <w:rPr>
          <w:rFonts w:ascii="Arial" w:hAnsi="Arial" w:cs="Arial"/>
          <w:sz w:val="22"/>
        </w:rPr>
        <w:t>’</w:t>
      </w:r>
      <w:r w:rsidR="004A2FA6">
        <w:rPr>
          <w:rFonts w:ascii="Arial" w:hAnsi="Arial" w:cs="Arial" w:hint="eastAsia"/>
          <w:sz w:val="22"/>
        </w:rPr>
        <w:t>,</w:t>
      </w:r>
      <w:r w:rsidRPr="00985A56">
        <w:rPr>
          <w:rFonts w:ascii="Arial" w:hAnsi="Arial" w:cs="Arial"/>
          <w:sz w:val="22"/>
        </w:rPr>
        <w:t xml:space="preserve"> </w:t>
      </w:r>
      <w:r w:rsidRPr="004A2FA6">
        <w:rPr>
          <w:rFonts w:ascii="Arial" w:hAnsi="Arial" w:cs="Arial"/>
          <w:i/>
          <w:iCs/>
          <w:sz w:val="22"/>
        </w:rPr>
        <w:t>Psychotherapy and Psychosomatics</w:t>
      </w:r>
      <w:r w:rsidRPr="00985A56">
        <w:rPr>
          <w:rFonts w:ascii="Arial" w:hAnsi="Arial" w:cs="Arial"/>
          <w:sz w:val="22"/>
        </w:rPr>
        <w:t xml:space="preserve">, 89(2), pp.90–105. </w:t>
      </w:r>
      <w:r w:rsidR="005710B9">
        <w:rPr>
          <w:rFonts w:ascii="Arial" w:hAnsi="Arial" w:cs="Arial" w:hint="eastAsia"/>
          <w:sz w:val="22"/>
        </w:rPr>
        <w:t>d</w:t>
      </w:r>
      <w:r w:rsidR="004A2FA6" w:rsidRPr="00985A56">
        <w:rPr>
          <w:rFonts w:ascii="Arial" w:hAnsi="Arial" w:cs="Arial"/>
          <w:sz w:val="22"/>
        </w:rPr>
        <w:t>oi</w:t>
      </w:r>
      <w:r w:rsidRPr="00985A56">
        <w:rPr>
          <w:rFonts w:ascii="Arial" w:hAnsi="Arial" w:cs="Arial"/>
          <w:sz w:val="22"/>
        </w:rPr>
        <w:t>:</w:t>
      </w:r>
      <w:r w:rsidR="004A2FA6">
        <w:rPr>
          <w:rFonts w:ascii="Arial" w:hAnsi="Arial" w:cs="Arial" w:hint="eastAsia"/>
          <w:sz w:val="22"/>
        </w:rPr>
        <w:t xml:space="preserve"> </w:t>
      </w:r>
      <w:r w:rsidRPr="00985A56">
        <w:rPr>
          <w:rFonts w:ascii="Arial" w:hAnsi="Arial" w:cs="Arial"/>
          <w:sz w:val="22"/>
        </w:rPr>
        <w:t xml:space="preserve">https://doi.org/10.1159/000504453 </w:t>
      </w:r>
    </w:p>
    <w:p w14:paraId="120F740D" w14:textId="77777777" w:rsidR="004A2FA6" w:rsidRDefault="004A2FA6" w:rsidP="00985A56">
      <w:pPr>
        <w:spacing w:line="360" w:lineRule="auto"/>
        <w:rPr>
          <w:rFonts w:ascii="Arial" w:hAnsi="Arial" w:cs="Arial"/>
          <w:sz w:val="22"/>
        </w:rPr>
      </w:pPr>
    </w:p>
    <w:p w14:paraId="185C9EE0" w14:textId="77777777" w:rsidR="00424575" w:rsidRDefault="00985A56" w:rsidP="00985A56">
      <w:pPr>
        <w:spacing w:line="360" w:lineRule="auto"/>
        <w:rPr>
          <w:rFonts w:ascii="Arial" w:hAnsi="Arial" w:cs="Arial"/>
          <w:sz w:val="22"/>
        </w:rPr>
      </w:pPr>
      <w:r w:rsidRPr="00985A56">
        <w:rPr>
          <w:rFonts w:ascii="Arial" w:hAnsi="Arial" w:cs="Arial"/>
          <w:sz w:val="22"/>
        </w:rPr>
        <w:t>Kotter, J. (2023).</w:t>
      </w:r>
      <w:r w:rsidR="00424575" w:rsidRPr="00424575">
        <w:rPr>
          <w:rFonts w:ascii="Arial" w:hAnsi="Arial" w:cs="Arial"/>
          <w:i/>
          <w:iCs/>
          <w:sz w:val="22"/>
        </w:rPr>
        <w:t xml:space="preserve"> The 8 steps for leading change</w:t>
      </w:r>
      <w:r w:rsidR="00424575">
        <w:rPr>
          <w:rFonts w:ascii="Arial" w:hAnsi="Arial" w:cs="Arial" w:hint="eastAsia"/>
          <w:i/>
          <w:iCs/>
          <w:sz w:val="22"/>
        </w:rPr>
        <w:t>.</w:t>
      </w:r>
      <w:r w:rsidRPr="00985A56">
        <w:rPr>
          <w:rFonts w:ascii="Arial" w:hAnsi="Arial" w:cs="Arial"/>
          <w:sz w:val="22"/>
        </w:rPr>
        <w:t xml:space="preserve"> </w:t>
      </w:r>
    </w:p>
    <w:p w14:paraId="190F647E" w14:textId="539B7B91" w:rsidR="00985A56" w:rsidRPr="00985A56" w:rsidRDefault="00985A56" w:rsidP="00985A56">
      <w:pPr>
        <w:spacing w:line="360" w:lineRule="auto"/>
        <w:rPr>
          <w:rFonts w:ascii="Arial" w:hAnsi="Arial" w:cs="Arial"/>
          <w:sz w:val="22"/>
        </w:rPr>
      </w:pPr>
      <w:r w:rsidRPr="00985A56">
        <w:rPr>
          <w:rFonts w:ascii="Arial" w:hAnsi="Arial" w:cs="Arial"/>
          <w:sz w:val="22"/>
        </w:rPr>
        <w:lastRenderedPageBreak/>
        <w:t xml:space="preserve">Available at: https://www.kotterinc.com/methodology/8-steps/ </w:t>
      </w:r>
      <w:r w:rsidR="00424575">
        <w:rPr>
          <w:rFonts w:ascii="Arial" w:hAnsi="Arial" w:cs="Arial" w:hint="eastAsia"/>
          <w:sz w:val="22"/>
        </w:rPr>
        <w:t>(</w:t>
      </w:r>
      <w:r w:rsidRPr="00985A56">
        <w:rPr>
          <w:rFonts w:ascii="Arial" w:hAnsi="Arial" w:cs="Arial"/>
          <w:sz w:val="22"/>
        </w:rPr>
        <w:t>Accessed 29 Feb</w:t>
      </w:r>
      <w:r w:rsidR="00424575">
        <w:rPr>
          <w:rFonts w:ascii="Arial" w:hAnsi="Arial" w:cs="Arial" w:hint="eastAsia"/>
          <w:sz w:val="22"/>
        </w:rPr>
        <w:t>ruary</w:t>
      </w:r>
      <w:r w:rsidRPr="00985A56">
        <w:rPr>
          <w:rFonts w:ascii="Arial" w:hAnsi="Arial" w:cs="Arial"/>
          <w:sz w:val="22"/>
        </w:rPr>
        <w:t xml:space="preserve"> 2024</w:t>
      </w:r>
      <w:r w:rsidR="00424575">
        <w:rPr>
          <w:rFonts w:ascii="Arial" w:hAnsi="Arial" w:cs="Arial" w:hint="eastAsia"/>
          <w:sz w:val="22"/>
        </w:rPr>
        <w:t xml:space="preserve">). </w:t>
      </w:r>
    </w:p>
    <w:p w14:paraId="4D2BE962" w14:textId="77777777" w:rsidR="00424575" w:rsidRDefault="00424575" w:rsidP="00985A56">
      <w:pPr>
        <w:spacing w:line="360" w:lineRule="auto"/>
        <w:rPr>
          <w:rFonts w:ascii="Arial" w:hAnsi="Arial" w:cs="Arial"/>
          <w:sz w:val="22"/>
        </w:rPr>
      </w:pPr>
    </w:p>
    <w:p w14:paraId="189946EE" w14:textId="77777777" w:rsidR="00424575" w:rsidRDefault="00985A56" w:rsidP="00985A56">
      <w:pPr>
        <w:spacing w:line="360" w:lineRule="auto"/>
        <w:rPr>
          <w:rFonts w:ascii="Arial" w:hAnsi="Arial" w:cs="Arial"/>
          <w:sz w:val="22"/>
        </w:rPr>
      </w:pPr>
      <w:r w:rsidRPr="00985A56">
        <w:rPr>
          <w:rFonts w:ascii="Arial" w:hAnsi="Arial" w:cs="Arial"/>
          <w:sz w:val="22"/>
        </w:rPr>
        <w:t xml:space="preserve">LaRock, T. (2020) </w:t>
      </w:r>
      <w:r w:rsidRPr="00424575">
        <w:rPr>
          <w:rFonts w:ascii="Arial" w:hAnsi="Arial" w:cs="Arial"/>
          <w:i/>
          <w:iCs/>
          <w:sz w:val="22"/>
        </w:rPr>
        <w:t>Change is Good, Monitoring Change is Better, Improving Change Monitoring is Best</w:t>
      </w:r>
      <w:r w:rsidRPr="00985A56">
        <w:rPr>
          <w:rFonts w:ascii="Arial" w:hAnsi="Arial" w:cs="Arial"/>
          <w:sz w:val="22"/>
        </w:rPr>
        <w:t xml:space="preserve">. </w:t>
      </w:r>
    </w:p>
    <w:p w14:paraId="7E8EE3DA" w14:textId="6C2C87A0" w:rsidR="00985A56" w:rsidRPr="00985A56" w:rsidRDefault="00985A56" w:rsidP="00985A56">
      <w:pPr>
        <w:spacing w:line="360" w:lineRule="auto"/>
        <w:rPr>
          <w:rFonts w:ascii="Arial" w:hAnsi="Arial" w:cs="Arial"/>
          <w:sz w:val="22"/>
        </w:rPr>
      </w:pPr>
      <w:r w:rsidRPr="00985A56">
        <w:rPr>
          <w:rFonts w:ascii="Arial" w:hAnsi="Arial" w:cs="Arial"/>
          <w:sz w:val="22"/>
        </w:rPr>
        <w:t xml:space="preserve">Available at: https://www.dataversity.net/change-is-good-monitoring-change-is-better-improving-change-monitoring-is-best/ </w:t>
      </w:r>
      <w:r w:rsidR="00424575">
        <w:rPr>
          <w:rFonts w:ascii="Arial" w:hAnsi="Arial" w:cs="Arial" w:hint="eastAsia"/>
          <w:sz w:val="22"/>
        </w:rPr>
        <w:t>(</w:t>
      </w:r>
      <w:r w:rsidRPr="00985A56">
        <w:rPr>
          <w:rFonts w:ascii="Arial" w:hAnsi="Arial" w:cs="Arial"/>
          <w:sz w:val="22"/>
        </w:rPr>
        <w:t>Accessed 29 Feb</w:t>
      </w:r>
      <w:r w:rsidR="00424575">
        <w:rPr>
          <w:rFonts w:ascii="Arial" w:hAnsi="Arial" w:cs="Arial" w:hint="eastAsia"/>
          <w:sz w:val="22"/>
        </w:rPr>
        <w:t>ruary</w:t>
      </w:r>
      <w:r w:rsidRPr="00985A56">
        <w:rPr>
          <w:rFonts w:ascii="Arial" w:hAnsi="Arial" w:cs="Arial"/>
          <w:sz w:val="22"/>
        </w:rPr>
        <w:t xml:space="preserve"> 2024</w:t>
      </w:r>
      <w:r w:rsidR="00424575">
        <w:rPr>
          <w:rFonts w:ascii="Arial" w:hAnsi="Arial" w:cs="Arial" w:hint="eastAsia"/>
          <w:sz w:val="22"/>
        </w:rPr>
        <w:t xml:space="preserve">). </w:t>
      </w:r>
    </w:p>
    <w:p w14:paraId="63CB3888" w14:textId="77777777" w:rsidR="00424575" w:rsidRDefault="00424575" w:rsidP="00985A56">
      <w:pPr>
        <w:spacing w:line="360" w:lineRule="auto"/>
        <w:rPr>
          <w:rFonts w:ascii="Arial" w:hAnsi="Arial" w:cs="Arial"/>
          <w:sz w:val="22"/>
        </w:rPr>
      </w:pPr>
    </w:p>
    <w:p w14:paraId="4AC8173C" w14:textId="4E53302A" w:rsidR="00985A56" w:rsidRPr="00985A56" w:rsidRDefault="00985A56" w:rsidP="00985A56">
      <w:pPr>
        <w:spacing w:line="360" w:lineRule="auto"/>
        <w:rPr>
          <w:rFonts w:ascii="Arial" w:hAnsi="Arial" w:cs="Arial"/>
          <w:sz w:val="22"/>
        </w:rPr>
      </w:pPr>
      <w:r w:rsidRPr="00985A56">
        <w:rPr>
          <w:rFonts w:ascii="Arial" w:hAnsi="Arial" w:cs="Arial"/>
          <w:sz w:val="22"/>
        </w:rPr>
        <w:t xml:space="preserve">Lewin, K. (1951) </w:t>
      </w:r>
      <w:r w:rsidR="004A78AF">
        <w:rPr>
          <w:rFonts w:ascii="Arial" w:hAnsi="Arial" w:cs="Arial"/>
          <w:sz w:val="22"/>
        </w:rPr>
        <w:t>‘</w:t>
      </w:r>
      <w:r w:rsidRPr="00985A56">
        <w:rPr>
          <w:rFonts w:ascii="Arial" w:hAnsi="Arial" w:cs="Arial"/>
          <w:sz w:val="22"/>
        </w:rPr>
        <w:t>Field Theory in Social Science</w:t>
      </w:r>
      <w:r w:rsidR="004A78AF">
        <w:rPr>
          <w:rFonts w:ascii="Arial" w:hAnsi="Arial" w:cs="Arial"/>
          <w:sz w:val="22"/>
        </w:rPr>
        <w:t>’</w:t>
      </w:r>
      <w:r w:rsidR="004A78AF">
        <w:rPr>
          <w:rFonts w:ascii="Arial" w:hAnsi="Arial" w:cs="Arial" w:hint="eastAsia"/>
          <w:sz w:val="22"/>
        </w:rPr>
        <w:t>,</w:t>
      </w:r>
      <w:r w:rsidRPr="00985A56">
        <w:rPr>
          <w:rFonts w:ascii="Arial" w:hAnsi="Arial" w:cs="Arial"/>
          <w:sz w:val="22"/>
        </w:rPr>
        <w:t xml:space="preserve"> </w:t>
      </w:r>
      <w:r w:rsidRPr="004A78AF">
        <w:rPr>
          <w:rFonts w:ascii="Arial" w:hAnsi="Arial" w:cs="Arial"/>
          <w:i/>
          <w:iCs/>
          <w:sz w:val="22"/>
        </w:rPr>
        <w:t>The American Catholic Sociological Review</w:t>
      </w:r>
      <w:r w:rsidRPr="00985A56">
        <w:rPr>
          <w:rFonts w:ascii="Arial" w:hAnsi="Arial" w:cs="Arial"/>
          <w:sz w:val="22"/>
        </w:rPr>
        <w:t>, 12(2), p</w:t>
      </w:r>
      <w:r w:rsidR="004A78AF">
        <w:rPr>
          <w:rFonts w:ascii="Arial" w:hAnsi="Arial" w:cs="Arial" w:hint="eastAsia"/>
          <w:sz w:val="22"/>
        </w:rPr>
        <w:t>p</w:t>
      </w:r>
      <w:r w:rsidRPr="00985A56">
        <w:rPr>
          <w:rFonts w:ascii="Arial" w:hAnsi="Arial" w:cs="Arial"/>
          <w:sz w:val="22"/>
        </w:rPr>
        <w:t xml:space="preserve">.103. </w:t>
      </w:r>
      <w:r w:rsidR="005710B9">
        <w:rPr>
          <w:rFonts w:ascii="Arial" w:hAnsi="Arial" w:cs="Arial" w:hint="eastAsia"/>
          <w:sz w:val="22"/>
        </w:rPr>
        <w:t>d</w:t>
      </w:r>
      <w:r w:rsidR="004A78AF" w:rsidRPr="00985A56">
        <w:rPr>
          <w:rFonts w:ascii="Arial" w:hAnsi="Arial" w:cs="Arial"/>
          <w:sz w:val="22"/>
        </w:rPr>
        <w:t>oi</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https://doi.org/10.2307/3707800</w:t>
      </w:r>
    </w:p>
    <w:p w14:paraId="79302825" w14:textId="77777777" w:rsidR="00985A56" w:rsidRPr="00985A56" w:rsidRDefault="00985A56" w:rsidP="00985A56">
      <w:pPr>
        <w:spacing w:line="360" w:lineRule="auto"/>
        <w:rPr>
          <w:rFonts w:ascii="Arial" w:hAnsi="Arial" w:cs="Arial"/>
          <w:sz w:val="22"/>
        </w:rPr>
      </w:pPr>
    </w:p>
    <w:p w14:paraId="7E40428C" w14:textId="77777777" w:rsidR="005710B9" w:rsidRDefault="00985A56" w:rsidP="00985A56">
      <w:pPr>
        <w:spacing w:line="360" w:lineRule="auto"/>
        <w:rPr>
          <w:rFonts w:ascii="Arial" w:hAnsi="Arial" w:cs="Arial"/>
          <w:sz w:val="22"/>
        </w:rPr>
      </w:pPr>
      <w:r w:rsidRPr="00985A56">
        <w:rPr>
          <w:rFonts w:ascii="Arial" w:hAnsi="Arial" w:cs="Arial"/>
          <w:sz w:val="22"/>
        </w:rPr>
        <w:t>McHugh, R.K., Whitton, S.W., Peckham, A.D., Welge, J.A. and Otto, M.W. (2013)</w:t>
      </w:r>
      <w:r w:rsidR="004A78AF">
        <w:rPr>
          <w:rFonts w:ascii="Arial" w:hAnsi="Arial" w:cs="Arial" w:hint="eastAsia"/>
          <w:sz w:val="22"/>
        </w:rPr>
        <w:t xml:space="preserve"> </w:t>
      </w:r>
      <w:r w:rsidR="004A78AF">
        <w:rPr>
          <w:rFonts w:ascii="Arial" w:hAnsi="Arial" w:cs="Arial"/>
          <w:sz w:val="22"/>
        </w:rPr>
        <w:t>‘</w:t>
      </w:r>
      <w:r w:rsidRPr="00985A56">
        <w:rPr>
          <w:rFonts w:ascii="Arial" w:hAnsi="Arial" w:cs="Arial"/>
          <w:sz w:val="22"/>
        </w:rPr>
        <w:t>Patient Preference for Psychological vs Pharmacologic Treatment of Psychiatric Disorders</w:t>
      </w:r>
      <w:r w:rsidR="004A78AF">
        <w:rPr>
          <w:rFonts w:ascii="Arial" w:hAnsi="Arial" w:cs="Arial"/>
          <w:sz w:val="22"/>
        </w:rPr>
        <w:t>’</w:t>
      </w:r>
      <w:r w:rsidR="004A78AF">
        <w:rPr>
          <w:rFonts w:ascii="Arial" w:hAnsi="Arial" w:cs="Arial" w:hint="eastAsia"/>
          <w:sz w:val="22"/>
        </w:rPr>
        <w:t>,</w:t>
      </w:r>
      <w:r w:rsidRPr="00985A56">
        <w:rPr>
          <w:rFonts w:ascii="Arial" w:hAnsi="Arial" w:cs="Arial"/>
          <w:sz w:val="22"/>
        </w:rPr>
        <w:t xml:space="preserve"> </w:t>
      </w:r>
      <w:r w:rsidRPr="004A78AF">
        <w:rPr>
          <w:rFonts w:ascii="Arial" w:hAnsi="Arial" w:cs="Arial"/>
          <w:i/>
          <w:iCs/>
          <w:sz w:val="22"/>
        </w:rPr>
        <w:t>The Journal of Clinical Psychiatry</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 xml:space="preserve">74(06), pp.595–602. </w:t>
      </w:r>
    </w:p>
    <w:p w14:paraId="4780FAFE" w14:textId="4F6A28E8" w:rsidR="00985A56" w:rsidRPr="00985A56" w:rsidRDefault="005710B9" w:rsidP="00985A56">
      <w:pPr>
        <w:spacing w:line="360" w:lineRule="auto"/>
        <w:rPr>
          <w:rFonts w:ascii="Arial" w:hAnsi="Arial" w:cs="Arial"/>
          <w:sz w:val="22"/>
        </w:rPr>
      </w:pPr>
      <w:r>
        <w:rPr>
          <w:rFonts w:ascii="Arial" w:hAnsi="Arial" w:cs="Arial" w:hint="eastAsia"/>
          <w:sz w:val="22"/>
        </w:rPr>
        <w:t>d</w:t>
      </w:r>
      <w:r w:rsidR="004A78AF" w:rsidRPr="00985A56">
        <w:rPr>
          <w:rFonts w:ascii="Arial" w:hAnsi="Arial" w:cs="Arial"/>
          <w:sz w:val="22"/>
        </w:rPr>
        <w:t>oi</w:t>
      </w:r>
      <w:r w:rsidR="00985A56" w:rsidRPr="00985A56">
        <w:rPr>
          <w:rFonts w:ascii="Arial" w:hAnsi="Arial" w:cs="Arial"/>
          <w:sz w:val="22"/>
        </w:rPr>
        <w:t>:</w:t>
      </w:r>
      <w:r w:rsidR="004A78AF">
        <w:rPr>
          <w:rFonts w:ascii="Arial" w:hAnsi="Arial" w:cs="Arial" w:hint="eastAsia"/>
          <w:sz w:val="22"/>
        </w:rPr>
        <w:t xml:space="preserve"> </w:t>
      </w:r>
      <w:r w:rsidR="00985A56" w:rsidRPr="00985A56">
        <w:rPr>
          <w:rFonts w:ascii="Arial" w:hAnsi="Arial" w:cs="Arial"/>
          <w:sz w:val="22"/>
        </w:rPr>
        <w:t>https://doi.org/10.4088/jcp.12r07757</w:t>
      </w:r>
    </w:p>
    <w:p w14:paraId="143BF063" w14:textId="77777777" w:rsidR="004A78AF" w:rsidRDefault="004A78AF" w:rsidP="00985A56">
      <w:pPr>
        <w:spacing w:line="360" w:lineRule="auto"/>
        <w:rPr>
          <w:rFonts w:ascii="Arial" w:hAnsi="Arial" w:cs="Arial"/>
          <w:sz w:val="22"/>
        </w:rPr>
      </w:pPr>
    </w:p>
    <w:p w14:paraId="1ED90C0B" w14:textId="07AFB361" w:rsidR="004A78AF" w:rsidRDefault="00985A56" w:rsidP="00985A56">
      <w:pPr>
        <w:spacing w:line="360" w:lineRule="auto"/>
        <w:rPr>
          <w:rFonts w:ascii="Arial" w:hAnsi="Arial" w:cs="Arial"/>
          <w:sz w:val="22"/>
        </w:rPr>
      </w:pPr>
      <w:r w:rsidRPr="00985A56">
        <w:rPr>
          <w:rFonts w:ascii="Arial" w:hAnsi="Arial" w:cs="Arial"/>
          <w:sz w:val="22"/>
        </w:rPr>
        <w:t xml:space="preserve">Mcdaid, D. and Park, A-La. (2022) </w:t>
      </w:r>
      <w:r w:rsidRPr="004A78AF">
        <w:rPr>
          <w:rFonts w:ascii="Arial" w:hAnsi="Arial" w:cs="Arial"/>
          <w:i/>
          <w:iCs/>
          <w:sz w:val="22"/>
        </w:rPr>
        <w:t>The economic case for investing in the prevention of mental health conditions in the UK (Summary)</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 xml:space="preserve">Available at: </w:t>
      </w:r>
    </w:p>
    <w:p w14:paraId="3A29BD50" w14:textId="227B2F7F" w:rsidR="00985A56" w:rsidRPr="004A78AF" w:rsidRDefault="00000000" w:rsidP="00985A56">
      <w:pPr>
        <w:spacing w:line="360" w:lineRule="auto"/>
        <w:rPr>
          <w:rFonts w:ascii="Arial" w:hAnsi="Arial" w:cs="Arial"/>
          <w:sz w:val="22"/>
        </w:rPr>
      </w:pPr>
      <w:hyperlink r:id="rId14"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https://www.mentalhealth.org.uk/sites/default/files/2022-06/MHF-Investing-in-Prevention-Report-Summary.pdf</w:t>
        </w:r>
      </w:hyperlink>
      <w:r w:rsidR="004A78AF">
        <w:rPr>
          <w:rFonts w:ascii="Arial" w:hAnsi="Arial" w:cs="Arial" w:hint="eastAsia"/>
          <w:sz w:val="22"/>
        </w:rPr>
        <w:t xml:space="preserve"> (Accessed 10 March 2024). </w:t>
      </w:r>
    </w:p>
    <w:p w14:paraId="6891FD15" w14:textId="77777777" w:rsidR="004A78AF" w:rsidRDefault="004A78AF" w:rsidP="00985A56">
      <w:pPr>
        <w:spacing w:line="360" w:lineRule="auto"/>
        <w:rPr>
          <w:rFonts w:ascii="Arial" w:hAnsi="Arial" w:cs="Arial"/>
          <w:sz w:val="22"/>
        </w:rPr>
      </w:pPr>
    </w:p>
    <w:p w14:paraId="6E507423" w14:textId="77194957" w:rsidR="00985A56" w:rsidRPr="004A78AF" w:rsidRDefault="00985A56" w:rsidP="00985A56">
      <w:pPr>
        <w:spacing w:line="360" w:lineRule="auto"/>
        <w:rPr>
          <w:rFonts w:ascii="Arial" w:hAnsi="Arial" w:cs="Arial"/>
          <w:sz w:val="22"/>
        </w:rPr>
      </w:pPr>
      <w:r w:rsidRPr="00985A56">
        <w:rPr>
          <w:rFonts w:ascii="Arial" w:hAnsi="Arial" w:cs="Arial"/>
          <w:sz w:val="22"/>
        </w:rPr>
        <w:t xml:space="preserve">Mental Health Foundation (2023) </w:t>
      </w:r>
      <w:r w:rsidRPr="004A78AF">
        <w:rPr>
          <w:rFonts w:ascii="Arial" w:hAnsi="Arial" w:cs="Arial"/>
          <w:i/>
          <w:iCs/>
          <w:sz w:val="22"/>
        </w:rPr>
        <w:t>The most common diagnosed mental health problems: statistics</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 xml:space="preserve">Available at: </w:t>
      </w:r>
      <w:hyperlink r:id="rId15" w:anchor=":~:text=Mixed%20anxiety%20and%20depression%20is"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https://www.mentalhealth.org.uk/explore-mental-health/statistics/most-common-diagnosed-mental-health-problems-statistics#:~:text=Mixed%20anxiety%20and%20depression%20is</w:t>
        </w:r>
      </w:hyperlink>
      <w:r w:rsidR="004A78AF">
        <w:rPr>
          <w:rFonts w:ascii="Arial" w:hAnsi="Arial" w:cs="Arial" w:hint="eastAsia"/>
          <w:sz w:val="22"/>
        </w:rPr>
        <w:t xml:space="preserve"> (Accessed 8 March 2024). </w:t>
      </w:r>
    </w:p>
    <w:p w14:paraId="35CEBC03" w14:textId="77777777" w:rsidR="004A78AF" w:rsidRDefault="004A78AF" w:rsidP="00985A56">
      <w:pPr>
        <w:spacing w:line="360" w:lineRule="auto"/>
        <w:rPr>
          <w:rFonts w:ascii="Arial" w:hAnsi="Arial" w:cs="Arial"/>
          <w:sz w:val="22"/>
        </w:rPr>
      </w:pPr>
    </w:p>
    <w:p w14:paraId="1F8446E5" w14:textId="0D5E2DF6" w:rsidR="00985A56" w:rsidRPr="004A78AF" w:rsidRDefault="00985A56" w:rsidP="00985A56">
      <w:pPr>
        <w:spacing w:line="360" w:lineRule="auto"/>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5A56">
        <w:rPr>
          <w:rFonts w:ascii="Arial" w:hAnsi="Arial" w:cs="Arial"/>
          <w:sz w:val="22"/>
        </w:rPr>
        <w:t xml:space="preserve">National Institute for Health and Care Excellence (2023) </w:t>
      </w:r>
      <w:r w:rsidRPr="004A78AF">
        <w:rPr>
          <w:rFonts w:ascii="Arial" w:hAnsi="Arial" w:cs="Arial"/>
          <w:i/>
          <w:iCs/>
          <w:sz w:val="22"/>
        </w:rPr>
        <w:t xml:space="preserve">Eight digitally enabled therapies to treat depression and anxiety in adults conditionally recommended by </w:t>
      </w:r>
      <w:r w:rsidRPr="004A78AF">
        <w:rPr>
          <w:rFonts w:ascii="Arial" w:hAnsi="Arial" w:cs="Arial"/>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NICE</w:t>
      </w:r>
      <w:r w:rsidR="004A78AF" w:rsidRPr="004A78AF">
        <w:rPr>
          <w:rFonts w:ascii="Arial" w:hAnsi="Arial" w:cs="Arial" w:hint="eastAsia"/>
          <w:i/>
          <w:iCs/>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4A78AF" w:rsidRPr="004A78AF">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A78AF">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https://www.nice.org.uk/news/article/eight-digitally-enabled-</w:t>
      </w:r>
      <w:r w:rsidRPr="004A78AF">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therapies-to-treat-depression-and-anxiety-in-adults-conditionally-recommended-by-nice </w:t>
      </w:r>
      <w:r w:rsidR="004A78AF" w:rsidRPr="004A78AF">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A78AF">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29 Feb</w:t>
      </w:r>
      <w:r w:rsidR="004A78AF" w:rsidRPr="004A78AF">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ruary </w:t>
      </w:r>
      <w:r w:rsidRPr="004A78AF">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2024</w:t>
      </w:r>
      <w:r w:rsidR="004A78AF" w:rsidRPr="004A78AF">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88D7E59" w14:textId="77777777" w:rsidR="004A78AF" w:rsidRDefault="004A78AF" w:rsidP="00985A56">
      <w:pPr>
        <w:spacing w:line="360" w:lineRule="auto"/>
        <w:rPr>
          <w:rFonts w:ascii="Arial" w:hAnsi="Arial" w:cs="Arial"/>
          <w:sz w:val="22"/>
        </w:rPr>
      </w:pPr>
    </w:p>
    <w:p w14:paraId="74298EC5" w14:textId="77777777" w:rsidR="004A78AF" w:rsidRDefault="00985A56" w:rsidP="00985A56">
      <w:pPr>
        <w:spacing w:line="360" w:lineRule="auto"/>
        <w:rPr>
          <w:rFonts w:ascii="Arial" w:hAnsi="Arial" w:cs="Arial"/>
          <w:sz w:val="22"/>
        </w:rPr>
      </w:pPr>
      <w:r w:rsidRPr="00985A56">
        <w:rPr>
          <w:rFonts w:ascii="Arial" w:hAnsi="Arial" w:cs="Arial"/>
          <w:sz w:val="22"/>
        </w:rPr>
        <w:t>National Institute of Health and Care Excellence (NICE) (2022)</w:t>
      </w:r>
      <w:r w:rsidRPr="004A78AF">
        <w:rPr>
          <w:rFonts w:ascii="Arial" w:hAnsi="Arial" w:cs="Arial"/>
          <w:i/>
          <w:iCs/>
          <w:sz w:val="22"/>
        </w:rPr>
        <w:t xml:space="preserve"> Depression in adults: treatment and management</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PubMed.</w:t>
      </w:r>
    </w:p>
    <w:p w14:paraId="1B46E327" w14:textId="774D7C57" w:rsidR="00985A56" w:rsidRPr="00985A56" w:rsidRDefault="00985A56" w:rsidP="00985A56">
      <w:pPr>
        <w:spacing w:line="360" w:lineRule="auto"/>
        <w:rPr>
          <w:rFonts w:ascii="Arial" w:hAnsi="Arial" w:cs="Arial"/>
          <w:sz w:val="22"/>
        </w:rPr>
      </w:pPr>
      <w:r w:rsidRPr="00985A56">
        <w:rPr>
          <w:rFonts w:ascii="Arial" w:hAnsi="Arial" w:cs="Arial"/>
          <w:sz w:val="22"/>
        </w:rPr>
        <w:t>Available at:</w:t>
      </w:r>
      <w:r w:rsidRPr="004A78AF">
        <w:rPr>
          <w:rFonts w:ascii="Arial" w:hAnsi="Arial" w:cs="Arial"/>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6"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https://www.ncbi.nlm.nih.gov/books/NBK583074/</w:t>
        </w:r>
      </w:hyperlink>
      <w:r w:rsidR="004A78AF">
        <w:rPr>
          <w:rFonts w:ascii="Arial" w:hAnsi="Arial" w:cs="Arial" w:hint="eastAsia"/>
          <w:sz w:val="22"/>
        </w:rPr>
        <w:t xml:space="preserve"> (Accessed 26 February 2024). </w:t>
      </w:r>
      <w:r w:rsidRPr="00985A56">
        <w:rPr>
          <w:rFonts w:ascii="Arial" w:hAnsi="Arial" w:cs="Arial"/>
          <w:sz w:val="22"/>
        </w:rPr>
        <w:t xml:space="preserve"> </w:t>
      </w:r>
    </w:p>
    <w:p w14:paraId="6366A66A" w14:textId="77777777" w:rsidR="004A78AF" w:rsidRDefault="004A78AF" w:rsidP="00985A56">
      <w:pPr>
        <w:spacing w:line="360" w:lineRule="auto"/>
        <w:rPr>
          <w:rFonts w:ascii="Arial" w:hAnsi="Arial" w:cs="Arial"/>
          <w:sz w:val="22"/>
        </w:rPr>
      </w:pPr>
    </w:p>
    <w:p w14:paraId="47139A40" w14:textId="7394C0B7" w:rsidR="004A78AF" w:rsidRDefault="00985A56" w:rsidP="00985A56">
      <w:pPr>
        <w:spacing w:line="360" w:lineRule="auto"/>
        <w:rPr>
          <w:rFonts w:ascii="Arial" w:hAnsi="Arial" w:cs="Arial"/>
          <w:sz w:val="22"/>
        </w:rPr>
      </w:pPr>
      <w:r w:rsidRPr="00985A56">
        <w:rPr>
          <w:rFonts w:ascii="Arial" w:hAnsi="Arial" w:cs="Arial"/>
          <w:sz w:val="22"/>
        </w:rPr>
        <w:t xml:space="preserve">NHS Digital (2022) </w:t>
      </w:r>
      <w:r w:rsidRPr="004A78AF">
        <w:rPr>
          <w:rFonts w:ascii="Arial" w:hAnsi="Arial" w:cs="Arial"/>
          <w:i/>
          <w:iCs/>
          <w:sz w:val="22"/>
        </w:rPr>
        <w:t>Psychological Therapies, Annual report on the use of IAPT services, 2021-22</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 xml:space="preserve">Available at: </w:t>
      </w:r>
    </w:p>
    <w:p w14:paraId="09850040" w14:textId="0C707ADB" w:rsidR="00985A56" w:rsidRPr="004A78AF" w:rsidRDefault="00000000" w:rsidP="00985A56">
      <w:pPr>
        <w:spacing w:line="360" w:lineRule="auto"/>
        <w:rPr>
          <w:rFonts w:ascii="Arial" w:hAnsi="Arial" w:cs="Arial"/>
          <w:sz w:val="22"/>
        </w:rPr>
      </w:pPr>
      <w:hyperlink r:id="rId17"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https://digital.nhs.uk/data-and-information/publications/statistical/psychological-therapies-annual-reports-on-the-use-of-iapt-services/annual-report-2021-22</w:t>
        </w:r>
      </w:hyperlink>
      <w:r w:rsidR="004A78AF" w:rsidRPr="004A78AF">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8AF">
        <w:rPr>
          <w:rFonts w:ascii="Arial" w:hAnsi="Arial" w:cs="Arial" w:hint="eastAsia"/>
          <w:sz w:val="22"/>
        </w:rPr>
        <w:t xml:space="preserve">(Accessed 1 March 2024). </w:t>
      </w:r>
    </w:p>
    <w:p w14:paraId="2B791DC7" w14:textId="77777777" w:rsidR="004A78AF" w:rsidRDefault="004A78AF" w:rsidP="00985A56">
      <w:pPr>
        <w:spacing w:line="360" w:lineRule="auto"/>
        <w:rPr>
          <w:rFonts w:ascii="Arial" w:hAnsi="Arial" w:cs="Arial"/>
          <w:sz w:val="22"/>
        </w:rPr>
      </w:pPr>
    </w:p>
    <w:p w14:paraId="4E6749C0" w14:textId="70B6EB0E" w:rsidR="00985A56" w:rsidRPr="004A78AF" w:rsidRDefault="00985A56" w:rsidP="00985A56">
      <w:pPr>
        <w:spacing w:line="360" w:lineRule="auto"/>
        <w:rPr>
          <w:rFonts w:ascii="Arial" w:hAnsi="Arial" w:cs="Arial"/>
          <w:sz w:val="22"/>
        </w:rPr>
      </w:pPr>
      <w:r w:rsidRPr="00985A56">
        <w:rPr>
          <w:rFonts w:ascii="Arial" w:hAnsi="Arial" w:cs="Arial"/>
          <w:sz w:val="22"/>
        </w:rPr>
        <w:t xml:space="preserve">NHS Digital (2023) </w:t>
      </w:r>
      <w:r w:rsidRPr="004A78AF">
        <w:rPr>
          <w:rFonts w:ascii="Arial" w:hAnsi="Arial" w:cs="Arial"/>
          <w:i/>
          <w:iCs/>
          <w:sz w:val="22"/>
        </w:rPr>
        <w:t>Waiting Times</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 xml:space="preserve">Available at: </w:t>
      </w:r>
      <w:hyperlink r:id="rId18"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https://digital.nhs.uk/data-and-information/publications/statistical/psychological-therapies-report-on-the-use-of-iapt-services/march-2023-final-including-a-report-on-the-iapt-employment-advisers-pilot/waiting-times</w:t>
        </w:r>
      </w:hyperlink>
      <w:r w:rsidR="004A78AF">
        <w:rPr>
          <w:rFonts w:ascii="Arial" w:hAnsi="Arial" w:cs="Arial" w:hint="eastAsia"/>
          <w:sz w:val="22"/>
        </w:rPr>
        <w:t xml:space="preserve"> (Accessed 29 February 2024). </w:t>
      </w:r>
    </w:p>
    <w:p w14:paraId="0D53AF93" w14:textId="77777777" w:rsidR="004A78AF" w:rsidRDefault="004A78AF" w:rsidP="00985A56">
      <w:pPr>
        <w:spacing w:line="360" w:lineRule="auto"/>
        <w:rPr>
          <w:rFonts w:ascii="Arial" w:hAnsi="Arial" w:cs="Arial"/>
          <w:sz w:val="22"/>
        </w:rPr>
      </w:pPr>
    </w:p>
    <w:p w14:paraId="6B8534EC" w14:textId="43204012" w:rsidR="00985A56" w:rsidRPr="00985A56" w:rsidRDefault="00985A56" w:rsidP="00985A56">
      <w:pPr>
        <w:spacing w:line="360" w:lineRule="auto"/>
        <w:rPr>
          <w:rFonts w:ascii="Arial" w:hAnsi="Arial" w:cs="Arial"/>
          <w:sz w:val="22"/>
        </w:rPr>
      </w:pPr>
      <w:r w:rsidRPr="00985A56">
        <w:rPr>
          <w:rFonts w:ascii="Arial" w:hAnsi="Arial" w:cs="Arial"/>
          <w:sz w:val="22"/>
        </w:rPr>
        <w:t xml:space="preserve">NHS England (2024) </w:t>
      </w:r>
      <w:r w:rsidRPr="004A78AF">
        <w:rPr>
          <w:rFonts w:ascii="Arial" w:hAnsi="Arial" w:cs="Arial"/>
          <w:i/>
          <w:iCs/>
          <w:sz w:val="22"/>
        </w:rPr>
        <w:t>Outcomes for treatment for anxiety and depression</w:t>
      </w:r>
      <w:r w:rsidRPr="00985A56">
        <w:rPr>
          <w:rFonts w:ascii="Arial" w:hAnsi="Arial" w:cs="Arial"/>
          <w:sz w:val="22"/>
        </w:rPr>
        <w:t>.</w:t>
      </w:r>
      <w:r w:rsidR="004A78AF">
        <w:rPr>
          <w:rFonts w:ascii="Arial" w:hAnsi="Arial" w:cs="Arial" w:hint="eastAsia"/>
          <w:sz w:val="22"/>
        </w:rPr>
        <w:t xml:space="preserve"> </w:t>
      </w:r>
      <w:r w:rsidRPr="00985A56">
        <w:rPr>
          <w:rFonts w:ascii="Arial" w:hAnsi="Arial" w:cs="Arial"/>
          <w:sz w:val="22"/>
        </w:rPr>
        <w:t xml:space="preserve">Available at: https://www.ethnicity-facts-figures.service.gov.uk/health/mental-health/outcomes-for-treatment-for-anxiety-and-depression/latest/ </w:t>
      </w:r>
      <w:r w:rsidR="004A78AF">
        <w:rPr>
          <w:rFonts w:ascii="Arial" w:hAnsi="Arial" w:cs="Arial" w:hint="eastAsia"/>
          <w:sz w:val="22"/>
        </w:rPr>
        <w:t>(</w:t>
      </w:r>
      <w:r w:rsidRPr="00985A56">
        <w:rPr>
          <w:rFonts w:ascii="Arial" w:hAnsi="Arial" w:cs="Arial"/>
          <w:sz w:val="22"/>
        </w:rPr>
        <w:t>Accessed 29 Feb</w:t>
      </w:r>
      <w:r w:rsidR="004A78AF">
        <w:rPr>
          <w:rFonts w:ascii="Arial" w:hAnsi="Arial" w:cs="Arial" w:hint="eastAsia"/>
          <w:sz w:val="22"/>
        </w:rPr>
        <w:t>ruary</w:t>
      </w:r>
      <w:r w:rsidRPr="00985A56">
        <w:rPr>
          <w:rFonts w:ascii="Arial" w:hAnsi="Arial" w:cs="Arial"/>
          <w:sz w:val="22"/>
        </w:rPr>
        <w:t xml:space="preserve"> 2024</w:t>
      </w:r>
      <w:r w:rsidR="004A78AF">
        <w:rPr>
          <w:rFonts w:ascii="Arial" w:hAnsi="Arial" w:cs="Arial" w:hint="eastAsia"/>
          <w:sz w:val="22"/>
        </w:rPr>
        <w:t xml:space="preserve">). </w:t>
      </w:r>
    </w:p>
    <w:p w14:paraId="77891CBB" w14:textId="77777777" w:rsidR="004A78AF" w:rsidRDefault="004A78AF" w:rsidP="00985A56">
      <w:pPr>
        <w:spacing w:line="360" w:lineRule="auto"/>
        <w:rPr>
          <w:rFonts w:ascii="Arial" w:hAnsi="Arial" w:cs="Arial"/>
          <w:sz w:val="22"/>
        </w:rPr>
      </w:pPr>
    </w:p>
    <w:p w14:paraId="704C2A55" w14:textId="646A89CC" w:rsidR="00985A56" w:rsidRPr="004A78AF" w:rsidRDefault="00985A56" w:rsidP="00985A56">
      <w:pPr>
        <w:spacing w:line="360" w:lineRule="auto"/>
        <w:rPr>
          <w:rFonts w:ascii="Arial" w:hAnsi="Arial" w:cs="Arial"/>
          <w:sz w:val="22"/>
        </w:rPr>
      </w:pPr>
      <w:r w:rsidRPr="00985A56">
        <w:rPr>
          <w:rFonts w:ascii="Arial" w:hAnsi="Arial" w:cs="Arial"/>
          <w:sz w:val="22"/>
        </w:rPr>
        <w:t xml:space="preserve">NHS (2022) </w:t>
      </w:r>
      <w:r w:rsidRPr="004A78AF">
        <w:rPr>
          <w:rFonts w:ascii="Arial" w:hAnsi="Arial" w:cs="Arial"/>
          <w:i/>
          <w:iCs/>
          <w:sz w:val="22"/>
        </w:rPr>
        <w:t>Benefits of talking therapies</w:t>
      </w:r>
      <w:r w:rsidRPr="00985A56">
        <w:rPr>
          <w:rFonts w:ascii="Arial" w:hAnsi="Arial" w:cs="Arial"/>
          <w:sz w:val="22"/>
        </w:rPr>
        <w:t xml:space="preserve">. Available at: </w:t>
      </w:r>
      <w:hyperlink r:id="rId19"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https://www.nhs.uk/mental-health/talking-therapies-medicine-treatments/talking-therapies-and-counselling/benefits-of-talking-therapies/</w:t>
        </w:r>
      </w:hyperlink>
      <w:r w:rsidR="004A78AF" w:rsidRPr="004A78AF">
        <w:rPr>
          <w:rFonts w:ascii="Arial" w:hAnsi="Arial" w:cs="Arial" w:hint="eastAsia"/>
          <w:color w:val="000000" w:themeColor="text1"/>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A78AF">
        <w:rPr>
          <w:rFonts w:ascii="Arial" w:hAnsi="Arial" w:cs="Arial" w:hint="eastAsia"/>
          <w:sz w:val="22"/>
        </w:rPr>
        <w:t xml:space="preserve">(Accessed 28 February 2024). </w:t>
      </w:r>
    </w:p>
    <w:p w14:paraId="3500EE99" w14:textId="77777777" w:rsidR="00985A56" w:rsidRPr="00985A56" w:rsidRDefault="00985A56" w:rsidP="00985A56">
      <w:pPr>
        <w:spacing w:line="360" w:lineRule="auto"/>
        <w:rPr>
          <w:rFonts w:ascii="Arial" w:hAnsi="Arial" w:cs="Arial"/>
          <w:sz w:val="22"/>
        </w:rPr>
      </w:pPr>
    </w:p>
    <w:p w14:paraId="53C13DE4" w14:textId="37702BCB" w:rsidR="004A78AF" w:rsidRDefault="00985A56" w:rsidP="00985A56">
      <w:pPr>
        <w:spacing w:line="360" w:lineRule="auto"/>
        <w:rPr>
          <w:rFonts w:ascii="Arial" w:hAnsi="Arial" w:cs="Arial"/>
          <w:sz w:val="22"/>
        </w:rPr>
      </w:pPr>
      <w:r w:rsidRPr="00985A56">
        <w:rPr>
          <w:rFonts w:ascii="Arial" w:hAnsi="Arial" w:cs="Arial"/>
          <w:sz w:val="22"/>
        </w:rPr>
        <w:t xml:space="preserve">NHS (2023) </w:t>
      </w:r>
      <w:r w:rsidRPr="004A78AF">
        <w:rPr>
          <w:rFonts w:ascii="Arial" w:hAnsi="Arial" w:cs="Arial"/>
          <w:i/>
          <w:iCs/>
          <w:sz w:val="22"/>
        </w:rPr>
        <w:t>NHS England -Service standards</w:t>
      </w:r>
      <w:r w:rsidRPr="00985A56">
        <w:rPr>
          <w:rFonts w:ascii="Arial" w:hAnsi="Arial" w:cs="Arial"/>
          <w:sz w:val="22"/>
        </w:rPr>
        <w:t xml:space="preserve">. Available at: </w:t>
      </w:r>
    </w:p>
    <w:p w14:paraId="7FCE36D3" w14:textId="014525B8" w:rsidR="00985A56" w:rsidRPr="004A78AF" w:rsidRDefault="00000000" w:rsidP="00985A56">
      <w:pPr>
        <w:spacing w:line="360" w:lineRule="auto"/>
        <w:rPr>
          <w:rFonts w:ascii="Arial" w:hAnsi="Arial" w:cs="Arial"/>
          <w:sz w:val="22"/>
        </w:rPr>
      </w:pPr>
      <w:hyperlink r:id="rId20" w:history="1">
        <w:r w:rsidR="004A78AF" w:rsidRPr="004A78AF">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https://www.england.nhs.uk/mental-health/adults/nhs-talking-therapies/service-standards/</w:t>
        </w:r>
      </w:hyperlink>
      <w:r w:rsidR="004A78AF">
        <w:rPr>
          <w:rFonts w:ascii="Arial" w:hAnsi="Arial" w:cs="Arial" w:hint="eastAsia"/>
          <w:sz w:val="22"/>
        </w:rPr>
        <w:t xml:space="preserve"> (Accessed 2 March 2024). </w:t>
      </w:r>
    </w:p>
    <w:p w14:paraId="4CAD6022" w14:textId="77777777" w:rsidR="005710B9" w:rsidRDefault="00985A56" w:rsidP="00985A56">
      <w:pPr>
        <w:spacing w:line="360" w:lineRule="auto"/>
        <w:rPr>
          <w:rFonts w:ascii="Arial" w:hAnsi="Arial" w:cs="Arial"/>
          <w:sz w:val="22"/>
        </w:rPr>
      </w:pPr>
      <w:r w:rsidRPr="00985A56">
        <w:rPr>
          <w:rFonts w:ascii="Arial" w:hAnsi="Arial" w:cs="Arial"/>
          <w:sz w:val="22"/>
        </w:rPr>
        <w:lastRenderedPageBreak/>
        <w:t>Nuffield Trust (2023)</w:t>
      </w:r>
      <w:r w:rsidRPr="004820CB">
        <w:rPr>
          <w:rFonts w:ascii="Arial" w:hAnsi="Arial" w:cs="Arial"/>
          <w:i/>
          <w:iCs/>
          <w:sz w:val="22"/>
        </w:rPr>
        <w:t xml:space="preserve"> Improving Access to Psychological Therapies (IAPT) </w:t>
      </w:r>
      <w:r w:rsidR="004820CB" w:rsidRPr="004820CB">
        <w:rPr>
          <w:rFonts w:ascii="Arial" w:hAnsi="Arial" w:cs="Arial"/>
          <w:i/>
          <w:iCs/>
          <w:sz w:val="22"/>
        </w:rPr>
        <w:t>program</w:t>
      </w:r>
      <w:r w:rsidRPr="00985A56">
        <w:rPr>
          <w:rFonts w:ascii="Arial" w:hAnsi="Arial" w:cs="Arial"/>
          <w:sz w:val="22"/>
        </w:rPr>
        <w:t>.</w:t>
      </w:r>
      <w:r w:rsidR="004820CB">
        <w:rPr>
          <w:rFonts w:ascii="Arial" w:hAnsi="Arial" w:cs="Arial" w:hint="eastAsia"/>
          <w:sz w:val="22"/>
        </w:rPr>
        <w:t xml:space="preserve"> </w:t>
      </w:r>
    </w:p>
    <w:p w14:paraId="797B1C70" w14:textId="35C915E2" w:rsidR="00985A56" w:rsidRPr="00985A56" w:rsidRDefault="00985A56" w:rsidP="00985A56">
      <w:pPr>
        <w:spacing w:line="360" w:lineRule="auto"/>
        <w:rPr>
          <w:rFonts w:ascii="Arial" w:hAnsi="Arial" w:cs="Arial"/>
          <w:sz w:val="22"/>
        </w:rPr>
      </w:pPr>
      <w:r w:rsidRPr="00985A56">
        <w:rPr>
          <w:rFonts w:ascii="Arial" w:hAnsi="Arial" w:cs="Arial"/>
          <w:sz w:val="22"/>
        </w:rPr>
        <w:t xml:space="preserve">Available at: https://www.nuffieldtrust.org.uk/resource/improving-access-to-psychological-therapies-iapt-programme </w:t>
      </w:r>
      <w:r w:rsidR="004820CB">
        <w:rPr>
          <w:rFonts w:ascii="Arial" w:hAnsi="Arial" w:cs="Arial" w:hint="eastAsia"/>
          <w:sz w:val="22"/>
        </w:rPr>
        <w:t>(</w:t>
      </w:r>
      <w:r w:rsidRPr="00985A56">
        <w:rPr>
          <w:rFonts w:ascii="Arial" w:hAnsi="Arial" w:cs="Arial"/>
          <w:sz w:val="22"/>
        </w:rPr>
        <w:t>Accessed 29 Feb</w:t>
      </w:r>
      <w:r w:rsidR="004820CB">
        <w:rPr>
          <w:rFonts w:ascii="Arial" w:hAnsi="Arial" w:cs="Arial" w:hint="eastAsia"/>
          <w:sz w:val="22"/>
        </w:rPr>
        <w:t>ruary</w:t>
      </w:r>
      <w:r w:rsidRPr="00985A56">
        <w:rPr>
          <w:rFonts w:ascii="Arial" w:hAnsi="Arial" w:cs="Arial"/>
          <w:sz w:val="22"/>
        </w:rPr>
        <w:t xml:space="preserve"> 2024</w:t>
      </w:r>
      <w:r w:rsidR="004820CB">
        <w:rPr>
          <w:rFonts w:ascii="Arial" w:hAnsi="Arial" w:cs="Arial" w:hint="eastAsia"/>
          <w:sz w:val="22"/>
        </w:rPr>
        <w:t xml:space="preserve">). </w:t>
      </w:r>
    </w:p>
    <w:p w14:paraId="27708E32" w14:textId="77777777" w:rsidR="004A78AF" w:rsidRDefault="004A78AF" w:rsidP="00985A56">
      <w:pPr>
        <w:spacing w:line="360" w:lineRule="auto"/>
        <w:rPr>
          <w:rFonts w:ascii="Arial" w:hAnsi="Arial" w:cs="Arial"/>
          <w:sz w:val="22"/>
        </w:rPr>
      </w:pPr>
    </w:p>
    <w:p w14:paraId="057F9DE8" w14:textId="77777777" w:rsidR="004820CB" w:rsidRDefault="00985A56" w:rsidP="00985A56">
      <w:pPr>
        <w:spacing w:line="360" w:lineRule="auto"/>
        <w:rPr>
          <w:rFonts w:ascii="Arial" w:hAnsi="Arial" w:cs="Arial"/>
          <w:sz w:val="22"/>
        </w:rPr>
      </w:pPr>
      <w:r w:rsidRPr="00985A56">
        <w:rPr>
          <w:rFonts w:ascii="Arial" w:hAnsi="Arial" w:cs="Arial"/>
          <w:sz w:val="22"/>
        </w:rPr>
        <w:t>Pindar, J. (2022)</w:t>
      </w:r>
      <w:r w:rsidR="004820CB">
        <w:rPr>
          <w:rFonts w:ascii="Arial" w:hAnsi="Arial" w:cs="Arial" w:hint="eastAsia"/>
          <w:sz w:val="22"/>
        </w:rPr>
        <w:t xml:space="preserve"> </w:t>
      </w:r>
      <w:r w:rsidRPr="004820CB">
        <w:rPr>
          <w:rFonts w:ascii="Arial" w:hAnsi="Arial" w:cs="Arial"/>
          <w:i/>
          <w:iCs/>
          <w:sz w:val="22"/>
        </w:rPr>
        <w:t>Anxiety Statistics UK | 2022 Data</w:t>
      </w:r>
      <w:r w:rsidRPr="00985A56">
        <w:rPr>
          <w:rFonts w:ascii="Arial" w:hAnsi="Arial" w:cs="Arial"/>
          <w:sz w:val="22"/>
        </w:rPr>
        <w:t>.</w:t>
      </w:r>
      <w:r w:rsidR="004820CB">
        <w:rPr>
          <w:rFonts w:ascii="Arial" w:hAnsi="Arial" w:cs="Arial" w:hint="eastAsia"/>
          <w:sz w:val="22"/>
        </w:rPr>
        <w:t xml:space="preserve"> </w:t>
      </w:r>
    </w:p>
    <w:p w14:paraId="02FEFC9D" w14:textId="3C9CC416" w:rsidR="00985A56" w:rsidRPr="004820CB" w:rsidRDefault="00985A56" w:rsidP="00985A56">
      <w:pPr>
        <w:spacing w:line="360" w:lineRule="auto"/>
        <w:rPr>
          <w:rFonts w:ascii="Arial" w:hAnsi="Arial" w:cs="Arial"/>
          <w:sz w:val="22"/>
        </w:rPr>
      </w:pPr>
      <w:r w:rsidRPr="00985A56">
        <w:rPr>
          <w:rFonts w:ascii="Arial" w:hAnsi="Arial" w:cs="Arial"/>
          <w:sz w:val="22"/>
        </w:rPr>
        <w:t xml:space="preserve">Available at: </w:t>
      </w:r>
      <w:hyperlink r:id="rId21" w:history="1">
        <w:r w:rsidR="004820CB" w:rsidRPr="004820CB">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https://championhealth.co.uk/insights/anxiety-statistics/</w:t>
        </w:r>
      </w:hyperlink>
      <w:r w:rsidR="004820CB">
        <w:rPr>
          <w:rFonts w:ascii="Arial" w:hAnsi="Arial" w:cs="Arial" w:hint="eastAsia"/>
          <w:sz w:val="22"/>
        </w:rPr>
        <w:t xml:space="preserve"> (Accessed 29 February 2024). </w:t>
      </w:r>
    </w:p>
    <w:p w14:paraId="75359662" w14:textId="77777777" w:rsidR="004A78AF" w:rsidRDefault="004A78AF" w:rsidP="00985A56">
      <w:pPr>
        <w:spacing w:line="360" w:lineRule="auto"/>
        <w:rPr>
          <w:rFonts w:ascii="Arial" w:hAnsi="Arial" w:cs="Arial"/>
          <w:sz w:val="22"/>
        </w:rPr>
      </w:pPr>
    </w:p>
    <w:p w14:paraId="0B2DB355" w14:textId="44262DB0" w:rsidR="00985A56" w:rsidRPr="00985A56" w:rsidRDefault="00985A56" w:rsidP="00985A56">
      <w:pPr>
        <w:spacing w:line="360" w:lineRule="auto"/>
        <w:rPr>
          <w:rFonts w:ascii="Arial" w:hAnsi="Arial" w:cs="Arial"/>
          <w:sz w:val="22"/>
        </w:rPr>
      </w:pPr>
      <w:r w:rsidRPr="00985A56">
        <w:rPr>
          <w:rFonts w:ascii="Arial" w:hAnsi="Arial" w:cs="Arial"/>
          <w:sz w:val="22"/>
        </w:rPr>
        <w:t xml:space="preserve">Rehman, N., Mahmood, A., Ibtasam, M., Murtaza, S.A., Iqbal, N. and Molnár, E. (2021) </w:t>
      </w:r>
      <w:r w:rsidR="004820CB">
        <w:rPr>
          <w:rFonts w:ascii="Arial" w:hAnsi="Arial" w:cs="Arial"/>
          <w:sz w:val="22"/>
        </w:rPr>
        <w:t>‘</w:t>
      </w:r>
      <w:r w:rsidRPr="00985A56">
        <w:rPr>
          <w:rFonts w:ascii="Arial" w:hAnsi="Arial" w:cs="Arial"/>
          <w:sz w:val="22"/>
        </w:rPr>
        <w:t>The Psychology of Resistance to Change: The Antidotal Effect of Organizational Justice, Support and Leader-Member Exchange</w:t>
      </w:r>
      <w:r w:rsidR="004820CB">
        <w:rPr>
          <w:rFonts w:ascii="Arial" w:hAnsi="Arial" w:cs="Arial"/>
          <w:sz w:val="22"/>
        </w:rPr>
        <w:t>’</w:t>
      </w:r>
      <w:r w:rsidR="004820CB">
        <w:rPr>
          <w:rFonts w:ascii="Arial" w:hAnsi="Arial" w:cs="Arial" w:hint="eastAsia"/>
          <w:sz w:val="22"/>
        </w:rPr>
        <w:t>,</w:t>
      </w:r>
      <w:r w:rsidRPr="00985A56">
        <w:rPr>
          <w:rFonts w:ascii="Arial" w:hAnsi="Arial" w:cs="Arial"/>
          <w:sz w:val="22"/>
        </w:rPr>
        <w:t xml:space="preserve"> </w:t>
      </w:r>
      <w:r w:rsidRPr="004820CB">
        <w:rPr>
          <w:rFonts w:ascii="Arial" w:hAnsi="Arial" w:cs="Arial"/>
          <w:i/>
          <w:iCs/>
          <w:sz w:val="22"/>
        </w:rPr>
        <w:t>Frontiers in Psychology</w:t>
      </w:r>
      <w:r w:rsidRPr="00985A56">
        <w:rPr>
          <w:rFonts w:ascii="Arial" w:hAnsi="Arial" w:cs="Arial"/>
          <w:sz w:val="22"/>
        </w:rPr>
        <w:t xml:space="preserve">, 12(1), pp.1–15. </w:t>
      </w:r>
      <w:r w:rsidR="005710B9">
        <w:rPr>
          <w:rFonts w:ascii="Arial" w:hAnsi="Arial" w:cs="Arial" w:hint="eastAsia"/>
          <w:sz w:val="22"/>
        </w:rPr>
        <w:t>d</w:t>
      </w:r>
      <w:r w:rsidR="004820CB" w:rsidRPr="00985A56">
        <w:rPr>
          <w:rFonts w:ascii="Arial" w:hAnsi="Arial" w:cs="Arial"/>
          <w:sz w:val="22"/>
        </w:rPr>
        <w:t>oi</w:t>
      </w:r>
      <w:r w:rsidRPr="00985A56">
        <w:rPr>
          <w:rFonts w:ascii="Arial" w:hAnsi="Arial" w:cs="Arial"/>
          <w:sz w:val="22"/>
        </w:rPr>
        <w:t>:</w:t>
      </w:r>
      <w:r w:rsidR="004820CB">
        <w:rPr>
          <w:rFonts w:ascii="Arial" w:hAnsi="Arial" w:cs="Arial" w:hint="eastAsia"/>
          <w:sz w:val="22"/>
        </w:rPr>
        <w:t xml:space="preserve"> </w:t>
      </w:r>
      <w:r w:rsidRPr="00985A56">
        <w:rPr>
          <w:rFonts w:ascii="Arial" w:hAnsi="Arial" w:cs="Arial"/>
          <w:sz w:val="22"/>
        </w:rPr>
        <w:t>https://doi.org/10.3389/fpsyg.2021.678952</w:t>
      </w:r>
    </w:p>
    <w:p w14:paraId="3CEFEB15" w14:textId="77777777" w:rsidR="004820CB" w:rsidRDefault="004820CB" w:rsidP="00985A56">
      <w:pPr>
        <w:spacing w:line="360" w:lineRule="auto"/>
        <w:rPr>
          <w:rFonts w:ascii="Arial" w:hAnsi="Arial" w:cs="Arial"/>
          <w:sz w:val="22"/>
        </w:rPr>
      </w:pPr>
    </w:p>
    <w:p w14:paraId="2725F12B" w14:textId="75A1CEB7" w:rsidR="00D44B6D" w:rsidRDefault="00985A56" w:rsidP="00985A56">
      <w:pPr>
        <w:spacing w:line="360" w:lineRule="auto"/>
        <w:rPr>
          <w:rFonts w:ascii="Arial" w:hAnsi="Arial" w:cs="Arial"/>
          <w:sz w:val="22"/>
        </w:rPr>
      </w:pPr>
      <w:r w:rsidRPr="00985A56">
        <w:rPr>
          <w:rFonts w:ascii="Arial" w:hAnsi="Arial" w:cs="Arial"/>
          <w:sz w:val="22"/>
        </w:rPr>
        <w:t xml:space="preserve">Reitsma, T. (2021) </w:t>
      </w:r>
      <w:r w:rsidRPr="00D44B6D">
        <w:rPr>
          <w:rFonts w:ascii="Arial" w:hAnsi="Arial" w:cs="Arial"/>
          <w:i/>
          <w:iCs/>
          <w:sz w:val="22"/>
        </w:rPr>
        <w:t>What Is Employee Monitoring?</w:t>
      </w:r>
      <w:r w:rsidR="00D44B6D">
        <w:rPr>
          <w:rFonts w:ascii="Arial" w:hAnsi="Arial" w:cs="Arial" w:hint="eastAsia"/>
          <w:sz w:val="22"/>
        </w:rPr>
        <w:t xml:space="preserve"> </w:t>
      </w:r>
      <w:r w:rsidRPr="00985A56">
        <w:rPr>
          <w:rFonts w:ascii="Arial" w:hAnsi="Arial" w:cs="Arial"/>
          <w:sz w:val="22"/>
        </w:rPr>
        <w:t xml:space="preserve">Available at: </w:t>
      </w:r>
    </w:p>
    <w:p w14:paraId="7345825E" w14:textId="0E43B76B" w:rsidR="00985A56" w:rsidRPr="00985A56" w:rsidRDefault="00985A56" w:rsidP="00985A56">
      <w:pPr>
        <w:spacing w:line="360" w:lineRule="auto"/>
        <w:rPr>
          <w:rFonts w:ascii="Arial" w:hAnsi="Arial" w:cs="Arial"/>
          <w:sz w:val="22"/>
        </w:rPr>
      </w:pPr>
      <w:r w:rsidRPr="00985A56">
        <w:rPr>
          <w:rFonts w:ascii="Arial" w:hAnsi="Arial" w:cs="Arial"/>
          <w:sz w:val="22"/>
        </w:rPr>
        <w:t xml:space="preserve">https://peoplemanagingpeople.com/articles/what-is-employee-monitoring/ </w:t>
      </w:r>
      <w:r w:rsidR="00D44B6D">
        <w:rPr>
          <w:rFonts w:ascii="Arial" w:hAnsi="Arial" w:cs="Arial" w:hint="eastAsia"/>
          <w:sz w:val="22"/>
        </w:rPr>
        <w:t>(</w:t>
      </w:r>
      <w:r w:rsidRPr="00985A56">
        <w:rPr>
          <w:rFonts w:ascii="Arial" w:hAnsi="Arial" w:cs="Arial"/>
          <w:sz w:val="22"/>
        </w:rPr>
        <w:t>Accessed 29 Feb</w:t>
      </w:r>
      <w:r w:rsidR="00D44B6D">
        <w:rPr>
          <w:rFonts w:ascii="Arial" w:hAnsi="Arial" w:cs="Arial" w:hint="eastAsia"/>
          <w:sz w:val="22"/>
        </w:rPr>
        <w:t>ruary</w:t>
      </w:r>
      <w:r w:rsidRPr="00985A56">
        <w:rPr>
          <w:rFonts w:ascii="Arial" w:hAnsi="Arial" w:cs="Arial"/>
          <w:sz w:val="22"/>
        </w:rPr>
        <w:t xml:space="preserve"> 2024</w:t>
      </w:r>
      <w:r w:rsidR="00D44B6D">
        <w:rPr>
          <w:rFonts w:ascii="Arial" w:hAnsi="Arial" w:cs="Arial" w:hint="eastAsia"/>
          <w:sz w:val="22"/>
        </w:rPr>
        <w:t xml:space="preserve">). </w:t>
      </w:r>
    </w:p>
    <w:p w14:paraId="5BED203B" w14:textId="77777777" w:rsidR="00D44B6D" w:rsidRDefault="00D44B6D" w:rsidP="00985A56">
      <w:pPr>
        <w:spacing w:line="360" w:lineRule="auto"/>
        <w:rPr>
          <w:rFonts w:ascii="Arial" w:hAnsi="Arial" w:cs="Arial"/>
          <w:sz w:val="22"/>
        </w:rPr>
      </w:pPr>
    </w:p>
    <w:p w14:paraId="4CA753B6" w14:textId="5E0374DF" w:rsidR="00985A56" w:rsidRPr="00985A56" w:rsidRDefault="00985A56" w:rsidP="00985A56">
      <w:pPr>
        <w:spacing w:line="360" w:lineRule="auto"/>
        <w:rPr>
          <w:rFonts w:ascii="Arial" w:hAnsi="Arial" w:cs="Arial"/>
          <w:sz w:val="22"/>
        </w:rPr>
      </w:pPr>
      <w:r w:rsidRPr="00985A56">
        <w:rPr>
          <w:rFonts w:ascii="Arial" w:hAnsi="Arial" w:cs="Arial"/>
          <w:sz w:val="22"/>
        </w:rPr>
        <w:t xml:space="preserve">Staff, C. (2023) </w:t>
      </w:r>
      <w:r w:rsidRPr="00D44B6D">
        <w:rPr>
          <w:rFonts w:ascii="Arial" w:hAnsi="Arial" w:cs="Arial"/>
          <w:i/>
          <w:iCs/>
          <w:sz w:val="22"/>
        </w:rPr>
        <w:t>Change Management Process: What Is It and Who Is It For?</w:t>
      </w:r>
      <w:r w:rsidRPr="00985A56">
        <w:rPr>
          <w:rFonts w:ascii="Arial" w:hAnsi="Arial" w:cs="Arial"/>
          <w:sz w:val="22"/>
        </w:rPr>
        <w:t xml:space="preserve"> Available at: https://www.coursera.org/articles/change-management-process </w:t>
      </w:r>
      <w:r w:rsidR="00D44B6D">
        <w:rPr>
          <w:rFonts w:ascii="Arial" w:hAnsi="Arial" w:cs="Arial" w:hint="eastAsia"/>
          <w:sz w:val="22"/>
        </w:rPr>
        <w:t>(</w:t>
      </w:r>
      <w:r w:rsidRPr="00985A56">
        <w:rPr>
          <w:rFonts w:ascii="Arial" w:hAnsi="Arial" w:cs="Arial"/>
          <w:sz w:val="22"/>
        </w:rPr>
        <w:t>Accessed 29 Feb</w:t>
      </w:r>
      <w:r w:rsidR="00D44B6D">
        <w:rPr>
          <w:rFonts w:ascii="Arial" w:hAnsi="Arial" w:cs="Arial" w:hint="eastAsia"/>
          <w:sz w:val="22"/>
        </w:rPr>
        <w:t>ruary</w:t>
      </w:r>
      <w:r w:rsidRPr="00985A56">
        <w:rPr>
          <w:rFonts w:ascii="Arial" w:hAnsi="Arial" w:cs="Arial"/>
          <w:sz w:val="22"/>
        </w:rPr>
        <w:t xml:space="preserve"> 2024</w:t>
      </w:r>
      <w:r w:rsidR="00D44B6D">
        <w:rPr>
          <w:rFonts w:ascii="Arial" w:hAnsi="Arial" w:cs="Arial" w:hint="eastAsia"/>
          <w:sz w:val="22"/>
        </w:rPr>
        <w:t xml:space="preserve">). </w:t>
      </w:r>
    </w:p>
    <w:p w14:paraId="468A8436" w14:textId="77777777" w:rsidR="00D44B6D" w:rsidRDefault="00D44B6D" w:rsidP="00985A56">
      <w:pPr>
        <w:spacing w:line="360" w:lineRule="auto"/>
        <w:rPr>
          <w:rFonts w:ascii="Arial" w:hAnsi="Arial" w:cs="Arial"/>
          <w:sz w:val="22"/>
        </w:rPr>
      </w:pPr>
    </w:p>
    <w:p w14:paraId="1547912D" w14:textId="11EF5F99" w:rsidR="00985A56" w:rsidRPr="00D44B6D" w:rsidRDefault="00985A56" w:rsidP="00985A56">
      <w:pPr>
        <w:spacing w:line="360" w:lineRule="auto"/>
        <w:rPr>
          <w:rFonts w:ascii="Arial" w:hAnsi="Arial" w:cs="Arial"/>
          <w:sz w:val="22"/>
        </w:rPr>
      </w:pPr>
      <w:r w:rsidRPr="00985A56">
        <w:rPr>
          <w:rFonts w:ascii="Arial" w:hAnsi="Arial" w:cs="Arial"/>
          <w:sz w:val="22"/>
        </w:rPr>
        <w:t xml:space="preserve">The National Collaborating Centre for Mental Health (2018) </w:t>
      </w:r>
      <w:r w:rsidRPr="00D44B6D">
        <w:rPr>
          <w:rFonts w:ascii="Arial" w:hAnsi="Arial" w:cs="Arial"/>
          <w:i/>
          <w:iCs/>
          <w:sz w:val="22"/>
        </w:rPr>
        <w:t>NHS Talking Therapies for</w:t>
      </w:r>
      <w:r w:rsidR="00D44B6D" w:rsidRPr="00D44B6D">
        <w:rPr>
          <w:rFonts w:ascii="Arial" w:hAnsi="Arial" w:cs="Arial" w:hint="eastAsia"/>
          <w:i/>
          <w:iCs/>
          <w:sz w:val="22"/>
        </w:rPr>
        <w:t xml:space="preserve"> </w:t>
      </w:r>
      <w:r w:rsidRPr="00D44B6D">
        <w:rPr>
          <w:rFonts w:ascii="Arial" w:hAnsi="Arial" w:cs="Arial"/>
          <w:i/>
          <w:iCs/>
          <w:sz w:val="22"/>
        </w:rPr>
        <w:t>anxiety and depression manual</w:t>
      </w:r>
      <w:r w:rsidRPr="00985A56">
        <w:rPr>
          <w:rFonts w:ascii="Arial" w:hAnsi="Arial" w:cs="Arial"/>
          <w:sz w:val="22"/>
        </w:rPr>
        <w:t xml:space="preserve">. Available at: </w:t>
      </w:r>
      <w:hyperlink r:id="rId22" w:history="1">
        <w:r w:rsidR="00D44B6D" w:rsidRPr="00D44B6D">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https://www.england.nhs.uk/wp-content/uploads/2018/06/nhs-talking-therapies-for-anxiety-and-depression-manual-v7.pdf</w:t>
        </w:r>
      </w:hyperlink>
      <w:r w:rsidR="00D44B6D">
        <w:rPr>
          <w:rFonts w:ascii="Arial" w:hAnsi="Arial" w:cs="Arial" w:hint="eastAsia"/>
          <w:sz w:val="22"/>
        </w:rPr>
        <w:t xml:space="preserve"> (Accessed 9 March 2024). </w:t>
      </w:r>
    </w:p>
    <w:p w14:paraId="42C1A11E" w14:textId="77777777" w:rsidR="00D44B6D" w:rsidRDefault="00D44B6D" w:rsidP="00985A56">
      <w:pPr>
        <w:spacing w:line="360" w:lineRule="auto"/>
        <w:rPr>
          <w:rFonts w:ascii="Arial" w:hAnsi="Arial" w:cs="Arial"/>
          <w:sz w:val="22"/>
        </w:rPr>
      </w:pPr>
    </w:p>
    <w:p w14:paraId="75991887" w14:textId="089522E1" w:rsidR="00985A56" w:rsidRPr="00985A56" w:rsidRDefault="00985A56" w:rsidP="00985A56">
      <w:pPr>
        <w:spacing w:line="360" w:lineRule="auto"/>
        <w:rPr>
          <w:rFonts w:ascii="Arial" w:hAnsi="Arial" w:cs="Arial"/>
          <w:sz w:val="22"/>
        </w:rPr>
      </w:pPr>
      <w:r w:rsidRPr="00985A56">
        <w:rPr>
          <w:rFonts w:ascii="Arial" w:hAnsi="Arial" w:cs="Arial"/>
          <w:sz w:val="22"/>
        </w:rPr>
        <w:t xml:space="preserve">Thornicroft, G. (2018) </w:t>
      </w:r>
      <w:r w:rsidR="00D44B6D">
        <w:rPr>
          <w:rFonts w:ascii="Arial" w:hAnsi="Arial" w:cs="Arial"/>
          <w:sz w:val="22"/>
        </w:rPr>
        <w:t>‘</w:t>
      </w:r>
      <w:r w:rsidRPr="00D44B6D">
        <w:rPr>
          <w:rFonts w:ascii="Arial" w:hAnsi="Arial" w:cs="Arial"/>
          <w:sz w:val="22"/>
        </w:rPr>
        <w:t>Improving access to psychological therapies in England</w:t>
      </w:r>
      <w:r w:rsidR="00D44B6D">
        <w:rPr>
          <w:rFonts w:ascii="Arial" w:hAnsi="Arial" w:cs="Arial"/>
          <w:sz w:val="22"/>
        </w:rPr>
        <w:t>’</w:t>
      </w:r>
      <w:r w:rsidR="00D44B6D">
        <w:rPr>
          <w:rFonts w:ascii="Arial" w:hAnsi="Arial" w:cs="Arial" w:hint="eastAsia"/>
          <w:sz w:val="22"/>
        </w:rPr>
        <w:t>,</w:t>
      </w:r>
      <w:r w:rsidRPr="00985A56">
        <w:rPr>
          <w:rFonts w:ascii="Arial" w:hAnsi="Arial" w:cs="Arial"/>
          <w:sz w:val="22"/>
        </w:rPr>
        <w:t xml:space="preserve"> </w:t>
      </w:r>
      <w:r w:rsidRPr="00D44B6D">
        <w:rPr>
          <w:rFonts w:ascii="Arial" w:hAnsi="Arial" w:cs="Arial"/>
          <w:i/>
          <w:iCs/>
          <w:sz w:val="22"/>
        </w:rPr>
        <w:t>The Lancet</w:t>
      </w:r>
      <w:r w:rsidRPr="00985A56">
        <w:rPr>
          <w:rFonts w:ascii="Arial" w:hAnsi="Arial" w:cs="Arial"/>
          <w:sz w:val="22"/>
        </w:rPr>
        <w:t xml:space="preserve">, 391(10121), pp.636–637. </w:t>
      </w:r>
      <w:r w:rsidR="00D44B6D" w:rsidRPr="00985A56">
        <w:rPr>
          <w:rFonts w:ascii="Arial" w:hAnsi="Arial" w:cs="Arial"/>
          <w:sz w:val="22"/>
        </w:rPr>
        <w:t>Doi</w:t>
      </w:r>
      <w:r w:rsidRPr="00985A56">
        <w:rPr>
          <w:rFonts w:ascii="Arial" w:hAnsi="Arial" w:cs="Arial"/>
          <w:sz w:val="22"/>
        </w:rPr>
        <w:t>:</w:t>
      </w:r>
      <w:r w:rsidR="00D44B6D">
        <w:rPr>
          <w:rFonts w:ascii="Arial" w:hAnsi="Arial" w:cs="Arial" w:hint="eastAsia"/>
          <w:sz w:val="22"/>
        </w:rPr>
        <w:t xml:space="preserve"> </w:t>
      </w:r>
      <w:r w:rsidRPr="00985A56">
        <w:rPr>
          <w:rFonts w:ascii="Arial" w:hAnsi="Arial" w:cs="Arial"/>
          <w:sz w:val="22"/>
        </w:rPr>
        <w:t>https://doi.org/10.1016/s0140-6736(17)32158-x</w:t>
      </w:r>
    </w:p>
    <w:p w14:paraId="69CADA69" w14:textId="77777777" w:rsidR="00D44B6D" w:rsidRDefault="00D44B6D" w:rsidP="00985A56">
      <w:pPr>
        <w:spacing w:line="360" w:lineRule="auto"/>
        <w:rPr>
          <w:rFonts w:ascii="Arial" w:hAnsi="Arial" w:cs="Arial"/>
          <w:sz w:val="22"/>
        </w:rPr>
      </w:pPr>
    </w:p>
    <w:p w14:paraId="0D4EE131" w14:textId="7E1BC789" w:rsidR="00985A56" w:rsidRPr="00985A56" w:rsidRDefault="00985A56" w:rsidP="00985A56">
      <w:pPr>
        <w:spacing w:line="360" w:lineRule="auto"/>
        <w:rPr>
          <w:rFonts w:ascii="Arial" w:hAnsi="Arial" w:cs="Arial"/>
          <w:sz w:val="22"/>
        </w:rPr>
      </w:pPr>
      <w:r w:rsidRPr="00985A56">
        <w:rPr>
          <w:rFonts w:ascii="Arial" w:hAnsi="Arial" w:cs="Arial"/>
          <w:sz w:val="22"/>
        </w:rPr>
        <w:lastRenderedPageBreak/>
        <w:t xml:space="preserve">Thornicroft, G., Chatterji, S., Evans-Lacko, S., Gruber, M., Sampson, N., Aguilar-Gaxiola, S., Al-Hamzawi, A., Alonso, J., Andrade, L., Borges, G., Bruffaerts, R., Bunting, B., de Almeida, J.M.C., Florescu, S., de Girolamo, G., Gureje, O., Haro, J.M., He, Y., Hinkov, H. and Karam, E. (2017) </w:t>
      </w:r>
      <w:r w:rsidR="00D42B2E">
        <w:rPr>
          <w:rFonts w:ascii="Arial" w:hAnsi="Arial" w:cs="Arial"/>
          <w:sz w:val="22"/>
        </w:rPr>
        <w:t>‘</w:t>
      </w:r>
      <w:r w:rsidRPr="00985A56">
        <w:rPr>
          <w:rFonts w:ascii="Arial" w:hAnsi="Arial" w:cs="Arial"/>
          <w:sz w:val="22"/>
        </w:rPr>
        <w:t>Undertreatment of people with major depressive disorder in 21 countries</w:t>
      </w:r>
      <w:r w:rsidR="00D42B2E">
        <w:rPr>
          <w:rFonts w:ascii="Arial" w:hAnsi="Arial" w:cs="Arial"/>
          <w:sz w:val="22"/>
        </w:rPr>
        <w:t>’</w:t>
      </w:r>
      <w:r w:rsidR="00D42B2E">
        <w:rPr>
          <w:rFonts w:ascii="Arial" w:hAnsi="Arial" w:cs="Arial" w:hint="eastAsia"/>
          <w:sz w:val="22"/>
        </w:rPr>
        <w:t>,</w:t>
      </w:r>
      <w:r w:rsidRPr="00985A56">
        <w:rPr>
          <w:rFonts w:ascii="Arial" w:hAnsi="Arial" w:cs="Arial"/>
          <w:sz w:val="22"/>
        </w:rPr>
        <w:t xml:space="preserve"> </w:t>
      </w:r>
      <w:r w:rsidRPr="00D42B2E">
        <w:rPr>
          <w:rFonts w:ascii="Arial" w:hAnsi="Arial" w:cs="Arial"/>
          <w:i/>
          <w:iCs/>
          <w:sz w:val="22"/>
        </w:rPr>
        <w:t>British Journal of Psychiatry</w:t>
      </w:r>
      <w:r w:rsidRPr="00985A56">
        <w:rPr>
          <w:rFonts w:ascii="Arial" w:hAnsi="Arial" w:cs="Arial"/>
          <w:sz w:val="22"/>
        </w:rPr>
        <w:t>,</w:t>
      </w:r>
      <w:r w:rsidR="00D42B2E">
        <w:rPr>
          <w:rFonts w:ascii="Arial" w:hAnsi="Arial" w:cs="Arial" w:hint="eastAsia"/>
          <w:sz w:val="22"/>
        </w:rPr>
        <w:t xml:space="preserve"> </w:t>
      </w:r>
      <w:r w:rsidRPr="00985A56">
        <w:rPr>
          <w:rFonts w:ascii="Arial" w:hAnsi="Arial" w:cs="Arial"/>
          <w:sz w:val="22"/>
        </w:rPr>
        <w:t>210(2), pp.119–124.</w:t>
      </w:r>
      <w:r w:rsidR="005710B9">
        <w:rPr>
          <w:rFonts w:ascii="Arial" w:hAnsi="Arial" w:cs="Arial" w:hint="eastAsia"/>
          <w:sz w:val="22"/>
        </w:rPr>
        <w:t xml:space="preserve"> d</w:t>
      </w:r>
      <w:r w:rsidR="00D42B2E" w:rsidRPr="00985A56">
        <w:rPr>
          <w:rFonts w:ascii="Arial" w:hAnsi="Arial" w:cs="Arial"/>
          <w:sz w:val="22"/>
        </w:rPr>
        <w:t>oi</w:t>
      </w:r>
      <w:r w:rsidRPr="00985A56">
        <w:rPr>
          <w:rFonts w:ascii="Arial" w:hAnsi="Arial" w:cs="Arial"/>
          <w:sz w:val="22"/>
        </w:rPr>
        <w:t>:https://doi.org/10.1192/bjp.bp.116.188078</w:t>
      </w:r>
    </w:p>
    <w:p w14:paraId="4AC86512" w14:textId="77777777" w:rsidR="00D42B2E" w:rsidRDefault="00D42B2E" w:rsidP="00985A56">
      <w:pPr>
        <w:spacing w:line="360" w:lineRule="auto"/>
        <w:rPr>
          <w:rFonts w:ascii="Arial" w:hAnsi="Arial" w:cs="Arial"/>
          <w:sz w:val="22"/>
        </w:rPr>
      </w:pPr>
    </w:p>
    <w:p w14:paraId="2621C8E1" w14:textId="1169455E" w:rsidR="00985A56" w:rsidRPr="00985A56" w:rsidRDefault="00985A56" w:rsidP="00985A56">
      <w:pPr>
        <w:spacing w:line="360" w:lineRule="auto"/>
        <w:rPr>
          <w:rFonts w:ascii="Arial" w:hAnsi="Arial" w:cs="Arial"/>
          <w:sz w:val="22"/>
        </w:rPr>
      </w:pPr>
      <w:r w:rsidRPr="00985A56">
        <w:rPr>
          <w:rFonts w:ascii="Arial" w:hAnsi="Arial" w:cs="Arial"/>
          <w:sz w:val="22"/>
        </w:rPr>
        <w:t xml:space="preserve">Tiefensee, N. (2022) </w:t>
      </w:r>
      <w:r w:rsidRPr="00D42B2E">
        <w:rPr>
          <w:rFonts w:ascii="Arial" w:hAnsi="Arial" w:cs="Arial"/>
          <w:i/>
          <w:iCs/>
          <w:sz w:val="22"/>
        </w:rPr>
        <w:t>10 Reasons Why Change Management Is Important</w:t>
      </w:r>
      <w:r w:rsidRPr="00985A56">
        <w:rPr>
          <w:rFonts w:ascii="Arial" w:hAnsi="Arial" w:cs="Arial"/>
          <w:sz w:val="22"/>
        </w:rPr>
        <w:t xml:space="preserve">. Available at: https://www.runn.io/blog/why-change-management-is-important </w:t>
      </w:r>
      <w:r w:rsidR="00D42B2E">
        <w:rPr>
          <w:rFonts w:ascii="Arial" w:hAnsi="Arial" w:cs="Arial" w:hint="eastAsia"/>
          <w:sz w:val="22"/>
        </w:rPr>
        <w:t>(</w:t>
      </w:r>
      <w:r w:rsidRPr="00985A56">
        <w:rPr>
          <w:rFonts w:ascii="Arial" w:hAnsi="Arial" w:cs="Arial"/>
          <w:sz w:val="22"/>
        </w:rPr>
        <w:t>Accessed 29 Feb</w:t>
      </w:r>
      <w:r w:rsidR="00D42B2E">
        <w:rPr>
          <w:rFonts w:ascii="Arial" w:hAnsi="Arial" w:cs="Arial" w:hint="eastAsia"/>
          <w:sz w:val="22"/>
        </w:rPr>
        <w:t xml:space="preserve">ruary </w:t>
      </w:r>
      <w:r w:rsidRPr="00985A56">
        <w:rPr>
          <w:rFonts w:ascii="Arial" w:hAnsi="Arial" w:cs="Arial"/>
          <w:sz w:val="22"/>
        </w:rPr>
        <w:t>2024</w:t>
      </w:r>
      <w:r w:rsidR="00D42B2E">
        <w:rPr>
          <w:rFonts w:ascii="Arial" w:hAnsi="Arial" w:cs="Arial" w:hint="eastAsia"/>
          <w:sz w:val="22"/>
        </w:rPr>
        <w:t xml:space="preserve">). </w:t>
      </w:r>
    </w:p>
    <w:p w14:paraId="2431E0E1" w14:textId="77777777" w:rsidR="00D42B2E" w:rsidRDefault="00D42B2E" w:rsidP="00985A56">
      <w:pPr>
        <w:spacing w:line="360" w:lineRule="auto"/>
        <w:rPr>
          <w:rFonts w:ascii="Arial" w:hAnsi="Arial" w:cs="Arial"/>
          <w:sz w:val="22"/>
        </w:rPr>
      </w:pPr>
    </w:p>
    <w:p w14:paraId="79241C6D" w14:textId="42A1E55C" w:rsidR="00985A56" w:rsidRPr="00985A56" w:rsidRDefault="00985A56" w:rsidP="00985A56">
      <w:pPr>
        <w:spacing w:line="360" w:lineRule="auto"/>
        <w:rPr>
          <w:rFonts w:ascii="Arial" w:hAnsi="Arial" w:cs="Arial"/>
          <w:sz w:val="22"/>
        </w:rPr>
      </w:pPr>
      <w:r w:rsidRPr="00985A56">
        <w:rPr>
          <w:rFonts w:ascii="Arial" w:hAnsi="Arial" w:cs="Arial"/>
          <w:sz w:val="22"/>
        </w:rPr>
        <w:t xml:space="preserve">University of California (2020) </w:t>
      </w:r>
      <w:r w:rsidRPr="00D42B2E">
        <w:rPr>
          <w:rFonts w:ascii="Arial" w:hAnsi="Arial" w:cs="Arial"/>
          <w:i/>
          <w:iCs/>
          <w:sz w:val="22"/>
        </w:rPr>
        <w:t>Smart Goals: A How to Guide</w:t>
      </w:r>
      <w:r w:rsidRPr="00985A56">
        <w:rPr>
          <w:rFonts w:ascii="Arial" w:hAnsi="Arial" w:cs="Arial"/>
          <w:sz w:val="22"/>
        </w:rPr>
        <w:t>.</w:t>
      </w:r>
      <w:r w:rsidR="00D42B2E">
        <w:rPr>
          <w:rFonts w:ascii="Arial" w:hAnsi="Arial" w:cs="Arial" w:hint="eastAsia"/>
          <w:sz w:val="22"/>
        </w:rPr>
        <w:t xml:space="preserve"> </w:t>
      </w:r>
      <w:r w:rsidRPr="00985A56">
        <w:rPr>
          <w:rFonts w:ascii="Arial" w:hAnsi="Arial" w:cs="Arial"/>
          <w:sz w:val="22"/>
        </w:rPr>
        <w:t xml:space="preserve">Available at: </w:t>
      </w:r>
      <w:hyperlink r:id="rId23" w:history="1">
        <w:r w:rsidR="00D42B2E" w:rsidRPr="00D42B2E">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https://www.ucop.edu/local-human-resources/_files/performance-appraisal/How%20to%20write%20SMART%20Goals%20v2.pdf</w:t>
        </w:r>
      </w:hyperlink>
      <w:r w:rsidR="00D42B2E">
        <w:rPr>
          <w:rFonts w:ascii="Arial" w:hAnsi="Arial" w:cs="Arial" w:hint="eastAsia"/>
          <w:sz w:val="22"/>
        </w:rPr>
        <w:t xml:space="preserve"> (</w:t>
      </w:r>
      <w:r w:rsidRPr="00985A56">
        <w:rPr>
          <w:rFonts w:ascii="Arial" w:hAnsi="Arial" w:cs="Arial"/>
          <w:sz w:val="22"/>
        </w:rPr>
        <w:t>Accessed 29 Feb</w:t>
      </w:r>
      <w:r w:rsidR="00D42B2E">
        <w:rPr>
          <w:rFonts w:ascii="Arial" w:hAnsi="Arial" w:cs="Arial" w:hint="eastAsia"/>
          <w:sz w:val="22"/>
        </w:rPr>
        <w:t>ruary</w:t>
      </w:r>
      <w:r w:rsidRPr="00985A56">
        <w:rPr>
          <w:rFonts w:ascii="Arial" w:hAnsi="Arial" w:cs="Arial"/>
          <w:sz w:val="22"/>
        </w:rPr>
        <w:t xml:space="preserve"> 2024</w:t>
      </w:r>
      <w:r w:rsidR="00D42B2E">
        <w:rPr>
          <w:rFonts w:ascii="Arial" w:hAnsi="Arial" w:cs="Arial" w:hint="eastAsia"/>
          <w:sz w:val="22"/>
        </w:rPr>
        <w:t xml:space="preserve">). </w:t>
      </w:r>
    </w:p>
    <w:p w14:paraId="7F558CF1" w14:textId="77777777" w:rsidR="00D42B2E" w:rsidRPr="00D42B2E" w:rsidRDefault="00D42B2E" w:rsidP="00985A56">
      <w:pPr>
        <w:spacing w:line="360" w:lineRule="auto"/>
        <w:rPr>
          <w:rFonts w:ascii="Arial" w:hAnsi="Arial" w:cs="Arial"/>
          <w:sz w:val="22"/>
        </w:rPr>
      </w:pPr>
    </w:p>
    <w:p w14:paraId="49021597" w14:textId="77777777" w:rsidR="00D42B2E" w:rsidRDefault="00985A56" w:rsidP="00985A56">
      <w:pPr>
        <w:spacing w:line="360" w:lineRule="auto"/>
        <w:rPr>
          <w:rFonts w:ascii="Arial" w:hAnsi="Arial" w:cs="Arial"/>
          <w:sz w:val="22"/>
        </w:rPr>
      </w:pPr>
      <w:r w:rsidRPr="00985A56">
        <w:rPr>
          <w:rFonts w:ascii="Arial" w:hAnsi="Arial" w:cs="Arial"/>
          <w:sz w:val="22"/>
        </w:rPr>
        <w:t>Waldron, S. (2021)</w:t>
      </w:r>
      <w:r w:rsidRPr="00D42B2E">
        <w:rPr>
          <w:rFonts w:ascii="Arial" w:hAnsi="Arial" w:cs="Arial"/>
          <w:i/>
          <w:iCs/>
          <w:sz w:val="22"/>
        </w:rPr>
        <w:t xml:space="preserve"> Unlocking </w:t>
      </w:r>
      <w:r w:rsidR="00D42B2E" w:rsidRPr="00D42B2E">
        <w:rPr>
          <w:rFonts w:ascii="Arial" w:hAnsi="Arial" w:cs="Arial"/>
          <w:i/>
          <w:iCs/>
          <w:sz w:val="22"/>
        </w:rPr>
        <w:t>the</w:t>
      </w:r>
      <w:r w:rsidRPr="00D42B2E">
        <w:rPr>
          <w:rFonts w:ascii="Arial" w:hAnsi="Arial" w:cs="Arial"/>
          <w:i/>
          <w:iCs/>
          <w:sz w:val="22"/>
        </w:rPr>
        <w:t xml:space="preserve"> People Side </w:t>
      </w:r>
      <w:r w:rsidR="00D42B2E" w:rsidRPr="00D42B2E">
        <w:rPr>
          <w:rFonts w:ascii="Arial" w:hAnsi="Arial" w:cs="Arial"/>
          <w:i/>
          <w:iCs/>
          <w:sz w:val="22"/>
        </w:rPr>
        <w:t>of</w:t>
      </w:r>
      <w:r w:rsidRPr="00D42B2E">
        <w:rPr>
          <w:rFonts w:ascii="Arial" w:hAnsi="Arial" w:cs="Arial"/>
          <w:i/>
          <w:iCs/>
          <w:sz w:val="22"/>
        </w:rPr>
        <w:t xml:space="preserve"> Change </w:t>
      </w:r>
      <w:r w:rsidR="00D42B2E" w:rsidRPr="00D42B2E">
        <w:rPr>
          <w:rFonts w:ascii="Arial" w:hAnsi="Arial" w:cs="Arial"/>
          <w:i/>
          <w:iCs/>
          <w:sz w:val="22"/>
        </w:rPr>
        <w:t>with</w:t>
      </w:r>
      <w:r w:rsidRPr="00D42B2E">
        <w:rPr>
          <w:rFonts w:ascii="Arial" w:hAnsi="Arial" w:cs="Arial"/>
          <w:i/>
          <w:iCs/>
          <w:sz w:val="22"/>
        </w:rPr>
        <w:t xml:space="preserve"> Tim Creasey</w:t>
      </w:r>
      <w:r w:rsidRPr="00985A56">
        <w:rPr>
          <w:rFonts w:ascii="Arial" w:hAnsi="Arial" w:cs="Arial"/>
          <w:sz w:val="22"/>
        </w:rPr>
        <w:t>.</w:t>
      </w:r>
      <w:r w:rsidR="00D42B2E">
        <w:rPr>
          <w:rFonts w:ascii="Arial" w:hAnsi="Arial" w:cs="Arial" w:hint="eastAsia"/>
          <w:sz w:val="22"/>
        </w:rPr>
        <w:t xml:space="preserve"> </w:t>
      </w:r>
    </w:p>
    <w:p w14:paraId="796386BE" w14:textId="523ACFC4" w:rsidR="00985A56" w:rsidRPr="00985A56" w:rsidRDefault="00985A56" w:rsidP="00985A56">
      <w:pPr>
        <w:spacing w:line="360" w:lineRule="auto"/>
        <w:rPr>
          <w:rFonts w:ascii="Arial" w:hAnsi="Arial" w:cs="Arial"/>
          <w:sz w:val="22"/>
        </w:rPr>
      </w:pPr>
      <w:r w:rsidRPr="00985A56">
        <w:rPr>
          <w:rFonts w:ascii="Arial" w:hAnsi="Arial" w:cs="Arial"/>
          <w:sz w:val="22"/>
        </w:rPr>
        <w:t xml:space="preserve">Available at: https://skotwaldron.com/blog/unlocking-the-people-side-of-change-with-tim-creasey/ </w:t>
      </w:r>
      <w:r w:rsidR="00D42B2E">
        <w:rPr>
          <w:rFonts w:ascii="Arial" w:hAnsi="Arial" w:cs="Arial" w:hint="eastAsia"/>
          <w:sz w:val="22"/>
        </w:rPr>
        <w:t>(</w:t>
      </w:r>
      <w:r w:rsidRPr="00985A56">
        <w:rPr>
          <w:rFonts w:ascii="Arial" w:hAnsi="Arial" w:cs="Arial"/>
          <w:sz w:val="22"/>
        </w:rPr>
        <w:t>Accessed 2</w:t>
      </w:r>
      <w:r w:rsidR="00D42B2E">
        <w:rPr>
          <w:rFonts w:ascii="Arial" w:hAnsi="Arial" w:cs="Arial" w:hint="eastAsia"/>
          <w:sz w:val="22"/>
        </w:rPr>
        <w:t>8</w:t>
      </w:r>
      <w:r w:rsidRPr="00985A56">
        <w:rPr>
          <w:rFonts w:ascii="Arial" w:hAnsi="Arial" w:cs="Arial"/>
          <w:sz w:val="22"/>
        </w:rPr>
        <w:t xml:space="preserve"> Feb</w:t>
      </w:r>
      <w:r w:rsidR="00D42B2E">
        <w:rPr>
          <w:rFonts w:ascii="Arial" w:hAnsi="Arial" w:cs="Arial" w:hint="eastAsia"/>
          <w:sz w:val="22"/>
        </w:rPr>
        <w:t>ruary</w:t>
      </w:r>
      <w:r w:rsidRPr="00985A56">
        <w:rPr>
          <w:rFonts w:ascii="Arial" w:hAnsi="Arial" w:cs="Arial"/>
          <w:sz w:val="22"/>
        </w:rPr>
        <w:t xml:space="preserve"> 2024</w:t>
      </w:r>
      <w:r w:rsidR="00D42B2E">
        <w:rPr>
          <w:rFonts w:ascii="Arial" w:hAnsi="Arial" w:cs="Arial" w:hint="eastAsia"/>
          <w:sz w:val="22"/>
        </w:rPr>
        <w:t xml:space="preserve">). </w:t>
      </w:r>
    </w:p>
    <w:p w14:paraId="1AA25A53" w14:textId="77777777" w:rsidR="00D42B2E" w:rsidRDefault="00D42B2E" w:rsidP="00985A56">
      <w:pPr>
        <w:spacing w:line="360" w:lineRule="auto"/>
        <w:rPr>
          <w:rFonts w:ascii="Arial" w:hAnsi="Arial" w:cs="Arial"/>
          <w:sz w:val="22"/>
        </w:rPr>
      </w:pPr>
    </w:p>
    <w:p w14:paraId="7A351EAE" w14:textId="6DDF9AE4" w:rsidR="00985A56" w:rsidRPr="00985A56" w:rsidRDefault="00985A56" w:rsidP="00985A56">
      <w:pPr>
        <w:spacing w:line="360" w:lineRule="auto"/>
        <w:rPr>
          <w:rFonts w:ascii="Arial" w:hAnsi="Arial" w:cs="Arial"/>
          <w:sz w:val="22"/>
        </w:rPr>
      </w:pPr>
      <w:r w:rsidRPr="00985A56">
        <w:rPr>
          <w:rFonts w:ascii="Arial" w:hAnsi="Arial" w:cs="Arial"/>
          <w:sz w:val="22"/>
        </w:rPr>
        <w:t>Wise, J. (2023)</w:t>
      </w:r>
      <w:r w:rsidR="00D42B2E">
        <w:rPr>
          <w:rFonts w:ascii="Arial" w:hAnsi="Arial" w:cs="Arial" w:hint="eastAsia"/>
          <w:i/>
          <w:iCs/>
          <w:sz w:val="22"/>
        </w:rPr>
        <w:t xml:space="preserve"> </w:t>
      </w:r>
      <w:r w:rsidR="00D42B2E">
        <w:rPr>
          <w:rFonts w:ascii="Arial" w:hAnsi="Arial" w:cs="Arial"/>
          <w:sz w:val="22"/>
        </w:rPr>
        <w:t>‘</w:t>
      </w:r>
      <w:r w:rsidRPr="00D42B2E">
        <w:rPr>
          <w:rFonts w:ascii="Arial" w:hAnsi="Arial" w:cs="Arial"/>
          <w:sz w:val="22"/>
        </w:rPr>
        <w:t>NICE recommends digital CBT for children and young people</w:t>
      </w:r>
      <w:r w:rsidR="00D42B2E">
        <w:rPr>
          <w:rFonts w:ascii="Arial" w:hAnsi="Arial" w:cs="Arial"/>
          <w:sz w:val="22"/>
        </w:rPr>
        <w:t>’</w:t>
      </w:r>
      <w:r w:rsidR="00D42B2E">
        <w:rPr>
          <w:rFonts w:ascii="Arial" w:hAnsi="Arial" w:cs="Arial" w:hint="eastAsia"/>
          <w:sz w:val="22"/>
        </w:rPr>
        <w:t>,</w:t>
      </w:r>
      <w:r w:rsidRPr="00985A56">
        <w:rPr>
          <w:rFonts w:ascii="Arial" w:hAnsi="Arial" w:cs="Arial"/>
          <w:sz w:val="22"/>
        </w:rPr>
        <w:t xml:space="preserve"> </w:t>
      </w:r>
      <w:r w:rsidRPr="00D42B2E">
        <w:rPr>
          <w:rFonts w:ascii="Arial" w:hAnsi="Arial" w:cs="Arial"/>
          <w:i/>
          <w:iCs/>
          <w:sz w:val="22"/>
        </w:rPr>
        <w:t>B</w:t>
      </w:r>
      <w:r w:rsidR="00D42B2E" w:rsidRPr="00D42B2E">
        <w:rPr>
          <w:rFonts w:ascii="Arial" w:hAnsi="Arial" w:cs="Arial" w:hint="eastAsia"/>
          <w:i/>
          <w:iCs/>
          <w:sz w:val="22"/>
        </w:rPr>
        <w:t>ritish Medical Journal</w:t>
      </w:r>
      <w:r w:rsidRPr="00985A56">
        <w:rPr>
          <w:rFonts w:ascii="Arial" w:hAnsi="Arial" w:cs="Arial"/>
          <w:sz w:val="22"/>
        </w:rPr>
        <w:t>, pp</w:t>
      </w:r>
      <w:r w:rsidR="00D42B2E">
        <w:rPr>
          <w:rFonts w:ascii="Arial" w:hAnsi="Arial" w:cs="Arial" w:hint="eastAsia"/>
          <w:sz w:val="22"/>
        </w:rPr>
        <w:t xml:space="preserve">. </w:t>
      </w:r>
      <w:r w:rsidRPr="00985A56">
        <w:rPr>
          <w:rFonts w:ascii="Arial" w:hAnsi="Arial" w:cs="Arial"/>
          <w:sz w:val="22"/>
        </w:rPr>
        <w:t xml:space="preserve">311. </w:t>
      </w:r>
      <w:r w:rsidR="005710B9">
        <w:rPr>
          <w:rFonts w:ascii="Arial" w:hAnsi="Arial" w:cs="Arial" w:hint="eastAsia"/>
          <w:sz w:val="22"/>
        </w:rPr>
        <w:t>d</w:t>
      </w:r>
      <w:r w:rsidR="00D42B2E" w:rsidRPr="00985A56">
        <w:rPr>
          <w:rFonts w:ascii="Arial" w:hAnsi="Arial" w:cs="Arial"/>
          <w:sz w:val="22"/>
        </w:rPr>
        <w:t>oi</w:t>
      </w:r>
      <w:r w:rsidRPr="00985A56">
        <w:rPr>
          <w:rFonts w:ascii="Arial" w:hAnsi="Arial" w:cs="Arial"/>
          <w:sz w:val="22"/>
        </w:rPr>
        <w:t>:</w:t>
      </w:r>
      <w:r w:rsidR="00D42B2E">
        <w:rPr>
          <w:rFonts w:ascii="Arial" w:hAnsi="Arial" w:cs="Arial" w:hint="eastAsia"/>
          <w:sz w:val="22"/>
        </w:rPr>
        <w:t xml:space="preserve"> </w:t>
      </w:r>
      <w:r w:rsidRPr="00985A56">
        <w:rPr>
          <w:rFonts w:ascii="Arial" w:hAnsi="Arial" w:cs="Arial"/>
          <w:sz w:val="22"/>
        </w:rPr>
        <w:t xml:space="preserve">https://doi.org/10.1136/bmj.p311 </w:t>
      </w:r>
    </w:p>
    <w:p w14:paraId="1BE481D5" w14:textId="77777777" w:rsidR="00D42B2E" w:rsidRDefault="00D42B2E" w:rsidP="00985A56">
      <w:pPr>
        <w:spacing w:line="360" w:lineRule="auto"/>
        <w:rPr>
          <w:rFonts w:ascii="Arial" w:hAnsi="Arial" w:cs="Arial"/>
          <w:sz w:val="22"/>
        </w:rPr>
      </w:pPr>
    </w:p>
    <w:p w14:paraId="06A3C4D0" w14:textId="00105737" w:rsidR="00F74245" w:rsidRDefault="00985A56" w:rsidP="00985A56">
      <w:pPr>
        <w:spacing w:line="360" w:lineRule="auto"/>
        <w:rPr>
          <w:rFonts w:ascii="Arial" w:hAnsi="Arial" w:cs="Arial"/>
          <w:sz w:val="22"/>
        </w:rPr>
      </w:pPr>
      <w:r w:rsidRPr="00985A56">
        <w:rPr>
          <w:rFonts w:ascii="Arial" w:hAnsi="Arial" w:cs="Arial"/>
          <w:sz w:val="22"/>
        </w:rPr>
        <w:t xml:space="preserve">World Health </w:t>
      </w:r>
      <w:r w:rsidR="00EF4B34">
        <w:rPr>
          <w:rFonts w:ascii="Arial" w:hAnsi="Arial" w:cs="Arial"/>
          <w:sz w:val="22"/>
        </w:rPr>
        <w:t>Organization</w:t>
      </w:r>
      <w:r w:rsidRPr="00985A56">
        <w:rPr>
          <w:rFonts w:ascii="Arial" w:hAnsi="Arial" w:cs="Arial"/>
          <w:sz w:val="22"/>
        </w:rPr>
        <w:t xml:space="preserve"> (2023) </w:t>
      </w:r>
      <w:r w:rsidR="00F74245" w:rsidRPr="00F74245">
        <w:rPr>
          <w:rFonts w:ascii="Arial" w:hAnsi="Arial" w:cs="Arial"/>
          <w:i/>
          <w:iCs/>
          <w:sz w:val="22"/>
        </w:rPr>
        <w:t>anxiety disorders</w:t>
      </w:r>
      <w:r w:rsidRPr="00985A56">
        <w:rPr>
          <w:rFonts w:ascii="Arial" w:hAnsi="Arial" w:cs="Arial"/>
          <w:sz w:val="22"/>
        </w:rPr>
        <w:t xml:space="preserve">. Available at: </w:t>
      </w:r>
    </w:p>
    <w:p w14:paraId="539EDC32" w14:textId="128C2C31" w:rsidR="00F74245" w:rsidRPr="00F74245" w:rsidRDefault="00000000" w:rsidP="00985A56">
      <w:pPr>
        <w:spacing w:line="360" w:lineRule="auto"/>
        <w:rPr>
          <w:rFonts w:ascii="Arial" w:hAnsi="Arial" w:cs="Arial"/>
          <w:sz w:val="22"/>
        </w:rPr>
      </w:pPr>
      <w:hyperlink r:id="rId24" w:history="1">
        <w:r w:rsidR="00F74245" w:rsidRPr="00F74245">
          <w:rPr>
            <w:rStyle w:val="a7"/>
            <w:rFonts w:ascii="Arial" w:hAnsi="Arial" w:cs="Arial"/>
            <w:color w:val="000000" w:themeColor="text1"/>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https://www.who.int/news-room/fact-sheets/detail/anxiety</w:t>
        </w:r>
      </w:hyperlink>
    </w:p>
    <w:p w14:paraId="5FFA8367" w14:textId="256C2457" w:rsidR="002A3570" w:rsidRPr="00985A56" w:rsidRDefault="00985A56" w:rsidP="00985A56">
      <w:pPr>
        <w:spacing w:line="360" w:lineRule="auto"/>
        <w:rPr>
          <w:rFonts w:ascii="Arial" w:hAnsi="Arial" w:cs="Arial"/>
          <w:sz w:val="22"/>
        </w:rPr>
      </w:pPr>
      <w:r w:rsidRPr="00985A56">
        <w:rPr>
          <w:rFonts w:ascii="Arial" w:hAnsi="Arial" w:cs="Arial"/>
          <w:sz w:val="22"/>
        </w:rPr>
        <w:t>disorders</w:t>
      </w:r>
      <w:r w:rsidR="00F74245" w:rsidRPr="00985A56">
        <w:rPr>
          <w:rFonts w:ascii="Arial" w:hAnsi="Arial" w:cs="Arial"/>
          <w:sz w:val="22"/>
        </w:rPr>
        <w:t>#: ~</w:t>
      </w:r>
      <w:r w:rsidRPr="00985A56">
        <w:rPr>
          <w:rFonts w:ascii="Arial" w:hAnsi="Arial" w:cs="Arial"/>
          <w:sz w:val="22"/>
        </w:rPr>
        <w:t>:text=Anxiety%20disorders%20are%20the%20world</w:t>
      </w:r>
      <w:r w:rsidR="00F74245">
        <w:rPr>
          <w:rFonts w:ascii="Arial" w:hAnsi="Arial" w:cs="Arial" w:hint="eastAsia"/>
          <w:sz w:val="22"/>
        </w:rPr>
        <w:t xml:space="preserve"> (Accessed 3 March 2024). </w:t>
      </w:r>
    </w:p>
    <w:p w14:paraId="35D9D046" w14:textId="77777777" w:rsidR="002A3570" w:rsidRDefault="002A3570" w:rsidP="00242EDD">
      <w:pPr>
        <w:spacing w:line="360" w:lineRule="auto"/>
        <w:rPr>
          <w:rFonts w:ascii="Arial" w:hAnsi="Arial" w:cs="Arial"/>
          <w:sz w:val="24"/>
          <w:szCs w:val="24"/>
        </w:rPr>
      </w:pPr>
    </w:p>
    <w:p w14:paraId="2FBCB77D" w14:textId="77777777" w:rsidR="002A3570" w:rsidRDefault="002A3570" w:rsidP="00242EDD">
      <w:pPr>
        <w:spacing w:line="360" w:lineRule="auto"/>
        <w:rPr>
          <w:rFonts w:ascii="Arial" w:hAnsi="Arial" w:cs="Arial"/>
          <w:sz w:val="24"/>
          <w:szCs w:val="24"/>
        </w:rPr>
      </w:pPr>
    </w:p>
    <w:p w14:paraId="3A2167B4" w14:textId="73738A58" w:rsidR="00BB524B" w:rsidRPr="00BB524B" w:rsidRDefault="00BB524B" w:rsidP="00566754">
      <w:pPr>
        <w:spacing w:line="360" w:lineRule="auto"/>
        <w:rPr>
          <w:rFonts w:ascii="Arial" w:hAnsi="Arial" w:cs="Arial" w:hint="eastAsia"/>
        </w:rPr>
      </w:pPr>
    </w:p>
    <w:sectPr w:rsidR="00BB524B" w:rsidRPr="00BB524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DF45D" w14:textId="77777777" w:rsidR="003825D5" w:rsidRDefault="003825D5" w:rsidP="009D2333">
      <w:r>
        <w:separator/>
      </w:r>
    </w:p>
  </w:endnote>
  <w:endnote w:type="continuationSeparator" w:id="0">
    <w:p w14:paraId="52B2F5DE" w14:textId="77777777" w:rsidR="003825D5" w:rsidRDefault="003825D5" w:rsidP="009D2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6BD5C9" w14:textId="77777777" w:rsidR="003825D5" w:rsidRDefault="003825D5" w:rsidP="009D2333">
      <w:r>
        <w:separator/>
      </w:r>
    </w:p>
  </w:footnote>
  <w:footnote w:type="continuationSeparator" w:id="0">
    <w:p w14:paraId="7B294E3D" w14:textId="77777777" w:rsidR="003825D5" w:rsidRDefault="003825D5" w:rsidP="009D233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hideSpellingErrors/>
  <w:hideGrammaticalErrors/>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1C9"/>
    <w:rsid w:val="000324BD"/>
    <w:rsid w:val="0004434C"/>
    <w:rsid w:val="0005108F"/>
    <w:rsid w:val="0006290C"/>
    <w:rsid w:val="00070D9B"/>
    <w:rsid w:val="002010F5"/>
    <w:rsid w:val="002148BB"/>
    <w:rsid w:val="00242EDD"/>
    <w:rsid w:val="002A3570"/>
    <w:rsid w:val="002A50BC"/>
    <w:rsid w:val="002A7C84"/>
    <w:rsid w:val="002E056A"/>
    <w:rsid w:val="00341248"/>
    <w:rsid w:val="003825D5"/>
    <w:rsid w:val="00393754"/>
    <w:rsid w:val="003F66B0"/>
    <w:rsid w:val="00424575"/>
    <w:rsid w:val="00474373"/>
    <w:rsid w:val="004820CB"/>
    <w:rsid w:val="004A2FA6"/>
    <w:rsid w:val="004A78AF"/>
    <w:rsid w:val="004B2482"/>
    <w:rsid w:val="00506E48"/>
    <w:rsid w:val="00566754"/>
    <w:rsid w:val="005710B9"/>
    <w:rsid w:val="005A2882"/>
    <w:rsid w:val="005A6A17"/>
    <w:rsid w:val="005B1A18"/>
    <w:rsid w:val="00624421"/>
    <w:rsid w:val="00637697"/>
    <w:rsid w:val="00644BAE"/>
    <w:rsid w:val="006453A6"/>
    <w:rsid w:val="00650936"/>
    <w:rsid w:val="0067246C"/>
    <w:rsid w:val="00675BB3"/>
    <w:rsid w:val="00680762"/>
    <w:rsid w:val="00860CD4"/>
    <w:rsid w:val="00931710"/>
    <w:rsid w:val="00961035"/>
    <w:rsid w:val="00985A56"/>
    <w:rsid w:val="0098766A"/>
    <w:rsid w:val="009B694D"/>
    <w:rsid w:val="009C6540"/>
    <w:rsid w:val="009D2333"/>
    <w:rsid w:val="00A67AE7"/>
    <w:rsid w:val="00A77A9B"/>
    <w:rsid w:val="00A95CB7"/>
    <w:rsid w:val="00B26F0A"/>
    <w:rsid w:val="00BB524B"/>
    <w:rsid w:val="00C94E9C"/>
    <w:rsid w:val="00CB5CF0"/>
    <w:rsid w:val="00D27136"/>
    <w:rsid w:val="00D42B2E"/>
    <w:rsid w:val="00D44B6D"/>
    <w:rsid w:val="00E141C9"/>
    <w:rsid w:val="00E35E4A"/>
    <w:rsid w:val="00E8519A"/>
    <w:rsid w:val="00EF4B34"/>
    <w:rsid w:val="00F30F51"/>
    <w:rsid w:val="00F52875"/>
    <w:rsid w:val="00F62342"/>
    <w:rsid w:val="00F742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01B0970"/>
  <w15:chartTrackingRefBased/>
  <w15:docId w15:val="{28F2EEBB-3C2B-4DC0-A25B-81FAEF2CE5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9D2333"/>
    <w:pPr>
      <w:tabs>
        <w:tab w:val="center" w:pos="4153"/>
        <w:tab w:val="right" w:pos="8306"/>
      </w:tabs>
      <w:snapToGrid w:val="0"/>
      <w:jc w:val="center"/>
    </w:pPr>
    <w:rPr>
      <w:sz w:val="18"/>
      <w:szCs w:val="18"/>
    </w:rPr>
  </w:style>
  <w:style w:type="character" w:customStyle="1" w:styleId="a4">
    <w:name w:val="页眉 字符"/>
    <w:basedOn w:val="a0"/>
    <w:link w:val="a3"/>
    <w:uiPriority w:val="99"/>
    <w:rsid w:val="009D2333"/>
    <w:rPr>
      <w:sz w:val="18"/>
      <w:szCs w:val="18"/>
    </w:rPr>
  </w:style>
  <w:style w:type="paragraph" w:styleId="a5">
    <w:name w:val="footer"/>
    <w:basedOn w:val="a"/>
    <w:link w:val="a6"/>
    <w:uiPriority w:val="99"/>
    <w:unhideWhenUsed/>
    <w:rsid w:val="009D2333"/>
    <w:pPr>
      <w:tabs>
        <w:tab w:val="center" w:pos="4153"/>
        <w:tab w:val="right" w:pos="8306"/>
      </w:tabs>
      <w:snapToGrid w:val="0"/>
      <w:jc w:val="left"/>
    </w:pPr>
    <w:rPr>
      <w:sz w:val="18"/>
      <w:szCs w:val="18"/>
    </w:rPr>
  </w:style>
  <w:style w:type="character" w:customStyle="1" w:styleId="a6">
    <w:name w:val="页脚 字符"/>
    <w:basedOn w:val="a0"/>
    <w:link w:val="a5"/>
    <w:uiPriority w:val="99"/>
    <w:rsid w:val="009D2333"/>
    <w:rPr>
      <w:sz w:val="18"/>
      <w:szCs w:val="18"/>
    </w:rPr>
  </w:style>
  <w:style w:type="character" w:styleId="a7">
    <w:name w:val="Hyperlink"/>
    <w:basedOn w:val="a0"/>
    <w:uiPriority w:val="99"/>
    <w:unhideWhenUsed/>
    <w:rsid w:val="00D27136"/>
    <w:rPr>
      <w:color w:val="0563C1" w:themeColor="hyperlink"/>
      <w:u w:val="single"/>
    </w:rPr>
  </w:style>
  <w:style w:type="character" w:styleId="a8">
    <w:name w:val="Unresolved Mention"/>
    <w:basedOn w:val="a0"/>
    <w:uiPriority w:val="99"/>
    <w:semiHidden/>
    <w:unhideWhenUsed/>
    <w:rsid w:val="00D27136"/>
    <w:rPr>
      <w:color w:val="605E5C"/>
      <w:shd w:val="clear" w:color="auto" w:fill="E1DFDD"/>
    </w:rPr>
  </w:style>
  <w:style w:type="character" w:styleId="a9">
    <w:name w:val="FollowedHyperlink"/>
    <w:basedOn w:val="a0"/>
    <w:uiPriority w:val="99"/>
    <w:semiHidden/>
    <w:unhideWhenUsed/>
    <w:rsid w:val="009876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clinm.2021.100939" TargetMode="External"/><Relationship Id="rId13" Type="http://schemas.openxmlformats.org/officeDocument/2006/relationships/hyperlink" Target="https://www.clearpointstrategy.com/blog/18-key-performance-indicators" TargetMode="External"/><Relationship Id="rId18" Type="http://schemas.openxmlformats.org/officeDocument/2006/relationships/hyperlink" Target="https://digital.nhs.uk/data-and-information/publications/statistical/psychological-therapies-report-on-the-use-of-iapt-services/march-2023-final-including-a-report-on-the-iapt-employment-advisers-pilot/waiting-time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championhealth.co.uk/insights/anxiety-statistics/" TargetMode="External"/><Relationship Id="rId7" Type="http://schemas.openxmlformats.org/officeDocument/2006/relationships/hyperlink" Target="https://researchbriefings.files.parliament.uk/documents/SN06988/SN06988.pdf" TargetMode="External"/><Relationship Id="rId12" Type="http://schemas.openxmlformats.org/officeDocument/2006/relationships/hyperlink" Target="https://doi.org/10.1111/bjc.12410" TargetMode="External"/><Relationship Id="rId17" Type="http://schemas.openxmlformats.org/officeDocument/2006/relationships/hyperlink" Target="https://digital.nhs.uk/data-and-information/publications/statistical/psychological-therapies-annual-reports-on-the-use-of-iapt-services/annual-report-2021-22"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ncbi.nlm.nih.gov/books/NBK583074/" TargetMode="External"/><Relationship Id="rId20" Type="http://schemas.openxmlformats.org/officeDocument/2006/relationships/hyperlink" Target="https://www.england.nhs.uk/mental-health/adults/nhs-talking-therapies/service-standard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files.digital.nhs.uk/52/D3168F/psych-ther-2017-18-ann-rep.pdf" TargetMode="External"/><Relationship Id="rId24" Type="http://schemas.openxmlformats.org/officeDocument/2006/relationships/hyperlink" Target="https://www.who.int/news-room/fact-sheets/detail/anxiety" TargetMode="External"/><Relationship Id="rId5" Type="http://schemas.openxmlformats.org/officeDocument/2006/relationships/endnotes" Target="endnotes.xml"/><Relationship Id="rId15" Type="http://schemas.openxmlformats.org/officeDocument/2006/relationships/hyperlink" Target="https://www.mentalhealth.org.uk/explore-mental-health/statistics/most-common-diagnosed-mental-health-problems-statistics" TargetMode="External"/><Relationship Id="rId23" Type="http://schemas.openxmlformats.org/officeDocument/2006/relationships/hyperlink" Target="https://www.ucop.edu/local-human-resources/_files/performance-appraisal/How%20to%20write%20SMART%20Goals%20v2.pdf" TargetMode="External"/><Relationship Id="rId10" Type="http://schemas.openxmlformats.org/officeDocument/2006/relationships/hyperlink" Target="https://www.england.nhs.uk/blog/iapt-at-10-achievements-and-challenges/" TargetMode="External"/><Relationship Id="rId19" Type="http://schemas.openxmlformats.org/officeDocument/2006/relationships/hyperlink" Target="https://www.nhs.uk/mental-health/talking-therapies-medicine-treatments/talking-therapies-and-counselling/benefits-of-talking-therapies/" TargetMode="External"/><Relationship Id="rId4" Type="http://schemas.openxmlformats.org/officeDocument/2006/relationships/footnotes" Target="footnotes.xml"/><Relationship Id="rId9" Type="http://schemas.openxmlformats.org/officeDocument/2006/relationships/hyperlink" Target="https://www.ncbi.nlm.nih.gov/books/NBK459380/" TargetMode="External"/><Relationship Id="rId14" Type="http://schemas.openxmlformats.org/officeDocument/2006/relationships/hyperlink" Target="https://www.mentalhealth.org.uk/sites/default/files/2022-06/MHF-Investing-in-Prevention-Report-Summary.pdf" TargetMode="External"/><Relationship Id="rId22" Type="http://schemas.openxmlformats.org/officeDocument/2006/relationships/hyperlink" Target="https://www.england.nhs.uk/wp-content/uploads/2018/06/nhs-talking-therapies-for-anxiety-and-depression-manual-v7.pdf"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24</Pages>
  <Words>5577</Words>
  <Characters>34640</Characters>
  <Application>Microsoft Office Word</Application>
  <DocSecurity>0</DocSecurity>
  <Lines>716</Lines>
  <Paragraphs>140</Paragraphs>
  <ScaleCrop>false</ScaleCrop>
  <Company/>
  <LinksUpToDate>false</LinksUpToDate>
  <CharactersWithSpaces>40171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奎佑 刘</dc:creator>
  <cp:keywords/>
  <dc:description/>
  <cp:lastModifiedBy>奎佑 刘</cp:lastModifiedBy>
  <cp:revision>37</cp:revision>
  <dcterms:created xsi:type="dcterms:W3CDTF">2023-11-17T01:33:00Z</dcterms:created>
  <dcterms:modified xsi:type="dcterms:W3CDTF">2024-04-19T20:48:00Z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1bfb147a88cead64a35859dc99914410b4f7385377386afbe64c477bd8678905</vt:lpwstr>
  </property>
</Properties>
</file>