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423853753"/>
        <w:docPartObj>
          <w:docPartGallery w:val="Cover Pages"/>
          <w:docPartUnique/>
        </w:docPartObj>
      </w:sdtPr>
      <w:sdtEndPr>
        <w:rPr>
          <w:rFonts w:ascii="Arial" w:hAnsi="Arial" w:cs="Arial"/>
          <w:b/>
          <w:bCs/>
          <w:sz w:val="24"/>
          <w:szCs w:val="24"/>
        </w:rPr>
      </w:sdtEndPr>
      <w:sdtContent>
        <w:p w14:paraId="1722D64C" w14:textId="5A9E7958" w:rsidR="00B278E5" w:rsidRDefault="00B278E5">
          <w:r>
            <w:rPr>
              <w:noProof/>
            </w:rPr>
            <mc:AlternateContent>
              <mc:Choice Requires="wpg">
                <w:drawing>
                  <wp:anchor distT="0" distB="0" distL="114300" distR="114300" simplePos="0" relativeHeight="251656192" behindDoc="0" locked="0" layoutInCell="1" allowOverlap="1" wp14:anchorId="11FFE543" wp14:editId="210B00BA">
                    <wp:simplePos x="0" y="0"/>
                    <wp:positionH relativeFrom="page">
                      <wp:align>right</wp:align>
                    </wp:positionH>
                    <wp:positionV relativeFrom="page">
                      <wp:align>top</wp:align>
                    </wp:positionV>
                    <wp:extent cx="3113670" cy="10058400"/>
                    <wp:effectExtent l="0" t="0" r="0" b="0"/>
                    <wp:wrapNone/>
                    <wp:docPr id="453" name="Group 252"/>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378AE85D" w14:textId="0EB51286" w:rsidR="00B278E5" w:rsidRDefault="00B278E5">
                                  <w:pPr>
                                    <w:pStyle w:val="NoSpacing"/>
                                    <w:rPr>
                                      <w:color w:val="FFFFFF" w:themeColor="background1"/>
                                      <w:sz w:val="96"/>
                                      <w:szCs w:val="96"/>
                                    </w:rPr>
                                  </w:pPr>
                                </w:p>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rFonts w:ascii="Arial" w:hAnsi="Arial" w:cs="Arial"/>
                                      <w:color w:val="FFFFFF" w:themeColor="background1"/>
                                      <w:sz w:val="24"/>
                                      <w:szCs w:val="24"/>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2BE07D66" w14:textId="3E8BAB3F" w:rsidR="00B278E5" w:rsidRDefault="00B278E5">
                                      <w:pPr>
                                        <w:pStyle w:val="NoSpacing"/>
                                        <w:spacing w:line="360" w:lineRule="auto"/>
                                        <w:rPr>
                                          <w:color w:val="FFFFFF" w:themeColor="background1"/>
                                        </w:rPr>
                                      </w:pPr>
                                      <w:r w:rsidRPr="00843304">
                                        <w:rPr>
                                          <w:rFonts w:ascii="Arial" w:hAnsi="Arial" w:cs="Arial"/>
                                          <w:color w:val="FFFFFF" w:themeColor="background1"/>
                                          <w:sz w:val="24"/>
                                          <w:szCs w:val="24"/>
                                        </w:rPr>
                                        <w:t>Tim Nicholas</w:t>
                                      </w:r>
                                    </w:p>
                                  </w:sdtContent>
                                </w:sdt>
                                <w:sdt>
                                  <w:sdtPr>
                                    <w:rPr>
                                      <w:rFonts w:ascii="Arial" w:hAnsi="Arial" w:cs="Arial"/>
                                      <w:color w:val="FFFFFF" w:themeColor="background1"/>
                                      <w:sz w:val="24"/>
                                      <w:szCs w:val="24"/>
                                    </w:rPr>
                                    <w:alias w:val="Company"/>
                                    <w:id w:val="1760174317"/>
                                    <w:dataBinding w:prefixMappings="xmlns:ns0='http://schemas.openxmlformats.org/officeDocument/2006/extended-properties'" w:xpath="/ns0:Properties[1]/ns0:Company[1]" w:storeItemID="{6668398D-A668-4E3E-A5EB-62B293D839F1}"/>
                                    <w:text/>
                                  </w:sdtPr>
                                  <w:sdtContent>
                                    <w:p w14:paraId="5E377471" w14:textId="0D3DC610" w:rsidR="00B278E5" w:rsidRPr="00843304" w:rsidRDefault="00592C35">
                                      <w:pPr>
                                        <w:pStyle w:val="NoSpacing"/>
                                        <w:spacing w:line="360" w:lineRule="auto"/>
                                        <w:rPr>
                                          <w:rFonts w:ascii="Arial" w:hAnsi="Arial" w:cs="Arial"/>
                                          <w:color w:val="FFFFFF" w:themeColor="background1"/>
                                          <w:sz w:val="24"/>
                                          <w:szCs w:val="24"/>
                                        </w:rPr>
                                      </w:pPr>
                                      <w:r w:rsidRPr="00843304">
                                        <w:rPr>
                                          <w:rFonts w:ascii="Arial" w:hAnsi="Arial" w:cs="Arial"/>
                                          <w:color w:val="FFFFFF" w:themeColor="background1"/>
                                          <w:sz w:val="24"/>
                                          <w:szCs w:val="24"/>
                                        </w:rPr>
                                        <w:t>2310510</w:t>
                                      </w:r>
                                    </w:p>
                                  </w:sdtContent>
                                </w:sdt>
                                <w:p w14:paraId="107AEA58" w14:textId="4D56F002" w:rsidR="00B278E5" w:rsidRDefault="00B278E5">
                                  <w:pPr>
                                    <w:pStyle w:val="NoSpacing"/>
                                    <w:spacing w:line="360" w:lineRule="auto"/>
                                    <w:rPr>
                                      <w:color w:val="FFFFFF" w:themeColor="background1"/>
                                    </w:rPr>
                                  </w:pPr>
                                </w:p>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11FFE543" id="Group 252" o:spid="_x0000_s1026" style="position:absolute;margin-left:193.95pt;margin-top:0;width:245.15pt;height:11in;z-index:251656192;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" fillcolor="#a8d08d [1945]" stroked="f" strokecolor="white" strokeweight="1pt">
                      <v:fill r:id="rId5"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a8d08d [1945]"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p w14:paraId="378AE85D" w14:textId="0EB51286" w:rsidR="00B278E5" w:rsidRDefault="00B278E5">
                            <w:pPr>
                              <w:pStyle w:val="NoSpacing"/>
                              <w:rPr>
                                <w:color w:val="FFFFFF" w:themeColor="background1"/>
                                <w:sz w:val="96"/>
                                <w:szCs w:val="96"/>
                              </w:rPr>
                            </w:pPr>
                          </w:p>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rFonts w:ascii="Arial" w:hAnsi="Arial" w:cs="Arial"/>
                                <w:color w:val="FFFFFF" w:themeColor="background1"/>
                                <w:sz w:val="24"/>
                                <w:szCs w:val="24"/>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2BE07D66" w14:textId="3E8BAB3F" w:rsidR="00B278E5" w:rsidRDefault="00B278E5">
                                <w:pPr>
                                  <w:pStyle w:val="NoSpacing"/>
                                  <w:spacing w:line="360" w:lineRule="auto"/>
                                  <w:rPr>
                                    <w:color w:val="FFFFFF" w:themeColor="background1"/>
                                  </w:rPr>
                                </w:pPr>
                                <w:r w:rsidRPr="00843304">
                                  <w:rPr>
                                    <w:rFonts w:ascii="Arial" w:hAnsi="Arial" w:cs="Arial"/>
                                    <w:color w:val="FFFFFF" w:themeColor="background1"/>
                                    <w:sz w:val="24"/>
                                    <w:szCs w:val="24"/>
                                  </w:rPr>
                                  <w:t>Tim Nicholas</w:t>
                                </w:r>
                              </w:p>
                            </w:sdtContent>
                          </w:sdt>
                          <w:sdt>
                            <w:sdtPr>
                              <w:rPr>
                                <w:rFonts w:ascii="Arial" w:hAnsi="Arial" w:cs="Arial"/>
                                <w:color w:val="FFFFFF" w:themeColor="background1"/>
                                <w:sz w:val="24"/>
                                <w:szCs w:val="24"/>
                              </w:rPr>
                              <w:alias w:val="Company"/>
                              <w:id w:val="1760174317"/>
                              <w:dataBinding w:prefixMappings="xmlns:ns0='http://schemas.openxmlformats.org/officeDocument/2006/extended-properties'" w:xpath="/ns0:Properties[1]/ns0:Company[1]" w:storeItemID="{6668398D-A668-4E3E-A5EB-62B293D839F1}"/>
                              <w:text/>
                            </w:sdtPr>
                            <w:sdtContent>
                              <w:p w14:paraId="5E377471" w14:textId="0D3DC610" w:rsidR="00B278E5" w:rsidRPr="00843304" w:rsidRDefault="00592C35">
                                <w:pPr>
                                  <w:pStyle w:val="NoSpacing"/>
                                  <w:spacing w:line="360" w:lineRule="auto"/>
                                  <w:rPr>
                                    <w:rFonts w:ascii="Arial" w:hAnsi="Arial" w:cs="Arial"/>
                                    <w:color w:val="FFFFFF" w:themeColor="background1"/>
                                    <w:sz w:val="24"/>
                                    <w:szCs w:val="24"/>
                                  </w:rPr>
                                </w:pPr>
                                <w:r w:rsidRPr="00843304">
                                  <w:rPr>
                                    <w:rFonts w:ascii="Arial" w:hAnsi="Arial" w:cs="Arial"/>
                                    <w:color w:val="FFFFFF" w:themeColor="background1"/>
                                    <w:sz w:val="24"/>
                                    <w:szCs w:val="24"/>
                                  </w:rPr>
                                  <w:t>2310510</w:t>
                                </w:r>
                              </w:p>
                            </w:sdtContent>
                          </w:sdt>
                          <w:p w14:paraId="107AEA58" w14:textId="4D56F002" w:rsidR="00B278E5" w:rsidRDefault="00B278E5">
                            <w:pPr>
                              <w:pStyle w:val="NoSpacing"/>
                              <w:spacing w:line="360" w:lineRule="auto"/>
                              <w:rPr>
                                <w:color w:val="FFFFFF" w:themeColor="background1"/>
                              </w:rPr>
                            </w:pPr>
                          </w:p>
                        </w:txbxContent>
                      </v:textbox>
                    </v:rect>
                    <w10:wrap anchorx="page" anchory="page"/>
                  </v:group>
                </w:pict>
              </mc:Fallback>
            </mc:AlternateContent>
          </w:r>
          <w:r>
            <w:rPr>
              <w:noProof/>
            </w:rPr>
            <mc:AlternateContent>
              <mc:Choice Requires="wps">
                <w:drawing>
                  <wp:anchor distT="0" distB="0" distL="114300" distR="114300" simplePos="0" relativeHeight="251660288" behindDoc="0" locked="0" layoutInCell="0" allowOverlap="1" wp14:anchorId="3E279AB0" wp14:editId="106637D8">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70395" cy="640080"/>
                    <wp:effectExtent l="0" t="0" r="20955" b="2032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sdt>
                                <w:sdtPr>
                                  <w:rPr>
                                    <w:rFonts w:ascii="Arial" w:hAnsi="Arial" w:cs="Arial"/>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13FECF9C" w14:textId="67FE59C1" w:rsidR="00B278E5" w:rsidRPr="009D27DC" w:rsidRDefault="00592C35">
                                    <w:pPr>
                                      <w:pStyle w:val="NoSpacing"/>
                                      <w:jc w:val="right"/>
                                      <w:rPr>
                                        <w:rFonts w:ascii="Arial" w:hAnsi="Arial" w:cs="Arial"/>
                                        <w:color w:val="FFFFFF" w:themeColor="background1"/>
                                        <w:sz w:val="72"/>
                                        <w:szCs w:val="72"/>
                                      </w:rPr>
                                    </w:pPr>
                                    <w:r w:rsidRPr="009D27DC">
                                      <w:rPr>
                                        <w:rFonts w:ascii="Arial" w:hAnsi="Arial" w:cs="Arial"/>
                                        <w:color w:val="FFFFFF" w:themeColor="background1"/>
                                        <w:sz w:val="72"/>
                                        <w:szCs w:val="72"/>
                                      </w:rPr>
                                      <w:t>Racism within the Police</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3E279AB0" id="Rectangle 16" o:spid="_x0000_s1031" style="position:absolute;margin-left:0;margin-top:0;width:548.85pt;height:50.4pt;z-index:251660288;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" o:allowincell="f" fillcolor="black [3213]" strokecolor="black [3213]" strokeweight="1.5pt">
                    <v:textbox style="mso-fit-shape-to-text:t" inset="14.4pt,,14.4pt">
                      <w:txbxContent>
                        <w:sdt>
                          <w:sdtPr>
                            <w:rPr>
                              <w:rFonts w:ascii="Arial" w:hAnsi="Arial" w:cs="Arial"/>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13FECF9C" w14:textId="67FE59C1" w:rsidR="00B278E5" w:rsidRPr="009D27DC" w:rsidRDefault="00592C35">
                              <w:pPr>
                                <w:pStyle w:val="NoSpacing"/>
                                <w:jc w:val="right"/>
                                <w:rPr>
                                  <w:rFonts w:ascii="Arial" w:hAnsi="Arial" w:cs="Arial"/>
                                  <w:color w:val="FFFFFF" w:themeColor="background1"/>
                                  <w:sz w:val="72"/>
                                  <w:szCs w:val="72"/>
                                </w:rPr>
                              </w:pPr>
                              <w:r w:rsidRPr="009D27DC">
                                <w:rPr>
                                  <w:rFonts w:ascii="Arial" w:hAnsi="Arial" w:cs="Arial"/>
                                  <w:color w:val="FFFFFF" w:themeColor="background1"/>
                                  <w:sz w:val="72"/>
                                  <w:szCs w:val="72"/>
                                </w:rPr>
                                <w:t>Racism within the Police</w:t>
                              </w:r>
                            </w:p>
                          </w:sdtContent>
                        </w:sdt>
                      </w:txbxContent>
                    </v:textbox>
                    <w10:wrap anchorx="page" anchory="page"/>
                  </v:rect>
                </w:pict>
              </mc:Fallback>
            </mc:AlternateContent>
          </w:r>
        </w:p>
        <w:p w14:paraId="50DCE63F" w14:textId="77777777" w:rsidR="00B9754B" w:rsidRDefault="00B9754B">
          <w:pPr>
            <w:rPr>
              <w:rFonts w:ascii="Arial" w:hAnsi="Arial" w:cs="Arial"/>
              <w:b/>
              <w:bCs/>
              <w:sz w:val="24"/>
              <w:szCs w:val="24"/>
            </w:rPr>
          </w:pPr>
        </w:p>
        <w:p w14:paraId="713989AF" w14:textId="77777777" w:rsidR="00B9754B" w:rsidRDefault="00B9754B">
          <w:pPr>
            <w:rPr>
              <w:rFonts w:ascii="Arial" w:hAnsi="Arial" w:cs="Arial"/>
              <w:b/>
              <w:bCs/>
              <w:sz w:val="24"/>
              <w:szCs w:val="24"/>
            </w:rPr>
          </w:pPr>
          <w:r>
            <w:rPr>
              <w:rFonts w:ascii="Arial" w:hAnsi="Arial" w:cs="Arial"/>
              <w:b/>
              <w:bCs/>
              <w:sz w:val="24"/>
              <w:szCs w:val="24"/>
            </w:rPr>
            <w:br w:type="page"/>
          </w:r>
        </w:p>
        <w:sdt>
          <w:sdtPr>
            <w:rPr>
              <w:rFonts w:eastAsiaTheme="minorHAnsi"/>
              <w:caps w:val="0"/>
              <w:color w:val="auto"/>
              <w:spacing w:val="0"/>
              <w:sz w:val="20"/>
              <w:szCs w:val="20"/>
            </w:rPr>
            <w:id w:val="-292369410"/>
            <w:docPartObj>
              <w:docPartGallery w:val="Table of Contents"/>
              <w:docPartUnique/>
            </w:docPartObj>
          </w:sdtPr>
          <w:sdtEndPr>
            <w:rPr>
              <w:rFonts w:ascii="Arial" w:eastAsiaTheme="minorEastAsia" w:hAnsi="Arial" w:cs="Arial"/>
              <w:b/>
              <w:bCs/>
              <w:noProof/>
              <w:sz w:val="28"/>
              <w:szCs w:val="28"/>
              <w:highlight w:val="lightGray"/>
            </w:rPr>
          </w:sdtEndPr>
          <w:sdtContent>
            <w:p w14:paraId="5007256A" w14:textId="46459AA0" w:rsidR="00B9754B" w:rsidRPr="001552AC" w:rsidRDefault="00B9754B">
              <w:pPr>
                <w:pStyle w:val="TOCHeading"/>
                <w:rPr>
                  <w:rFonts w:ascii="Arial" w:hAnsi="Arial" w:cs="Arial"/>
                </w:rPr>
              </w:pPr>
              <w:r w:rsidRPr="001552AC">
                <w:rPr>
                  <w:rFonts w:ascii="Arial" w:hAnsi="Arial" w:cs="Arial"/>
                </w:rPr>
                <w:t>Contents</w:t>
              </w:r>
            </w:p>
            <w:p w14:paraId="57C933A7" w14:textId="40386A68" w:rsidR="009B5D11" w:rsidRPr="009B5D11" w:rsidRDefault="00B9754B">
              <w:pPr>
                <w:pStyle w:val="TOC2"/>
                <w:tabs>
                  <w:tab w:val="right" w:leader="dot" w:pos="9016"/>
                </w:tabs>
                <w:rPr>
                  <w:rFonts w:ascii="Arial" w:hAnsi="Arial" w:cs="Arial"/>
                  <w:noProof/>
                  <w:kern w:val="2"/>
                  <w:sz w:val="28"/>
                  <w:szCs w:val="28"/>
                  <w:highlight w:val="lightGray"/>
                  <w:lang w:eastAsia="en-GB"/>
                  <w14:ligatures w14:val="standardContextual"/>
                </w:rPr>
              </w:pPr>
              <w:r w:rsidRPr="009B5D11">
                <w:rPr>
                  <w:rFonts w:ascii="Arial" w:hAnsi="Arial" w:cs="Arial"/>
                  <w:sz w:val="28"/>
                  <w:szCs w:val="28"/>
                  <w:highlight w:val="lightGray"/>
                </w:rPr>
                <w:fldChar w:fldCharType="begin"/>
              </w:r>
              <w:r w:rsidRPr="009B5D11">
                <w:rPr>
                  <w:rFonts w:ascii="Arial" w:hAnsi="Arial" w:cs="Arial"/>
                  <w:sz w:val="28"/>
                  <w:szCs w:val="28"/>
                  <w:highlight w:val="lightGray"/>
                </w:rPr>
                <w:instrText xml:space="preserve"> TOC \o "1-3" \h \z \u </w:instrText>
              </w:r>
              <w:r w:rsidRPr="009B5D11">
                <w:rPr>
                  <w:rFonts w:ascii="Arial" w:hAnsi="Arial" w:cs="Arial"/>
                  <w:sz w:val="28"/>
                  <w:szCs w:val="28"/>
                  <w:highlight w:val="lightGray"/>
                </w:rPr>
                <w:fldChar w:fldCharType="separate"/>
              </w:r>
              <w:hyperlink w:anchor="_Toc227255271" w:history="1">
                <w:r w:rsidR="009B5D11" w:rsidRPr="009B5D11">
                  <w:rPr>
                    <w:rStyle w:val="Hyperlink"/>
                    <w:rFonts w:ascii="Arial" w:hAnsi="Arial" w:cs="Arial"/>
                    <w:noProof/>
                    <w:sz w:val="28"/>
                    <w:szCs w:val="28"/>
                    <w:highlight w:val="lightGray"/>
                  </w:rPr>
                  <w:t>Introduction</w:t>
                </w:r>
                <w:r w:rsidR="009B5D11" w:rsidRPr="009B5D11">
                  <w:rPr>
                    <w:rFonts w:ascii="Arial" w:hAnsi="Arial" w:cs="Arial"/>
                    <w:noProof/>
                    <w:webHidden/>
                    <w:sz w:val="28"/>
                    <w:szCs w:val="28"/>
                    <w:highlight w:val="lightGray"/>
                  </w:rPr>
                  <w:tab/>
                </w:r>
                <w:r w:rsidR="009B5D11" w:rsidRPr="009B5D11">
                  <w:rPr>
                    <w:rFonts w:ascii="Arial" w:hAnsi="Arial" w:cs="Arial"/>
                    <w:noProof/>
                    <w:webHidden/>
                    <w:sz w:val="28"/>
                    <w:szCs w:val="28"/>
                    <w:highlight w:val="lightGray"/>
                  </w:rPr>
                  <w:fldChar w:fldCharType="begin"/>
                </w:r>
                <w:r w:rsidR="009B5D11" w:rsidRPr="009B5D11">
                  <w:rPr>
                    <w:rFonts w:ascii="Arial" w:hAnsi="Arial" w:cs="Arial"/>
                    <w:noProof/>
                    <w:webHidden/>
                    <w:sz w:val="28"/>
                    <w:szCs w:val="28"/>
                    <w:highlight w:val="lightGray"/>
                  </w:rPr>
                  <w:instrText xml:space="preserve"> PAGEREF _Toc227255271 \h </w:instrText>
                </w:r>
                <w:r w:rsidR="009B5D11" w:rsidRPr="009B5D11">
                  <w:rPr>
                    <w:rFonts w:ascii="Arial" w:hAnsi="Arial" w:cs="Arial"/>
                    <w:noProof/>
                    <w:webHidden/>
                    <w:sz w:val="28"/>
                    <w:szCs w:val="28"/>
                    <w:highlight w:val="lightGray"/>
                  </w:rPr>
                </w:r>
                <w:r w:rsidR="009B5D11" w:rsidRPr="009B5D11">
                  <w:rPr>
                    <w:rFonts w:ascii="Arial" w:hAnsi="Arial" w:cs="Arial"/>
                    <w:noProof/>
                    <w:webHidden/>
                    <w:sz w:val="28"/>
                    <w:szCs w:val="28"/>
                    <w:highlight w:val="lightGray"/>
                  </w:rPr>
                  <w:fldChar w:fldCharType="separate"/>
                </w:r>
                <w:r w:rsidR="00225B8A">
                  <w:rPr>
                    <w:rFonts w:ascii="Arial" w:hAnsi="Arial" w:cs="Arial"/>
                    <w:noProof/>
                    <w:webHidden/>
                    <w:sz w:val="28"/>
                    <w:szCs w:val="28"/>
                    <w:highlight w:val="lightGray"/>
                  </w:rPr>
                  <w:t>2</w:t>
                </w:r>
                <w:r w:rsidR="009B5D11" w:rsidRPr="009B5D11">
                  <w:rPr>
                    <w:rFonts w:ascii="Arial" w:hAnsi="Arial" w:cs="Arial"/>
                    <w:noProof/>
                    <w:webHidden/>
                    <w:sz w:val="28"/>
                    <w:szCs w:val="28"/>
                    <w:highlight w:val="lightGray"/>
                  </w:rPr>
                  <w:fldChar w:fldCharType="end"/>
                </w:r>
              </w:hyperlink>
            </w:p>
            <w:p w14:paraId="5CCF72E5" w14:textId="214D7FE9" w:rsidR="009B5D11" w:rsidRPr="009B5D11" w:rsidRDefault="009B5D11">
              <w:pPr>
                <w:pStyle w:val="TOC2"/>
                <w:tabs>
                  <w:tab w:val="right" w:leader="dot" w:pos="9016"/>
                </w:tabs>
                <w:rPr>
                  <w:rFonts w:ascii="Arial" w:hAnsi="Arial" w:cs="Arial"/>
                  <w:noProof/>
                  <w:kern w:val="2"/>
                  <w:sz w:val="28"/>
                  <w:szCs w:val="28"/>
                  <w:highlight w:val="lightGray"/>
                  <w:lang w:eastAsia="en-GB"/>
                  <w14:ligatures w14:val="standardContextual"/>
                </w:rPr>
              </w:pPr>
              <w:hyperlink w:anchor="_Toc227255272" w:history="1">
                <w:r w:rsidRPr="009B5D11">
                  <w:rPr>
                    <w:rStyle w:val="Hyperlink"/>
                    <w:rFonts w:ascii="Arial" w:hAnsi="Arial" w:cs="Arial"/>
                    <w:noProof/>
                    <w:sz w:val="28"/>
                    <w:szCs w:val="28"/>
                    <w:highlight w:val="lightGray"/>
                  </w:rPr>
                  <w:t>Background</w:t>
                </w:r>
                <w:r w:rsidRPr="009B5D11">
                  <w:rPr>
                    <w:rFonts w:ascii="Arial" w:hAnsi="Arial" w:cs="Arial"/>
                    <w:noProof/>
                    <w:webHidden/>
                    <w:sz w:val="28"/>
                    <w:szCs w:val="28"/>
                    <w:highlight w:val="lightGray"/>
                  </w:rPr>
                  <w:tab/>
                </w:r>
                <w:r w:rsidRPr="009B5D11">
                  <w:rPr>
                    <w:rFonts w:ascii="Arial" w:hAnsi="Arial" w:cs="Arial"/>
                    <w:noProof/>
                    <w:webHidden/>
                    <w:sz w:val="28"/>
                    <w:szCs w:val="28"/>
                    <w:highlight w:val="lightGray"/>
                  </w:rPr>
                  <w:fldChar w:fldCharType="begin"/>
                </w:r>
                <w:r w:rsidRPr="009B5D11">
                  <w:rPr>
                    <w:rFonts w:ascii="Arial" w:hAnsi="Arial" w:cs="Arial"/>
                    <w:noProof/>
                    <w:webHidden/>
                    <w:sz w:val="28"/>
                    <w:szCs w:val="28"/>
                    <w:highlight w:val="lightGray"/>
                  </w:rPr>
                  <w:instrText xml:space="preserve"> PAGEREF _Toc227255272 \h </w:instrText>
                </w:r>
                <w:r w:rsidRPr="009B5D11">
                  <w:rPr>
                    <w:rFonts w:ascii="Arial" w:hAnsi="Arial" w:cs="Arial"/>
                    <w:noProof/>
                    <w:webHidden/>
                    <w:sz w:val="28"/>
                    <w:szCs w:val="28"/>
                    <w:highlight w:val="lightGray"/>
                  </w:rPr>
                </w:r>
                <w:r w:rsidRPr="009B5D11">
                  <w:rPr>
                    <w:rFonts w:ascii="Arial" w:hAnsi="Arial" w:cs="Arial"/>
                    <w:noProof/>
                    <w:webHidden/>
                    <w:sz w:val="28"/>
                    <w:szCs w:val="28"/>
                    <w:highlight w:val="lightGray"/>
                  </w:rPr>
                  <w:fldChar w:fldCharType="separate"/>
                </w:r>
                <w:r w:rsidR="00225B8A">
                  <w:rPr>
                    <w:rFonts w:ascii="Arial" w:hAnsi="Arial" w:cs="Arial"/>
                    <w:noProof/>
                    <w:webHidden/>
                    <w:sz w:val="28"/>
                    <w:szCs w:val="28"/>
                    <w:highlight w:val="lightGray"/>
                  </w:rPr>
                  <w:t>3</w:t>
                </w:r>
                <w:r w:rsidRPr="009B5D11">
                  <w:rPr>
                    <w:rFonts w:ascii="Arial" w:hAnsi="Arial" w:cs="Arial"/>
                    <w:noProof/>
                    <w:webHidden/>
                    <w:sz w:val="28"/>
                    <w:szCs w:val="28"/>
                    <w:highlight w:val="lightGray"/>
                  </w:rPr>
                  <w:fldChar w:fldCharType="end"/>
                </w:r>
              </w:hyperlink>
            </w:p>
            <w:p w14:paraId="1D77A43E" w14:textId="21E82910" w:rsidR="009B5D11" w:rsidRPr="009B5D11" w:rsidRDefault="009B5D11">
              <w:pPr>
                <w:pStyle w:val="TOC2"/>
                <w:tabs>
                  <w:tab w:val="right" w:leader="dot" w:pos="9016"/>
                </w:tabs>
                <w:rPr>
                  <w:rFonts w:ascii="Arial" w:hAnsi="Arial" w:cs="Arial"/>
                  <w:noProof/>
                  <w:kern w:val="2"/>
                  <w:sz w:val="28"/>
                  <w:szCs w:val="28"/>
                  <w:highlight w:val="lightGray"/>
                  <w:lang w:eastAsia="en-GB"/>
                  <w14:ligatures w14:val="standardContextual"/>
                </w:rPr>
              </w:pPr>
              <w:hyperlink w:anchor="_Toc227255273" w:history="1">
                <w:r w:rsidRPr="009B5D11">
                  <w:rPr>
                    <w:rStyle w:val="Hyperlink"/>
                    <w:rFonts w:ascii="Arial" w:hAnsi="Arial" w:cs="Arial"/>
                    <w:noProof/>
                    <w:sz w:val="28"/>
                    <w:szCs w:val="28"/>
                    <w:highlight w:val="lightGray"/>
                  </w:rPr>
                  <w:t>Racism in Policing</w:t>
                </w:r>
                <w:r w:rsidRPr="009B5D11">
                  <w:rPr>
                    <w:rFonts w:ascii="Arial" w:hAnsi="Arial" w:cs="Arial"/>
                    <w:noProof/>
                    <w:webHidden/>
                    <w:sz w:val="28"/>
                    <w:szCs w:val="28"/>
                    <w:highlight w:val="lightGray"/>
                  </w:rPr>
                  <w:tab/>
                </w:r>
                <w:r w:rsidRPr="009B5D11">
                  <w:rPr>
                    <w:rFonts w:ascii="Arial" w:hAnsi="Arial" w:cs="Arial"/>
                    <w:noProof/>
                    <w:webHidden/>
                    <w:sz w:val="28"/>
                    <w:szCs w:val="28"/>
                    <w:highlight w:val="lightGray"/>
                  </w:rPr>
                  <w:fldChar w:fldCharType="begin"/>
                </w:r>
                <w:r w:rsidRPr="009B5D11">
                  <w:rPr>
                    <w:rFonts w:ascii="Arial" w:hAnsi="Arial" w:cs="Arial"/>
                    <w:noProof/>
                    <w:webHidden/>
                    <w:sz w:val="28"/>
                    <w:szCs w:val="28"/>
                    <w:highlight w:val="lightGray"/>
                  </w:rPr>
                  <w:instrText xml:space="preserve"> PAGEREF _Toc227255273 \h </w:instrText>
                </w:r>
                <w:r w:rsidRPr="009B5D11">
                  <w:rPr>
                    <w:rFonts w:ascii="Arial" w:hAnsi="Arial" w:cs="Arial"/>
                    <w:noProof/>
                    <w:webHidden/>
                    <w:sz w:val="28"/>
                    <w:szCs w:val="28"/>
                    <w:highlight w:val="lightGray"/>
                  </w:rPr>
                </w:r>
                <w:r w:rsidRPr="009B5D11">
                  <w:rPr>
                    <w:rFonts w:ascii="Arial" w:hAnsi="Arial" w:cs="Arial"/>
                    <w:noProof/>
                    <w:webHidden/>
                    <w:sz w:val="28"/>
                    <w:szCs w:val="28"/>
                    <w:highlight w:val="lightGray"/>
                  </w:rPr>
                  <w:fldChar w:fldCharType="separate"/>
                </w:r>
                <w:r w:rsidR="00225B8A">
                  <w:rPr>
                    <w:rFonts w:ascii="Arial" w:hAnsi="Arial" w:cs="Arial"/>
                    <w:noProof/>
                    <w:webHidden/>
                    <w:sz w:val="28"/>
                    <w:szCs w:val="28"/>
                    <w:highlight w:val="lightGray"/>
                  </w:rPr>
                  <w:t>3</w:t>
                </w:r>
                <w:r w:rsidRPr="009B5D11">
                  <w:rPr>
                    <w:rFonts w:ascii="Arial" w:hAnsi="Arial" w:cs="Arial"/>
                    <w:noProof/>
                    <w:webHidden/>
                    <w:sz w:val="28"/>
                    <w:szCs w:val="28"/>
                    <w:highlight w:val="lightGray"/>
                  </w:rPr>
                  <w:fldChar w:fldCharType="end"/>
                </w:r>
              </w:hyperlink>
            </w:p>
            <w:p w14:paraId="11E4AB54" w14:textId="7B7BFFCC" w:rsidR="009B5D11" w:rsidRPr="009B5D11" w:rsidRDefault="009B5D11">
              <w:pPr>
                <w:pStyle w:val="TOC2"/>
                <w:tabs>
                  <w:tab w:val="right" w:leader="dot" w:pos="9016"/>
                </w:tabs>
                <w:rPr>
                  <w:rFonts w:ascii="Arial" w:hAnsi="Arial" w:cs="Arial"/>
                  <w:noProof/>
                  <w:kern w:val="2"/>
                  <w:sz w:val="28"/>
                  <w:szCs w:val="28"/>
                  <w:highlight w:val="lightGray"/>
                  <w:lang w:eastAsia="en-GB"/>
                  <w14:ligatures w14:val="standardContextual"/>
                </w:rPr>
              </w:pPr>
              <w:hyperlink w:anchor="_Toc227255274" w:history="1">
                <w:r w:rsidRPr="009B5D11">
                  <w:rPr>
                    <w:rStyle w:val="Hyperlink"/>
                    <w:rFonts w:ascii="Arial" w:hAnsi="Arial" w:cs="Arial"/>
                    <w:noProof/>
                    <w:sz w:val="28"/>
                    <w:szCs w:val="28"/>
                    <w:highlight w:val="lightGray"/>
                  </w:rPr>
                  <w:t>Police response analysis</w:t>
                </w:r>
                <w:r w:rsidRPr="009B5D11">
                  <w:rPr>
                    <w:rFonts w:ascii="Arial" w:hAnsi="Arial" w:cs="Arial"/>
                    <w:noProof/>
                    <w:webHidden/>
                    <w:sz w:val="28"/>
                    <w:szCs w:val="28"/>
                    <w:highlight w:val="lightGray"/>
                  </w:rPr>
                  <w:tab/>
                </w:r>
                <w:r w:rsidRPr="009B5D11">
                  <w:rPr>
                    <w:rFonts w:ascii="Arial" w:hAnsi="Arial" w:cs="Arial"/>
                    <w:noProof/>
                    <w:webHidden/>
                    <w:sz w:val="28"/>
                    <w:szCs w:val="28"/>
                    <w:highlight w:val="lightGray"/>
                  </w:rPr>
                  <w:fldChar w:fldCharType="begin"/>
                </w:r>
                <w:r w:rsidRPr="009B5D11">
                  <w:rPr>
                    <w:rFonts w:ascii="Arial" w:hAnsi="Arial" w:cs="Arial"/>
                    <w:noProof/>
                    <w:webHidden/>
                    <w:sz w:val="28"/>
                    <w:szCs w:val="28"/>
                    <w:highlight w:val="lightGray"/>
                  </w:rPr>
                  <w:instrText xml:space="preserve"> PAGEREF _Toc227255274 \h </w:instrText>
                </w:r>
                <w:r w:rsidRPr="009B5D11">
                  <w:rPr>
                    <w:rFonts w:ascii="Arial" w:hAnsi="Arial" w:cs="Arial"/>
                    <w:noProof/>
                    <w:webHidden/>
                    <w:sz w:val="28"/>
                    <w:szCs w:val="28"/>
                    <w:highlight w:val="lightGray"/>
                  </w:rPr>
                </w:r>
                <w:r w:rsidRPr="009B5D11">
                  <w:rPr>
                    <w:rFonts w:ascii="Arial" w:hAnsi="Arial" w:cs="Arial"/>
                    <w:noProof/>
                    <w:webHidden/>
                    <w:sz w:val="28"/>
                    <w:szCs w:val="28"/>
                    <w:highlight w:val="lightGray"/>
                  </w:rPr>
                  <w:fldChar w:fldCharType="separate"/>
                </w:r>
                <w:r w:rsidR="00225B8A">
                  <w:rPr>
                    <w:rFonts w:ascii="Arial" w:hAnsi="Arial" w:cs="Arial"/>
                    <w:noProof/>
                    <w:webHidden/>
                    <w:sz w:val="28"/>
                    <w:szCs w:val="28"/>
                    <w:highlight w:val="lightGray"/>
                  </w:rPr>
                  <w:t>4</w:t>
                </w:r>
                <w:r w:rsidRPr="009B5D11">
                  <w:rPr>
                    <w:rFonts w:ascii="Arial" w:hAnsi="Arial" w:cs="Arial"/>
                    <w:noProof/>
                    <w:webHidden/>
                    <w:sz w:val="28"/>
                    <w:szCs w:val="28"/>
                    <w:highlight w:val="lightGray"/>
                  </w:rPr>
                  <w:fldChar w:fldCharType="end"/>
                </w:r>
              </w:hyperlink>
            </w:p>
            <w:p w14:paraId="0C8D6FF7" w14:textId="6DE07A98" w:rsidR="009B5D11" w:rsidRPr="009B5D11" w:rsidRDefault="009B5D11">
              <w:pPr>
                <w:pStyle w:val="TOC2"/>
                <w:tabs>
                  <w:tab w:val="right" w:leader="dot" w:pos="9016"/>
                </w:tabs>
                <w:rPr>
                  <w:rFonts w:ascii="Arial" w:hAnsi="Arial" w:cs="Arial"/>
                  <w:noProof/>
                  <w:kern w:val="2"/>
                  <w:sz w:val="28"/>
                  <w:szCs w:val="28"/>
                  <w:highlight w:val="lightGray"/>
                  <w:lang w:eastAsia="en-GB"/>
                  <w14:ligatures w14:val="standardContextual"/>
                </w:rPr>
              </w:pPr>
              <w:hyperlink w:anchor="_Toc227255275" w:history="1">
                <w:r w:rsidRPr="009B5D11">
                  <w:rPr>
                    <w:rStyle w:val="Hyperlink"/>
                    <w:rFonts w:ascii="Arial" w:hAnsi="Arial" w:cs="Arial"/>
                    <w:noProof/>
                    <w:sz w:val="28"/>
                    <w:szCs w:val="28"/>
                    <w:highlight w:val="lightGray"/>
                  </w:rPr>
                  <w:t>Institutional Racism and Police Culture</w:t>
                </w:r>
                <w:r w:rsidRPr="009B5D11">
                  <w:rPr>
                    <w:rFonts w:ascii="Arial" w:hAnsi="Arial" w:cs="Arial"/>
                    <w:noProof/>
                    <w:webHidden/>
                    <w:sz w:val="28"/>
                    <w:szCs w:val="28"/>
                    <w:highlight w:val="lightGray"/>
                  </w:rPr>
                  <w:tab/>
                </w:r>
                <w:r w:rsidRPr="009B5D11">
                  <w:rPr>
                    <w:rFonts w:ascii="Arial" w:hAnsi="Arial" w:cs="Arial"/>
                    <w:noProof/>
                    <w:webHidden/>
                    <w:sz w:val="28"/>
                    <w:szCs w:val="28"/>
                    <w:highlight w:val="lightGray"/>
                  </w:rPr>
                  <w:fldChar w:fldCharType="begin"/>
                </w:r>
                <w:r w:rsidRPr="009B5D11">
                  <w:rPr>
                    <w:rFonts w:ascii="Arial" w:hAnsi="Arial" w:cs="Arial"/>
                    <w:noProof/>
                    <w:webHidden/>
                    <w:sz w:val="28"/>
                    <w:szCs w:val="28"/>
                    <w:highlight w:val="lightGray"/>
                  </w:rPr>
                  <w:instrText xml:space="preserve"> PAGEREF _Toc227255275 \h </w:instrText>
                </w:r>
                <w:r w:rsidRPr="009B5D11">
                  <w:rPr>
                    <w:rFonts w:ascii="Arial" w:hAnsi="Arial" w:cs="Arial"/>
                    <w:noProof/>
                    <w:webHidden/>
                    <w:sz w:val="28"/>
                    <w:szCs w:val="28"/>
                    <w:highlight w:val="lightGray"/>
                  </w:rPr>
                </w:r>
                <w:r w:rsidRPr="009B5D11">
                  <w:rPr>
                    <w:rFonts w:ascii="Arial" w:hAnsi="Arial" w:cs="Arial"/>
                    <w:noProof/>
                    <w:webHidden/>
                    <w:sz w:val="28"/>
                    <w:szCs w:val="28"/>
                    <w:highlight w:val="lightGray"/>
                  </w:rPr>
                  <w:fldChar w:fldCharType="separate"/>
                </w:r>
                <w:r w:rsidR="00225B8A">
                  <w:rPr>
                    <w:rFonts w:ascii="Arial" w:hAnsi="Arial" w:cs="Arial"/>
                    <w:noProof/>
                    <w:webHidden/>
                    <w:sz w:val="28"/>
                    <w:szCs w:val="28"/>
                    <w:highlight w:val="lightGray"/>
                  </w:rPr>
                  <w:t>5</w:t>
                </w:r>
                <w:r w:rsidRPr="009B5D11">
                  <w:rPr>
                    <w:rFonts w:ascii="Arial" w:hAnsi="Arial" w:cs="Arial"/>
                    <w:noProof/>
                    <w:webHidden/>
                    <w:sz w:val="28"/>
                    <w:szCs w:val="28"/>
                    <w:highlight w:val="lightGray"/>
                  </w:rPr>
                  <w:fldChar w:fldCharType="end"/>
                </w:r>
              </w:hyperlink>
            </w:p>
            <w:p w14:paraId="290CFDEB" w14:textId="19A3D738" w:rsidR="009B5D11" w:rsidRPr="009B5D11" w:rsidRDefault="009B5D11">
              <w:pPr>
                <w:pStyle w:val="TOC2"/>
                <w:tabs>
                  <w:tab w:val="right" w:leader="dot" w:pos="9016"/>
                </w:tabs>
                <w:rPr>
                  <w:rFonts w:ascii="Arial" w:hAnsi="Arial" w:cs="Arial"/>
                  <w:noProof/>
                  <w:kern w:val="2"/>
                  <w:sz w:val="28"/>
                  <w:szCs w:val="28"/>
                  <w:highlight w:val="lightGray"/>
                  <w:lang w:eastAsia="en-GB"/>
                  <w14:ligatures w14:val="standardContextual"/>
                </w:rPr>
              </w:pPr>
              <w:hyperlink w:anchor="_Toc227255276" w:history="1">
                <w:r w:rsidRPr="009B5D11">
                  <w:rPr>
                    <w:rStyle w:val="Hyperlink"/>
                    <w:rFonts w:ascii="Arial" w:hAnsi="Arial" w:cs="Arial"/>
                    <w:noProof/>
                    <w:sz w:val="28"/>
                    <w:szCs w:val="28"/>
                    <w:highlight w:val="lightGray"/>
                  </w:rPr>
                  <w:t>Reform and Policy Change</w:t>
                </w:r>
                <w:r w:rsidRPr="009B5D11">
                  <w:rPr>
                    <w:rFonts w:ascii="Arial" w:hAnsi="Arial" w:cs="Arial"/>
                    <w:noProof/>
                    <w:webHidden/>
                    <w:sz w:val="28"/>
                    <w:szCs w:val="28"/>
                    <w:highlight w:val="lightGray"/>
                  </w:rPr>
                  <w:tab/>
                </w:r>
                <w:r w:rsidRPr="009B5D11">
                  <w:rPr>
                    <w:rFonts w:ascii="Arial" w:hAnsi="Arial" w:cs="Arial"/>
                    <w:noProof/>
                    <w:webHidden/>
                    <w:sz w:val="28"/>
                    <w:szCs w:val="28"/>
                    <w:highlight w:val="lightGray"/>
                  </w:rPr>
                  <w:fldChar w:fldCharType="begin"/>
                </w:r>
                <w:r w:rsidRPr="009B5D11">
                  <w:rPr>
                    <w:rFonts w:ascii="Arial" w:hAnsi="Arial" w:cs="Arial"/>
                    <w:noProof/>
                    <w:webHidden/>
                    <w:sz w:val="28"/>
                    <w:szCs w:val="28"/>
                    <w:highlight w:val="lightGray"/>
                  </w:rPr>
                  <w:instrText xml:space="preserve"> PAGEREF _Toc227255276 \h </w:instrText>
                </w:r>
                <w:r w:rsidRPr="009B5D11">
                  <w:rPr>
                    <w:rFonts w:ascii="Arial" w:hAnsi="Arial" w:cs="Arial"/>
                    <w:noProof/>
                    <w:webHidden/>
                    <w:sz w:val="28"/>
                    <w:szCs w:val="28"/>
                    <w:highlight w:val="lightGray"/>
                  </w:rPr>
                </w:r>
                <w:r w:rsidRPr="009B5D11">
                  <w:rPr>
                    <w:rFonts w:ascii="Arial" w:hAnsi="Arial" w:cs="Arial"/>
                    <w:noProof/>
                    <w:webHidden/>
                    <w:sz w:val="28"/>
                    <w:szCs w:val="28"/>
                    <w:highlight w:val="lightGray"/>
                  </w:rPr>
                  <w:fldChar w:fldCharType="separate"/>
                </w:r>
                <w:r w:rsidR="00225B8A">
                  <w:rPr>
                    <w:rFonts w:ascii="Arial" w:hAnsi="Arial" w:cs="Arial"/>
                    <w:noProof/>
                    <w:webHidden/>
                    <w:sz w:val="28"/>
                    <w:szCs w:val="28"/>
                    <w:highlight w:val="lightGray"/>
                  </w:rPr>
                  <w:t>6</w:t>
                </w:r>
                <w:r w:rsidRPr="009B5D11">
                  <w:rPr>
                    <w:rFonts w:ascii="Arial" w:hAnsi="Arial" w:cs="Arial"/>
                    <w:noProof/>
                    <w:webHidden/>
                    <w:sz w:val="28"/>
                    <w:szCs w:val="28"/>
                    <w:highlight w:val="lightGray"/>
                  </w:rPr>
                  <w:fldChar w:fldCharType="end"/>
                </w:r>
              </w:hyperlink>
            </w:p>
            <w:p w14:paraId="7275FA22" w14:textId="2C90C27F" w:rsidR="009B5D11" w:rsidRPr="009B5D11" w:rsidRDefault="009B5D11">
              <w:pPr>
                <w:pStyle w:val="TOC2"/>
                <w:tabs>
                  <w:tab w:val="right" w:leader="dot" w:pos="9016"/>
                </w:tabs>
                <w:rPr>
                  <w:rFonts w:ascii="Arial" w:hAnsi="Arial" w:cs="Arial"/>
                  <w:noProof/>
                  <w:kern w:val="2"/>
                  <w:sz w:val="28"/>
                  <w:szCs w:val="28"/>
                  <w:highlight w:val="lightGray"/>
                  <w:lang w:eastAsia="en-GB"/>
                  <w14:ligatures w14:val="standardContextual"/>
                </w:rPr>
              </w:pPr>
              <w:hyperlink w:anchor="_Toc227255277" w:history="1">
                <w:r w:rsidRPr="009B5D11">
                  <w:rPr>
                    <w:rStyle w:val="Hyperlink"/>
                    <w:rFonts w:ascii="Arial" w:hAnsi="Arial" w:cs="Arial"/>
                    <w:noProof/>
                    <w:sz w:val="28"/>
                    <w:szCs w:val="28"/>
                    <w:highlight w:val="lightGray"/>
                  </w:rPr>
                  <w:t>Trust, Legitimacy and Community Impact</w:t>
                </w:r>
                <w:r w:rsidRPr="009B5D11">
                  <w:rPr>
                    <w:rFonts w:ascii="Arial" w:hAnsi="Arial" w:cs="Arial"/>
                    <w:noProof/>
                    <w:webHidden/>
                    <w:sz w:val="28"/>
                    <w:szCs w:val="28"/>
                    <w:highlight w:val="lightGray"/>
                  </w:rPr>
                  <w:tab/>
                </w:r>
                <w:r w:rsidRPr="009B5D11">
                  <w:rPr>
                    <w:rFonts w:ascii="Arial" w:hAnsi="Arial" w:cs="Arial"/>
                    <w:noProof/>
                    <w:webHidden/>
                    <w:sz w:val="28"/>
                    <w:szCs w:val="28"/>
                    <w:highlight w:val="lightGray"/>
                  </w:rPr>
                  <w:fldChar w:fldCharType="begin"/>
                </w:r>
                <w:r w:rsidRPr="009B5D11">
                  <w:rPr>
                    <w:rFonts w:ascii="Arial" w:hAnsi="Arial" w:cs="Arial"/>
                    <w:noProof/>
                    <w:webHidden/>
                    <w:sz w:val="28"/>
                    <w:szCs w:val="28"/>
                    <w:highlight w:val="lightGray"/>
                  </w:rPr>
                  <w:instrText xml:space="preserve"> PAGEREF _Toc227255277 \h </w:instrText>
                </w:r>
                <w:r w:rsidRPr="009B5D11">
                  <w:rPr>
                    <w:rFonts w:ascii="Arial" w:hAnsi="Arial" w:cs="Arial"/>
                    <w:noProof/>
                    <w:webHidden/>
                    <w:sz w:val="28"/>
                    <w:szCs w:val="28"/>
                    <w:highlight w:val="lightGray"/>
                  </w:rPr>
                </w:r>
                <w:r w:rsidRPr="009B5D11">
                  <w:rPr>
                    <w:rFonts w:ascii="Arial" w:hAnsi="Arial" w:cs="Arial"/>
                    <w:noProof/>
                    <w:webHidden/>
                    <w:sz w:val="28"/>
                    <w:szCs w:val="28"/>
                    <w:highlight w:val="lightGray"/>
                  </w:rPr>
                  <w:fldChar w:fldCharType="separate"/>
                </w:r>
                <w:r w:rsidR="00225B8A">
                  <w:rPr>
                    <w:rFonts w:ascii="Arial" w:hAnsi="Arial" w:cs="Arial"/>
                    <w:noProof/>
                    <w:webHidden/>
                    <w:sz w:val="28"/>
                    <w:szCs w:val="28"/>
                    <w:highlight w:val="lightGray"/>
                  </w:rPr>
                  <w:t>7</w:t>
                </w:r>
                <w:r w:rsidRPr="009B5D11">
                  <w:rPr>
                    <w:rFonts w:ascii="Arial" w:hAnsi="Arial" w:cs="Arial"/>
                    <w:noProof/>
                    <w:webHidden/>
                    <w:sz w:val="28"/>
                    <w:szCs w:val="28"/>
                    <w:highlight w:val="lightGray"/>
                  </w:rPr>
                  <w:fldChar w:fldCharType="end"/>
                </w:r>
              </w:hyperlink>
            </w:p>
            <w:p w14:paraId="3309DB6B" w14:textId="7F72A606" w:rsidR="009B5D11" w:rsidRPr="009B5D11" w:rsidRDefault="009B5D11">
              <w:pPr>
                <w:pStyle w:val="TOC2"/>
                <w:tabs>
                  <w:tab w:val="right" w:leader="dot" w:pos="9016"/>
                </w:tabs>
                <w:rPr>
                  <w:rFonts w:ascii="Arial" w:hAnsi="Arial" w:cs="Arial"/>
                  <w:noProof/>
                  <w:kern w:val="2"/>
                  <w:sz w:val="28"/>
                  <w:szCs w:val="28"/>
                  <w:highlight w:val="lightGray"/>
                  <w:lang w:eastAsia="en-GB"/>
                  <w14:ligatures w14:val="standardContextual"/>
                </w:rPr>
              </w:pPr>
              <w:hyperlink w:anchor="_Toc227255278" w:history="1">
                <w:r w:rsidRPr="009B5D11">
                  <w:rPr>
                    <w:rStyle w:val="Hyperlink"/>
                    <w:rFonts w:ascii="Arial" w:hAnsi="Arial" w:cs="Arial"/>
                    <w:noProof/>
                    <w:sz w:val="28"/>
                    <w:szCs w:val="28"/>
                    <w:highlight w:val="lightGray"/>
                  </w:rPr>
                  <w:t>Evaluation</w:t>
                </w:r>
                <w:r w:rsidRPr="009B5D11">
                  <w:rPr>
                    <w:rFonts w:ascii="Arial" w:hAnsi="Arial" w:cs="Arial"/>
                    <w:noProof/>
                    <w:webHidden/>
                    <w:sz w:val="28"/>
                    <w:szCs w:val="28"/>
                    <w:highlight w:val="lightGray"/>
                  </w:rPr>
                  <w:tab/>
                </w:r>
                <w:r w:rsidRPr="009B5D11">
                  <w:rPr>
                    <w:rFonts w:ascii="Arial" w:hAnsi="Arial" w:cs="Arial"/>
                    <w:noProof/>
                    <w:webHidden/>
                    <w:sz w:val="28"/>
                    <w:szCs w:val="28"/>
                    <w:highlight w:val="lightGray"/>
                  </w:rPr>
                  <w:fldChar w:fldCharType="begin"/>
                </w:r>
                <w:r w:rsidRPr="009B5D11">
                  <w:rPr>
                    <w:rFonts w:ascii="Arial" w:hAnsi="Arial" w:cs="Arial"/>
                    <w:noProof/>
                    <w:webHidden/>
                    <w:sz w:val="28"/>
                    <w:szCs w:val="28"/>
                    <w:highlight w:val="lightGray"/>
                  </w:rPr>
                  <w:instrText xml:space="preserve"> PAGEREF _Toc227255278 \h </w:instrText>
                </w:r>
                <w:r w:rsidRPr="009B5D11">
                  <w:rPr>
                    <w:rFonts w:ascii="Arial" w:hAnsi="Arial" w:cs="Arial"/>
                    <w:noProof/>
                    <w:webHidden/>
                    <w:sz w:val="28"/>
                    <w:szCs w:val="28"/>
                    <w:highlight w:val="lightGray"/>
                  </w:rPr>
                </w:r>
                <w:r w:rsidRPr="009B5D11">
                  <w:rPr>
                    <w:rFonts w:ascii="Arial" w:hAnsi="Arial" w:cs="Arial"/>
                    <w:noProof/>
                    <w:webHidden/>
                    <w:sz w:val="28"/>
                    <w:szCs w:val="28"/>
                    <w:highlight w:val="lightGray"/>
                  </w:rPr>
                  <w:fldChar w:fldCharType="separate"/>
                </w:r>
                <w:r w:rsidR="00225B8A">
                  <w:rPr>
                    <w:rFonts w:ascii="Arial" w:hAnsi="Arial" w:cs="Arial"/>
                    <w:noProof/>
                    <w:webHidden/>
                    <w:sz w:val="28"/>
                    <w:szCs w:val="28"/>
                    <w:highlight w:val="lightGray"/>
                  </w:rPr>
                  <w:t>8</w:t>
                </w:r>
                <w:r w:rsidRPr="009B5D11">
                  <w:rPr>
                    <w:rFonts w:ascii="Arial" w:hAnsi="Arial" w:cs="Arial"/>
                    <w:noProof/>
                    <w:webHidden/>
                    <w:sz w:val="28"/>
                    <w:szCs w:val="28"/>
                    <w:highlight w:val="lightGray"/>
                  </w:rPr>
                  <w:fldChar w:fldCharType="end"/>
                </w:r>
              </w:hyperlink>
            </w:p>
            <w:p w14:paraId="1C337576" w14:textId="1E7F0491" w:rsidR="009B5D11" w:rsidRPr="009B5D11" w:rsidRDefault="009B5D11">
              <w:pPr>
                <w:pStyle w:val="TOC2"/>
                <w:tabs>
                  <w:tab w:val="right" w:leader="dot" w:pos="9016"/>
                </w:tabs>
                <w:rPr>
                  <w:rFonts w:ascii="Arial" w:hAnsi="Arial" w:cs="Arial"/>
                  <w:noProof/>
                  <w:kern w:val="2"/>
                  <w:sz w:val="28"/>
                  <w:szCs w:val="28"/>
                  <w:highlight w:val="lightGray"/>
                  <w:lang w:eastAsia="en-GB"/>
                  <w14:ligatures w14:val="standardContextual"/>
                </w:rPr>
              </w:pPr>
              <w:hyperlink w:anchor="_Toc227255279" w:history="1">
                <w:r w:rsidRPr="009B5D11">
                  <w:rPr>
                    <w:rStyle w:val="Hyperlink"/>
                    <w:rFonts w:ascii="Arial" w:hAnsi="Arial" w:cs="Arial"/>
                    <w:noProof/>
                    <w:sz w:val="28"/>
                    <w:szCs w:val="28"/>
                    <w:highlight w:val="lightGray"/>
                  </w:rPr>
                  <w:t>Recommendations</w:t>
                </w:r>
                <w:r w:rsidRPr="009B5D11">
                  <w:rPr>
                    <w:rFonts w:ascii="Arial" w:hAnsi="Arial" w:cs="Arial"/>
                    <w:noProof/>
                    <w:webHidden/>
                    <w:sz w:val="28"/>
                    <w:szCs w:val="28"/>
                    <w:highlight w:val="lightGray"/>
                  </w:rPr>
                  <w:tab/>
                </w:r>
                <w:r w:rsidRPr="009B5D11">
                  <w:rPr>
                    <w:rFonts w:ascii="Arial" w:hAnsi="Arial" w:cs="Arial"/>
                    <w:noProof/>
                    <w:webHidden/>
                    <w:sz w:val="28"/>
                    <w:szCs w:val="28"/>
                    <w:highlight w:val="lightGray"/>
                  </w:rPr>
                  <w:fldChar w:fldCharType="begin"/>
                </w:r>
                <w:r w:rsidRPr="009B5D11">
                  <w:rPr>
                    <w:rFonts w:ascii="Arial" w:hAnsi="Arial" w:cs="Arial"/>
                    <w:noProof/>
                    <w:webHidden/>
                    <w:sz w:val="28"/>
                    <w:szCs w:val="28"/>
                    <w:highlight w:val="lightGray"/>
                  </w:rPr>
                  <w:instrText xml:space="preserve"> PAGEREF _Toc227255279 \h </w:instrText>
                </w:r>
                <w:r w:rsidRPr="009B5D11">
                  <w:rPr>
                    <w:rFonts w:ascii="Arial" w:hAnsi="Arial" w:cs="Arial"/>
                    <w:noProof/>
                    <w:webHidden/>
                    <w:sz w:val="28"/>
                    <w:szCs w:val="28"/>
                    <w:highlight w:val="lightGray"/>
                  </w:rPr>
                </w:r>
                <w:r w:rsidRPr="009B5D11">
                  <w:rPr>
                    <w:rFonts w:ascii="Arial" w:hAnsi="Arial" w:cs="Arial"/>
                    <w:noProof/>
                    <w:webHidden/>
                    <w:sz w:val="28"/>
                    <w:szCs w:val="28"/>
                    <w:highlight w:val="lightGray"/>
                  </w:rPr>
                  <w:fldChar w:fldCharType="separate"/>
                </w:r>
                <w:r w:rsidR="00225B8A">
                  <w:rPr>
                    <w:rFonts w:ascii="Arial" w:hAnsi="Arial" w:cs="Arial"/>
                    <w:noProof/>
                    <w:webHidden/>
                    <w:sz w:val="28"/>
                    <w:szCs w:val="28"/>
                    <w:highlight w:val="lightGray"/>
                  </w:rPr>
                  <w:t>9</w:t>
                </w:r>
                <w:r w:rsidRPr="009B5D11">
                  <w:rPr>
                    <w:rFonts w:ascii="Arial" w:hAnsi="Arial" w:cs="Arial"/>
                    <w:noProof/>
                    <w:webHidden/>
                    <w:sz w:val="28"/>
                    <w:szCs w:val="28"/>
                    <w:highlight w:val="lightGray"/>
                  </w:rPr>
                  <w:fldChar w:fldCharType="end"/>
                </w:r>
              </w:hyperlink>
            </w:p>
            <w:p w14:paraId="7D2DDE52" w14:textId="44F6131E" w:rsidR="009B5D11" w:rsidRPr="009B5D11" w:rsidRDefault="009B5D11">
              <w:pPr>
                <w:pStyle w:val="TOC2"/>
                <w:tabs>
                  <w:tab w:val="right" w:leader="dot" w:pos="9016"/>
                </w:tabs>
                <w:rPr>
                  <w:rFonts w:ascii="Arial" w:hAnsi="Arial" w:cs="Arial"/>
                  <w:noProof/>
                  <w:kern w:val="2"/>
                  <w:sz w:val="28"/>
                  <w:szCs w:val="28"/>
                  <w:highlight w:val="lightGray"/>
                  <w:lang w:eastAsia="en-GB"/>
                  <w14:ligatures w14:val="standardContextual"/>
                </w:rPr>
              </w:pPr>
              <w:hyperlink w:anchor="_Toc227255280" w:history="1">
                <w:r w:rsidRPr="009B5D11">
                  <w:rPr>
                    <w:rStyle w:val="Hyperlink"/>
                    <w:rFonts w:ascii="Arial" w:hAnsi="Arial" w:cs="Arial"/>
                    <w:noProof/>
                    <w:sz w:val="28"/>
                    <w:szCs w:val="28"/>
                    <w:highlight w:val="lightGray"/>
                  </w:rPr>
                  <w:t>Conclusion</w:t>
                </w:r>
                <w:r w:rsidRPr="009B5D11">
                  <w:rPr>
                    <w:rFonts w:ascii="Arial" w:hAnsi="Arial" w:cs="Arial"/>
                    <w:noProof/>
                    <w:webHidden/>
                    <w:sz w:val="28"/>
                    <w:szCs w:val="28"/>
                    <w:highlight w:val="lightGray"/>
                  </w:rPr>
                  <w:tab/>
                </w:r>
                <w:r w:rsidRPr="009B5D11">
                  <w:rPr>
                    <w:rFonts w:ascii="Arial" w:hAnsi="Arial" w:cs="Arial"/>
                    <w:noProof/>
                    <w:webHidden/>
                    <w:sz w:val="28"/>
                    <w:szCs w:val="28"/>
                    <w:highlight w:val="lightGray"/>
                  </w:rPr>
                  <w:fldChar w:fldCharType="begin"/>
                </w:r>
                <w:r w:rsidRPr="009B5D11">
                  <w:rPr>
                    <w:rFonts w:ascii="Arial" w:hAnsi="Arial" w:cs="Arial"/>
                    <w:noProof/>
                    <w:webHidden/>
                    <w:sz w:val="28"/>
                    <w:szCs w:val="28"/>
                    <w:highlight w:val="lightGray"/>
                  </w:rPr>
                  <w:instrText xml:space="preserve"> PAGEREF _Toc227255280 \h </w:instrText>
                </w:r>
                <w:r w:rsidRPr="009B5D11">
                  <w:rPr>
                    <w:rFonts w:ascii="Arial" w:hAnsi="Arial" w:cs="Arial"/>
                    <w:noProof/>
                    <w:webHidden/>
                    <w:sz w:val="28"/>
                    <w:szCs w:val="28"/>
                    <w:highlight w:val="lightGray"/>
                  </w:rPr>
                </w:r>
                <w:r w:rsidRPr="009B5D11">
                  <w:rPr>
                    <w:rFonts w:ascii="Arial" w:hAnsi="Arial" w:cs="Arial"/>
                    <w:noProof/>
                    <w:webHidden/>
                    <w:sz w:val="28"/>
                    <w:szCs w:val="28"/>
                    <w:highlight w:val="lightGray"/>
                  </w:rPr>
                  <w:fldChar w:fldCharType="separate"/>
                </w:r>
                <w:r w:rsidR="00225B8A">
                  <w:rPr>
                    <w:rFonts w:ascii="Arial" w:hAnsi="Arial" w:cs="Arial"/>
                    <w:noProof/>
                    <w:webHidden/>
                    <w:sz w:val="28"/>
                    <w:szCs w:val="28"/>
                    <w:highlight w:val="lightGray"/>
                  </w:rPr>
                  <w:t>9</w:t>
                </w:r>
                <w:r w:rsidRPr="009B5D11">
                  <w:rPr>
                    <w:rFonts w:ascii="Arial" w:hAnsi="Arial" w:cs="Arial"/>
                    <w:noProof/>
                    <w:webHidden/>
                    <w:sz w:val="28"/>
                    <w:szCs w:val="28"/>
                    <w:highlight w:val="lightGray"/>
                  </w:rPr>
                  <w:fldChar w:fldCharType="end"/>
                </w:r>
              </w:hyperlink>
            </w:p>
            <w:p w14:paraId="63B6E14E" w14:textId="531B1D77" w:rsidR="009B5D11" w:rsidRPr="009B5D11" w:rsidRDefault="009B5D11">
              <w:pPr>
                <w:pStyle w:val="TOC2"/>
                <w:tabs>
                  <w:tab w:val="right" w:leader="dot" w:pos="9016"/>
                </w:tabs>
                <w:rPr>
                  <w:rFonts w:ascii="Arial" w:hAnsi="Arial" w:cs="Arial"/>
                  <w:noProof/>
                  <w:kern w:val="2"/>
                  <w:sz w:val="28"/>
                  <w:szCs w:val="28"/>
                  <w:highlight w:val="lightGray"/>
                  <w:lang w:eastAsia="en-GB"/>
                  <w14:ligatures w14:val="standardContextual"/>
                </w:rPr>
              </w:pPr>
              <w:hyperlink w:anchor="_Toc227255281" w:history="1">
                <w:r w:rsidRPr="009B5D11">
                  <w:rPr>
                    <w:rStyle w:val="Hyperlink"/>
                    <w:rFonts w:ascii="Arial" w:hAnsi="Arial" w:cs="Arial"/>
                    <w:noProof/>
                    <w:sz w:val="28"/>
                    <w:szCs w:val="28"/>
                    <w:highlight w:val="lightGray"/>
                  </w:rPr>
                  <w:t>References</w:t>
                </w:r>
                <w:r w:rsidRPr="009B5D11">
                  <w:rPr>
                    <w:rFonts w:ascii="Arial" w:hAnsi="Arial" w:cs="Arial"/>
                    <w:noProof/>
                    <w:webHidden/>
                    <w:sz w:val="28"/>
                    <w:szCs w:val="28"/>
                    <w:highlight w:val="lightGray"/>
                  </w:rPr>
                  <w:tab/>
                </w:r>
                <w:r w:rsidRPr="009B5D11">
                  <w:rPr>
                    <w:rFonts w:ascii="Arial" w:hAnsi="Arial" w:cs="Arial"/>
                    <w:noProof/>
                    <w:webHidden/>
                    <w:sz w:val="28"/>
                    <w:szCs w:val="28"/>
                    <w:highlight w:val="lightGray"/>
                  </w:rPr>
                  <w:fldChar w:fldCharType="begin"/>
                </w:r>
                <w:r w:rsidRPr="009B5D11">
                  <w:rPr>
                    <w:rFonts w:ascii="Arial" w:hAnsi="Arial" w:cs="Arial"/>
                    <w:noProof/>
                    <w:webHidden/>
                    <w:sz w:val="28"/>
                    <w:szCs w:val="28"/>
                    <w:highlight w:val="lightGray"/>
                  </w:rPr>
                  <w:instrText xml:space="preserve"> PAGEREF _Toc227255281 \h </w:instrText>
                </w:r>
                <w:r w:rsidRPr="009B5D11">
                  <w:rPr>
                    <w:rFonts w:ascii="Arial" w:hAnsi="Arial" w:cs="Arial"/>
                    <w:noProof/>
                    <w:webHidden/>
                    <w:sz w:val="28"/>
                    <w:szCs w:val="28"/>
                    <w:highlight w:val="lightGray"/>
                  </w:rPr>
                </w:r>
                <w:r w:rsidRPr="009B5D11">
                  <w:rPr>
                    <w:rFonts w:ascii="Arial" w:hAnsi="Arial" w:cs="Arial"/>
                    <w:noProof/>
                    <w:webHidden/>
                    <w:sz w:val="28"/>
                    <w:szCs w:val="28"/>
                    <w:highlight w:val="lightGray"/>
                  </w:rPr>
                  <w:fldChar w:fldCharType="separate"/>
                </w:r>
                <w:r w:rsidR="00225B8A">
                  <w:rPr>
                    <w:rFonts w:ascii="Arial" w:hAnsi="Arial" w:cs="Arial"/>
                    <w:noProof/>
                    <w:webHidden/>
                    <w:sz w:val="28"/>
                    <w:szCs w:val="28"/>
                    <w:highlight w:val="lightGray"/>
                  </w:rPr>
                  <w:t>11</w:t>
                </w:r>
                <w:r w:rsidRPr="009B5D11">
                  <w:rPr>
                    <w:rFonts w:ascii="Arial" w:hAnsi="Arial" w:cs="Arial"/>
                    <w:noProof/>
                    <w:webHidden/>
                    <w:sz w:val="28"/>
                    <w:szCs w:val="28"/>
                    <w:highlight w:val="lightGray"/>
                  </w:rPr>
                  <w:fldChar w:fldCharType="end"/>
                </w:r>
              </w:hyperlink>
            </w:p>
            <w:p w14:paraId="3D333A89" w14:textId="79EE4E5D" w:rsidR="00B9754B" w:rsidRPr="009B5D11" w:rsidRDefault="00B9754B">
              <w:pPr>
                <w:rPr>
                  <w:rFonts w:ascii="Arial" w:hAnsi="Arial" w:cs="Arial"/>
                  <w:sz w:val="28"/>
                  <w:szCs w:val="28"/>
                </w:rPr>
              </w:pPr>
              <w:r w:rsidRPr="009B5D11">
                <w:rPr>
                  <w:rFonts w:ascii="Arial" w:hAnsi="Arial" w:cs="Arial"/>
                  <w:b/>
                  <w:bCs/>
                  <w:noProof/>
                  <w:sz w:val="28"/>
                  <w:szCs w:val="28"/>
                  <w:highlight w:val="lightGray"/>
                </w:rPr>
                <w:fldChar w:fldCharType="end"/>
              </w:r>
            </w:p>
          </w:sdtContent>
        </w:sdt>
        <w:p w14:paraId="60EA38C8" w14:textId="77777777" w:rsidR="00B9754B" w:rsidRDefault="00B9754B">
          <w:pPr>
            <w:rPr>
              <w:rFonts w:ascii="Arial" w:hAnsi="Arial" w:cs="Arial"/>
              <w:b/>
              <w:bCs/>
              <w:sz w:val="24"/>
              <w:szCs w:val="24"/>
            </w:rPr>
          </w:pPr>
        </w:p>
        <w:p w14:paraId="307BCFE4" w14:textId="6FCCA1D0" w:rsidR="00B9754B" w:rsidRDefault="00B9754B" w:rsidP="00B9754B">
          <w:pPr>
            <w:rPr>
              <w:rFonts w:ascii="Arial" w:hAnsi="Arial" w:cs="Arial"/>
              <w:b/>
              <w:bCs/>
              <w:sz w:val="24"/>
              <w:szCs w:val="24"/>
            </w:rPr>
          </w:pPr>
          <w:r>
            <w:rPr>
              <w:rFonts w:ascii="Arial" w:hAnsi="Arial" w:cs="Arial"/>
              <w:b/>
              <w:bCs/>
              <w:sz w:val="24"/>
              <w:szCs w:val="24"/>
            </w:rPr>
            <w:br w:type="page"/>
          </w:r>
        </w:p>
      </w:sdtContent>
    </w:sdt>
    <w:p w14:paraId="1EF4DB8A" w14:textId="636839BC" w:rsidR="005678B7" w:rsidRPr="00E76ACD" w:rsidRDefault="005678B7" w:rsidP="00E76ACD">
      <w:pPr>
        <w:pStyle w:val="TOCHeading"/>
        <w:rPr>
          <w:rStyle w:val="Emphasis"/>
          <w:rFonts w:ascii="Arial" w:hAnsi="Arial" w:cs="Arial"/>
          <w:b/>
          <w:bCs/>
          <w:sz w:val="28"/>
          <w:szCs w:val="28"/>
        </w:rPr>
      </w:pPr>
      <w:r w:rsidRPr="00E76ACD">
        <w:rPr>
          <w:rStyle w:val="Emphasis"/>
          <w:rFonts w:ascii="Arial" w:hAnsi="Arial" w:cs="Arial"/>
          <w:b/>
          <w:bCs/>
          <w:sz w:val="28"/>
          <w:szCs w:val="28"/>
        </w:rPr>
        <w:lastRenderedPageBreak/>
        <w:t>Summary</w:t>
      </w:r>
    </w:p>
    <w:p w14:paraId="52F78478" w14:textId="77777777" w:rsidR="00414FE9" w:rsidRDefault="00414FE9" w:rsidP="00414FE9">
      <w:pPr>
        <w:rPr>
          <w:rFonts w:ascii="Arial" w:hAnsi="Arial" w:cs="Arial"/>
          <w:sz w:val="24"/>
          <w:szCs w:val="24"/>
        </w:rPr>
      </w:pPr>
    </w:p>
    <w:p w14:paraId="27907DD6" w14:textId="77777777" w:rsidR="009660F9" w:rsidRPr="009660F9" w:rsidRDefault="009660F9" w:rsidP="00C63BBF">
      <w:pPr>
        <w:spacing w:line="360" w:lineRule="auto"/>
        <w:rPr>
          <w:rFonts w:ascii="Arial" w:hAnsi="Arial" w:cs="Arial"/>
          <w:sz w:val="24"/>
          <w:szCs w:val="24"/>
        </w:rPr>
      </w:pPr>
      <w:r w:rsidRPr="009660F9">
        <w:rPr>
          <w:rFonts w:ascii="Arial" w:hAnsi="Arial" w:cs="Arial"/>
          <w:sz w:val="24"/>
          <w:szCs w:val="24"/>
        </w:rPr>
        <w:t>This report critically examines racism within policing in England and Wales, evaluating whether reforms have effectively addressed racial inequalities. Drawing on key inquiries, including the Scarman Report (1981), the Macpherson Report (1999), and the Casey Review (2023), the report identifies a consistent pattern in which racism is recognised but only partially addressed.</w:t>
      </w:r>
    </w:p>
    <w:p w14:paraId="6D38497D" w14:textId="1A344270" w:rsidR="009660F9" w:rsidRPr="009660F9" w:rsidRDefault="009660F9" w:rsidP="00C63BBF">
      <w:pPr>
        <w:spacing w:line="360" w:lineRule="auto"/>
        <w:rPr>
          <w:rFonts w:ascii="Arial" w:hAnsi="Arial" w:cs="Arial"/>
          <w:sz w:val="24"/>
          <w:szCs w:val="24"/>
        </w:rPr>
      </w:pPr>
      <w:r w:rsidRPr="009660F9">
        <w:rPr>
          <w:rFonts w:ascii="Arial" w:hAnsi="Arial" w:cs="Arial"/>
          <w:sz w:val="24"/>
          <w:szCs w:val="24"/>
        </w:rPr>
        <w:t xml:space="preserve">Evidence from stop and search practices and institutional investigations demonstrates that racial disparities remain persistent, suggesting that reforms have had </w:t>
      </w:r>
      <w:r w:rsidR="00C63BBF">
        <w:rPr>
          <w:rFonts w:ascii="Arial" w:hAnsi="Arial" w:cs="Arial"/>
          <w:sz w:val="24"/>
          <w:szCs w:val="24"/>
        </w:rPr>
        <w:t xml:space="preserve">a </w:t>
      </w:r>
      <w:r w:rsidRPr="009660F9">
        <w:rPr>
          <w:rFonts w:ascii="Arial" w:hAnsi="Arial" w:cs="Arial"/>
          <w:sz w:val="24"/>
          <w:szCs w:val="24"/>
        </w:rPr>
        <w:t>limited impact on policing outcomes. While policy changes have improved accountability and transparency, they have largely focused on procedural adjustments rather than addressing deeper structural issues within policing.</w:t>
      </w:r>
    </w:p>
    <w:p w14:paraId="23683CF1" w14:textId="55C1D57C" w:rsidR="009660F9" w:rsidRPr="009660F9" w:rsidRDefault="009660F9" w:rsidP="00C63BBF">
      <w:pPr>
        <w:spacing w:line="360" w:lineRule="auto"/>
        <w:rPr>
          <w:rFonts w:ascii="Arial" w:hAnsi="Arial" w:cs="Arial"/>
          <w:sz w:val="24"/>
          <w:szCs w:val="24"/>
        </w:rPr>
      </w:pPr>
      <w:r w:rsidRPr="009660F9">
        <w:rPr>
          <w:rFonts w:ascii="Arial" w:hAnsi="Arial" w:cs="Arial"/>
          <w:sz w:val="24"/>
          <w:szCs w:val="24"/>
        </w:rPr>
        <w:t>The report concludes that racism in policing is not simply the result of individual bias but reflects embedded institutional practices and broader social inequalities. As a result, meaningful change requires structural reform rather than continued reliance on managerial solutions.</w:t>
      </w:r>
      <w:r w:rsidR="008A55C0" w:rsidRPr="008A55C0">
        <w:t xml:space="preserve"> </w:t>
      </w:r>
      <w:r w:rsidR="008A55C0" w:rsidRPr="008A55C0">
        <w:rPr>
          <w:rFonts w:ascii="Arial" w:hAnsi="Arial" w:cs="Arial"/>
          <w:sz w:val="24"/>
          <w:szCs w:val="24"/>
        </w:rPr>
        <w:t>Without such structural change, racial inequalities in policing are likely to persist.</w:t>
      </w:r>
    </w:p>
    <w:p w14:paraId="3C710ADD" w14:textId="77777777" w:rsidR="009329F5" w:rsidRPr="005678B7" w:rsidRDefault="009329F5" w:rsidP="005678B7">
      <w:pPr>
        <w:rPr>
          <w:rFonts w:ascii="Arial" w:hAnsi="Arial" w:cs="Arial"/>
          <w:sz w:val="24"/>
          <w:szCs w:val="24"/>
        </w:rPr>
      </w:pPr>
    </w:p>
    <w:p w14:paraId="54942923" w14:textId="017304AC" w:rsidR="005678B7" w:rsidRPr="00E76ACD" w:rsidRDefault="005678B7" w:rsidP="00C73FBC">
      <w:pPr>
        <w:pStyle w:val="Heading2"/>
        <w:rPr>
          <w:rFonts w:ascii="Arial" w:hAnsi="Arial" w:cs="Arial"/>
          <w:sz w:val="24"/>
          <w:szCs w:val="24"/>
        </w:rPr>
      </w:pPr>
      <w:bookmarkStart w:id="0" w:name="_Toc227255271"/>
      <w:r w:rsidRPr="00E76ACD">
        <w:rPr>
          <w:rFonts w:ascii="Arial" w:hAnsi="Arial" w:cs="Arial"/>
          <w:sz w:val="24"/>
          <w:szCs w:val="24"/>
        </w:rPr>
        <w:t>Introduction</w:t>
      </w:r>
      <w:bookmarkEnd w:id="0"/>
    </w:p>
    <w:p w14:paraId="66CC6D69" w14:textId="77777777" w:rsidR="0041412D" w:rsidRDefault="0041412D" w:rsidP="0041412D">
      <w:pPr>
        <w:rPr>
          <w:rFonts w:ascii="Arial" w:hAnsi="Arial" w:cs="Arial"/>
          <w:sz w:val="24"/>
          <w:szCs w:val="24"/>
        </w:rPr>
      </w:pPr>
    </w:p>
    <w:p w14:paraId="6E10BE2B" w14:textId="7EAEC072" w:rsidR="004105BC" w:rsidRDefault="00A635C4" w:rsidP="008A4719">
      <w:pPr>
        <w:spacing w:line="360" w:lineRule="auto"/>
        <w:rPr>
          <w:rFonts w:ascii="Arial" w:hAnsi="Arial" w:cs="Arial"/>
          <w:sz w:val="24"/>
          <w:szCs w:val="24"/>
        </w:rPr>
      </w:pPr>
      <w:r w:rsidRPr="00A635C4">
        <w:rPr>
          <w:rFonts w:ascii="Arial" w:hAnsi="Arial" w:cs="Arial"/>
          <w:sz w:val="24"/>
          <w:szCs w:val="24"/>
        </w:rPr>
        <w:t xml:space="preserve">Racism within policing in England and Wales has been documented through inquiries, including Scarman (1981), Macpherson (1999) and the Casey Review (2023). Despite these interventions, racial disparities remain evident in key policing practices such as stop and search and use of force (Home Office, 2023; Ministry of Justice, 2022; </w:t>
      </w:r>
      <w:proofErr w:type="spellStart"/>
      <w:r w:rsidRPr="00A635C4">
        <w:rPr>
          <w:rFonts w:ascii="Arial" w:hAnsi="Arial" w:cs="Arial"/>
          <w:sz w:val="24"/>
          <w:szCs w:val="24"/>
        </w:rPr>
        <w:t>StopWatch</w:t>
      </w:r>
      <w:proofErr w:type="spellEnd"/>
      <w:r w:rsidRPr="00A635C4">
        <w:rPr>
          <w:rFonts w:ascii="Arial" w:hAnsi="Arial" w:cs="Arial"/>
          <w:sz w:val="24"/>
          <w:szCs w:val="24"/>
        </w:rPr>
        <w:t xml:space="preserve">, 2018). This </w:t>
      </w:r>
      <w:r w:rsidR="007615AF">
        <w:rPr>
          <w:rFonts w:ascii="Arial" w:hAnsi="Arial" w:cs="Arial"/>
          <w:sz w:val="24"/>
          <w:szCs w:val="24"/>
        </w:rPr>
        <w:t>exposes the limited effectiveness of reform</w:t>
      </w:r>
      <w:r w:rsidR="007674D2">
        <w:rPr>
          <w:rFonts w:ascii="Arial" w:hAnsi="Arial" w:cs="Arial"/>
          <w:sz w:val="24"/>
          <w:szCs w:val="24"/>
        </w:rPr>
        <w:t xml:space="preserve"> </w:t>
      </w:r>
      <w:r w:rsidRPr="00A635C4">
        <w:rPr>
          <w:rFonts w:ascii="Arial" w:hAnsi="Arial" w:cs="Arial"/>
          <w:sz w:val="24"/>
          <w:szCs w:val="24"/>
        </w:rPr>
        <w:t xml:space="preserve">and the </w:t>
      </w:r>
      <w:r w:rsidR="004105BC">
        <w:rPr>
          <w:rFonts w:ascii="Arial" w:hAnsi="Arial" w:cs="Arial"/>
          <w:sz w:val="24"/>
          <w:szCs w:val="24"/>
        </w:rPr>
        <w:t>absence of change.</w:t>
      </w:r>
    </w:p>
    <w:p w14:paraId="07231C10" w14:textId="223D7EA3" w:rsidR="0041412D" w:rsidRPr="0041412D" w:rsidRDefault="00FC6CC1" w:rsidP="008A4719">
      <w:pPr>
        <w:spacing w:line="360" w:lineRule="auto"/>
        <w:rPr>
          <w:rFonts w:ascii="Arial" w:hAnsi="Arial" w:cs="Arial"/>
          <w:sz w:val="24"/>
          <w:szCs w:val="24"/>
        </w:rPr>
      </w:pPr>
      <w:r w:rsidRPr="00FC6CC1">
        <w:rPr>
          <w:rFonts w:ascii="Arial" w:hAnsi="Arial" w:cs="Arial"/>
          <w:sz w:val="24"/>
          <w:szCs w:val="24"/>
        </w:rPr>
        <w:t>This report argues that the criminal justice response to racism within policing has been fundamentally limited due to a failure to address structural inequalities and entrenched organisational cultures (Garland, 2001; Reiner, 2010; Lammy, 2017).</w:t>
      </w:r>
      <w:r>
        <w:rPr>
          <w:rFonts w:ascii="Arial" w:hAnsi="Arial" w:cs="Arial"/>
          <w:sz w:val="24"/>
          <w:szCs w:val="24"/>
        </w:rPr>
        <w:t xml:space="preserve"> </w:t>
      </w:r>
      <w:r w:rsidR="0041412D" w:rsidRPr="001E53C4">
        <w:rPr>
          <w:rFonts w:ascii="Arial" w:hAnsi="Arial" w:cs="Arial"/>
          <w:sz w:val="24"/>
          <w:szCs w:val="24"/>
        </w:rPr>
        <w:t xml:space="preserve">While reforms have introduced new policies, guidance, and accountability </w:t>
      </w:r>
      <w:r w:rsidR="0041412D" w:rsidRPr="001E53C4">
        <w:rPr>
          <w:rFonts w:ascii="Arial" w:hAnsi="Arial" w:cs="Arial"/>
          <w:sz w:val="24"/>
          <w:szCs w:val="24"/>
        </w:rPr>
        <w:lastRenderedPageBreak/>
        <w:t>mechanisms, these measures have prioritised procedural adjustments over substantive transformation (Garland, 2001; Reiner, 2010).</w:t>
      </w:r>
      <w:r w:rsidR="001E53C4" w:rsidRPr="001E53C4">
        <w:rPr>
          <w:rFonts w:ascii="Arial" w:hAnsi="Arial" w:cs="Arial"/>
          <w:sz w:val="24"/>
          <w:szCs w:val="24"/>
        </w:rPr>
        <w:t xml:space="preserve"> </w:t>
      </w:r>
      <w:r w:rsidR="00E96290" w:rsidRPr="00E96290">
        <w:rPr>
          <w:rFonts w:ascii="Arial" w:hAnsi="Arial" w:cs="Arial"/>
          <w:sz w:val="24"/>
          <w:szCs w:val="24"/>
        </w:rPr>
        <w:t>This report applies sociological perspectives, including institutional racism, labelling and structural inequality, to analyse how racial disparities are produced and maintained within policing</w:t>
      </w:r>
      <w:r w:rsidR="00E96290">
        <w:rPr>
          <w:rFonts w:ascii="Arial" w:hAnsi="Arial" w:cs="Arial"/>
          <w:sz w:val="24"/>
          <w:szCs w:val="24"/>
        </w:rPr>
        <w:t>.</w:t>
      </w:r>
    </w:p>
    <w:p w14:paraId="1E935FDA" w14:textId="77777777" w:rsidR="009E7585" w:rsidRDefault="009E7585" w:rsidP="008A4719">
      <w:pPr>
        <w:spacing w:line="360" w:lineRule="auto"/>
        <w:rPr>
          <w:rFonts w:ascii="Arial" w:hAnsi="Arial" w:cs="Arial"/>
          <w:sz w:val="24"/>
          <w:szCs w:val="24"/>
        </w:rPr>
      </w:pPr>
    </w:p>
    <w:p w14:paraId="675CEA6C" w14:textId="16CE3F79" w:rsidR="009E7585" w:rsidRPr="00E76ACD" w:rsidRDefault="009E7585" w:rsidP="009E7585">
      <w:pPr>
        <w:pStyle w:val="Heading2"/>
        <w:rPr>
          <w:rFonts w:ascii="Arial" w:hAnsi="Arial" w:cs="Arial"/>
          <w:sz w:val="24"/>
          <w:szCs w:val="24"/>
        </w:rPr>
      </w:pPr>
      <w:bookmarkStart w:id="1" w:name="_Toc227255272"/>
      <w:r w:rsidRPr="00E76ACD">
        <w:rPr>
          <w:rFonts w:ascii="Arial" w:hAnsi="Arial" w:cs="Arial"/>
          <w:sz w:val="24"/>
          <w:szCs w:val="24"/>
        </w:rPr>
        <w:t>Background</w:t>
      </w:r>
      <w:bookmarkEnd w:id="1"/>
    </w:p>
    <w:p w14:paraId="58E67076" w14:textId="77777777" w:rsidR="009E7585" w:rsidRDefault="009E7585" w:rsidP="009E7585"/>
    <w:p w14:paraId="46230A4A" w14:textId="77777777" w:rsidR="00FB0638" w:rsidRDefault="005F1CC3" w:rsidP="005F1CC3">
      <w:pPr>
        <w:spacing w:line="360" w:lineRule="auto"/>
        <w:rPr>
          <w:rFonts w:ascii="Arial" w:hAnsi="Arial" w:cs="Arial"/>
          <w:sz w:val="24"/>
          <w:szCs w:val="24"/>
        </w:rPr>
      </w:pPr>
      <w:r w:rsidRPr="005F1CC3">
        <w:rPr>
          <w:rFonts w:ascii="Arial" w:hAnsi="Arial" w:cs="Arial"/>
          <w:sz w:val="24"/>
          <w:szCs w:val="24"/>
        </w:rPr>
        <w:t>The Scarman Report (1981) followed the Brixton riots, which were driven by tensions between police and Black communities</w:t>
      </w:r>
      <w:r w:rsidR="00FB0638">
        <w:rPr>
          <w:rFonts w:ascii="Arial" w:hAnsi="Arial" w:cs="Arial"/>
          <w:sz w:val="24"/>
          <w:szCs w:val="24"/>
        </w:rPr>
        <w:t>.</w:t>
      </w:r>
    </w:p>
    <w:p w14:paraId="4986140E" w14:textId="77777777" w:rsidR="00293D91" w:rsidRDefault="005F1CC3" w:rsidP="005F1CC3">
      <w:pPr>
        <w:spacing w:line="360" w:lineRule="auto"/>
        <w:rPr>
          <w:rFonts w:ascii="Arial" w:hAnsi="Arial" w:cs="Arial"/>
          <w:sz w:val="24"/>
          <w:szCs w:val="24"/>
        </w:rPr>
      </w:pPr>
      <w:r w:rsidRPr="005F1CC3">
        <w:rPr>
          <w:rFonts w:ascii="Arial" w:hAnsi="Arial" w:cs="Arial"/>
          <w:sz w:val="24"/>
          <w:szCs w:val="24"/>
        </w:rPr>
        <w:t>The Macpherson Report (1999) was commissioned following the murder of Stephen Lawrence and the subsequent failure of the police investigation</w:t>
      </w:r>
      <w:r w:rsidR="00293D91">
        <w:rPr>
          <w:rFonts w:ascii="Arial" w:hAnsi="Arial" w:cs="Arial"/>
          <w:sz w:val="24"/>
          <w:szCs w:val="24"/>
        </w:rPr>
        <w:t>.</w:t>
      </w:r>
    </w:p>
    <w:p w14:paraId="0B78F6BF" w14:textId="61104DD0" w:rsidR="00952E84" w:rsidRDefault="00D05551" w:rsidP="005F1CC3">
      <w:pPr>
        <w:spacing w:line="360" w:lineRule="auto"/>
        <w:rPr>
          <w:rFonts w:ascii="Arial" w:hAnsi="Arial" w:cs="Arial"/>
          <w:sz w:val="24"/>
          <w:szCs w:val="24"/>
        </w:rPr>
      </w:pPr>
      <w:r w:rsidRPr="00D05551">
        <w:rPr>
          <w:rFonts w:ascii="Arial" w:hAnsi="Arial" w:cs="Arial"/>
          <w:sz w:val="24"/>
          <w:szCs w:val="24"/>
        </w:rPr>
        <w:t>The Casey Review (2023) examined the Metropolitan Police, identifying ongoing issues of racism, misogyny and cultural dysfunction</w:t>
      </w:r>
      <w:r>
        <w:rPr>
          <w:rFonts w:ascii="Arial" w:hAnsi="Arial" w:cs="Arial"/>
          <w:sz w:val="24"/>
          <w:szCs w:val="24"/>
        </w:rPr>
        <w:t>.</w:t>
      </w:r>
    </w:p>
    <w:p w14:paraId="3DBB3FAF" w14:textId="77777777" w:rsidR="00D05551" w:rsidRPr="005F1CC3" w:rsidRDefault="00D05551" w:rsidP="005F1CC3">
      <w:pPr>
        <w:spacing w:line="360" w:lineRule="auto"/>
        <w:rPr>
          <w:rFonts w:ascii="Arial" w:hAnsi="Arial" w:cs="Arial"/>
          <w:sz w:val="24"/>
          <w:szCs w:val="24"/>
        </w:rPr>
      </w:pPr>
    </w:p>
    <w:p w14:paraId="3E37F8B9" w14:textId="3CEF08C4" w:rsidR="005678B7" w:rsidRPr="00E76ACD" w:rsidRDefault="005678B7" w:rsidP="00C73FBC">
      <w:pPr>
        <w:pStyle w:val="Heading2"/>
        <w:rPr>
          <w:rFonts w:ascii="Arial" w:hAnsi="Arial" w:cs="Arial"/>
          <w:sz w:val="24"/>
          <w:szCs w:val="24"/>
        </w:rPr>
      </w:pPr>
      <w:bookmarkStart w:id="2" w:name="_Toc227255273"/>
      <w:r w:rsidRPr="00E76ACD">
        <w:rPr>
          <w:rFonts w:ascii="Arial" w:hAnsi="Arial" w:cs="Arial"/>
          <w:sz w:val="24"/>
          <w:szCs w:val="24"/>
        </w:rPr>
        <w:t>Racism in Policing</w:t>
      </w:r>
      <w:bookmarkEnd w:id="2"/>
    </w:p>
    <w:p w14:paraId="2F2FB1D2" w14:textId="77777777" w:rsidR="00227893" w:rsidRDefault="00227893" w:rsidP="00227893">
      <w:pPr>
        <w:rPr>
          <w:rFonts w:ascii="Arial" w:hAnsi="Arial" w:cs="Arial"/>
          <w:sz w:val="24"/>
          <w:szCs w:val="24"/>
        </w:rPr>
      </w:pPr>
    </w:p>
    <w:p w14:paraId="18C3AB38" w14:textId="42F50B5C" w:rsidR="00227893" w:rsidRPr="00227893" w:rsidRDefault="00227893" w:rsidP="008A4719">
      <w:pPr>
        <w:spacing w:line="360" w:lineRule="auto"/>
        <w:rPr>
          <w:rFonts w:ascii="Arial" w:hAnsi="Arial" w:cs="Arial"/>
          <w:sz w:val="24"/>
          <w:szCs w:val="24"/>
        </w:rPr>
      </w:pPr>
      <w:r w:rsidRPr="00227893">
        <w:rPr>
          <w:rFonts w:ascii="Arial" w:hAnsi="Arial" w:cs="Arial"/>
          <w:sz w:val="24"/>
          <w:szCs w:val="24"/>
        </w:rPr>
        <w:t xml:space="preserve">The issue of racism within policing gained national prominence following the Brixton riots, which prompted the Scarman Report (1981). While the report acknowledged the existence of racial disadvantage, it rejected the concept of institutional racism, instead attributing tensions to individual prejudice and broader socio-economic conditions. This interpretation </w:t>
      </w:r>
      <w:r w:rsidR="009E6F66">
        <w:rPr>
          <w:rFonts w:ascii="Arial" w:hAnsi="Arial" w:cs="Arial"/>
          <w:sz w:val="24"/>
          <w:szCs w:val="24"/>
        </w:rPr>
        <w:t>is analytically limited</w:t>
      </w:r>
      <w:r w:rsidRPr="00227893">
        <w:rPr>
          <w:rFonts w:ascii="Arial" w:hAnsi="Arial" w:cs="Arial"/>
          <w:sz w:val="24"/>
          <w:szCs w:val="24"/>
        </w:rPr>
        <w:t xml:space="preserve"> (Gilroy, 1987; Phillips and Bowling, 2017). By framing racism as an issue of individual behaviour rather than organisational structure, the report constrained the scope of reform and diverted attention away from systemic issues within policing.</w:t>
      </w:r>
    </w:p>
    <w:p w14:paraId="258C52EB" w14:textId="1D88BA65" w:rsidR="00227893" w:rsidRPr="00227893" w:rsidRDefault="00227893" w:rsidP="008A4719">
      <w:pPr>
        <w:spacing w:line="360" w:lineRule="auto"/>
        <w:rPr>
          <w:rFonts w:ascii="Arial" w:hAnsi="Arial" w:cs="Arial"/>
          <w:sz w:val="24"/>
          <w:szCs w:val="24"/>
        </w:rPr>
      </w:pPr>
      <w:r w:rsidRPr="00227893">
        <w:rPr>
          <w:rFonts w:ascii="Arial" w:hAnsi="Arial" w:cs="Arial"/>
          <w:sz w:val="24"/>
          <w:szCs w:val="24"/>
        </w:rPr>
        <w:t xml:space="preserve">The Macpherson Report (1999), published following the murder of Stephen Lawrence, marked a critical shift in the understanding of racism within policing. In contrast to Scarman, it explicitly defined institutional racism as the collective failure of an organisation to provide an appropriate and professional service due to its </w:t>
      </w:r>
      <w:r w:rsidRPr="00227893">
        <w:rPr>
          <w:rFonts w:ascii="Arial" w:hAnsi="Arial" w:cs="Arial"/>
          <w:sz w:val="24"/>
          <w:szCs w:val="24"/>
        </w:rPr>
        <w:lastRenderedPageBreak/>
        <w:t>structures, policies, and practices. This reframing moved focus from individual prejudice to systemic organisational responsibility, recognising that discriminatory outcomes can arise even in the absence of overt intent. Consequently, the report expanded the scope of reform by highlighting the need for structural and cultural change within policing institutions.</w:t>
      </w:r>
    </w:p>
    <w:p w14:paraId="12F0A8BA" w14:textId="201FCED9" w:rsidR="003256EB" w:rsidRDefault="00227893" w:rsidP="00E76ACD">
      <w:pPr>
        <w:spacing w:line="360" w:lineRule="auto"/>
        <w:rPr>
          <w:rFonts w:ascii="Arial" w:hAnsi="Arial" w:cs="Arial"/>
          <w:sz w:val="24"/>
          <w:szCs w:val="24"/>
        </w:rPr>
      </w:pPr>
      <w:r w:rsidRPr="00227893">
        <w:rPr>
          <w:rFonts w:ascii="Arial" w:hAnsi="Arial" w:cs="Arial"/>
          <w:sz w:val="24"/>
          <w:szCs w:val="24"/>
        </w:rPr>
        <w:t>However, more recent evidence suggests that these issues have not been resolved. The Casey Review (2023) identified persistent problems within the Metropolitan Police, including discriminatory attitudes, cultural dysfunction, and weak accountability mechanisms. These findings indicate that, despite decades of reform, institutional racism remains embedded within policing structures rather than being effectively dismantled. This persistence reflects what Hall et al. (1978) describe as the reproduction of inequality through state institutions, where systemic patterns of disadvantage are maintained despite formal recognition and reform efforts.</w:t>
      </w:r>
    </w:p>
    <w:p w14:paraId="1BCA05FD" w14:textId="77777777" w:rsidR="00E76ACD" w:rsidRPr="00E76ACD" w:rsidRDefault="00E76ACD" w:rsidP="00E76ACD">
      <w:pPr>
        <w:spacing w:line="360" w:lineRule="auto"/>
        <w:rPr>
          <w:rFonts w:ascii="Arial" w:hAnsi="Arial" w:cs="Arial"/>
          <w:sz w:val="24"/>
          <w:szCs w:val="24"/>
        </w:rPr>
      </w:pPr>
    </w:p>
    <w:p w14:paraId="6789853B" w14:textId="56C30701" w:rsidR="0066666B" w:rsidRPr="00E76ACD" w:rsidRDefault="0066666B" w:rsidP="0066666B">
      <w:pPr>
        <w:pStyle w:val="Heading2"/>
        <w:rPr>
          <w:rFonts w:ascii="Arial" w:hAnsi="Arial" w:cs="Arial"/>
          <w:sz w:val="24"/>
          <w:szCs w:val="24"/>
        </w:rPr>
      </w:pPr>
      <w:bookmarkStart w:id="3" w:name="_Toc227255274"/>
      <w:r w:rsidRPr="00E76ACD">
        <w:rPr>
          <w:rFonts w:ascii="Arial" w:hAnsi="Arial" w:cs="Arial"/>
          <w:sz w:val="24"/>
          <w:szCs w:val="24"/>
        </w:rPr>
        <w:t>Police response analysis</w:t>
      </w:r>
      <w:bookmarkEnd w:id="3"/>
    </w:p>
    <w:p w14:paraId="50922A1A" w14:textId="77777777" w:rsidR="008015CD" w:rsidRDefault="008015CD" w:rsidP="008015CD">
      <w:pPr>
        <w:rPr>
          <w:rFonts w:ascii="Arial" w:hAnsi="Arial" w:cs="Arial"/>
          <w:sz w:val="24"/>
          <w:szCs w:val="24"/>
        </w:rPr>
      </w:pPr>
    </w:p>
    <w:p w14:paraId="6A702EAE" w14:textId="79EF4F4E" w:rsidR="00DD1565" w:rsidRDefault="00DD1565" w:rsidP="00D7087B">
      <w:pPr>
        <w:spacing w:line="360" w:lineRule="auto"/>
        <w:rPr>
          <w:rFonts w:ascii="Arial" w:hAnsi="Arial" w:cs="Arial"/>
          <w:sz w:val="24"/>
          <w:szCs w:val="24"/>
        </w:rPr>
      </w:pPr>
      <w:r w:rsidRPr="00DD1565">
        <w:rPr>
          <w:rFonts w:ascii="Arial" w:hAnsi="Arial" w:cs="Arial"/>
          <w:sz w:val="24"/>
          <w:szCs w:val="24"/>
        </w:rPr>
        <w:t xml:space="preserve">Stop and search remains a key indicator of racial disproportionality. Home Office (2023) data show Black individuals are over </w:t>
      </w:r>
      <w:r w:rsidR="000C76AE">
        <w:rPr>
          <w:rFonts w:ascii="Arial" w:hAnsi="Arial" w:cs="Arial"/>
          <w:sz w:val="24"/>
          <w:szCs w:val="24"/>
        </w:rPr>
        <w:t>4</w:t>
      </w:r>
      <w:r w:rsidRPr="00DD1565">
        <w:rPr>
          <w:rFonts w:ascii="Arial" w:hAnsi="Arial" w:cs="Arial"/>
          <w:sz w:val="24"/>
          <w:szCs w:val="24"/>
        </w:rPr>
        <w:t xml:space="preserve"> times more likely to be stopped and searched than White individuals. This disparity </w:t>
      </w:r>
      <w:r w:rsidR="002F374A">
        <w:rPr>
          <w:rFonts w:ascii="Arial" w:hAnsi="Arial" w:cs="Arial"/>
          <w:sz w:val="24"/>
          <w:szCs w:val="24"/>
        </w:rPr>
        <w:t xml:space="preserve">demonstrates that policing practices actively reproduce structural inequalities </w:t>
      </w:r>
      <w:r w:rsidRPr="00DD1565">
        <w:rPr>
          <w:rFonts w:ascii="Arial" w:hAnsi="Arial" w:cs="Arial"/>
          <w:sz w:val="24"/>
          <w:szCs w:val="24"/>
        </w:rPr>
        <w:t xml:space="preserve">(Bowling and Phillips, 2007; Shiner et al., 2018; Equality and Human Rights Commission, 2010; </w:t>
      </w:r>
      <w:proofErr w:type="spellStart"/>
      <w:r w:rsidRPr="00DD1565">
        <w:rPr>
          <w:rFonts w:ascii="Arial" w:hAnsi="Arial" w:cs="Arial"/>
          <w:sz w:val="24"/>
          <w:szCs w:val="24"/>
        </w:rPr>
        <w:t>StopWatch</w:t>
      </w:r>
      <w:proofErr w:type="spellEnd"/>
      <w:r w:rsidRPr="00DD1565">
        <w:rPr>
          <w:rFonts w:ascii="Arial" w:hAnsi="Arial" w:cs="Arial"/>
          <w:sz w:val="24"/>
          <w:szCs w:val="24"/>
        </w:rPr>
        <w:t xml:space="preserve">, 2018). </w:t>
      </w:r>
      <w:r w:rsidR="00A347FC">
        <w:rPr>
          <w:rFonts w:ascii="Arial" w:hAnsi="Arial" w:cs="Arial"/>
          <w:sz w:val="24"/>
          <w:szCs w:val="24"/>
        </w:rPr>
        <w:t>Some</w:t>
      </w:r>
      <w:r w:rsidRPr="00DD1565">
        <w:rPr>
          <w:rFonts w:ascii="Arial" w:hAnsi="Arial" w:cs="Arial"/>
          <w:sz w:val="24"/>
          <w:szCs w:val="24"/>
        </w:rPr>
        <w:t xml:space="preserve"> argue that such</w:t>
      </w:r>
      <w:r w:rsidR="007E72B7">
        <w:rPr>
          <w:rFonts w:ascii="Arial" w:hAnsi="Arial" w:cs="Arial"/>
          <w:sz w:val="24"/>
          <w:szCs w:val="24"/>
        </w:rPr>
        <w:t xml:space="preserve"> </w:t>
      </w:r>
      <w:r w:rsidRPr="00DD1565">
        <w:rPr>
          <w:rFonts w:ascii="Arial" w:hAnsi="Arial" w:cs="Arial"/>
          <w:sz w:val="24"/>
          <w:szCs w:val="24"/>
        </w:rPr>
        <w:t>disproportionality reflects differential patterns of offending rather than systemic bias, with stop and search deployed in response to intelligence-led policing (Waddington et al., 2004). Yet this perspective is limited, as it fails to account for how policing strategies shape crime statistics through the disproportionate targeting of specific communities (Bowling and Phillips, 2007).</w:t>
      </w:r>
    </w:p>
    <w:p w14:paraId="193A08E4" w14:textId="3E7E0BCB" w:rsidR="00997E42" w:rsidRDefault="00997E42" w:rsidP="00D7087B">
      <w:pPr>
        <w:spacing w:line="360" w:lineRule="auto"/>
        <w:rPr>
          <w:rFonts w:ascii="Arial" w:hAnsi="Arial" w:cs="Arial"/>
          <w:sz w:val="24"/>
          <w:szCs w:val="24"/>
        </w:rPr>
      </w:pPr>
      <w:r w:rsidRPr="00997E42">
        <w:rPr>
          <w:rFonts w:ascii="Arial" w:hAnsi="Arial" w:cs="Arial"/>
          <w:sz w:val="24"/>
          <w:szCs w:val="24"/>
        </w:rPr>
        <w:t xml:space="preserve">Labelling theory provides a framework for understanding these patterns. Becker (1963) argues that deviance is socially constructed, with certain groups more likely to be labelled as deviant. Within policing, this is reflected in the disproportionate targeting of minority ethnic groups, who are constructed as “suspect populations” (Hall et al., 1978; Gilroy, 1987). These labels are reinforced through repeated police </w:t>
      </w:r>
      <w:r w:rsidRPr="00997E42">
        <w:rPr>
          <w:rFonts w:ascii="Arial" w:hAnsi="Arial" w:cs="Arial"/>
          <w:sz w:val="24"/>
          <w:szCs w:val="24"/>
        </w:rPr>
        <w:lastRenderedPageBreak/>
        <w:t xml:space="preserve">interactions, contributing to a cycle in which heightened surveillance increases the likelihood of criminalisation (Ministry of Justice, 2022; Phillips and Bowling, 2017). Policing, therefore, </w:t>
      </w:r>
      <w:r w:rsidR="00AA0AE7">
        <w:rPr>
          <w:rFonts w:ascii="Arial" w:hAnsi="Arial" w:cs="Arial"/>
          <w:sz w:val="24"/>
          <w:szCs w:val="24"/>
        </w:rPr>
        <w:t xml:space="preserve">functions as a mechanism for producing and reproducing deviance </w:t>
      </w:r>
      <w:r w:rsidRPr="00997E42">
        <w:rPr>
          <w:rFonts w:ascii="Arial" w:hAnsi="Arial" w:cs="Arial"/>
          <w:sz w:val="24"/>
          <w:szCs w:val="24"/>
        </w:rPr>
        <w:t>through institutional practices.</w:t>
      </w:r>
    </w:p>
    <w:p w14:paraId="716777FB" w14:textId="674E4EC5" w:rsidR="000D5059" w:rsidRPr="000D5059" w:rsidRDefault="000D5059" w:rsidP="000D5059">
      <w:pPr>
        <w:spacing w:line="360" w:lineRule="auto"/>
        <w:rPr>
          <w:rFonts w:ascii="Arial" w:hAnsi="Arial" w:cs="Arial"/>
          <w:sz w:val="24"/>
          <w:szCs w:val="24"/>
        </w:rPr>
      </w:pPr>
      <w:r w:rsidRPr="000D5059">
        <w:rPr>
          <w:rFonts w:ascii="Arial" w:hAnsi="Arial" w:cs="Arial"/>
          <w:sz w:val="24"/>
          <w:szCs w:val="24"/>
        </w:rPr>
        <w:t xml:space="preserve">Furthermore, empirical evidence suggests that stop and search has limited effectiveness as a crime deterrent. </w:t>
      </w:r>
      <w:proofErr w:type="spellStart"/>
      <w:r w:rsidRPr="000D5059">
        <w:rPr>
          <w:rFonts w:ascii="Arial" w:hAnsi="Arial" w:cs="Arial"/>
          <w:sz w:val="24"/>
          <w:szCs w:val="24"/>
        </w:rPr>
        <w:t>Tiratelli</w:t>
      </w:r>
      <w:proofErr w:type="spellEnd"/>
      <w:r w:rsidRPr="000D5059">
        <w:rPr>
          <w:rFonts w:ascii="Arial" w:hAnsi="Arial" w:cs="Arial"/>
          <w:sz w:val="24"/>
          <w:szCs w:val="24"/>
        </w:rPr>
        <w:t>, Quinton and Bradford (2018) found little evidence that increased stop and search activity leads to</w:t>
      </w:r>
      <w:r w:rsidR="00DA4B10">
        <w:rPr>
          <w:rFonts w:ascii="Arial" w:hAnsi="Arial" w:cs="Arial"/>
          <w:sz w:val="24"/>
          <w:szCs w:val="24"/>
        </w:rPr>
        <w:t xml:space="preserve"> </w:t>
      </w:r>
      <w:r w:rsidRPr="000D5059">
        <w:rPr>
          <w:rFonts w:ascii="Arial" w:hAnsi="Arial" w:cs="Arial"/>
          <w:sz w:val="24"/>
          <w:szCs w:val="24"/>
        </w:rPr>
        <w:t xml:space="preserve">reductions in crime, raising questions about its continued use. This undermines the justification for its application and suggests that such practices prioritise visibility and control over measurable outcomes (Garland, 2001). From a Foucauldian perspective, these practices </w:t>
      </w:r>
      <w:r w:rsidR="00304AC1">
        <w:rPr>
          <w:rFonts w:ascii="Arial" w:hAnsi="Arial" w:cs="Arial"/>
          <w:sz w:val="24"/>
          <w:szCs w:val="24"/>
        </w:rPr>
        <w:t xml:space="preserve">operate as forms of disciplinary power </w:t>
      </w:r>
      <w:r w:rsidRPr="000D5059">
        <w:rPr>
          <w:rFonts w:ascii="Arial" w:hAnsi="Arial" w:cs="Arial"/>
          <w:sz w:val="24"/>
          <w:szCs w:val="24"/>
        </w:rPr>
        <w:t>over marginalised groups (Foucault, 1977). Stop and search</w:t>
      </w:r>
      <w:r w:rsidR="007F7F2F">
        <w:rPr>
          <w:rFonts w:ascii="Arial" w:hAnsi="Arial" w:cs="Arial"/>
          <w:sz w:val="24"/>
          <w:szCs w:val="24"/>
        </w:rPr>
        <w:t>,</w:t>
      </w:r>
      <w:r w:rsidRPr="000D5059">
        <w:rPr>
          <w:rFonts w:ascii="Arial" w:hAnsi="Arial" w:cs="Arial"/>
          <w:sz w:val="24"/>
          <w:szCs w:val="24"/>
        </w:rPr>
        <w:t xml:space="preserve"> therefore</w:t>
      </w:r>
      <w:r w:rsidR="007F7F2F">
        <w:rPr>
          <w:rFonts w:ascii="Arial" w:hAnsi="Arial" w:cs="Arial"/>
          <w:sz w:val="24"/>
          <w:szCs w:val="24"/>
        </w:rPr>
        <w:t>,</w:t>
      </w:r>
      <w:r w:rsidRPr="000D5059">
        <w:rPr>
          <w:rFonts w:ascii="Arial" w:hAnsi="Arial" w:cs="Arial"/>
          <w:sz w:val="24"/>
          <w:szCs w:val="24"/>
        </w:rPr>
        <w:t xml:space="preserve"> functions less as a crime prevention tool and more as a mechanism of social regulation that reinforces existing power relations.</w:t>
      </w:r>
    </w:p>
    <w:p w14:paraId="0161FF90" w14:textId="2972C415" w:rsidR="008D0BFE" w:rsidRPr="008D0BFE" w:rsidRDefault="008D0BFE" w:rsidP="008D0BFE">
      <w:pPr>
        <w:spacing w:line="360" w:lineRule="auto"/>
        <w:rPr>
          <w:rFonts w:ascii="Arial" w:hAnsi="Arial" w:cs="Arial"/>
          <w:sz w:val="24"/>
          <w:szCs w:val="24"/>
        </w:rPr>
      </w:pPr>
    </w:p>
    <w:p w14:paraId="008EEE87" w14:textId="38ADA7C9" w:rsidR="005678B7" w:rsidRPr="00E76ACD" w:rsidRDefault="005678B7" w:rsidP="00C73FBC">
      <w:pPr>
        <w:pStyle w:val="Heading2"/>
        <w:rPr>
          <w:rFonts w:ascii="Arial" w:hAnsi="Arial" w:cs="Arial"/>
          <w:sz w:val="24"/>
          <w:szCs w:val="24"/>
        </w:rPr>
      </w:pPr>
      <w:bookmarkStart w:id="4" w:name="_Toc227255275"/>
      <w:r w:rsidRPr="00E76ACD">
        <w:rPr>
          <w:rFonts w:ascii="Arial" w:hAnsi="Arial" w:cs="Arial"/>
          <w:sz w:val="24"/>
          <w:szCs w:val="24"/>
        </w:rPr>
        <w:t>Institutional Racism and Police Culture</w:t>
      </w:r>
      <w:bookmarkEnd w:id="4"/>
    </w:p>
    <w:p w14:paraId="62BC3E74" w14:textId="77777777" w:rsidR="00EC7252" w:rsidRDefault="00EC7252" w:rsidP="00D7087B">
      <w:pPr>
        <w:spacing w:line="360" w:lineRule="auto"/>
        <w:rPr>
          <w:rFonts w:ascii="Arial" w:hAnsi="Arial" w:cs="Arial"/>
          <w:sz w:val="24"/>
          <w:szCs w:val="24"/>
        </w:rPr>
      </w:pPr>
    </w:p>
    <w:p w14:paraId="7FC87638" w14:textId="54690F07" w:rsidR="00083FD9" w:rsidRPr="00083FD9" w:rsidRDefault="00EC7252" w:rsidP="00D7087B">
      <w:pPr>
        <w:spacing w:line="360" w:lineRule="auto"/>
        <w:rPr>
          <w:rFonts w:ascii="Arial" w:hAnsi="Arial" w:cs="Arial"/>
          <w:sz w:val="24"/>
          <w:szCs w:val="24"/>
        </w:rPr>
      </w:pPr>
      <w:r w:rsidRPr="00EC7252">
        <w:rPr>
          <w:rFonts w:ascii="Arial" w:hAnsi="Arial" w:cs="Arial"/>
          <w:sz w:val="24"/>
          <w:szCs w:val="24"/>
        </w:rPr>
        <w:t>Institutional racism remains embedded within policing structures despite its recognition in the Macpherson Report (1999)</w:t>
      </w:r>
      <w:r w:rsidR="00DA4B10">
        <w:rPr>
          <w:rFonts w:ascii="Arial" w:hAnsi="Arial" w:cs="Arial"/>
          <w:sz w:val="24"/>
          <w:szCs w:val="24"/>
        </w:rPr>
        <w:t xml:space="preserve"> and t</w:t>
      </w:r>
      <w:r w:rsidRPr="00EC7252">
        <w:rPr>
          <w:rFonts w:ascii="Arial" w:hAnsi="Arial" w:cs="Arial"/>
          <w:sz w:val="24"/>
          <w:szCs w:val="24"/>
        </w:rPr>
        <w:t>he Casey Review (2023)</w:t>
      </w:r>
      <w:r w:rsidR="00DA4B10">
        <w:rPr>
          <w:rFonts w:ascii="Arial" w:hAnsi="Arial" w:cs="Arial"/>
          <w:sz w:val="24"/>
          <w:szCs w:val="24"/>
        </w:rPr>
        <w:t>.</w:t>
      </w:r>
    </w:p>
    <w:p w14:paraId="486C41F2" w14:textId="38C5502E" w:rsidR="00083FD9" w:rsidRPr="00083FD9" w:rsidRDefault="00083FD9" w:rsidP="00D7087B">
      <w:pPr>
        <w:spacing w:line="360" w:lineRule="auto"/>
        <w:rPr>
          <w:rFonts w:ascii="Arial" w:hAnsi="Arial" w:cs="Arial"/>
          <w:sz w:val="24"/>
          <w:szCs w:val="24"/>
        </w:rPr>
      </w:pPr>
      <w:r w:rsidRPr="00083FD9">
        <w:rPr>
          <w:rFonts w:ascii="Arial" w:hAnsi="Arial" w:cs="Arial"/>
          <w:sz w:val="24"/>
          <w:szCs w:val="24"/>
        </w:rPr>
        <w:t xml:space="preserve">Police culture has been widely identified as a barrier to reform. Chan (1997) argues that policing operates within embedded cultural norms that are resistant to change, while Loftus (2009) suggests that reforms often fail to penetrate these underlying values. Reiner (2010) argues that policing reflects dominant social values, </w:t>
      </w:r>
      <w:r>
        <w:rPr>
          <w:rFonts w:ascii="Arial" w:hAnsi="Arial" w:cs="Arial"/>
          <w:sz w:val="24"/>
          <w:szCs w:val="24"/>
        </w:rPr>
        <w:t xml:space="preserve">thereby reproducing broader societal inequalities </w:t>
      </w:r>
      <w:r w:rsidRPr="00083FD9">
        <w:rPr>
          <w:rFonts w:ascii="Arial" w:hAnsi="Arial" w:cs="Arial"/>
          <w:sz w:val="24"/>
          <w:szCs w:val="24"/>
        </w:rPr>
        <w:t>within law enforcement practices. As a result, reforms that focus primarily on policy and procedure are unlikely to produce change without addressing the cultural dynamics that shape everyday policing behaviour.</w:t>
      </w:r>
    </w:p>
    <w:p w14:paraId="7C2AC7A3" w14:textId="2CEB7A3A" w:rsidR="00083FD9" w:rsidRPr="00083FD9" w:rsidRDefault="00784E69" w:rsidP="00D7087B">
      <w:pPr>
        <w:spacing w:line="360" w:lineRule="auto"/>
        <w:rPr>
          <w:rFonts w:ascii="Arial" w:hAnsi="Arial" w:cs="Arial"/>
          <w:sz w:val="24"/>
          <w:szCs w:val="24"/>
        </w:rPr>
      </w:pPr>
      <w:r w:rsidRPr="00784E69">
        <w:rPr>
          <w:rFonts w:ascii="Arial" w:hAnsi="Arial" w:cs="Arial"/>
          <w:sz w:val="24"/>
          <w:szCs w:val="24"/>
        </w:rPr>
        <w:t>Policing practices have historically involved disproportionate surveillance of minority communities, contributing to patterns of over-policing and marginalisation (Bowling, Parmar and Phillips, 2008; Gilroy, 1987)</w:t>
      </w:r>
      <w:r>
        <w:rPr>
          <w:rFonts w:ascii="Arial" w:hAnsi="Arial" w:cs="Arial"/>
          <w:sz w:val="24"/>
          <w:szCs w:val="24"/>
        </w:rPr>
        <w:t xml:space="preserve">. </w:t>
      </w:r>
      <w:r w:rsidR="00083FD9" w:rsidRPr="00083FD9">
        <w:rPr>
          <w:rFonts w:ascii="Arial" w:hAnsi="Arial" w:cs="Arial"/>
          <w:sz w:val="24"/>
          <w:szCs w:val="24"/>
        </w:rPr>
        <w:t xml:space="preserve">As Phillips and Bowling (2017) argue, such </w:t>
      </w:r>
      <w:r w:rsidR="00083FD9" w:rsidRPr="00083FD9">
        <w:rPr>
          <w:rFonts w:ascii="Arial" w:hAnsi="Arial" w:cs="Arial"/>
          <w:sz w:val="24"/>
          <w:szCs w:val="24"/>
        </w:rPr>
        <w:lastRenderedPageBreak/>
        <w:t>practices contribute to the construction of minority groups as inherently suspicious, further entrenching cycles of surveillance and criminalisation.</w:t>
      </w:r>
    </w:p>
    <w:p w14:paraId="118FD0C2" w14:textId="56B363B7" w:rsidR="00083FD9" w:rsidRPr="00083FD9" w:rsidRDefault="00083FD9" w:rsidP="00D7087B">
      <w:pPr>
        <w:spacing w:line="360" w:lineRule="auto"/>
        <w:rPr>
          <w:rFonts w:ascii="Arial" w:hAnsi="Arial" w:cs="Arial"/>
          <w:sz w:val="24"/>
          <w:szCs w:val="24"/>
        </w:rPr>
      </w:pPr>
      <w:r w:rsidRPr="00083FD9">
        <w:rPr>
          <w:rFonts w:ascii="Arial" w:hAnsi="Arial" w:cs="Arial"/>
          <w:sz w:val="24"/>
          <w:szCs w:val="24"/>
        </w:rPr>
        <w:t xml:space="preserve">Critical race theory </w:t>
      </w:r>
      <w:r w:rsidR="005B3ACE">
        <w:rPr>
          <w:rFonts w:ascii="Arial" w:hAnsi="Arial" w:cs="Arial"/>
          <w:sz w:val="24"/>
          <w:szCs w:val="24"/>
        </w:rPr>
        <w:t xml:space="preserve">argues </w:t>
      </w:r>
      <w:r w:rsidR="00A178D5">
        <w:rPr>
          <w:rFonts w:ascii="Arial" w:hAnsi="Arial" w:cs="Arial"/>
          <w:sz w:val="24"/>
          <w:szCs w:val="24"/>
        </w:rPr>
        <w:t xml:space="preserve">that </w:t>
      </w:r>
      <w:r w:rsidR="005B3ACE">
        <w:rPr>
          <w:rFonts w:ascii="Arial" w:hAnsi="Arial" w:cs="Arial"/>
          <w:sz w:val="24"/>
          <w:szCs w:val="24"/>
        </w:rPr>
        <w:t>racism is structurally embedded</w:t>
      </w:r>
      <w:r w:rsidR="00A178D5">
        <w:rPr>
          <w:rFonts w:ascii="Arial" w:hAnsi="Arial" w:cs="Arial"/>
          <w:sz w:val="24"/>
          <w:szCs w:val="24"/>
        </w:rPr>
        <w:t>.</w:t>
      </w:r>
      <w:r w:rsidRPr="00083FD9">
        <w:rPr>
          <w:rFonts w:ascii="Arial" w:hAnsi="Arial" w:cs="Arial"/>
          <w:sz w:val="24"/>
          <w:szCs w:val="24"/>
        </w:rPr>
        <w:t xml:space="preserve"> Delgado and Stefancic (2017) argue that racism is embedded within legal and institutional frameworks, rather than being limited to individual prejudice. From this perspective, policing practices operate as mechanisms through which racial hierarchies are maintained. This challenges the assumption that reforms focused on individual behaviour or procedural fairness are sufficient, instead highlighting the need for deeper structural transformation.</w:t>
      </w:r>
    </w:p>
    <w:p w14:paraId="63A2359F" w14:textId="429F130C" w:rsidR="003256EB" w:rsidRDefault="00083FD9" w:rsidP="00E76ACD">
      <w:pPr>
        <w:spacing w:line="360" w:lineRule="auto"/>
        <w:rPr>
          <w:rFonts w:ascii="Arial" w:hAnsi="Arial" w:cs="Arial"/>
          <w:sz w:val="24"/>
          <w:szCs w:val="24"/>
        </w:rPr>
      </w:pPr>
      <w:r w:rsidRPr="00083FD9">
        <w:rPr>
          <w:rFonts w:ascii="Arial" w:hAnsi="Arial" w:cs="Arial"/>
          <w:sz w:val="24"/>
          <w:szCs w:val="24"/>
        </w:rPr>
        <w:t>Furthermore, the concept of “over-policing and under-protection” highlights the uneven distribution of policing across different communities. Minority groups may experience heightened surveillance while simultaneously receiving inadequate protection as victims of crime (Bowling, Parmar and Phillips, 2008). This dual dynamic reinforces perceptions of injustice and undermines trust in policing. Institutional racism</w:t>
      </w:r>
      <w:r w:rsidR="002528FF">
        <w:rPr>
          <w:rFonts w:ascii="Arial" w:hAnsi="Arial" w:cs="Arial"/>
          <w:sz w:val="24"/>
          <w:szCs w:val="24"/>
        </w:rPr>
        <w:t>,</w:t>
      </w:r>
      <w:r w:rsidRPr="00083FD9">
        <w:rPr>
          <w:rFonts w:ascii="Arial" w:hAnsi="Arial" w:cs="Arial"/>
          <w:sz w:val="24"/>
          <w:szCs w:val="24"/>
        </w:rPr>
        <w:t xml:space="preserve"> therefore</w:t>
      </w:r>
      <w:r w:rsidR="002528FF">
        <w:rPr>
          <w:rFonts w:ascii="Arial" w:hAnsi="Arial" w:cs="Arial"/>
          <w:sz w:val="24"/>
          <w:szCs w:val="24"/>
        </w:rPr>
        <w:t>,</w:t>
      </w:r>
      <w:r w:rsidRPr="00083FD9">
        <w:rPr>
          <w:rFonts w:ascii="Arial" w:hAnsi="Arial" w:cs="Arial"/>
          <w:sz w:val="24"/>
          <w:szCs w:val="24"/>
        </w:rPr>
        <w:t xml:space="preserve"> emerges not as a product of individual bias but as a systemic feature embedded within both policing practices and wider social structures.</w:t>
      </w:r>
    </w:p>
    <w:p w14:paraId="080647EE" w14:textId="77777777" w:rsidR="00E76ACD" w:rsidRPr="00E76ACD" w:rsidRDefault="00E76ACD" w:rsidP="00E76ACD">
      <w:pPr>
        <w:spacing w:line="360" w:lineRule="auto"/>
        <w:rPr>
          <w:rFonts w:ascii="Arial" w:hAnsi="Arial" w:cs="Arial"/>
          <w:sz w:val="24"/>
          <w:szCs w:val="24"/>
        </w:rPr>
      </w:pPr>
    </w:p>
    <w:p w14:paraId="67C5D24A" w14:textId="3585A89C" w:rsidR="005678B7" w:rsidRPr="00E76ACD" w:rsidRDefault="005678B7" w:rsidP="00C73FBC">
      <w:pPr>
        <w:pStyle w:val="Heading2"/>
        <w:rPr>
          <w:rFonts w:ascii="Arial" w:hAnsi="Arial" w:cs="Arial"/>
          <w:sz w:val="24"/>
          <w:szCs w:val="24"/>
        </w:rPr>
      </w:pPr>
      <w:bookmarkStart w:id="5" w:name="_Toc227255276"/>
      <w:r w:rsidRPr="00E76ACD">
        <w:rPr>
          <w:rFonts w:ascii="Arial" w:hAnsi="Arial" w:cs="Arial"/>
          <w:sz w:val="24"/>
          <w:szCs w:val="24"/>
        </w:rPr>
        <w:t>Reform and Policy Change</w:t>
      </w:r>
      <w:bookmarkEnd w:id="5"/>
    </w:p>
    <w:p w14:paraId="51F11B4F" w14:textId="77777777" w:rsidR="00A36B48" w:rsidRDefault="00A36B48" w:rsidP="00A36B48">
      <w:pPr>
        <w:rPr>
          <w:rFonts w:ascii="Arial" w:hAnsi="Arial" w:cs="Arial"/>
          <w:sz w:val="24"/>
          <w:szCs w:val="24"/>
        </w:rPr>
      </w:pPr>
    </w:p>
    <w:p w14:paraId="3EA4523F" w14:textId="04BD3E05" w:rsidR="00670B4D" w:rsidRDefault="00026379" w:rsidP="00D7087B">
      <w:pPr>
        <w:spacing w:line="360" w:lineRule="auto"/>
        <w:rPr>
          <w:rFonts w:ascii="Arial" w:hAnsi="Arial" w:cs="Arial"/>
          <w:sz w:val="24"/>
          <w:szCs w:val="24"/>
        </w:rPr>
      </w:pPr>
      <w:r w:rsidRPr="00026379">
        <w:rPr>
          <w:rFonts w:ascii="Arial" w:hAnsi="Arial" w:cs="Arial"/>
          <w:sz w:val="24"/>
          <w:szCs w:val="24"/>
        </w:rPr>
        <w:t xml:space="preserve">Reforms such as the Macpherson Report (1999) and the Lammy Review (2017) were introduced to address racial inequality within the criminal justice system through accountability, policy development, and monitoring mechanisms. </w:t>
      </w:r>
      <w:r w:rsidR="000A12E0" w:rsidRPr="000A12E0">
        <w:rPr>
          <w:rFonts w:ascii="Arial" w:hAnsi="Arial" w:cs="Arial"/>
          <w:sz w:val="24"/>
          <w:szCs w:val="24"/>
        </w:rPr>
        <w:t xml:space="preserve">While these initiatives have raised awareness </w:t>
      </w:r>
      <w:r w:rsidR="00023279">
        <w:rPr>
          <w:rFonts w:ascii="Arial" w:hAnsi="Arial" w:cs="Arial"/>
          <w:sz w:val="24"/>
          <w:szCs w:val="24"/>
        </w:rPr>
        <w:t>and improved</w:t>
      </w:r>
      <w:r w:rsidR="00AE0D5F">
        <w:rPr>
          <w:rFonts w:ascii="Arial" w:hAnsi="Arial" w:cs="Arial"/>
          <w:sz w:val="24"/>
          <w:szCs w:val="24"/>
        </w:rPr>
        <w:t xml:space="preserve"> transparency</w:t>
      </w:r>
      <w:r w:rsidR="000A12E0" w:rsidRPr="000A12E0">
        <w:rPr>
          <w:rFonts w:ascii="Arial" w:hAnsi="Arial" w:cs="Arial"/>
          <w:sz w:val="24"/>
          <w:szCs w:val="24"/>
        </w:rPr>
        <w:t>, their impact has been symbolic rather than transformative, reflecting what Garland (2001) describes as a ‘culture of control’, in which reforms function to maintain institutional legitimacy rather than produce substantive change.</w:t>
      </w:r>
    </w:p>
    <w:p w14:paraId="536D0D2F" w14:textId="21B1015A" w:rsidR="00D328F2" w:rsidRDefault="00D328F2" w:rsidP="00D7087B">
      <w:pPr>
        <w:spacing w:line="360" w:lineRule="auto"/>
        <w:rPr>
          <w:rFonts w:ascii="Arial" w:hAnsi="Arial" w:cs="Arial"/>
          <w:sz w:val="24"/>
          <w:szCs w:val="24"/>
        </w:rPr>
      </w:pPr>
      <w:r w:rsidRPr="00D328F2">
        <w:rPr>
          <w:rFonts w:ascii="Arial" w:hAnsi="Arial" w:cs="Arial"/>
          <w:sz w:val="24"/>
          <w:szCs w:val="24"/>
        </w:rPr>
        <w:t xml:space="preserve">Despite decades of reform, racial disparities persist across key areas of the criminal justice system. Black individuals remain over seven times more likely to be stopped and searched, approximately three times more likely to be arrested, and over four times more likely to be imprisoned compared to White individuals (Home Office, </w:t>
      </w:r>
      <w:r w:rsidRPr="00D328F2">
        <w:rPr>
          <w:rFonts w:ascii="Arial" w:hAnsi="Arial" w:cs="Arial"/>
          <w:sz w:val="24"/>
          <w:szCs w:val="24"/>
        </w:rPr>
        <w:lastRenderedPageBreak/>
        <w:t>2023; Ministry of Justice, 2022). This continuity demonstrates that reform ha</w:t>
      </w:r>
      <w:r w:rsidR="00E80AB5">
        <w:rPr>
          <w:rFonts w:ascii="Arial" w:hAnsi="Arial" w:cs="Arial"/>
          <w:sz w:val="24"/>
          <w:szCs w:val="24"/>
        </w:rPr>
        <w:t>s</w:t>
      </w:r>
      <w:r w:rsidRPr="00D328F2">
        <w:rPr>
          <w:rFonts w:ascii="Arial" w:hAnsi="Arial" w:cs="Arial"/>
          <w:sz w:val="24"/>
          <w:szCs w:val="24"/>
        </w:rPr>
        <w:t xml:space="preserve"> failed </w:t>
      </w:r>
      <w:r w:rsidR="00364B07">
        <w:rPr>
          <w:rFonts w:ascii="Arial" w:hAnsi="Arial" w:cs="Arial"/>
          <w:sz w:val="24"/>
          <w:szCs w:val="24"/>
        </w:rPr>
        <w:t>at the level of structural design</w:t>
      </w:r>
      <w:r w:rsidR="00F26EC4">
        <w:rPr>
          <w:rFonts w:ascii="Arial" w:hAnsi="Arial" w:cs="Arial"/>
          <w:sz w:val="24"/>
          <w:szCs w:val="24"/>
        </w:rPr>
        <w:t>,</w:t>
      </w:r>
      <w:r w:rsidR="00364B07">
        <w:rPr>
          <w:rFonts w:ascii="Arial" w:hAnsi="Arial" w:cs="Arial"/>
          <w:sz w:val="24"/>
          <w:szCs w:val="24"/>
        </w:rPr>
        <w:t xml:space="preserve"> </w:t>
      </w:r>
      <w:r w:rsidR="00F26EC4">
        <w:rPr>
          <w:rFonts w:ascii="Arial" w:hAnsi="Arial" w:cs="Arial"/>
          <w:sz w:val="24"/>
          <w:szCs w:val="24"/>
        </w:rPr>
        <w:t>which</w:t>
      </w:r>
      <w:r w:rsidRPr="00D328F2">
        <w:rPr>
          <w:rFonts w:ascii="Arial" w:hAnsi="Arial" w:cs="Arial"/>
          <w:sz w:val="24"/>
          <w:szCs w:val="24"/>
        </w:rPr>
        <w:t xml:space="preserve"> </w:t>
      </w:r>
      <w:r w:rsidR="00F26EC4">
        <w:rPr>
          <w:rFonts w:ascii="Arial" w:hAnsi="Arial" w:cs="Arial"/>
          <w:sz w:val="24"/>
          <w:szCs w:val="24"/>
        </w:rPr>
        <w:t>sustains</w:t>
      </w:r>
      <w:r w:rsidRPr="00D328F2">
        <w:rPr>
          <w:rFonts w:ascii="Arial" w:hAnsi="Arial" w:cs="Arial"/>
          <w:sz w:val="24"/>
          <w:szCs w:val="24"/>
        </w:rPr>
        <w:t xml:space="preserve"> inequality, instead functioning to normalise and legitimise existing disparities</w:t>
      </w:r>
      <w:r w:rsidR="00C749BD">
        <w:rPr>
          <w:rFonts w:ascii="Arial" w:hAnsi="Arial" w:cs="Arial"/>
          <w:sz w:val="24"/>
          <w:szCs w:val="24"/>
        </w:rPr>
        <w:t xml:space="preserve"> </w:t>
      </w:r>
      <w:r w:rsidR="00C749BD" w:rsidRPr="00C749BD">
        <w:rPr>
          <w:rFonts w:ascii="Arial" w:hAnsi="Arial" w:cs="Arial"/>
          <w:sz w:val="24"/>
          <w:szCs w:val="24"/>
        </w:rPr>
        <w:t>(Garland, 2001; Lammy, 2017)</w:t>
      </w:r>
      <w:r w:rsidR="00C749BD">
        <w:rPr>
          <w:rFonts w:ascii="Arial" w:hAnsi="Arial" w:cs="Arial"/>
          <w:sz w:val="24"/>
          <w:szCs w:val="24"/>
        </w:rPr>
        <w:t>.</w:t>
      </w:r>
    </w:p>
    <w:p w14:paraId="68145685" w14:textId="77777777" w:rsidR="003A3B9C" w:rsidRDefault="003A3B9C" w:rsidP="00D7087B">
      <w:pPr>
        <w:spacing w:line="360" w:lineRule="auto"/>
      </w:pPr>
      <w:r w:rsidRPr="003A3B9C">
        <w:rPr>
          <w:rFonts w:ascii="Arial" w:hAnsi="Arial" w:cs="Arial"/>
          <w:sz w:val="24"/>
          <w:szCs w:val="24"/>
        </w:rPr>
        <w:t>Furthermore, tensions remain between efforts to increase protection and the expansion of state control. Policies relating to hate crime and monitoring frameworks, while intended to address discrimination, may simultaneously extend mechanisms of surveillance and social control (College of Policing, 2020; Giddens, 2001). This reflects a broader contradiction within criminal justice reform, where initiatives aimed at reducing inequality can inadvertently reinforce the very structures of control that contribute to it.</w:t>
      </w:r>
      <w:r w:rsidRPr="003A3B9C">
        <w:t xml:space="preserve"> </w:t>
      </w:r>
    </w:p>
    <w:p w14:paraId="72C35788" w14:textId="30FF763E" w:rsidR="003256EB" w:rsidRDefault="003A3B9C" w:rsidP="00E76ACD">
      <w:pPr>
        <w:spacing w:line="360" w:lineRule="auto"/>
        <w:rPr>
          <w:rFonts w:ascii="Arial" w:hAnsi="Arial" w:cs="Arial"/>
          <w:sz w:val="24"/>
          <w:szCs w:val="24"/>
        </w:rPr>
      </w:pPr>
      <w:r w:rsidRPr="003A3B9C">
        <w:rPr>
          <w:rFonts w:ascii="Arial" w:hAnsi="Arial" w:cs="Arial"/>
          <w:sz w:val="24"/>
          <w:szCs w:val="24"/>
        </w:rPr>
        <w:t>While they have improved the visibility and recognition of racial inequality, they have not fundamentally altered the institutional and structural conditions that produce it. As a result, reform operates less as a mechanism of change and more as a strategy of institutional preservation, maintaining legitimacy while leaving underlying power relations intact.</w:t>
      </w:r>
    </w:p>
    <w:p w14:paraId="56EAAA12" w14:textId="77777777" w:rsidR="00E76ACD" w:rsidRPr="00E76ACD" w:rsidRDefault="00E76ACD" w:rsidP="00E76ACD">
      <w:pPr>
        <w:spacing w:line="360" w:lineRule="auto"/>
        <w:rPr>
          <w:rFonts w:ascii="Arial" w:hAnsi="Arial" w:cs="Arial"/>
          <w:sz w:val="24"/>
          <w:szCs w:val="24"/>
        </w:rPr>
      </w:pPr>
    </w:p>
    <w:p w14:paraId="6DBBD6BB" w14:textId="60F00381" w:rsidR="005678B7" w:rsidRPr="00E76ACD" w:rsidRDefault="005678B7" w:rsidP="00C73FBC">
      <w:pPr>
        <w:pStyle w:val="Heading2"/>
        <w:rPr>
          <w:rFonts w:ascii="Arial" w:hAnsi="Arial" w:cs="Arial"/>
          <w:sz w:val="24"/>
          <w:szCs w:val="24"/>
        </w:rPr>
      </w:pPr>
      <w:bookmarkStart w:id="6" w:name="_Toc227255277"/>
      <w:r w:rsidRPr="00E76ACD">
        <w:rPr>
          <w:rFonts w:ascii="Arial" w:hAnsi="Arial" w:cs="Arial"/>
          <w:sz w:val="24"/>
          <w:szCs w:val="24"/>
        </w:rPr>
        <w:t>Trust, Legitimacy and Community Impact</w:t>
      </w:r>
      <w:bookmarkEnd w:id="6"/>
    </w:p>
    <w:p w14:paraId="7AFBB83E" w14:textId="77777777" w:rsidR="00003552" w:rsidRDefault="00003552" w:rsidP="00003552">
      <w:pPr>
        <w:rPr>
          <w:rFonts w:ascii="Arial" w:hAnsi="Arial" w:cs="Arial"/>
          <w:sz w:val="24"/>
          <w:szCs w:val="24"/>
        </w:rPr>
      </w:pPr>
    </w:p>
    <w:p w14:paraId="4A4F7580" w14:textId="75F860DF" w:rsidR="00003552" w:rsidRPr="00003552" w:rsidRDefault="00003552" w:rsidP="00D7087B">
      <w:pPr>
        <w:spacing w:line="360" w:lineRule="auto"/>
        <w:rPr>
          <w:rFonts w:ascii="Arial" w:hAnsi="Arial" w:cs="Arial"/>
          <w:sz w:val="24"/>
          <w:szCs w:val="24"/>
        </w:rPr>
      </w:pPr>
      <w:r w:rsidRPr="00003552">
        <w:rPr>
          <w:rFonts w:ascii="Arial" w:hAnsi="Arial" w:cs="Arial"/>
          <w:sz w:val="24"/>
          <w:szCs w:val="24"/>
        </w:rPr>
        <w:t>The impact of policing practices on minority communities</w:t>
      </w:r>
      <w:r w:rsidR="008C0102">
        <w:rPr>
          <w:rFonts w:ascii="Arial" w:hAnsi="Arial" w:cs="Arial"/>
          <w:sz w:val="24"/>
          <w:szCs w:val="24"/>
        </w:rPr>
        <w:t xml:space="preserve"> is significant</w:t>
      </w:r>
      <w:r w:rsidRPr="00003552">
        <w:rPr>
          <w:rFonts w:ascii="Arial" w:hAnsi="Arial" w:cs="Arial"/>
          <w:sz w:val="24"/>
          <w:szCs w:val="24"/>
        </w:rPr>
        <w:t>, particularly in relation to trust and legitimacy. Procedural justice theory emphasises that perceptions of fairness and respect are central to public confidence in policing (Tyler, 2006; Jackson et al., 2012). However, disproportionate policing practices undermine these principles, particularly among minority groups who are more likely to experience repeated and intrusive police contact.</w:t>
      </w:r>
    </w:p>
    <w:p w14:paraId="655B9121" w14:textId="77777777" w:rsidR="00003552" w:rsidRPr="00003552" w:rsidRDefault="00003552" w:rsidP="00D7087B">
      <w:pPr>
        <w:spacing w:line="360" w:lineRule="auto"/>
        <w:rPr>
          <w:rFonts w:ascii="Arial" w:hAnsi="Arial" w:cs="Arial"/>
          <w:sz w:val="24"/>
          <w:szCs w:val="24"/>
        </w:rPr>
      </w:pPr>
      <w:r w:rsidRPr="00003552">
        <w:rPr>
          <w:rFonts w:ascii="Arial" w:hAnsi="Arial" w:cs="Arial"/>
          <w:sz w:val="24"/>
          <w:szCs w:val="24"/>
        </w:rPr>
        <w:t>Bradford, Jackson, and Stanko (2009) demonstrate that negative encounters with police significantly reduce public trust, while Tyler and Huo (2002) argue that legitimacy depends on perceived fairness rather than enforcement outcomes alone. Where policing is experienced as discriminatory, cooperation with law enforcement declines, weakening the overall effectiveness of the criminal justice system.</w:t>
      </w:r>
    </w:p>
    <w:p w14:paraId="04DB92D5" w14:textId="77777777" w:rsidR="00003552" w:rsidRPr="00003552" w:rsidRDefault="00003552" w:rsidP="00D7087B">
      <w:pPr>
        <w:spacing w:line="360" w:lineRule="auto"/>
        <w:rPr>
          <w:rFonts w:ascii="Arial" w:hAnsi="Arial" w:cs="Arial"/>
          <w:sz w:val="24"/>
          <w:szCs w:val="24"/>
        </w:rPr>
      </w:pPr>
      <w:r w:rsidRPr="00003552">
        <w:rPr>
          <w:rFonts w:ascii="Arial" w:hAnsi="Arial" w:cs="Arial"/>
          <w:sz w:val="24"/>
          <w:szCs w:val="24"/>
        </w:rPr>
        <w:lastRenderedPageBreak/>
        <w:t>These dynamics are reinforced by broader patterns of social exclusion. Young (1999) argues that marginalised groups are more likely to experience both over-policing and under-protection, contributing to distrust and disengagement. Similarly, Alexander (2010) highlights how criminal justice systems reinforce inequality through disproportionate control of minority populations.</w:t>
      </w:r>
    </w:p>
    <w:p w14:paraId="18415C3E" w14:textId="6C8AB2F0" w:rsidR="008D0A3D" w:rsidRPr="00DA4B10" w:rsidRDefault="00003552" w:rsidP="00DA4B10">
      <w:pPr>
        <w:spacing w:line="360" w:lineRule="auto"/>
        <w:rPr>
          <w:rFonts w:ascii="Arial" w:hAnsi="Arial" w:cs="Arial"/>
          <w:sz w:val="24"/>
          <w:szCs w:val="24"/>
        </w:rPr>
      </w:pPr>
      <w:r w:rsidRPr="00003552">
        <w:rPr>
          <w:rFonts w:ascii="Arial" w:hAnsi="Arial" w:cs="Arial"/>
          <w:sz w:val="24"/>
          <w:szCs w:val="24"/>
        </w:rPr>
        <w:t>Without addressing structural disparities, efforts to improve trust are unlikely to succeed</w:t>
      </w:r>
      <w:r w:rsidR="00F00246">
        <w:rPr>
          <w:rFonts w:ascii="Arial" w:hAnsi="Arial" w:cs="Arial"/>
          <w:sz w:val="24"/>
          <w:szCs w:val="24"/>
        </w:rPr>
        <w:t>.</w:t>
      </w:r>
    </w:p>
    <w:p w14:paraId="3CB91EB7" w14:textId="77777777" w:rsidR="00F00246" w:rsidRPr="008D0A3D" w:rsidRDefault="00F00246" w:rsidP="008D0A3D"/>
    <w:p w14:paraId="68130129" w14:textId="2E2A1F54" w:rsidR="00734D85" w:rsidRPr="00E76ACD" w:rsidRDefault="00734D85" w:rsidP="00734D85">
      <w:pPr>
        <w:pStyle w:val="Heading2"/>
        <w:rPr>
          <w:rFonts w:ascii="Arial" w:hAnsi="Arial" w:cs="Arial"/>
          <w:sz w:val="24"/>
          <w:szCs w:val="24"/>
        </w:rPr>
      </w:pPr>
      <w:bookmarkStart w:id="7" w:name="_Toc227255278"/>
      <w:r w:rsidRPr="00E76ACD">
        <w:rPr>
          <w:rFonts w:ascii="Arial" w:hAnsi="Arial" w:cs="Arial"/>
          <w:sz w:val="24"/>
          <w:szCs w:val="24"/>
        </w:rPr>
        <w:t>Evaluation</w:t>
      </w:r>
      <w:bookmarkEnd w:id="7"/>
    </w:p>
    <w:p w14:paraId="3FEC9690" w14:textId="77777777" w:rsidR="00184D72" w:rsidRDefault="00184D72" w:rsidP="00184D72">
      <w:pPr>
        <w:spacing w:line="360" w:lineRule="auto"/>
        <w:rPr>
          <w:rFonts w:ascii="Arial" w:hAnsi="Arial" w:cs="Arial"/>
          <w:sz w:val="24"/>
          <w:szCs w:val="24"/>
        </w:rPr>
      </w:pPr>
    </w:p>
    <w:p w14:paraId="27033FFE" w14:textId="374A7EBB" w:rsidR="00184D72" w:rsidRPr="00184D72" w:rsidRDefault="00184D72" w:rsidP="00184D72">
      <w:pPr>
        <w:spacing w:before="0" w:after="160" w:line="360" w:lineRule="auto"/>
        <w:rPr>
          <w:rFonts w:ascii="Arial" w:hAnsi="Arial" w:cs="Arial"/>
          <w:sz w:val="24"/>
          <w:szCs w:val="24"/>
        </w:rPr>
      </w:pPr>
      <w:r w:rsidRPr="00184D72">
        <w:rPr>
          <w:rFonts w:ascii="Arial" w:hAnsi="Arial" w:cs="Arial"/>
          <w:sz w:val="24"/>
          <w:szCs w:val="24"/>
        </w:rPr>
        <w:t>While reforms have increased recognition of racism within policing, their effectiveness remains fundamentally limited. The persistence of racial disproportionality across key areas of the criminal justice system demonstrates that structural inequalities remain deeply embedded within policing practices (Home Office, 2023; Shiner et al., 2018). This challenges the assumption that policy-led reform is sufficient, instead indicating that current approaches fail to address the mechanisms through which inequality is produced and sustained.</w:t>
      </w:r>
    </w:p>
    <w:p w14:paraId="42BAB117" w14:textId="290AFBE8" w:rsidR="00184D72" w:rsidRPr="00184D72" w:rsidRDefault="00184D72" w:rsidP="00184D72">
      <w:pPr>
        <w:spacing w:before="0" w:after="160" w:line="360" w:lineRule="auto"/>
        <w:rPr>
          <w:rFonts w:ascii="Arial" w:hAnsi="Arial" w:cs="Arial"/>
          <w:sz w:val="24"/>
          <w:szCs w:val="24"/>
        </w:rPr>
      </w:pPr>
      <w:r w:rsidRPr="00184D72">
        <w:rPr>
          <w:rFonts w:ascii="Arial" w:hAnsi="Arial" w:cs="Arial"/>
          <w:sz w:val="24"/>
          <w:szCs w:val="24"/>
        </w:rPr>
        <w:t>Police culture continues to act as a barrier to meaningful change. Chan (1997) and Loftus (2009) highlight the resilience of deeply embedded organisational norms, while Reiner (2010) argues that policing reflects wider societal inequalities. Consequently, reforms targeting policy and procedure fail to disrupt the cultural dynamics that shape everyday decision-making, indicating that change cannot occur without transforming the underlying values that inform police practice.</w:t>
      </w:r>
    </w:p>
    <w:p w14:paraId="0F289394" w14:textId="77777777" w:rsidR="00184D72" w:rsidRPr="00184D72" w:rsidRDefault="00184D72" w:rsidP="00184D72">
      <w:pPr>
        <w:spacing w:before="0" w:after="160" w:line="360" w:lineRule="auto"/>
        <w:rPr>
          <w:rFonts w:ascii="Arial" w:hAnsi="Arial" w:cs="Arial"/>
          <w:sz w:val="24"/>
          <w:szCs w:val="24"/>
        </w:rPr>
      </w:pPr>
      <w:r w:rsidRPr="00184D72">
        <w:rPr>
          <w:rFonts w:ascii="Arial" w:hAnsi="Arial" w:cs="Arial"/>
          <w:sz w:val="24"/>
          <w:szCs w:val="24"/>
        </w:rPr>
        <w:t>From a critical race theory perspective, these patterns are structurally embedded rather than exceptional (Delgado and Stefancic, 2017). Reform has therefore prioritised visibility and accountability without altering the processes that generate inequality, functioning less as a tool for transformation and more as a means of preserving institutional legitimacy.</w:t>
      </w:r>
    </w:p>
    <w:p w14:paraId="22B24E8A" w14:textId="5B8B120F" w:rsidR="00184D72" w:rsidRPr="00184D72" w:rsidRDefault="00184D72" w:rsidP="00184D72">
      <w:pPr>
        <w:spacing w:before="0" w:after="160" w:line="360" w:lineRule="auto"/>
        <w:rPr>
          <w:rFonts w:ascii="Arial" w:hAnsi="Arial" w:cs="Arial"/>
          <w:sz w:val="24"/>
          <w:szCs w:val="24"/>
        </w:rPr>
      </w:pPr>
      <w:r w:rsidRPr="00184D72">
        <w:rPr>
          <w:rFonts w:ascii="Arial" w:hAnsi="Arial" w:cs="Arial"/>
          <w:sz w:val="24"/>
          <w:szCs w:val="24"/>
        </w:rPr>
        <w:t xml:space="preserve">Loader and Mulcahy (2003) argue that legitimacy depends on fairness; where this is absent, social cohesion is weakened rather than reinforced. This </w:t>
      </w:r>
      <w:r w:rsidR="00904B1A">
        <w:rPr>
          <w:rFonts w:ascii="Arial" w:hAnsi="Arial" w:cs="Arial"/>
          <w:sz w:val="24"/>
          <w:szCs w:val="24"/>
        </w:rPr>
        <w:t>demonstrates</w:t>
      </w:r>
      <w:r w:rsidRPr="00184D72">
        <w:rPr>
          <w:rFonts w:ascii="Arial" w:hAnsi="Arial" w:cs="Arial"/>
          <w:sz w:val="24"/>
          <w:szCs w:val="24"/>
        </w:rPr>
        <w:t xml:space="preserve"> that </w:t>
      </w:r>
      <w:r w:rsidRPr="00184D72">
        <w:rPr>
          <w:rFonts w:ascii="Arial" w:hAnsi="Arial" w:cs="Arial"/>
          <w:sz w:val="24"/>
          <w:szCs w:val="24"/>
        </w:rPr>
        <w:lastRenderedPageBreak/>
        <w:t>policing may contribute to social fragmentation rather than cohesion in contexts of structural inequality.</w:t>
      </w:r>
    </w:p>
    <w:p w14:paraId="40A86A41" w14:textId="065FF6B4" w:rsidR="00734D85" w:rsidRDefault="00184D72" w:rsidP="00D7087B">
      <w:pPr>
        <w:spacing w:line="360" w:lineRule="auto"/>
        <w:rPr>
          <w:rFonts w:ascii="Arial" w:hAnsi="Arial" w:cs="Arial"/>
          <w:sz w:val="24"/>
          <w:szCs w:val="24"/>
        </w:rPr>
      </w:pPr>
      <w:r w:rsidRPr="00184D72">
        <w:rPr>
          <w:rFonts w:ascii="Arial" w:hAnsi="Arial" w:cs="Arial"/>
          <w:sz w:val="24"/>
          <w:szCs w:val="24"/>
        </w:rPr>
        <w:t xml:space="preserve">Overall, the criminal justice response to racism incremental rather than transformative. Despite increased recognition, institutional practices remain largely unchanged. This </w:t>
      </w:r>
      <w:r w:rsidR="003666A5">
        <w:rPr>
          <w:rFonts w:ascii="Arial" w:hAnsi="Arial" w:cs="Arial"/>
          <w:sz w:val="24"/>
          <w:szCs w:val="24"/>
        </w:rPr>
        <w:t>confirms</w:t>
      </w:r>
      <w:r w:rsidRPr="00184D72">
        <w:rPr>
          <w:rFonts w:ascii="Arial" w:hAnsi="Arial" w:cs="Arial"/>
          <w:sz w:val="24"/>
          <w:szCs w:val="24"/>
        </w:rPr>
        <w:t xml:space="preserve"> that the limitations of reform lie not in implementation, but in the reform model itself, which prioritises procedural adjustment over structural transformation (Garland, 2001; Delgado and Stefancic, 2017).</w:t>
      </w:r>
    </w:p>
    <w:p w14:paraId="764B58BC" w14:textId="77777777" w:rsidR="00145FCA" w:rsidRDefault="00145FCA" w:rsidP="00A606B8">
      <w:pPr>
        <w:spacing w:line="360" w:lineRule="auto"/>
        <w:rPr>
          <w:rFonts w:ascii="Arial" w:hAnsi="Arial" w:cs="Arial"/>
          <w:sz w:val="24"/>
          <w:szCs w:val="24"/>
        </w:rPr>
      </w:pPr>
    </w:p>
    <w:p w14:paraId="3ED41336" w14:textId="383FFB8D" w:rsidR="00145FCA" w:rsidRPr="00E76ACD" w:rsidRDefault="00145FCA" w:rsidP="00145FCA">
      <w:pPr>
        <w:pStyle w:val="Heading2"/>
        <w:rPr>
          <w:rFonts w:ascii="Arial" w:hAnsi="Arial" w:cs="Arial"/>
          <w:sz w:val="24"/>
          <w:szCs w:val="24"/>
        </w:rPr>
      </w:pPr>
      <w:bookmarkStart w:id="8" w:name="_Toc227255279"/>
      <w:r w:rsidRPr="00E76ACD">
        <w:rPr>
          <w:rFonts w:ascii="Arial" w:hAnsi="Arial" w:cs="Arial"/>
          <w:sz w:val="24"/>
          <w:szCs w:val="24"/>
        </w:rPr>
        <w:t>Recommendations</w:t>
      </w:r>
      <w:bookmarkEnd w:id="8"/>
    </w:p>
    <w:p w14:paraId="2D541810" w14:textId="77777777" w:rsidR="00145FCA" w:rsidRPr="00145FCA" w:rsidRDefault="00145FCA" w:rsidP="00145FCA">
      <w:pPr>
        <w:spacing w:line="360" w:lineRule="auto"/>
        <w:rPr>
          <w:rFonts w:ascii="Arial" w:hAnsi="Arial" w:cs="Arial"/>
          <w:sz w:val="24"/>
          <w:szCs w:val="24"/>
        </w:rPr>
      </w:pPr>
    </w:p>
    <w:p w14:paraId="115F014E" w14:textId="567AD27C" w:rsidR="00675947" w:rsidRPr="00675947" w:rsidRDefault="00675947" w:rsidP="00675947">
      <w:pPr>
        <w:spacing w:before="0" w:after="160" w:line="360" w:lineRule="auto"/>
        <w:rPr>
          <w:rFonts w:ascii="Arial" w:hAnsi="Arial" w:cs="Arial"/>
          <w:sz w:val="24"/>
          <w:szCs w:val="24"/>
        </w:rPr>
      </w:pPr>
      <w:r w:rsidRPr="00675947">
        <w:rPr>
          <w:rFonts w:ascii="Arial" w:hAnsi="Arial" w:cs="Arial"/>
          <w:sz w:val="24"/>
          <w:szCs w:val="24"/>
        </w:rPr>
        <w:t>To address persistent racial inequalities within policing, reforms must</w:t>
      </w:r>
      <w:r w:rsidR="003666A5">
        <w:rPr>
          <w:rFonts w:ascii="Arial" w:hAnsi="Arial" w:cs="Arial"/>
          <w:sz w:val="24"/>
          <w:szCs w:val="24"/>
        </w:rPr>
        <w:t xml:space="preserve"> prioritise</w:t>
      </w:r>
      <w:r w:rsidR="00200362">
        <w:rPr>
          <w:rFonts w:ascii="Arial" w:hAnsi="Arial" w:cs="Arial"/>
          <w:sz w:val="24"/>
          <w:szCs w:val="24"/>
        </w:rPr>
        <w:t xml:space="preserve"> structural change over</w:t>
      </w:r>
      <w:r w:rsidRPr="00675947">
        <w:rPr>
          <w:rFonts w:ascii="Arial" w:hAnsi="Arial" w:cs="Arial"/>
          <w:sz w:val="24"/>
          <w:szCs w:val="24"/>
        </w:rPr>
        <w:t xml:space="preserve"> procedural adjustments, including statutory accountability mechanisms, genuinely independent oversight bodies with enforcement powers, and sustained investment in communities disproportionately targeted by policing (Lammy, 2017; Casey, 2023).</w:t>
      </w:r>
    </w:p>
    <w:p w14:paraId="04C1CC21" w14:textId="77777777" w:rsidR="00675947" w:rsidRPr="00675947" w:rsidRDefault="00675947" w:rsidP="00675947">
      <w:pPr>
        <w:spacing w:before="0" w:after="160" w:line="360" w:lineRule="auto"/>
        <w:rPr>
          <w:rFonts w:ascii="Arial" w:hAnsi="Arial" w:cs="Arial"/>
          <w:sz w:val="24"/>
          <w:szCs w:val="24"/>
        </w:rPr>
      </w:pPr>
      <w:r w:rsidRPr="00675947">
        <w:rPr>
          <w:rFonts w:ascii="Arial" w:hAnsi="Arial" w:cs="Arial"/>
          <w:sz w:val="24"/>
          <w:szCs w:val="24"/>
        </w:rPr>
        <w:t>Additionally, reforms should prioritise cultural transformation within police organisations through mandatory anti-racism training, improved recruitment and retention of minority officers, and enforceable leadership accountability for misconduct and disproportionality (College of Policing, 2020). Without addressing these structural and cultural factors, efforts to reduce racial disparities are unlikely to produce meaningful or sustained change.</w:t>
      </w:r>
    </w:p>
    <w:p w14:paraId="24A298B4" w14:textId="77777777" w:rsidR="00E76ACD" w:rsidRDefault="00E76ACD" w:rsidP="00A606B8">
      <w:pPr>
        <w:spacing w:line="360" w:lineRule="auto"/>
        <w:rPr>
          <w:rFonts w:ascii="Arial" w:hAnsi="Arial" w:cs="Arial"/>
          <w:sz w:val="24"/>
          <w:szCs w:val="24"/>
        </w:rPr>
      </w:pPr>
    </w:p>
    <w:p w14:paraId="5F675F36" w14:textId="1958AA1D" w:rsidR="00B47A21" w:rsidRPr="00E76ACD" w:rsidRDefault="00B47A21" w:rsidP="00B47A21">
      <w:pPr>
        <w:pStyle w:val="Heading2"/>
        <w:rPr>
          <w:rFonts w:ascii="Arial" w:hAnsi="Arial" w:cs="Arial"/>
          <w:sz w:val="24"/>
          <w:szCs w:val="24"/>
        </w:rPr>
      </w:pPr>
      <w:bookmarkStart w:id="9" w:name="_Toc227255280"/>
      <w:r w:rsidRPr="00E76ACD">
        <w:rPr>
          <w:rFonts w:ascii="Arial" w:hAnsi="Arial" w:cs="Arial"/>
          <w:sz w:val="24"/>
          <w:szCs w:val="24"/>
        </w:rPr>
        <w:t>Conclusion</w:t>
      </w:r>
      <w:bookmarkEnd w:id="9"/>
    </w:p>
    <w:p w14:paraId="2784A169" w14:textId="77777777" w:rsidR="00B47A21" w:rsidRDefault="00B47A21" w:rsidP="005678B7">
      <w:pPr>
        <w:rPr>
          <w:rFonts w:ascii="Arial" w:hAnsi="Arial" w:cs="Arial"/>
          <w:sz w:val="24"/>
          <w:szCs w:val="24"/>
        </w:rPr>
      </w:pPr>
    </w:p>
    <w:p w14:paraId="6A3BA8D3" w14:textId="2A5CC0E9" w:rsidR="00EA6E3D" w:rsidRPr="00EA6E3D" w:rsidRDefault="00EA6E3D" w:rsidP="00EA6E3D">
      <w:pPr>
        <w:spacing w:line="360" w:lineRule="auto"/>
        <w:rPr>
          <w:rFonts w:ascii="Arial" w:hAnsi="Arial" w:cs="Arial"/>
          <w:sz w:val="24"/>
          <w:szCs w:val="24"/>
        </w:rPr>
      </w:pPr>
      <w:r w:rsidRPr="00EA6E3D">
        <w:rPr>
          <w:rFonts w:ascii="Arial" w:hAnsi="Arial" w:cs="Arial"/>
          <w:sz w:val="24"/>
          <w:szCs w:val="24"/>
        </w:rPr>
        <w:t>This report has critically evaluated the criminal justice response to racism within policing in England and Wales, demonstrating that, despite decades of reform, institutional racism remains embedded within policing practices. While inquiries such as Scarman (1981), Macpherson (1999), and the Casey Review (2023) have increased recognition of racial inequality, they have not resulted in structural transformation.</w:t>
      </w:r>
    </w:p>
    <w:p w14:paraId="0DC88644" w14:textId="4ABC80E5" w:rsidR="00EA6E3D" w:rsidRPr="00EA6E3D" w:rsidRDefault="00EA6E3D" w:rsidP="00EA6E3D">
      <w:pPr>
        <w:spacing w:line="360" w:lineRule="auto"/>
        <w:rPr>
          <w:rFonts w:ascii="Arial" w:hAnsi="Arial" w:cs="Arial"/>
          <w:sz w:val="24"/>
          <w:szCs w:val="24"/>
        </w:rPr>
      </w:pPr>
      <w:r w:rsidRPr="00EA6E3D">
        <w:rPr>
          <w:rFonts w:ascii="Arial" w:hAnsi="Arial" w:cs="Arial"/>
          <w:sz w:val="24"/>
          <w:szCs w:val="24"/>
        </w:rPr>
        <w:lastRenderedPageBreak/>
        <w:t>Drawing on sociological theory, the report has shown that policing practices both reflect and reproduce social inequalities, particularly through mechanisms such as disproportionate surveillance and differential treatment. Reforms have largely focused on procedural and policy changes, failing to address organisational cultures and structural inequalities that sustain unequal outcomes.</w:t>
      </w:r>
    </w:p>
    <w:p w14:paraId="63C5C278" w14:textId="069DE66E" w:rsidR="00E76ACD" w:rsidRPr="00E76ACD" w:rsidRDefault="00EA6E3D" w:rsidP="00E76ACD">
      <w:pPr>
        <w:spacing w:line="360" w:lineRule="auto"/>
        <w:rPr>
          <w:rFonts w:ascii="Arial" w:hAnsi="Arial" w:cs="Arial"/>
          <w:sz w:val="24"/>
          <w:szCs w:val="24"/>
        </w:rPr>
      </w:pPr>
      <w:r w:rsidRPr="00EA6E3D">
        <w:rPr>
          <w:rFonts w:ascii="Arial" w:hAnsi="Arial" w:cs="Arial"/>
          <w:sz w:val="24"/>
          <w:szCs w:val="24"/>
        </w:rPr>
        <w:t xml:space="preserve">Ultimately, the criminal justice response to racism is best understood as incremental rather than transformative. The persistence of racial disparities across key indicators demonstrates that reform has been insufficient to disrupt the systems that produce inequality. Without </w:t>
      </w:r>
      <w:r w:rsidR="00683648">
        <w:rPr>
          <w:rFonts w:ascii="Arial" w:hAnsi="Arial" w:cs="Arial"/>
          <w:sz w:val="24"/>
          <w:szCs w:val="24"/>
        </w:rPr>
        <w:t>structural transformation, policing will continue to reproduce the inequalities it claims to address.</w:t>
      </w:r>
    </w:p>
    <w:p w14:paraId="49701F79" w14:textId="77777777" w:rsidR="00C84EED" w:rsidRPr="00C84EED" w:rsidRDefault="00C84EED" w:rsidP="00C84EED"/>
    <w:p w14:paraId="61DAC8E0" w14:textId="77777777" w:rsidR="00C66C78" w:rsidRDefault="00C66C78" w:rsidP="00C66C78"/>
    <w:p w14:paraId="3A527C7B" w14:textId="77777777" w:rsidR="00BD5AC0" w:rsidRDefault="00BD5AC0" w:rsidP="00C66C78"/>
    <w:p w14:paraId="4D8BF537" w14:textId="77777777" w:rsidR="00BD5AC0" w:rsidRDefault="00BD5AC0" w:rsidP="00C66C78"/>
    <w:p w14:paraId="15154130" w14:textId="77777777" w:rsidR="00BD5AC0" w:rsidRDefault="00BD5AC0" w:rsidP="00C66C78"/>
    <w:p w14:paraId="24E8A8EC" w14:textId="77777777" w:rsidR="00BD5AC0" w:rsidRDefault="00BD5AC0" w:rsidP="00C66C78"/>
    <w:p w14:paraId="3F58D445" w14:textId="77777777" w:rsidR="00BD5AC0" w:rsidRDefault="00BD5AC0" w:rsidP="00C66C78"/>
    <w:p w14:paraId="478C7C3A" w14:textId="77777777" w:rsidR="00EB01E7" w:rsidRDefault="00EB01E7" w:rsidP="00C66C78"/>
    <w:p w14:paraId="51F95651" w14:textId="77777777" w:rsidR="00683648" w:rsidRDefault="00683648" w:rsidP="00C66C78"/>
    <w:p w14:paraId="472BCCA5" w14:textId="77777777" w:rsidR="00683648" w:rsidRDefault="00683648" w:rsidP="00C66C78"/>
    <w:p w14:paraId="79657D83" w14:textId="77777777" w:rsidR="00683648" w:rsidRDefault="00683648" w:rsidP="00C66C78"/>
    <w:p w14:paraId="4C5FFC76" w14:textId="77777777" w:rsidR="00683648" w:rsidRDefault="00683648" w:rsidP="00C66C78"/>
    <w:p w14:paraId="4C31E125" w14:textId="77777777" w:rsidR="00293D91" w:rsidRDefault="00293D91" w:rsidP="00C66C78"/>
    <w:p w14:paraId="3407936E" w14:textId="77777777" w:rsidR="00293D91" w:rsidRDefault="00293D91" w:rsidP="00C66C78"/>
    <w:p w14:paraId="6A8C7CF1" w14:textId="77777777" w:rsidR="00293D91" w:rsidRDefault="00293D91" w:rsidP="00C66C78"/>
    <w:p w14:paraId="572E4609" w14:textId="77777777" w:rsidR="00683648" w:rsidRDefault="00683648" w:rsidP="00C66C78"/>
    <w:p w14:paraId="0CABC214" w14:textId="77777777" w:rsidR="00EB01E7" w:rsidRDefault="00EB01E7" w:rsidP="00C66C78"/>
    <w:p w14:paraId="13E977DB" w14:textId="77777777" w:rsidR="004D6043" w:rsidRDefault="004D6043" w:rsidP="00C66C78"/>
    <w:p w14:paraId="03E691CD" w14:textId="77777777" w:rsidR="004D6043" w:rsidRDefault="004D6043" w:rsidP="00C66C78"/>
    <w:p w14:paraId="45E229BA" w14:textId="5FCB4744" w:rsidR="00EB01E7" w:rsidRDefault="00EB01E7" w:rsidP="00EB01E7">
      <w:pPr>
        <w:pStyle w:val="Heading2"/>
      </w:pPr>
      <w:bookmarkStart w:id="10" w:name="_Toc227255281"/>
      <w:r>
        <w:lastRenderedPageBreak/>
        <w:t>References</w:t>
      </w:r>
      <w:bookmarkEnd w:id="10"/>
    </w:p>
    <w:p w14:paraId="71C7B8BA" w14:textId="77777777" w:rsidR="00EB01E7" w:rsidRPr="00C66C78" w:rsidRDefault="00EB01E7" w:rsidP="00C66C78"/>
    <w:p w14:paraId="536AB279" w14:textId="61F0B8EA" w:rsidR="005678B7" w:rsidRPr="005678B7" w:rsidRDefault="005678B7" w:rsidP="005678B7">
      <w:pPr>
        <w:rPr>
          <w:rFonts w:ascii="Arial" w:hAnsi="Arial" w:cs="Arial"/>
          <w:sz w:val="24"/>
          <w:szCs w:val="24"/>
        </w:rPr>
      </w:pPr>
      <w:r w:rsidRPr="005678B7">
        <w:rPr>
          <w:rFonts w:ascii="Arial" w:hAnsi="Arial" w:cs="Arial"/>
          <w:sz w:val="24"/>
          <w:szCs w:val="24"/>
        </w:rPr>
        <w:t xml:space="preserve">Alexander, M. (2010) </w:t>
      </w:r>
      <w:r w:rsidRPr="00D13698">
        <w:rPr>
          <w:rFonts w:ascii="Arial" w:hAnsi="Arial" w:cs="Arial"/>
          <w:sz w:val="24"/>
          <w:szCs w:val="24"/>
        </w:rPr>
        <w:t>The New Jim Crow</w:t>
      </w:r>
      <w:r w:rsidRPr="005421BE">
        <w:rPr>
          <w:rFonts w:ascii="Arial" w:hAnsi="Arial" w:cs="Arial"/>
          <w:i/>
          <w:iCs/>
          <w:sz w:val="24"/>
          <w:szCs w:val="24"/>
        </w:rPr>
        <w:t xml:space="preserve">: Mass Incarceration in the Age of </w:t>
      </w:r>
      <w:r w:rsidR="006347F1" w:rsidRPr="005421BE">
        <w:rPr>
          <w:rFonts w:ascii="Arial" w:hAnsi="Arial" w:cs="Arial"/>
          <w:i/>
          <w:iCs/>
          <w:sz w:val="24"/>
          <w:szCs w:val="24"/>
        </w:rPr>
        <w:t>Colour-blindness</w:t>
      </w:r>
      <w:r w:rsidRPr="005678B7">
        <w:rPr>
          <w:rFonts w:ascii="Arial" w:hAnsi="Arial" w:cs="Arial"/>
          <w:sz w:val="24"/>
          <w:szCs w:val="24"/>
        </w:rPr>
        <w:t>. New York: The New Press.</w:t>
      </w:r>
    </w:p>
    <w:p w14:paraId="5A953FF0" w14:textId="77777777" w:rsidR="00505C61" w:rsidRDefault="00505C61" w:rsidP="005678B7">
      <w:pPr>
        <w:rPr>
          <w:rFonts w:ascii="Arial" w:hAnsi="Arial" w:cs="Arial"/>
          <w:sz w:val="24"/>
          <w:szCs w:val="24"/>
        </w:rPr>
      </w:pPr>
    </w:p>
    <w:p w14:paraId="3F4D9D08" w14:textId="4DC6B186" w:rsidR="005678B7" w:rsidRPr="005678B7" w:rsidRDefault="005678B7" w:rsidP="005678B7">
      <w:pPr>
        <w:rPr>
          <w:rFonts w:ascii="Arial" w:hAnsi="Arial" w:cs="Arial"/>
          <w:sz w:val="24"/>
          <w:szCs w:val="24"/>
        </w:rPr>
      </w:pPr>
      <w:r w:rsidRPr="005678B7">
        <w:rPr>
          <w:rFonts w:ascii="Arial" w:hAnsi="Arial" w:cs="Arial"/>
          <w:sz w:val="24"/>
          <w:szCs w:val="24"/>
        </w:rPr>
        <w:t xml:space="preserve">Becker, H.S. (1963) </w:t>
      </w:r>
      <w:r w:rsidRPr="005678B7">
        <w:rPr>
          <w:rFonts w:ascii="Arial" w:hAnsi="Arial" w:cs="Arial"/>
          <w:i/>
          <w:iCs/>
          <w:sz w:val="24"/>
          <w:szCs w:val="24"/>
        </w:rPr>
        <w:t>Outsiders: Studies in the Sociology of Deviance</w:t>
      </w:r>
      <w:r w:rsidRPr="005678B7">
        <w:rPr>
          <w:rFonts w:ascii="Arial" w:hAnsi="Arial" w:cs="Arial"/>
          <w:sz w:val="24"/>
          <w:szCs w:val="24"/>
        </w:rPr>
        <w:t>. New York: Free Press.</w:t>
      </w:r>
    </w:p>
    <w:p w14:paraId="0D66E0DA" w14:textId="77777777" w:rsidR="00505C61" w:rsidRDefault="00505C61" w:rsidP="005678B7">
      <w:pPr>
        <w:rPr>
          <w:rFonts w:ascii="Arial" w:hAnsi="Arial" w:cs="Arial"/>
          <w:sz w:val="24"/>
          <w:szCs w:val="24"/>
        </w:rPr>
      </w:pPr>
    </w:p>
    <w:p w14:paraId="1F8E03EA" w14:textId="6E9693BD" w:rsidR="005678B7" w:rsidRPr="005678B7" w:rsidRDefault="005678B7" w:rsidP="005678B7">
      <w:pPr>
        <w:rPr>
          <w:rFonts w:ascii="Arial" w:hAnsi="Arial" w:cs="Arial"/>
          <w:sz w:val="24"/>
          <w:szCs w:val="24"/>
        </w:rPr>
      </w:pPr>
      <w:r w:rsidRPr="005678B7">
        <w:rPr>
          <w:rFonts w:ascii="Arial" w:hAnsi="Arial" w:cs="Arial"/>
          <w:sz w:val="24"/>
          <w:szCs w:val="24"/>
        </w:rPr>
        <w:t xml:space="preserve">Bowling, B. and Phillips, C. (2007) ‘Disproportionate and discriminatory: Reviewing the evidence on police stop and search’, </w:t>
      </w:r>
      <w:r w:rsidRPr="005678B7">
        <w:rPr>
          <w:rFonts w:ascii="Arial" w:hAnsi="Arial" w:cs="Arial"/>
          <w:i/>
          <w:iCs/>
          <w:sz w:val="24"/>
          <w:szCs w:val="24"/>
        </w:rPr>
        <w:t>The Modern Law Review</w:t>
      </w:r>
      <w:r w:rsidRPr="005678B7">
        <w:rPr>
          <w:rFonts w:ascii="Arial" w:hAnsi="Arial" w:cs="Arial"/>
          <w:sz w:val="24"/>
          <w:szCs w:val="24"/>
        </w:rPr>
        <w:t xml:space="preserve">, 70(6), pp. 936–961. Available at: </w:t>
      </w:r>
      <w:hyperlink r:id="rId6" w:history="1">
        <w:r w:rsidR="00505C61" w:rsidRPr="004D3A30">
          <w:rPr>
            <w:rStyle w:val="Hyperlink"/>
            <w:rFonts w:ascii="Arial" w:hAnsi="Arial" w:cs="Arial"/>
            <w:sz w:val="24"/>
            <w:szCs w:val="24"/>
          </w:rPr>
          <w:t>https://doi.org/10.1111/j.1468-2230.2007.00671.x</w:t>
        </w:r>
      </w:hyperlink>
      <w:r w:rsidR="00505C61">
        <w:rPr>
          <w:rFonts w:ascii="Arial" w:hAnsi="Arial" w:cs="Arial"/>
          <w:sz w:val="24"/>
          <w:szCs w:val="24"/>
        </w:rPr>
        <w:t xml:space="preserve"> </w:t>
      </w:r>
    </w:p>
    <w:p w14:paraId="74732B86" w14:textId="77777777" w:rsidR="00505C61" w:rsidRDefault="00505C61" w:rsidP="005678B7">
      <w:pPr>
        <w:rPr>
          <w:rFonts w:ascii="Arial" w:hAnsi="Arial" w:cs="Arial"/>
          <w:sz w:val="24"/>
          <w:szCs w:val="24"/>
        </w:rPr>
      </w:pPr>
    </w:p>
    <w:p w14:paraId="2638F0D7" w14:textId="54484B07" w:rsidR="005678B7" w:rsidRPr="005678B7" w:rsidRDefault="005678B7" w:rsidP="005678B7">
      <w:pPr>
        <w:rPr>
          <w:rFonts w:ascii="Arial" w:hAnsi="Arial" w:cs="Arial"/>
          <w:sz w:val="24"/>
          <w:szCs w:val="24"/>
        </w:rPr>
      </w:pPr>
      <w:r w:rsidRPr="005678B7">
        <w:rPr>
          <w:rFonts w:ascii="Arial" w:hAnsi="Arial" w:cs="Arial"/>
          <w:sz w:val="24"/>
          <w:szCs w:val="24"/>
        </w:rPr>
        <w:t xml:space="preserve">Bowling, B., Parmar, A. and Phillips, C. (2008) ‘Policing ethnic minority communities’, in Newburn, T. (ed.) </w:t>
      </w:r>
      <w:r w:rsidRPr="005678B7">
        <w:rPr>
          <w:rFonts w:ascii="Arial" w:hAnsi="Arial" w:cs="Arial"/>
          <w:i/>
          <w:iCs/>
          <w:sz w:val="24"/>
          <w:szCs w:val="24"/>
        </w:rPr>
        <w:t>Handbook of Policing</w:t>
      </w:r>
      <w:r w:rsidRPr="005678B7">
        <w:rPr>
          <w:rFonts w:ascii="Arial" w:hAnsi="Arial" w:cs="Arial"/>
          <w:sz w:val="24"/>
          <w:szCs w:val="24"/>
        </w:rPr>
        <w:t>. Cullompton: Willan Publishing.</w:t>
      </w:r>
    </w:p>
    <w:p w14:paraId="67822BDA" w14:textId="77777777" w:rsidR="00505C61" w:rsidRDefault="00505C61" w:rsidP="005678B7">
      <w:pPr>
        <w:rPr>
          <w:rFonts w:ascii="Arial" w:hAnsi="Arial" w:cs="Arial"/>
          <w:sz w:val="24"/>
          <w:szCs w:val="24"/>
        </w:rPr>
      </w:pPr>
    </w:p>
    <w:p w14:paraId="717C30DC" w14:textId="0159A7AC" w:rsidR="005678B7" w:rsidRPr="005678B7" w:rsidRDefault="005678B7" w:rsidP="005678B7">
      <w:pPr>
        <w:rPr>
          <w:rFonts w:ascii="Arial" w:hAnsi="Arial" w:cs="Arial"/>
          <w:sz w:val="24"/>
          <w:szCs w:val="24"/>
        </w:rPr>
      </w:pPr>
      <w:r w:rsidRPr="005678B7">
        <w:rPr>
          <w:rFonts w:ascii="Arial" w:hAnsi="Arial" w:cs="Arial"/>
          <w:sz w:val="24"/>
          <w:szCs w:val="24"/>
        </w:rPr>
        <w:t xml:space="preserve">Bradford, B., Jackson, J. and Stanko, E. (2009) ‘Contact and confidence: Revisiting the impact of public encounters with the police’, </w:t>
      </w:r>
      <w:r w:rsidRPr="005678B7">
        <w:rPr>
          <w:rFonts w:ascii="Arial" w:hAnsi="Arial" w:cs="Arial"/>
          <w:i/>
          <w:iCs/>
          <w:sz w:val="24"/>
          <w:szCs w:val="24"/>
        </w:rPr>
        <w:t>Policing and Society</w:t>
      </w:r>
      <w:r w:rsidRPr="005678B7">
        <w:rPr>
          <w:rFonts w:ascii="Arial" w:hAnsi="Arial" w:cs="Arial"/>
          <w:sz w:val="24"/>
          <w:szCs w:val="24"/>
        </w:rPr>
        <w:t xml:space="preserve">, 19(1), pp. 20–46. Available at: </w:t>
      </w:r>
      <w:hyperlink r:id="rId7" w:tgtFrame="_new" w:history="1">
        <w:r w:rsidRPr="005678B7">
          <w:rPr>
            <w:rStyle w:val="Hyperlink"/>
            <w:rFonts w:ascii="Arial" w:hAnsi="Arial" w:cs="Arial"/>
            <w:sz w:val="24"/>
            <w:szCs w:val="24"/>
          </w:rPr>
          <w:t>https://doi.org/10.1080/10439460802457594</w:t>
        </w:r>
      </w:hyperlink>
    </w:p>
    <w:p w14:paraId="3325496E" w14:textId="77777777" w:rsidR="00505C61" w:rsidRDefault="00505C61" w:rsidP="005678B7">
      <w:pPr>
        <w:rPr>
          <w:rFonts w:ascii="Arial" w:hAnsi="Arial" w:cs="Arial"/>
          <w:sz w:val="24"/>
          <w:szCs w:val="24"/>
        </w:rPr>
      </w:pPr>
    </w:p>
    <w:p w14:paraId="721624C0" w14:textId="664A0001" w:rsidR="00505C61" w:rsidRDefault="00E92CB3" w:rsidP="005678B7">
      <w:pPr>
        <w:rPr>
          <w:rFonts w:ascii="Arial" w:hAnsi="Arial" w:cs="Arial"/>
          <w:sz w:val="24"/>
          <w:szCs w:val="24"/>
        </w:rPr>
      </w:pPr>
      <w:r w:rsidRPr="00E92CB3">
        <w:rPr>
          <w:rFonts w:ascii="Arial" w:hAnsi="Arial" w:cs="Arial"/>
          <w:sz w:val="24"/>
          <w:szCs w:val="24"/>
        </w:rPr>
        <w:t xml:space="preserve">Casey, L. (2023) Baroness Casey Review Final Report. London: Metropolitan Police Service. Available at: </w:t>
      </w:r>
      <w:hyperlink r:id="rId8" w:history="1">
        <w:r w:rsidRPr="00E92CB3">
          <w:rPr>
            <w:rStyle w:val="Hyperlink"/>
            <w:rFonts w:ascii="Arial" w:hAnsi="Arial" w:cs="Arial"/>
            <w:sz w:val="24"/>
            <w:szCs w:val="24"/>
          </w:rPr>
          <w:t>https://www.met.police.uk/SysSiteAssets/media/downloads/met/about-us/baroness-casey-review/update-march-2023/baroness-casey-review-march-2023a.pdf</w:t>
        </w:r>
      </w:hyperlink>
      <w:r w:rsidRPr="00E92CB3">
        <w:rPr>
          <w:rFonts w:ascii="Arial" w:hAnsi="Arial" w:cs="Arial"/>
          <w:sz w:val="24"/>
          <w:szCs w:val="24"/>
        </w:rPr>
        <w:t xml:space="preserve">  (Accessed: March 2026).</w:t>
      </w:r>
    </w:p>
    <w:p w14:paraId="51182358" w14:textId="77777777" w:rsidR="00C3060B" w:rsidRDefault="00C3060B" w:rsidP="005678B7">
      <w:pPr>
        <w:rPr>
          <w:rFonts w:ascii="Arial" w:hAnsi="Arial" w:cs="Arial"/>
          <w:sz w:val="24"/>
          <w:szCs w:val="24"/>
        </w:rPr>
      </w:pPr>
    </w:p>
    <w:p w14:paraId="63EBAEF5" w14:textId="387EC346" w:rsidR="005678B7" w:rsidRPr="005678B7" w:rsidRDefault="005678B7" w:rsidP="005678B7">
      <w:pPr>
        <w:rPr>
          <w:rFonts w:ascii="Arial" w:hAnsi="Arial" w:cs="Arial"/>
          <w:sz w:val="24"/>
          <w:szCs w:val="24"/>
        </w:rPr>
      </w:pPr>
      <w:r w:rsidRPr="005678B7">
        <w:rPr>
          <w:rFonts w:ascii="Arial" w:hAnsi="Arial" w:cs="Arial"/>
          <w:sz w:val="24"/>
          <w:szCs w:val="24"/>
        </w:rPr>
        <w:t xml:space="preserve">Chan, J. (1997) </w:t>
      </w:r>
      <w:r w:rsidRPr="005678B7">
        <w:rPr>
          <w:rFonts w:ascii="Arial" w:hAnsi="Arial" w:cs="Arial"/>
          <w:i/>
          <w:iCs/>
          <w:sz w:val="24"/>
          <w:szCs w:val="24"/>
        </w:rPr>
        <w:t>Changing Police Culture: Policing in a Multicultural Society</w:t>
      </w:r>
      <w:r w:rsidRPr="005678B7">
        <w:rPr>
          <w:rFonts w:ascii="Arial" w:hAnsi="Arial" w:cs="Arial"/>
          <w:sz w:val="24"/>
          <w:szCs w:val="24"/>
        </w:rPr>
        <w:t>. Cambridge: Cambridge University Press.</w:t>
      </w:r>
    </w:p>
    <w:p w14:paraId="72F44A02" w14:textId="77777777" w:rsidR="00505C61" w:rsidRDefault="00505C61" w:rsidP="005678B7">
      <w:pPr>
        <w:rPr>
          <w:rFonts w:ascii="Arial" w:hAnsi="Arial" w:cs="Arial"/>
          <w:sz w:val="24"/>
          <w:szCs w:val="24"/>
        </w:rPr>
      </w:pPr>
    </w:p>
    <w:p w14:paraId="64B16321" w14:textId="36679E96" w:rsidR="00C3060B" w:rsidRPr="00C3060B" w:rsidRDefault="00C3060B" w:rsidP="00C3060B">
      <w:pPr>
        <w:rPr>
          <w:rFonts w:ascii="Arial" w:hAnsi="Arial" w:cs="Arial"/>
          <w:sz w:val="24"/>
          <w:szCs w:val="24"/>
        </w:rPr>
      </w:pPr>
      <w:r w:rsidRPr="00C3060B">
        <w:rPr>
          <w:rFonts w:ascii="Arial" w:hAnsi="Arial" w:cs="Arial"/>
          <w:sz w:val="24"/>
          <w:szCs w:val="24"/>
        </w:rPr>
        <w:t xml:space="preserve">College of Policing (2020) Hate crime. Available at: </w:t>
      </w:r>
      <w:hyperlink r:id="rId9" w:history="1">
        <w:r w:rsidRPr="00C3060B">
          <w:rPr>
            <w:rStyle w:val="Hyperlink"/>
            <w:rFonts w:ascii="Arial" w:hAnsi="Arial" w:cs="Arial"/>
            <w:sz w:val="24"/>
            <w:szCs w:val="24"/>
          </w:rPr>
          <w:t>https://www.college.police.uk/app/major-investigation-and-public-protection/hate-crime</w:t>
        </w:r>
      </w:hyperlink>
      <w:r w:rsidRPr="00C3060B">
        <w:rPr>
          <w:rFonts w:ascii="Arial" w:hAnsi="Arial" w:cs="Arial"/>
          <w:sz w:val="24"/>
          <w:szCs w:val="24"/>
        </w:rPr>
        <w:t xml:space="preserve"> (Accessed: March 2026).</w:t>
      </w:r>
    </w:p>
    <w:p w14:paraId="694F8535" w14:textId="77777777" w:rsidR="00AC1144" w:rsidRDefault="00AC1144" w:rsidP="005678B7">
      <w:pPr>
        <w:rPr>
          <w:rFonts w:ascii="Arial" w:hAnsi="Arial" w:cs="Arial"/>
          <w:sz w:val="24"/>
          <w:szCs w:val="24"/>
        </w:rPr>
      </w:pPr>
    </w:p>
    <w:p w14:paraId="65361878" w14:textId="14DF7E9A" w:rsidR="00E02B7A" w:rsidRDefault="005678B7" w:rsidP="005678B7">
      <w:pPr>
        <w:rPr>
          <w:rFonts w:ascii="Arial" w:hAnsi="Arial" w:cs="Arial"/>
          <w:sz w:val="24"/>
          <w:szCs w:val="24"/>
        </w:rPr>
      </w:pPr>
      <w:r w:rsidRPr="005678B7">
        <w:rPr>
          <w:rFonts w:ascii="Arial" w:hAnsi="Arial" w:cs="Arial"/>
          <w:sz w:val="24"/>
          <w:szCs w:val="24"/>
        </w:rPr>
        <w:lastRenderedPageBreak/>
        <w:t xml:space="preserve">Delgado, R. and Stefancic, J. (2017) </w:t>
      </w:r>
      <w:r w:rsidRPr="005678B7">
        <w:rPr>
          <w:rFonts w:ascii="Arial" w:hAnsi="Arial" w:cs="Arial"/>
          <w:i/>
          <w:iCs/>
          <w:sz w:val="24"/>
          <w:szCs w:val="24"/>
        </w:rPr>
        <w:t>Critical Race Theory: An Introduction</w:t>
      </w:r>
      <w:r w:rsidRPr="005678B7">
        <w:rPr>
          <w:rFonts w:ascii="Arial" w:hAnsi="Arial" w:cs="Arial"/>
          <w:sz w:val="24"/>
          <w:szCs w:val="24"/>
        </w:rPr>
        <w:t xml:space="preserve">. 3rd </w:t>
      </w:r>
      <w:proofErr w:type="spellStart"/>
      <w:r w:rsidRPr="005678B7">
        <w:rPr>
          <w:rFonts w:ascii="Arial" w:hAnsi="Arial" w:cs="Arial"/>
          <w:sz w:val="24"/>
          <w:szCs w:val="24"/>
        </w:rPr>
        <w:t>edn</w:t>
      </w:r>
      <w:proofErr w:type="spellEnd"/>
      <w:r w:rsidRPr="005678B7">
        <w:rPr>
          <w:rFonts w:ascii="Arial" w:hAnsi="Arial" w:cs="Arial"/>
          <w:sz w:val="24"/>
          <w:szCs w:val="24"/>
        </w:rPr>
        <w:t>. New York: New York University Press.</w:t>
      </w:r>
    </w:p>
    <w:p w14:paraId="27CAF19B" w14:textId="77777777" w:rsidR="00AC1144" w:rsidRDefault="00AC1144" w:rsidP="005678B7">
      <w:pPr>
        <w:rPr>
          <w:rFonts w:ascii="Arial" w:hAnsi="Arial" w:cs="Arial"/>
          <w:sz w:val="24"/>
          <w:szCs w:val="24"/>
        </w:rPr>
      </w:pPr>
    </w:p>
    <w:p w14:paraId="3F90238A" w14:textId="73950181" w:rsidR="007104F2" w:rsidRPr="007104F2" w:rsidRDefault="007104F2" w:rsidP="007104F2">
      <w:pPr>
        <w:rPr>
          <w:rFonts w:ascii="Arial" w:hAnsi="Arial" w:cs="Arial"/>
          <w:sz w:val="24"/>
          <w:szCs w:val="24"/>
        </w:rPr>
      </w:pPr>
      <w:r w:rsidRPr="007104F2">
        <w:rPr>
          <w:rFonts w:ascii="Arial" w:hAnsi="Arial" w:cs="Arial"/>
          <w:sz w:val="24"/>
          <w:szCs w:val="24"/>
        </w:rPr>
        <w:t xml:space="preserve">Equality and Human Rights Commission (2010) Stop and think: A critical review of the use of stop and search powers in England and Wales. Available at: </w:t>
      </w:r>
      <w:hyperlink r:id="rId10" w:history="1">
        <w:r w:rsidRPr="007104F2">
          <w:rPr>
            <w:rStyle w:val="Hyperlink"/>
            <w:rFonts w:ascii="Arial" w:hAnsi="Arial" w:cs="Arial"/>
            <w:sz w:val="24"/>
            <w:szCs w:val="24"/>
          </w:rPr>
          <w:t>https://www.equalityhumanrights.com/sites/default/files/ehrc_stop_and_search_report.pdf</w:t>
        </w:r>
      </w:hyperlink>
      <w:r w:rsidRPr="007104F2">
        <w:rPr>
          <w:rFonts w:ascii="Arial" w:hAnsi="Arial" w:cs="Arial"/>
          <w:sz w:val="24"/>
          <w:szCs w:val="24"/>
        </w:rPr>
        <w:t xml:space="preserve"> (Accessed: March 2026).</w:t>
      </w:r>
    </w:p>
    <w:p w14:paraId="337E1F93" w14:textId="77777777" w:rsidR="00AC1144" w:rsidRDefault="00AC1144" w:rsidP="005678B7">
      <w:pPr>
        <w:rPr>
          <w:rFonts w:ascii="Arial" w:hAnsi="Arial" w:cs="Arial"/>
          <w:sz w:val="24"/>
          <w:szCs w:val="24"/>
        </w:rPr>
      </w:pPr>
    </w:p>
    <w:p w14:paraId="236623E5" w14:textId="2FA3A1AC" w:rsidR="005678B7" w:rsidRPr="005678B7" w:rsidRDefault="005678B7" w:rsidP="005678B7">
      <w:pPr>
        <w:rPr>
          <w:rFonts w:ascii="Arial" w:hAnsi="Arial" w:cs="Arial"/>
          <w:sz w:val="24"/>
          <w:szCs w:val="24"/>
        </w:rPr>
      </w:pPr>
      <w:r w:rsidRPr="005678B7">
        <w:rPr>
          <w:rFonts w:ascii="Arial" w:hAnsi="Arial" w:cs="Arial"/>
          <w:sz w:val="24"/>
          <w:szCs w:val="24"/>
        </w:rPr>
        <w:t xml:space="preserve">Foucault, M. (1977) </w:t>
      </w:r>
      <w:r w:rsidRPr="005678B7">
        <w:rPr>
          <w:rFonts w:ascii="Arial" w:hAnsi="Arial" w:cs="Arial"/>
          <w:i/>
          <w:iCs/>
          <w:sz w:val="24"/>
          <w:szCs w:val="24"/>
        </w:rPr>
        <w:t>Discipline and Punish: The Birth of the Prison</w:t>
      </w:r>
      <w:r w:rsidRPr="005678B7">
        <w:rPr>
          <w:rFonts w:ascii="Arial" w:hAnsi="Arial" w:cs="Arial"/>
          <w:sz w:val="24"/>
          <w:szCs w:val="24"/>
        </w:rPr>
        <w:t>. London: Penguin.</w:t>
      </w:r>
    </w:p>
    <w:p w14:paraId="4BAD42C3" w14:textId="77777777" w:rsidR="00AC1144" w:rsidRDefault="00AC1144" w:rsidP="005678B7">
      <w:pPr>
        <w:rPr>
          <w:rFonts w:ascii="Arial" w:hAnsi="Arial" w:cs="Arial"/>
          <w:sz w:val="24"/>
          <w:szCs w:val="24"/>
        </w:rPr>
      </w:pPr>
    </w:p>
    <w:p w14:paraId="207BDF56" w14:textId="088E06F3" w:rsidR="005678B7" w:rsidRPr="005678B7" w:rsidRDefault="005678B7" w:rsidP="005678B7">
      <w:pPr>
        <w:rPr>
          <w:rFonts w:ascii="Arial" w:hAnsi="Arial" w:cs="Arial"/>
          <w:sz w:val="24"/>
          <w:szCs w:val="24"/>
        </w:rPr>
      </w:pPr>
      <w:r w:rsidRPr="005678B7">
        <w:rPr>
          <w:rFonts w:ascii="Arial" w:hAnsi="Arial" w:cs="Arial"/>
          <w:sz w:val="24"/>
          <w:szCs w:val="24"/>
        </w:rPr>
        <w:t xml:space="preserve">Garland, D. (2001) </w:t>
      </w:r>
      <w:r w:rsidRPr="005678B7">
        <w:rPr>
          <w:rFonts w:ascii="Arial" w:hAnsi="Arial" w:cs="Arial"/>
          <w:i/>
          <w:iCs/>
          <w:sz w:val="24"/>
          <w:szCs w:val="24"/>
        </w:rPr>
        <w:t>The Culture of Control: Crime and Social Order in Contemporary Society</w:t>
      </w:r>
      <w:r w:rsidRPr="005678B7">
        <w:rPr>
          <w:rFonts w:ascii="Arial" w:hAnsi="Arial" w:cs="Arial"/>
          <w:sz w:val="24"/>
          <w:szCs w:val="24"/>
        </w:rPr>
        <w:t>. Oxford: Oxford University Press.</w:t>
      </w:r>
    </w:p>
    <w:p w14:paraId="4ACFE187" w14:textId="77777777" w:rsidR="00AC1144" w:rsidRDefault="00AC1144" w:rsidP="005678B7">
      <w:pPr>
        <w:rPr>
          <w:rFonts w:ascii="Arial" w:hAnsi="Arial" w:cs="Arial"/>
          <w:sz w:val="24"/>
          <w:szCs w:val="24"/>
        </w:rPr>
      </w:pPr>
    </w:p>
    <w:p w14:paraId="4B33A33C" w14:textId="50E70C4E" w:rsidR="005678B7" w:rsidRPr="005678B7" w:rsidRDefault="005678B7" w:rsidP="005678B7">
      <w:pPr>
        <w:rPr>
          <w:rFonts w:ascii="Arial" w:hAnsi="Arial" w:cs="Arial"/>
          <w:sz w:val="24"/>
          <w:szCs w:val="24"/>
        </w:rPr>
      </w:pPr>
      <w:r w:rsidRPr="005678B7">
        <w:rPr>
          <w:rFonts w:ascii="Arial" w:hAnsi="Arial" w:cs="Arial"/>
          <w:sz w:val="24"/>
          <w:szCs w:val="24"/>
        </w:rPr>
        <w:t xml:space="preserve">Giddens, A. (2001) </w:t>
      </w:r>
      <w:r w:rsidRPr="005678B7">
        <w:rPr>
          <w:rFonts w:ascii="Arial" w:hAnsi="Arial" w:cs="Arial"/>
          <w:i/>
          <w:iCs/>
          <w:sz w:val="24"/>
          <w:szCs w:val="24"/>
        </w:rPr>
        <w:t>Sociology</w:t>
      </w:r>
      <w:r w:rsidRPr="005678B7">
        <w:rPr>
          <w:rFonts w:ascii="Arial" w:hAnsi="Arial" w:cs="Arial"/>
          <w:sz w:val="24"/>
          <w:szCs w:val="24"/>
        </w:rPr>
        <w:t xml:space="preserve">. 4th </w:t>
      </w:r>
      <w:proofErr w:type="spellStart"/>
      <w:r w:rsidRPr="005678B7">
        <w:rPr>
          <w:rFonts w:ascii="Arial" w:hAnsi="Arial" w:cs="Arial"/>
          <w:sz w:val="24"/>
          <w:szCs w:val="24"/>
        </w:rPr>
        <w:t>edn</w:t>
      </w:r>
      <w:proofErr w:type="spellEnd"/>
      <w:r w:rsidRPr="005678B7">
        <w:rPr>
          <w:rFonts w:ascii="Arial" w:hAnsi="Arial" w:cs="Arial"/>
          <w:sz w:val="24"/>
          <w:szCs w:val="24"/>
        </w:rPr>
        <w:t>. Cambridge: Polity Press.</w:t>
      </w:r>
    </w:p>
    <w:p w14:paraId="7784D9FB" w14:textId="77777777" w:rsidR="00AC1144" w:rsidRDefault="00AC1144" w:rsidP="005678B7">
      <w:pPr>
        <w:rPr>
          <w:rFonts w:ascii="Arial" w:hAnsi="Arial" w:cs="Arial"/>
          <w:sz w:val="24"/>
          <w:szCs w:val="24"/>
        </w:rPr>
      </w:pPr>
    </w:p>
    <w:p w14:paraId="170A0918" w14:textId="240BE60A" w:rsidR="005678B7" w:rsidRPr="005678B7" w:rsidRDefault="005678B7" w:rsidP="005678B7">
      <w:pPr>
        <w:rPr>
          <w:rFonts w:ascii="Arial" w:hAnsi="Arial" w:cs="Arial"/>
          <w:sz w:val="24"/>
          <w:szCs w:val="24"/>
        </w:rPr>
      </w:pPr>
      <w:r w:rsidRPr="005678B7">
        <w:rPr>
          <w:rFonts w:ascii="Arial" w:hAnsi="Arial" w:cs="Arial"/>
          <w:sz w:val="24"/>
          <w:szCs w:val="24"/>
        </w:rPr>
        <w:t xml:space="preserve">Gilroy, P. (1987) </w:t>
      </w:r>
      <w:r w:rsidRPr="005678B7">
        <w:rPr>
          <w:rFonts w:ascii="Arial" w:hAnsi="Arial" w:cs="Arial"/>
          <w:i/>
          <w:iCs/>
          <w:sz w:val="24"/>
          <w:szCs w:val="24"/>
        </w:rPr>
        <w:t xml:space="preserve">There </w:t>
      </w:r>
      <w:proofErr w:type="spellStart"/>
      <w:r w:rsidRPr="005678B7">
        <w:rPr>
          <w:rFonts w:ascii="Arial" w:hAnsi="Arial" w:cs="Arial"/>
          <w:i/>
          <w:iCs/>
          <w:sz w:val="24"/>
          <w:szCs w:val="24"/>
        </w:rPr>
        <w:t>Ain’t</w:t>
      </w:r>
      <w:proofErr w:type="spellEnd"/>
      <w:r w:rsidRPr="005678B7">
        <w:rPr>
          <w:rFonts w:ascii="Arial" w:hAnsi="Arial" w:cs="Arial"/>
          <w:i/>
          <w:iCs/>
          <w:sz w:val="24"/>
          <w:szCs w:val="24"/>
        </w:rPr>
        <w:t xml:space="preserve"> No Black in the Union Jack</w:t>
      </w:r>
      <w:r w:rsidRPr="005678B7">
        <w:rPr>
          <w:rFonts w:ascii="Arial" w:hAnsi="Arial" w:cs="Arial"/>
          <w:sz w:val="24"/>
          <w:szCs w:val="24"/>
        </w:rPr>
        <w:t>. London: Routledge.</w:t>
      </w:r>
    </w:p>
    <w:p w14:paraId="52D72BB5" w14:textId="77777777" w:rsidR="00AC1144" w:rsidRDefault="00AC1144" w:rsidP="005678B7">
      <w:pPr>
        <w:rPr>
          <w:rFonts w:ascii="Arial" w:hAnsi="Arial" w:cs="Arial"/>
          <w:sz w:val="24"/>
          <w:szCs w:val="24"/>
        </w:rPr>
      </w:pPr>
    </w:p>
    <w:p w14:paraId="770B9E74" w14:textId="3EAB75E8" w:rsidR="005678B7" w:rsidRPr="005678B7" w:rsidRDefault="005678B7" w:rsidP="005678B7">
      <w:pPr>
        <w:rPr>
          <w:rFonts w:ascii="Arial" w:hAnsi="Arial" w:cs="Arial"/>
          <w:sz w:val="24"/>
          <w:szCs w:val="24"/>
        </w:rPr>
      </w:pPr>
      <w:r w:rsidRPr="005678B7">
        <w:rPr>
          <w:rFonts w:ascii="Arial" w:hAnsi="Arial" w:cs="Arial"/>
          <w:sz w:val="24"/>
          <w:szCs w:val="24"/>
        </w:rPr>
        <w:t xml:space="preserve">Hall, S., Critcher, C., Jefferson, T., Clarke, J. and Roberts, B. (1978) </w:t>
      </w:r>
      <w:r w:rsidRPr="005678B7">
        <w:rPr>
          <w:rFonts w:ascii="Arial" w:hAnsi="Arial" w:cs="Arial"/>
          <w:i/>
          <w:iCs/>
          <w:sz w:val="24"/>
          <w:szCs w:val="24"/>
        </w:rPr>
        <w:t>Policing the Crisis: Mugging, the State and Law and Order</w:t>
      </w:r>
      <w:r w:rsidRPr="005678B7">
        <w:rPr>
          <w:rFonts w:ascii="Arial" w:hAnsi="Arial" w:cs="Arial"/>
          <w:sz w:val="24"/>
          <w:szCs w:val="24"/>
        </w:rPr>
        <w:t>. London: Macmillan.</w:t>
      </w:r>
    </w:p>
    <w:p w14:paraId="640C5CD8" w14:textId="77777777" w:rsidR="00AC1144" w:rsidRDefault="00AC1144" w:rsidP="005678B7">
      <w:pPr>
        <w:rPr>
          <w:rFonts w:ascii="Arial" w:hAnsi="Arial" w:cs="Arial"/>
          <w:sz w:val="24"/>
          <w:szCs w:val="24"/>
        </w:rPr>
      </w:pPr>
    </w:p>
    <w:p w14:paraId="13CAC5F3" w14:textId="29CE8A1B" w:rsidR="005678B7" w:rsidRPr="005678B7" w:rsidRDefault="00E02B7A" w:rsidP="005678B7">
      <w:pPr>
        <w:rPr>
          <w:rFonts w:ascii="Arial" w:hAnsi="Arial" w:cs="Arial"/>
          <w:sz w:val="24"/>
          <w:szCs w:val="24"/>
        </w:rPr>
      </w:pPr>
      <w:r w:rsidRPr="00E02B7A">
        <w:rPr>
          <w:rFonts w:ascii="Arial" w:hAnsi="Arial" w:cs="Arial"/>
          <w:sz w:val="24"/>
          <w:szCs w:val="24"/>
        </w:rPr>
        <w:t xml:space="preserve">Home Office (2023) Police powers and procedures: Stop and search and arrests, England and Wales, year ending 31 March 2023. Available at: </w:t>
      </w:r>
      <w:hyperlink r:id="rId11" w:history="1">
        <w:r w:rsidRPr="00E02B7A">
          <w:rPr>
            <w:rStyle w:val="Hyperlink"/>
            <w:rFonts w:ascii="Arial" w:hAnsi="Arial" w:cs="Arial"/>
            <w:sz w:val="24"/>
            <w:szCs w:val="24"/>
          </w:rPr>
          <w:t>https://www.gov.uk/government/statistics/stop-and-search-and-arrests-year-ending-march-2023/police-powers-and-procedures-stop-and-search-and-arrests-england-and-wales-year-ending-31-march-2023</w:t>
        </w:r>
      </w:hyperlink>
      <w:r w:rsidRPr="00E02B7A">
        <w:rPr>
          <w:rFonts w:ascii="Arial" w:hAnsi="Arial" w:cs="Arial"/>
          <w:sz w:val="24"/>
          <w:szCs w:val="24"/>
        </w:rPr>
        <w:t xml:space="preserve"> (Accessed: March 2026).</w:t>
      </w:r>
    </w:p>
    <w:p w14:paraId="04678600" w14:textId="77777777" w:rsidR="00AC1144" w:rsidRDefault="00AC1144" w:rsidP="005678B7">
      <w:pPr>
        <w:rPr>
          <w:rFonts w:ascii="Arial" w:hAnsi="Arial" w:cs="Arial"/>
          <w:sz w:val="24"/>
          <w:szCs w:val="24"/>
        </w:rPr>
      </w:pPr>
    </w:p>
    <w:p w14:paraId="6518ADDA" w14:textId="4952B145" w:rsidR="005678B7" w:rsidRPr="005678B7" w:rsidRDefault="005678B7" w:rsidP="005678B7">
      <w:pPr>
        <w:rPr>
          <w:rFonts w:ascii="Arial" w:hAnsi="Arial" w:cs="Arial"/>
          <w:sz w:val="24"/>
          <w:szCs w:val="24"/>
        </w:rPr>
      </w:pPr>
      <w:r w:rsidRPr="005678B7">
        <w:rPr>
          <w:rFonts w:ascii="Arial" w:hAnsi="Arial" w:cs="Arial"/>
          <w:sz w:val="24"/>
          <w:szCs w:val="24"/>
        </w:rPr>
        <w:t xml:space="preserve">Jackson, J., Bradford, B., Hough, M., Kuha, J., Stares, S., Widdop, S., Fitzgerald, R., Yordanova, M. and </w:t>
      </w:r>
      <w:proofErr w:type="spellStart"/>
      <w:r w:rsidRPr="005678B7">
        <w:rPr>
          <w:rFonts w:ascii="Arial" w:hAnsi="Arial" w:cs="Arial"/>
          <w:sz w:val="24"/>
          <w:szCs w:val="24"/>
        </w:rPr>
        <w:t>Galev</w:t>
      </w:r>
      <w:proofErr w:type="spellEnd"/>
      <w:r w:rsidRPr="005678B7">
        <w:rPr>
          <w:rFonts w:ascii="Arial" w:hAnsi="Arial" w:cs="Arial"/>
          <w:sz w:val="24"/>
          <w:szCs w:val="24"/>
        </w:rPr>
        <w:t xml:space="preserve">, T. (2012) ‘Why do people comply with the law?’, </w:t>
      </w:r>
      <w:r w:rsidRPr="005678B7">
        <w:rPr>
          <w:rFonts w:ascii="Arial" w:hAnsi="Arial" w:cs="Arial"/>
          <w:i/>
          <w:iCs/>
          <w:sz w:val="24"/>
          <w:szCs w:val="24"/>
        </w:rPr>
        <w:t>British Journal of Criminology</w:t>
      </w:r>
      <w:r w:rsidRPr="005678B7">
        <w:rPr>
          <w:rFonts w:ascii="Arial" w:hAnsi="Arial" w:cs="Arial"/>
          <w:sz w:val="24"/>
          <w:szCs w:val="24"/>
        </w:rPr>
        <w:t xml:space="preserve">, 52(6), pp. 1051–1071. Available at: </w:t>
      </w:r>
      <w:hyperlink r:id="rId12" w:tgtFrame="_new" w:history="1">
        <w:r w:rsidRPr="005678B7">
          <w:rPr>
            <w:rStyle w:val="Hyperlink"/>
            <w:rFonts w:ascii="Arial" w:hAnsi="Arial" w:cs="Arial"/>
            <w:sz w:val="24"/>
            <w:szCs w:val="24"/>
          </w:rPr>
          <w:t>https://doi.org/10.1093/bjc/azs032</w:t>
        </w:r>
      </w:hyperlink>
    </w:p>
    <w:p w14:paraId="30D75C39" w14:textId="77777777" w:rsidR="00AC1144" w:rsidRDefault="00AC1144" w:rsidP="005678B7">
      <w:pPr>
        <w:rPr>
          <w:rFonts w:ascii="Arial" w:hAnsi="Arial" w:cs="Arial"/>
          <w:sz w:val="24"/>
          <w:szCs w:val="24"/>
        </w:rPr>
      </w:pPr>
    </w:p>
    <w:p w14:paraId="531053D1" w14:textId="01B8CE49" w:rsidR="00E02B7A" w:rsidRPr="00E02B7A" w:rsidRDefault="00E02B7A" w:rsidP="00E02B7A">
      <w:pPr>
        <w:rPr>
          <w:rFonts w:ascii="Arial" w:hAnsi="Arial" w:cs="Arial"/>
          <w:sz w:val="24"/>
          <w:szCs w:val="24"/>
        </w:rPr>
      </w:pPr>
      <w:r w:rsidRPr="00E02B7A">
        <w:rPr>
          <w:rFonts w:ascii="Arial" w:hAnsi="Arial" w:cs="Arial"/>
          <w:sz w:val="24"/>
          <w:szCs w:val="24"/>
        </w:rPr>
        <w:lastRenderedPageBreak/>
        <w:t xml:space="preserve">Lammy, D. (2017) The Lammy Review: An independent review into the treatment of, and outcomes for, Black, Asian and Minority Ethnic individuals in the criminal justice system. Available at: </w:t>
      </w:r>
      <w:hyperlink r:id="rId13" w:history="1">
        <w:r w:rsidRPr="00E02B7A">
          <w:rPr>
            <w:rStyle w:val="Hyperlink"/>
            <w:rFonts w:ascii="Arial" w:hAnsi="Arial" w:cs="Arial"/>
            <w:sz w:val="24"/>
            <w:szCs w:val="24"/>
          </w:rPr>
          <w:t>https://www.gov.uk/government/publications/lammy-review-final-report</w:t>
        </w:r>
      </w:hyperlink>
      <w:r w:rsidRPr="00E02B7A">
        <w:rPr>
          <w:rFonts w:ascii="Arial" w:hAnsi="Arial" w:cs="Arial"/>
          <w:sz w:val="24"/>
          <w:szCs w:val="24"/>
        </w:rPr>
        <w:t xml:space="preserve"> (Accessed: March 2026).</w:t>
      </w:r>
    </w:p>
    <w:p w14:paraId="19554CF5" w14:textId="77777777" w:rsidR="00AC1144" w:rsidRDefault="00AC1144" w:rsidP="005678B7">
      <w:pPr>
        <w:rPr>
          <w:rFonts w:ascii="Arial" w:hAnsi="Arial" w:cs="Arial"/>
          <w:sz w:val="24"/>
          <w:szCs w:val="24"/>
        </w:rPr>
      </w:pPr>
    </w:p>
    <w:p w14:paraId="6AEC48B8" w14:textId="50F9C708" w:rsidR="005678B7" w:rsidRPr="005678B7" w:rsidRDefault="005678B7" w:rsidP="005678B7">
      <w:pPr>
        <w:rPr>
          <w:rFonts w:ascii="Arial" w:hAnsi="Arial" w:cs="Arial"/>
          <w:sz w:val="24"/>
          <w:szCs w:val="24"/>
        </w:rPr>
      </w:pPr>
      <w:r w:rsidRPr="005678B7">
        <w:rPr>
          <w:rFonts w:ascii="Arial" w:hAnsi="Arial" w:cs="Arial"/>
          <w:sz w:val="24"/>
          <w:szCs w:val="24"/>
        </w:rPr>
        <w:t xml:space="preserve">Loader, I. and Mulcahy, A. (2003) </w:t>
      </w:r>
      <w:r w:rsidRPr="005678B7">
        <w:rPr>
          <w:rFonts w:ascii="Arial" w:hAnsi="Arial" w:cs="Arial"/>
          <w:i/>
          <w:iCs/>
          <w:sz w:val="24"/>
          <w:szCs w:val="24"/>
        </w:rPr>
        <w:t>Policing and the Condition of England: Memory, Politics and Culture</w:t>
      </w:r>
      <w:r w:rsidRPr="005678B7">
        <w:rPr>
          <w:rFonts w:ascii="Arial" w:hAnsi="Arial" w:cs="Arial"/>
          <w:sz w:val="24"/>
          <w:szCs w:val="24"/>
        </w:rPr>
        <w:t>. Oxford: Oxford University Press.</w:t>
      </w:r>
    </w:p>
    <w:p w14:paraId="472893C0" w14:textId="77777777" w:rsidR="00E02B7A" w:rsidRDefault="00E02B7A" w:rsidP="005678B7">
      <w:pPr>
        <w:rPr>
          <w:rFonts w:ascii="Arial" w:hAnsi="Arial" w:cs="Arial"/>
          <w:sz w:val="24"/>
          <w:szCs w:val="24"/>
        </w:rPr>
      </w:pPr>
    </w:p>
    <w:p w14:paraId="05AEAB04" w14:textId="0FDA5CD8" w:rsidR="005678B7" w:rsidRPr="005678B7" w:rsidRDefault="005678B7" w:rsidP="005678B7">
      <w:pPr>
        <w:rPr>
          <w:rFonts w:ascii="Arial" w:hAnsi="Arial" w:cs="Arial"/>
          <w:sz w:val="24"/>
          <w:szCs w:val="24"/>
        </w:rPr>
      </w:pPr>
      <w:r w:rsidRPr="005678B7">
        <w:rPr>
          <w:rFonts w:ascii="Arial" w:hAnsi="Arial" w:cs="Arial"/>
          <w:sz w:val="24"/>
          <w:szCs w:val="24"/>
        </w:rPr>
        <w:t xml:space="preserve">Loftus, B. (2009) </w:t>
      </w:r>
      <w:r w:rsidRPr="005678B7">
        <w:rPr>
          <w:rFonts w:ascii="Arial" w:hAnsi="Arial" w:cs="Arial"/>
          <w:i/>
          <w:iCs/>
          <w:sz w:val="24"/>
          <w:szCs w:val="24"/>
        </w:rPr>
        <w:t>Police Culture in a Changing World</w:t>
      </w:r>
      <w:r w:rsidRPr="005678B7">
        <w:rPr>
          <w:rFonts w:ascii="Arial" w:hAnsi="Arial" w:cs="Arial"/>
          <w:sz w:val="24"/>
          <w:szCs w:val="24"/>
        </w:rPr>
        <w:t>. Oxford: Oxford University Press.</w:t>
      </w:r>
    </w:p>
    <w:p w14:paraId="6683E495" w14:textId="77777777" w:rsidR="00AC1144" w:rsidRDefault="00AC1144" w:rsidP="005678B7">
      <w:pPr>
        <w:rPr>
          <w:rFonts w:ascii="Arial" w:hAnsi="Arial" w:cs="Arial"/>
          <w:sz w:val="24"/>
          <w:szCs w:val="24"/>
        </w:rPr>
      </w:pPr>
    </w:p>
    <w:p w14:paraId="18E368C9" w14:textId="2FFC6B9A" w:rsidR="005678B7" w:rsidRPr="005678B7" w:rsidRDefault="00E02B7A" w:rsidP="005678B7">
      <w:pPr>
        <w:rPr>
          <w:rFonts w:ascii="Arial" w:hAnsi="Arial" w:cs="Arial"/>
          <w:sz w:val="24"/>
          <w:szCs w:val="24"/>
        </w:rPr>
      </w:pPr>
      <w:r w:rsidRPr="00E02B7A">
        <w:rPr>
          <w:rFonts w:ascii="Arial" w:hAnsi="Arial" w:cs="Arial"/>
          <w:sz w:val="24"/>
          <w:szCs w:val="24"/>
        </w:rPr>
        <w:t xml:space="preserve">Macpherson, W. (1999) The Stephen Lawrence Inquiry. London: The Stationery Office. Available at: </w:t>
      </w:r>
      <w:hyperlink r:id="rId14" w:history="1">
        <w:r w:rsidRPr="00E02B7A">
          <w:rPr>
            <w:rStyle w:val="Hyperlink"/>
            <w:rFonts w:ascii="Arial" w:hAnsi="Arial" w:cs="Arial"/>
            <w:sz w:val="24"/>
            <w:szCs w:val="24"/>
          </w:rPr>
          <w:t>https://assets.publishing.service.gov.uk/government/uploads/system/uploads/attachment_data/file/277111/4262.pdf</w:t>
        </w:r>
      </w:hyperlink>
      <w:r w:rsidRPr="00E02B7A">
        <w:rPr>
          <w:rFonts w:ascii="Arial" w:hAnsi="Arial" w:cs="Arial"/>
          <w:sz w:val="24"/>
          <w:szCs w:val="24"/>
        </w:rPr>
        <w:t xml:space="preserve"> (Accessed: March 2026).</w:t>
      </w:r>
    </w:p>
    <w:p w14:paraId="7BF4D4C8" w14:textId="77777777" w:rsidR="00E02B7A" w:rsidRDefault="00E02B7A" w:rsidP="00E02B7A">
      <w:pPr>
        <w:rPr>
          <w:rFonts w:ascii="Arial" w:hAnsi="Arial" w:cs="Arial"/>
          <w:sz w:val="24"/>
          <w:szCs w:val="24"/>
        </w:rPr>
      </w:pPr>
    </w:p>
    <w:p w14:paraId="23B7E3F8" w14:textId="67A13F0B" w:rsidR="00E02B7A" w:rsidRPr="00E02B7A" w:rsidRDefault="00E02B7A" w:rsidP="00E02B7A">
      <w:pPr>
        <w:rPr>
          <w:rFonts w:ascii="Arial" w:hAnsi="Arial" w:cs="Arial"/>
          <w:sz w:val="24"/>
          <w:szCs w:val="24"/>
        </w:rPr>
      </w:pPr>
      <w:r w:rsidRPr="00E02B7A">
        <w:rPr>
          <w:rFonts w:ascii="Arial" w:hAnsi="Arial" w:cs="Arial"/>
          <w:sz w:val="24"/>
          <w:szCs w:val="24"/>
        </w:rPr>
        <w:t xml:space="preserve">Ministry of Justice (2022) Ethnicity and the Criminal Justice System 2022. Available at: </w:t>
      </w:r>
      <w:hyperlink r:id="rId15" w:history="1">
        <w:r w:rsidRPr="00E02B7A">
          <w:rPr>
            <w:rStyle w:val="Hyperlink"/>
            <w:rFonts w:ascii="Arial" w:hAnsi="Arial" w:cs="Arial"/>
            <w:sz w:val="24"/>
            <w:szCs w:val="24"/>
          </w:rPr>
          <w:t>https://www.gov.uk/government/statistics/ethnicity-and-the-criminal-justice-system-2022</w:t>
        </w:r>
      </w:hyperlink>
      <w:r w:rsidRPr="00E02B7A">
        <w:rPr>
          <w:rFonts w:ascii="Arial" w:hAnsi="Arial" w:cs="Arial"/>
          <w:sz w:val="24"/>
          <w:szCs w:val="24"/>
        </w:rPr>
        <w:t xml:space="preserve"> (Accessed: March 2026).</w:t>
      </w:r>
    </w:p>
    <w:p w14:paraId="2A38855E" w14:textId="77777777" w:rsidR="00AC1144" w:rsidRDefault="00AC1144" w:rsidP="005678B7">
      <w:pPr>
        <w:rPr>
          <w:rFonts w:ascii="Arial" w:hAnsi="Arial" w:cs="Arial"/>
          <w:sz w:val="24"/>
          <w:szCs w:val="24"/>
        </w:rPr>
      </w:pPr>
    </w:p>
    <w:p w14:paraId="11951EBC" w14:textId="0853E385" w:rsidR="005678B7" w:rsidRPr="005678B7" w:rsidRDefault="005678B7" w:rsidP="005678B7">
      <w:pPr>
        <w:rPr>
          <w:rFonts w:ascii="Arial" w:hAnsi="Arial" w:cs="Arial"/>
          <w:sz w:val="24"/>
          <w:szCs w:val="24"/>
        </w:rPr>
      </w:pPr>
      <w:r w:rsidRPr="005678B7">
        <w:rPr>
          <w:rFonts w:ascii="Arial" w:hAnsi="Arial" w:cs="Arial"/>
          <w:sz w:val="24"/>
          <w:szCs w:val="24"/>
        </w:rPr>
        <w:t xml:space="preserve">Phillips, C. and Bowling, B. (2017) ‘Ethnicity, race and crime’, in Liebling, A., Maruna, S. and McAra, L. (eds.) </w:t>
      </w:r>
      <w:r w:rsidRPr="005678B7">
        <w:rPr>
          <w:rFonts w:ascii="Arial" w:hAnsi="Arial" w:cs="Arial"/>
          <w:i/>
          <w:iCs/>
          <w:sz w:val="24"/>
          <w:szCs w:val="24"/>
        </w:rPr>
        <w:t>The Oxford Handbook of Criminology</w:t>
      </w:r>
      <w:r w:rsidRPr="005678B7">
        <w:rPr>
          <w:rFonts w:ascii="Arial" w:hAnsi="Arial" w:cs="Arial"/>
          <w:sz w:val="24"/>
          <w:szCs w:val="24"/>
        </w:rPr>
        <w:t xml:space="preserve">. 6th </w:t>
      </w:r>
      <w:proofErr w:type="spellStart"/>
      <w:r w:rsidRPr="005678B7">
        <w:rPr>
          <w:rFonts w:ascii="Arial" w:hAnsi="Arial" w:cs="Arial"/>
          <w:sz w:val="24"/>
          <w:szCs w:val="24"/>
        </w:rPr>
        <w:t>edn</w:t>
      </w:r>
      <w:proofErr w:type="spellEnd"/>
      <w:r w:rsidRPr="005678B7">
        <w:rPr>
          <w:rFonts w:ascii="Arial" w:hAnsi="Arial" w:cs="Arial"/>
          <w:sz w:val="24"/>
          <w:szCs w:val="24"/>
        </w:rPr>
        <w:t>. Oxford: Oxford University Press.</w:t>
      </w:r>
    </w:p>
    <w:p w14:paraId="23843138" w14:textId="77777777" w:rsidR="00AC1144" w:rsidRDefault="00AC1144" w:rsidP="005678B7">
      <w:pPr>
        <w:rPr>
          <w:rFonts w:ascii="Arial" w:hAnsi="Arial" w:cs="Arial"/>
          <w:sz w:val="24"/>
          <w:szCs w:val="24"/>
        </w:rPr>
      </w:pPr>
    </w:p>
    <w:p w14:paraId="20C8D882" w14:textId="23CA50A3" w:rsidR="005678B7" w:rsidRPr="005678B7" w:rsidRDefault="005678B7" w:rsidP="005678B7">
      <w:pPr>
        <w:rPr>
          <w:rFonts w:ascii="Arial" w:hAnsi="Arial" w:cs="Arial"/>
          <w:sz w:val="24"/>
          <w:szCs w:val="24"/>
        </w:rPr>
      </w:pPr>
      <w:r w:rsidRPr="005678B7">
        <w:rPr>
          <w:rFonts w:ascii="Arial" w:hAnsi="Arial" w:cs="Arial"/>
          <w:sz w:val="24"/>
          <w:szCs w:val="24"/>
        </w:rPr>
        <w:t xml:space="preserve">Reiner, R. (2010) </w:t>
      </w:r>
      <w:r w:rsidRPr="005678B7">
        <w:rPr>
          <w:rFonts w:ascii="Arial" w:hAnsi="Arial" w:cs="Arial"/>
          <w:i/>
          <w:iCs/>
          <w:sz w:val="24"/>
          <w:szCs w:val="24"/>
        </w:rPr>
        <w:t>The Politics of the Police</w:t>
      </w:r>
      <w:r w:rsidRPr="005678B7">
        <w:rPr>
          <w:rFonts w:ascii="Arial" w:hAnsi="Arial" w:cs="Arial"/>
          <w:sz w:val="24"/>
          <w:szCs w:val="24"/>
        </w:rPr>
        <w:t xml:space="preserve">. 4th </w:t>
      </w:r>
      <w:proofErr w:type="spellStart"/>
      <w:r w:rsidRPr="005678B7">
        <w:rPr>
          <w:rFonts w:ascii="Arial" w:hAnsi="Arial" w:cs="Arial"/>
          <w:sz w:val="24"/>
          <w:szCs w:val="24"/>
        </w:rPr>
        <w:t>edn</w:t>
      </w:r>
      <w:proofErr w:type="spellEnd"/>
      <w:r w:rsidRPr="005678B7">
        <w:rPr>
          <w:rFonts w:ascii="Arial" w:hAnsi="Arial" w:cs="Arial"/>
          <w:sz w:val="24"/>
          <w:szCs w:val="24"/>
        </w:rPr>
        <w:t>. Oxford: Oxford University Press.</w:t>
      </w:r>
    </w:p>
    <w:p w14:paraId="1D8D5A15" w14:textId="77777777" w:rsidR="00AC1144" w:rsidRDefault="00AC1144" w:rsidP="005678B7">
      <w:pPr>
        <w:rPr>
          <w:rFonts w:ascii="Arial" w:hAnsi="Arial" w:cs="Arial"/>
          <w:sz w:val="24"/>
          <w:szCs w:val="24"/>
        </w:rPr>
      </w:pPr>
    </w:p>
    <w:p w14:paraId="5426AE45" w14:textId="7217FEA7" w:rsidR="005678B7" w:rsidRPr="005678B7" w:rsidRDefault="00E02B7A" w:rsidP="005678B7">
      <w:pPr>
        <w:rPr>
          <w:rFonts w:ascii="Arial" w:hAnsi="Arial" w:cs="Arial"/>
          <w:sz w:val="24"/>
          <w:szCs w:val="24"/>
        </w:rPr>
      </w:pPr>
      <w:r w:rsidRPr="00E02B7A">
        <w:rPr>
          <w:rFonts w:ascii="Arial" w:hAnsi="Arial" w:cs="Arial"/>
          <w:sz w:val="24"/>
          <w:szCs w:val="24"/>
        </w:rPr>
        <w:t xml:space="preserve">Scarman, L. (1981) The Brixton Disorders 10–12 April 1981. London: HMSO. Available at: </w:t>
      </w:r>
      <w:hyperlink r:id="rId16" w:history="1">
        <w:r w:rsidRPr="00E02B7A">
          <w:rPr>
            <w:rStyle w:val="Hyperlink"/>
            <w:rFonts w:ascii="Arial" w:hAnsi="Arial" w:cs="Arial"/>
            <w:sz w:val="24"/>
            <w:szCs w:val="24"/>
          </w:rPr>
          <w:t>https://archive.org/details/scarmanreportrep0000scar</w:t>
        </w:r>
      </w:hyperlink>
      <w:r w:rsidRPr="00E02B7A">
        <w:rPr>
          <w:rFonts w:ascii="Arial" w:hAnsi="Arial" w:cs="Arial"/>
          <w:sz w:val="24"/>
          <w:szCs w:val="24"/>
        </w:rPr>
        <w:t xml:space="preserve">  (Accessed: March 2026).</w:t>
      </w:r>
    </w:p>
    <w:p w14:paraId="03DD29CA" w14:textId="77777777" w:rsidR="00AC1144" w:rsidRDefault="00AC1144" w:rsidP="005678B7">
      <w:pPr>
        <w:rPr>
          <w:rFonts w:ascii="Arial" w:hAnsi="Arial" w:cs="Arial"/>
          <w:sz w:val="24"/>
          <w:szCs w:val="24"/>
        </w:rPr>
      </w:pPr>
    </w:p>
    <w:p w14:paraId="257F367F" w14:textId="77777777" w:rsidR="00520E41" w:rsidRDefault="00520E41" w:rsidP="005678B7">
      <w:pPr>
        <w:rPr>
          <w:rFonts w:ascii="Arial" w:hAnsi="Arial" w:cs="Arial"/>
          <w:sz w:val="24"/>
          <w:szCs w:val="24"/>
        </w:rPr>
      </w:pPr>
    </w:p>
    <w:p w14:paraId="6AF86C00" w14:textId="6F941101" w:rsidR="005678B7" w:rsidRPr="005678B7" w:rsidRDefault="005678B7" w:rsidP="005678B7">
      <w:pPr>
        <w:rPr>
          <w:rFonts w:ascii="Arial" w:hAnsi="Arial" w:cs="Arial"/>
          <w:sz w:val="24"/>
          <w:szCs w:val="24"/>
        </w:rPr>
      </w:pPr>
      <w:r w:rsidRPr="00B4056E">
        <w:rPr>
          <w:rFonts w:ascii="Arial" w:hAnsi="Arial" w:cs="Arial"/>
          <w:sz w:val="24"/>
          <w:szCs w:val="24"/>
        </w:rPr>
        <w:lastRenderedPageBreak/>
        <w:t xml:space="preserve">Shiner, M., Carre, Z., Delsol, R. and Eastwood, N. </w:t>
      </w:r>
      <w:r w:rsidRPr="00536F5E">
        <w:rPr>
          <w:rFonts w:ascii="Arial" w:hAnsi="Arial" w:cs="Arial"/>
          <w:sz w:val="24"/>
          <w:szCs w:val="24"/>
        </w:rPr>
        <w:t>(2018</w:t>
      </w:r>
      <w:r w:rsidR="00536F5E">
        <w:rPr>
          <w:rFonts w:ascii="Arial" w:hAnsi="Arial" w:cs="Arial"/>
          <w:sz w:val="24"/>
          <w:szCs w:val="24"/>
        </w:rPr>
        <w:t>)</w:t>
      </w:r>
      <w:r w:rsidRPr="00536F5E">
        <w:rPr>
          <w:rFonts w:ascii="Arial" w:hAnsi="Arial" w:cs="Arial"/>
          <w:i/>
          <w:iCs/>
          <w:sz w:val="24"/>
          <w:szCs w:val="24"/>
        </w:rPr>
        <w:t xml:space="preserve"> ‘The colour of injustice: Race, drugs and law enforcement in England and Wales</w:t>
      </w:r>
      <w:r w:rsidR="00EA1FF6">
        <w:rPr>
          <w:rFonts w:ascii="Arial" w:hAnsi="Arial" w:cs="Arial"/>
          <w:i/>
          <w:iCs/>
          <w:sz w:val="24"/>
          <w:szCs w:val="24"/>
        </w:rPr>
        <w:t>’</w:t>
      </w:r>
      <w:r w:rsidR="00B4056E" w:rsidRPr="00536F5E">
        <w:rPr>
          <w:rFonts w:ascii="Arial" w:hAnsi="Arial" w:cs="Arial"/>
          <w:i/>
          <w:iCs/>
          <w:sz w:val="24"/>
          <w:szCs w:val="24"/>
        </w:rPr>
        <w:t>.</w:t>
      </w:r>
      <w:r w:rsidR="00B4056E">
        <w:rPr>
          <w:rFonts w:ascii="Arial" w:hAnsi="Arial" w:cs="Arial"/>
          <w:sz w:val="24"/>
          <w:szCs w:val="24"/>
        </w:rPr>
        <w:t xml:space="preserve"> </w:t>
      </w:r>
      <w:r w:rsidR="003E4056">
        <w:rPr>
          <w:rFonts w:ascii="Arial" w:hAnsi="Arial" w:cs="Arial"/>
          <w:sz w:val="24"/>
          <w:szCs w:val="24"/>
        </w:rPr>
        <w:t xml:space="preserve">London: LSE. </w:t>
      </w:r>
      <w:r w:rsidR="00B4056E">
        <w:rPr>
          <w:rFonts w:ascii="Arial" w:hAnsi="Arial" w:cs="Arial"/>
          <w:sz w:val="24"/>
          <w:szCs w:val="24"/>
        </w:rPr>
        <w:t xml:space="preserve">Available at: </w:t>
      </w:r>
      <w:hyperlink r:id="rId17" w:history="1">
        <w:r w:rsidR="00B4056E" w:rsidRPr="00A55C9D">
          <w:rPr>
            <w:rStyle w:val="Hyperlink"/>
            <w:rFonts w:ascii="Arial" w:hAnsi="Arial" w:cs="Arial"/>
            <w:sz w:val="24"/>
            <w:szCs w:val="24"/>
          </w:rPr>
          <w:t>https://www.lse.ac.uk/united-states/Assets/Documents/The-Colour-of-Injustice.pdf</w:t>
        </w:r>
      </w:hyperlink>
      <w:r w:rsidR="00B4056E">
        <w:rPr>
          <w:rFonts w:ascii="Arial" w:hAnsi="Arial" w:cs="Arial"/>
          <w:sz w:val="24"/>
          <w:szCs w:val="24"/>
        </w:rPr>
        <w:t xml:space="preserve"> </w:t>
      </w:r>
      <w:r w:rsidR="00520E41">
        <w:rPr>
          <w:rFonts w:ascii="Arial" w:hAnsi="Arial" w:cs="Arial"/>
          <w:sz w:val="24"/>
          <w:szCs w:val="24"/>
        </w:rPr>
        <w:t>(Accessed: March 2026).</w:t>
      </w:r>
    </w:p>
    <w:p w14:paraId="71749B94" w14:textId="77777777" w:rsidR="00CF5F17" w:rsidRDefault="00CF5F17" w:rsidP="005678B7">
      <w:pPr>
        <w:rPr>
          <w:rFonts w:ascii="Arial" w:hAnsi="Arial" w:cs="Arial"/>
          <w:sz w:val="24"/>
          <w:szCs w:val="24"/>
        </w:rPr>
      </w:pPr>
    </w:p>
    <w:p w14:paraId="40D1DA9D" w14:textId="3AC9F97A" w:rsidR="00AC1144" w:rsidRDefault="00E02B7A" w:rsidP="005678B7">
      <w:pPr>
        <w:rPr>
          <w:rFonts w:ascii="Arial" w:hAnsi="Arial" w:cs="Arial"/>
          <w:sz w:val="24"/>
          <w:szCs w:val="24"/>
        </w:rPr>
      </w:pPr>
      <w:proofErr w:type="spellStart"/>
      <w:r w:rsidRPr="00E02B7A">
        <w:rPr>
          <w:rFonts w:ascii="Arial" w:hAnsi="Arial" w:cs="Arial"/>
          <w:sz w:val="24"/>
          <w:szCs w:val="24"/>
        </w:rPr>
        <w:t>StopWatch</w:t>
      </w:r>
      <w:proofErr w:type="spellEnd"/>
      <w:r w:rsidRPr="00E02B7A">
        <w:rPr>
          <w:rFonts w:ascii="Arial" w:hAnsi="Arial" w:cs="Arial"/>
          <w:sz w:val="24"/>
          <w:szCs w:val="24"/>
        </w:rPr>
        <w:t xml:space="preserve"> (2018) </w:t>
      </w:r>
      <w:r w:rsidRPr="007D79AD">
        <w:rPr>
          <w:rFonts w:ascii="Arial" w:hAnsi="Arial" w:cs="Arial"/>
          <w:i/>
          <w:iCs/>
          <w:sz w:val="24"/>
          <w:szCs w:val="24"/>
        </w:rPr>
        <w:t>The colour of injustice: ‘Race’, drugs and law enforcement in England and Wales</w:t>
      </w:r>
      <w:r w:rsidRPr="00E02B7A">
        <w:rPr>
          <w:rFonts w:ascii="Arial" w:hAnsi="Arial" w:cs="Arial"/>
          <w:sz w:val="24"/>
          <w:szCs w:val="24"/>
        </w:rPr>
        <w:t xml:space="preserve">. Available at: </w:t>
      </w:r>
      <w:hyperlink r:id="rId18" w:history="1">
        <w:r w:rsidRPr="00E02B7A">
          <w:rPr>
            <w:rStyle w:val="Hyperlink"/>
            <w:rFonts w:ascii="Arial" w:hAnsi="Arial" w:cs="Arial"/>
            <w:sz w:val="24"/>
            <w:szCs w:val="24"/>
          </w:rPr>
          <w:t>https://www.stop-watch.org/news-opinion/the-colour-of-injustice-race-drugs-and-law-enforcement-in-england-and-wales/</w:t>
        </w:r>
      </w:hyperlink>
      <w:r w:rsidRPr="00E02B7A">
        <w:rPr>
          <w:rFonts w:ascii="Arial" w:hAnsi="Arial" w:cs="Arial"/>
          <w:sz w:val="24"/>
          <w:szCs w:val="24"/>
        </w:rPr>
        <w:t xml:space="preserve">  (Accessed: March 2026).</w:t>
      </w:r>
    </w:p>
    <w:p w14:paraId="54560453" w14:textId="77777777" w:rsidR="00AC1144" w:rsidRDefault="00AC1144" w:rsidP="005678B7">
      <w:pPr>
        <w:rPr>
          <w:rFonts w:ascii="Arial" w:hAnsi="Arial" w:cs="Arial"/>
          <w:sz w:val="24"/>
          <w:szCs w:val="24"/>
        </w:rPr>
      </w:pPr>
    </w:p>
    <w:p w14:paraId="50A2C1BF" w14:textId="4DBC8563" w:rsidR="005678B7" w:rsidRPr="005678B7" w:rsidRDefault="005678B7" w:rsidP="005678B7">
      <w:pPr>
        <w:rPr>
          <w:rFonts w:ascii="Arial" w:hAnsi="Arial" w:cs="Arial"/>
          <w:sz w:val="24"/>
          <w:szCs w:val="24"/>
        </w:rPr>
      </w:pPr>
      <w:proofErr w:type="spellStart"/>
      <w:r w:rsidRPr="005678B7">
        <w:rPr>
          <w:rFonts w:ascii="Arial" w:hAnsi="Arial" w:cs="Arial"/>
          <w:sz w:val="24"/>
          <w:szCs w:val="24"/>
        </w:rPr>
        <w:t>Tiratelli</w:t>
      </w:r>
      <w:proofErr w:type="spellEnd"/>
      <w:r w:rsidRPr="005678B7">
        <w:rPr>
          <w:rFonts w:ascii="Arial" w:hAnsi="Arial" w:cs="Arial"/>
          <w:sz w:val="24"/>
          <w:szCs w:val="24"/>
        </w:rPr>
        <w:t xml:space="preserve">, M., Quinton, P. and Bradford, B. (2018) ‘Does stop and search deter crime?’, </w:t>
      </w:r>
      <w:r w:rsidRPr="005678B7">
        <w:rPr>
          <w:rFonts w:ascii="Arial" w:hAnsi="Arial" w:cs="Arial"/>
          <w:i/>
          <w:iCs/>
          <w:sz w:val="24"/>
          <w:szCs w:val="24"/>
        </w:rPr>
        <w:t>British Journal of Criminology</w:t>
      </w:r>
      <w:r w:rsidRPr="005678B7">
        <w:rPr>
          <w:rFonts w:ascii="Arial" w:hAnsi="Arial" w:cs="Arial"/>
          <w:sz w:val="24"/>
          <w:szCs w:val="24"/>
        </w:rPr>
        <w:t xml:space="preserve">, 58(5), pp. 1212–1231. Available at: </w:t>
      </w:r>
      <w:hyperlink r:id="rId19" w:tgtFrame="_new" w:history="1">
        <w:r w:rsidRPr="005678B7">
          <w:rPr>
            <w:rStyle w:val="Hyperlink"/>
            <w:rFonts w:ascii="Arial" w:hAnsi="Arial" w:cs="Arial"/>
            <w:sz w:val="24"/>
            <w:szCs w:val="24"/>
          </w:rPr>
          <w:t>https://doi.org/10.1093/bjc/azx085</w:t>
        </w:r>
      </w:hyperlink>
    </w:p>
    <w:p w14:paraId="6A92B57A" w14:textId="77777777" w:rsidR="00AC1144" w:rsidRDefault="00AC1144" w:rsidP="005678B7">
      <w:pPr>
        <w:rPr>
          <w:rFonts w:ascii="Arial" w:hAnsi="Arial" w:cs="Arial"/>
          <w:sz w:val="24"/>
          <w:szCs w:val="24"/>
        </w:rPr>
      </w:pPr>
    </w:p>
    <w:p w14:paraId="0EEF8BAA" w14:textId="02F0CA6F" w:rsidR="005678B7" w:rsidRPr="005678B7" w:rsidRDefault="005678B7" w:rsidP="005678B7">
      <w:pPr>
        <w:rPr>
          <w:rFonts w:ascii="Arial" w:hAnsi="Arial" w:cs="Arial"/>
          <w:sz w:val="24"/>
          <w:szCs w:val="24"/>
        </w:rPr>
      </w:pPr>
      <w:r w:rsidRPr="005678B7">
        <w:rPr>
          <w:rFonts w:ascii="Arial" w:hAnsi="Arial" w:cs="Arial"/>
          <w:sz w:val="24"/>
          <w:szCs w:val="24"/>
        </w:rPr>
        <w:t xml:space="preserve">Tyler, T.R. (2006) </w:t>
      </w:r>
      <w:r w:rsidRPr="005678B7">
        <w:rPr>
          <w:rFonts w:ascii="Arial" w:hAnsi="Arial" w:cs="Arial"/>
          <w:i/>
          <w:iCs/>
          <w:sz w:val="24"/>
          <w:szCs w:val="24"/>
        </w:rPr>
        <w:t>Why People Obey the Law</w:t>
      </w:r>
      <w:r w:rsidRPr="005678B7">
        <w:rPr>
          <w:rFonts w:ascii="Arial" w:hAnsi="Arial" w:cs="Arial"/>
          <w:sz w:val="24"/>
          <w:szCs w:val="24"/>
        </w:rPr>
        <w:t>. Princeton: Princeton University Press.</w:t>
      </w:r>
    </w:p>
    <w:p w14:paraId="74D269E1" w14:textId="77777777" w:rsidR="003C7435" w:rsidRDefault="003C7435" w:rsidP="005678B7">
      <w:pPr>
        <w:rPr>
          <w:rFonts w:ascii="Arial" w:hAnsi="Arial" w:cs="Arial"/>
          <w:sz w:val="24"/>
          <w:szCs w:val="24"/>
        </w:rPr>
      </w:pPr>
    </w:p>
    <w:p w14:paraId="16CDB2FB" w14:textId="683C854B" w:rsidR="005678B7" w:rsidRPr="005678B7" w:rsidRDefault="005678B7" w:rsidP="005678B7">
      <w:pPr>
        <w:rPr>
          <w:rFonts w:ascii="Arial" w:hAnsi="Arial" w:cs="Arial"/>
          <w:sz w:val="24"/>
          <w:szCs w:val="24"/>
        </w:rPr>
      </w:pPr>
      <w:r w:rsidRPr="005678B7">
        <w:rPr>
          <w:rFonts w:ascii="Arial" w:hAnsi="Arial" w:cs="Arial"/>
          <w:sz w:val="24"/>
          <w:szCs w:val="24"/>
        </w:rPr>
        <w:t xml:space="preserve">Tyler, T.R. and Huo, Y.J. (2002) </w:t>
      </w:r>
      <w:r w:rsidRPr="005678B7">
        <w:rPr>
          <w:rFonts w:ascii="Arial" w:hAnsi="Arial" w:cs="Arial"/>
          <w:i/>
          <w:iCs/>
          <w:sz w:val="24"/>
          <w:szCs w:val="24"/>
        </w:rPr>
        <w:t>Trust in the Law: Encouraging Public Cooperation with the Police and Courts</w:t>
      </w:r>
      <w:r w:rsidRPr="005678B7">
        <w:rPr>
          <w:rFonts w:ascii="Arial" w:hAnsi="Arial" w:cs="Arial"/>
          <w:sz w:val="24"/>
          <w:szCs w:val="24"/>
        </w:rPr>
        <w:t>. New York: Russell Sage Foundation.</w:t>
      </w:r>
    </w:p>
    <w:p w14:paraId="1D257A3A" w14:textId="77777777" w:rsidR="00AC1144" w:rsidRDefault="00AC1144" w:rsidP="005678B7">
      <w:pPr>
        <w:rPr>
          <w:rFonts w:ascii="Arial" w:hAnsi="Arial" w:cs="Arial"/>
          <w:sz w:val="24"/>
          <w:szCs w:val="24"/>
        </w:rPr>
      </w:pPr>
    </w:p>
    <w:p w14:paraId="6C57FFD4" w14:textId="1948E929" w:rsidR="005678B7" w:rsidRPr="005678B7" w:rsidRDefault="005678B7" w:rsidP="005678B7">
      <w:pPr>
        <w:rPr>
          <w:rFonts w:ascii="Arial" w:hAnsi="Arial" w:cs="Arial"/>
          <w:sz w:val="24"/>
          <w:szCs w:val="24"/>
        </w:rPr>
      </w:pPr>
      <w:r w:rsidRPr="005678B7">
        <w:rPr>
          <w:rFonts w:ascii="Arial" w:hAnsi="Arial" w:cs="Arial"/>
          <w:sz w:val="24"/>
          <w:szCs w:val="24"/>
        </w:rPr>
        <w:t xml:space="preserve">Waddington, P.A.J., Stenson, K. and Don, D. (2004) ‘In proportion: Race, and police stop and search’, </w:t>
      </w:r>
      <w:r w:rsidRPr="005678B7">
        <w:rPr>
          <w:rFonts w:ascii="Arial" w:hAnsi="Arial" w:cs="Arial"/>
          <w:i/>
          <w:iCs/>
          <w:sz w:val="24"/>
          <w:szCs w:val="24"/>
        </w:rPr>
        <w:t>British Journal of Criminology</w:t>
      </w:r>
      <w:r w:rsidRPr="005678B7">
        <w:rPr>
          <w:rFonts w:ascii="Arial" w:hAnsi="Arial" w:cs="Arial"/>
          <w:sz w:val="24"/>
          <w:szCs w:val="24"/>
        </w:rPr>
        <w:t xml:space="preserve">, 44(6), pp. 889–914. Available at: </w:t>
      </w:r>
      <w:hyperlink r:id="rId20" w:history="1">
        <w:r w:rsidR="00653BA7" w:rsidRPr="009A728C">
          <w:rPr>
            <w:rStyle w:val="Hyperlink"/>
            <w:rFonts w:ascii="Arial" w:hAnsi="Arial" w:cs="Arial"/>
            <w:sz w:val="24"/>
            <w:szCs w:val="24"/>
          </w:rPr>
          <w:t>https://doi.org/10.1093/bjc/azh042</w:t>
        </w:r>
      </w:hyperlink>
      <w:r w:rsidR="00653BA7">
        <w:rPr>
          <w:rFonts w:ascii="Arial" w:hAnsi="Arial" w:cs="Arial"/>
          <w:sz w:val="24"/>
          <w:szCs w:val="24"/>
        </w:rPr>
        <w:t xml:space="preserve"> </w:t>
      </w:r>
    </w:p>
    <w:p w14:paraId="3326C00F" w14:textId="77777777" w:rsidR="00AC1144" w:rsidRDefault="00AC1144" w:rsidP="005678B7">
      <w:pPr>
        <w:rPr>
          <w:rFonts w:ascii="Arial" w:hAnsi="Arial" w:cs="Arial"/>
          <w:sz w:val="24"/>
          <w:szCs w:val="24"/>
        </w:rPr>
      </w:pPr>
    </w:p>
    <w:p w14:paraId="06FE4E26" w14:textId="41CEBC9E" w:rsidR="005678B7" w:rsidRPr="005678B7" w:rsidRDefault="005678B7" w:rsidP="005678B7">
      <w:pPr>
        <w:rPr>
          <w:rFonts w:ascii="Arial" w:hAnsi="Arial" w:cs="Arial"/>
          <w:sz w:val="24"/>
          <w:szCs w:val="24"/>
        </w:rPr>
      </w:pPr>
      <w:r w:rsidRPr="005678B7">
        <w:rPr>
          <w:rFonts w:ascii="Arial" w:hAnsi="Arial" w:cs="Arial"/>
          <w:sz w:val="24"/>
          <w:szCs w:val="24"/>
        </w:rPr>
        <w:t xml:space="preserve">Young, J. (1999) </w:t>
      </w:r>
      <w:r w:rsidRPr="005678B7">
        <w:rPr>
          <w:rFonts w:ascii="Arial" w:hAnsi="Arial" w:cs="Arial"/>
          <w:i/>
          <w:iCs/>
          <w:sz w:val="24"/>
          <w:szCs w:val="24"/>
        </w:rPr>
        <w:t>The Exclusive Society</w:t>
      </w:r>
      <w:r w:rsidRPr="005678B7">
        <w:rPr>
          <w:rFonts w:ascii="Arial" w:hAnsi="Arial" w:cs="Arial"/>
          <w:sz w:val="24"/>
          <w:szCs w:val="24"/>
        </w:rPr>
        <w:t>. London: Sage.</w:t>
      </w:r>
    </w:p>
    <w:p w14:paraId="25E4A691" w14:textId="77777777" w:rsidR="004942D1" w:rsidRDefault="004942D1">
      <w:pPr>
        <w:rPr>
          <w:rFonts w:ascii="Arial" w:hAnsi="Arial" w:cs="Arial"/>
          <w:sz w:val="24"/>
          <w:szCs w:val="24"/>
        </w:rPr>
      </w:pPr>
    </w:p>
    <w:p w14:paraId="03CA64A2" w14:textId="77777777" w:rsidR="00767481" w:rsidRPr="00767481" w:rsidRDefault="00767481" w:rsidP="00767481">
      <w:pPr>
        <w:rPr>
          <w:rFonts w:ascii="Arial" w:hAnsi="Arial" w:cs="Arial"/>
          <w:sz w:val="24"/>
          <w:szCs w:val="24"/>
        </w:rPr>
      </w:pPr>
    </w:p>
    <w:p w14:paraId="7BB80936" w14:textId="77777777" w:rsidR="00767481" w:rsidRPr="00767481" w:rsidRDefault="00767481" w:rsidP="00767481">
      <w:pPr>
        <w:rPr>
          <w:rFonts w:ascii="Arial" w:hAnsi="Arial" w:cs="Arial"/>
          <w:sz w:val="24"/>
          <w:szCs w:val="24"/>
        </w:rPr>
      </w:pPr>
    </w:p>
    <w:p w14:paraId="569AD4BD" w14:textId="77777777" w:rsidR="001E09BE" w:rsidRDefault="001E09BE" w:rsidP="00767481">
      <w:pPr>
        <w:rPr>
          <w:rFonts w:ascii="Arial" w:hAnsi="Arial" w:cs="Arial"/>
          <w:sz w:val="24"/>
          <w:szCs w:val="24"/>
        </w:rPr>
      </w:pPr>
    </w:p>
    <w:p w14:paraId="3ECA841E" w14:textId="38416781" w:rsidR="00B53BC4" w:rsidRPr="00ED04C4" w:rsidRDefault="00B53BC4" w:rsidP="00767481">
      <w:pPr>
        <w:rPr>
          <w:rFonts w:ascii="Arial" w:hAnsi="Arial" w:cs="Arial"/>
          <w:sz w:val="24"/>
          <w:szCs w:val="24"/>
        </w:rPr>
      </w:pPr>
    </w:p>
    <w:sectPr w:rsidR="00B53BC4" w:rsidRPr="00ED04C4" w:rsidSect="00B278E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78B7"/>
    <w:rsid w:val="00003552"/>
    <w:rsid w:val="000076B6"/>
    <w:rsid w:val="00023279"/>
    <w:rsid w:val="00026379"/>
    <w:rsid w:val="0003565D"/>
    <w:rsid w:val="0005689E"/>
    <w:rsid w:val="00060127"/>
    <w:rsid w:val="00064204"/>
    <w:rsid w:val="00083FD9"/>
    <w:rsid w:val="000A12E0"/>
    <w:rsid w:val="000C2B01"/>
    <w:rsid w:val="000C6640"/>
    <w:rsid w:val="000C76AE"/>
    <w:rsid w:val="000D5059"/>
    <w:rsid w:val="000F4C3F"/>
    <w:rsid w:val="000F69E6"/>
    <w:rsid w:val="00145FCA"/>
    <w:rsid w:val="001552AC"/>
    <w:rsid w:val="00173C1C"/>
    <w:rsid w:val="0017570C"/>
    <w:rsid w:val="00177275"/>
    <w:rsid w:val="00184D72"/>
    <w:rsid w:val="001A2789"/>
    <w:rsid w:val="001C4674"/>
    <w:rsid w:val="001D32E2"/>
    <w:rsid w:val="001E09BE"/>
    <w:rsid w:val="001E53C4"/>
    <w:rsid w:val="001E707D"/>
    <w:rsid w:val="00200362"/>
    <w:rsid w:val="0021690D"/>
    <w:rsid w:val="002200D1"/>
    <w:rsid w:val="00225B8A"/>
    <w:rsid w:val="00227893"/>
    <w:rsid w:val="00243F1C"/>
    <w:rsid w:val="002524B1"/>
    <w:rsid w:val="002528FF"/>
    <w:rsid w:val="002640A5"/>
    <w:rsid w:val="00282508"/>
    <w:rsid w:val="00283430"/>
    <w:rsid w:val="00293D91"/>
    <w:rsid w:val="002A7667"/>
    <w:rsid w:val="002C3DA1"/>
    <w:rsid w:val="002C7823"/>
    <w:rsid w:val="002E43FC"/>
    <w:rsid w:val="002F374A"/>
    <w:rsid w:val="002F3E54"/>
    <w:rsid w:val="00304AC1"/>
    <w:rsid w:val="00324814"/>
    <w:rsid w:val="003256EB"/>
    <w:rsid w:val="003267CC"/>
    <w:rsid w:val="0033619F"/>
    <w:rsid w:val="00364B07"/>
    <w:rsid w:val="003666A5"/>
    <w:rsid w:val="003746DA"/>
    <w:rsid w:val="003A3B9C"/>
    <w:rsid w:val="003A3EF4"/>
    <w:rsid w:val="003C7435"/>
    <w:rsid w:val="003E4056"/>
    <w:rsid w:val="004017B5"/>
    <w:rsid w:val="004105BC"/>
    <w:rsid w:val="0041412D"/>
    <w:rsid w:val="00414FE9"/>
    <w:rsid w:val="00442550"/>
    <w:rsid w:val="004715B1"/>
    <w:rsid w:val="00481097"/>
    <w:rsid w:val="0048236B"/>
    <w:rsid w:val="0048672D"/>
    <w:rsid w:val="00494132"/>
    <w:rsid w:val="004942D1"/>
    <w:rsid w:val="004B49CF"/>
    <w:rsid w:val="004D6043"/>
    <w:rsid w:val="004E1BF3"/>
    <w:rsid w:val="004F7934"/>
    <w:rsid w:val="00505C61"/>
    <w:rsid w:val="00514E49"/>
    <w:rsid w:val="00520E41"/>
    <w:rsid w:val="005333CE"/>
    <w:rsid w:val="00536F5E"/>
    <w:rsid w:val="005421BE"/>
    <w:rsid w:val="0054287C"/>
    <w:rsid w:val="005531F6"/>
    <w:rsid w:val="005678B7"/>
    <w:rsid w:val="0057244F"/>
    <w:rsid w:val="00592C35"/>
    <w:rsid w:val="005B194B"/>
    <w:rsid w:val="005B3ACE"/>
    <w:rsid w:val="005D138B"/>
    <w:rsid w:val="005E68A1"/>
    <w:rsid w:val="005F1CC3"/>
    <w:rsid w:val="006038C2"/>
    <w:rsid w:val="006271B8"/>
    <w:rsid w:val="006347F1"/>
    <w:rsid w:val="006512A4"/>
    <w:rsid w:val="00653BA7"/>
    <w:rsid w:val="00657E04"/>
    <w:rsid w:val="0066666B"/>
    <w:rsid w:val="00666CEC"/>
    <w:rsid w:val="00670B4D"/>
    <w:rsid w:val="00671D77"/>
    <w:rsid w:val="00675947"/>
    <w:rsid w:val="00683648"/>
    <w:rsid w:val="006853B3"/>
    <w:rsid w:val="00695F8A"/>
    <w:rsid w:val="006C7F9B"/>
    <w:rsid w:val="006D2544"/>
    <w:rsid w:val="007104F2"/>
    <w:rsid w:val="00713638"/>
    <w:rsid w:val="0072676D"/>
    <w:rsid w:val="00734D85"/>
    <w:rsid w:val="007456D3"/>
    <w:rsid w:val="00760DD2"/>
    <w:rsid w:val="007615AF"/>
    <w:rsid w:val="00762F27"/>
    <w:rsid w:val="00766C6E"/>
    <w:rsid w:val="00767481"/>
    <w:rsid w:val="007674D2"/>
    <w:rsid w:val="00784E69"/>
    <w:rsid w:val="007858BD"/>
    <w:rsid w:val="00793E93"/>
    <w:rsid w:val="007A13C6"/>
    <w:rsid w:val="007B67ED"/>
    <w:rsid w:val="007D79AD"/>
    <w:rsid w:val="007E72B7"/>
    <w:rsid w:val="007F2A67"/>
    <w:rsid w:val="007F5AFB"/>
    <w:rsid w:val="007F7F2F"/>
    <w:rsid w:val="008015CD"/>
    <w:rsid w:val="008421C7"/>
    <w:rsid w:val="00843304"/>
    <w:rsid w:val="00865399"/>
    <w:rsid w:val="0088567C"/>
    <w:rsid w:val="00893D9F"/>
    <w:rsid w:val="008A4719"/>
    <w:rsid w:val="008A55C0"/>
    <w:rsid w:val="008B36CD"/>
    <w:rsid w:val="008B42FB"/>
    <w:rsid w:val="008C0102"/>
    <w:rsid w:val="008C424B"/>
    <w:rsid w:val="008C7943"/>
    <w:rsid w:val="008D0A3D"/>
    <w:rsid w:val="008D0BFE"/>
    <w:rsid w:val="008D2483"/>
    <w:rsid w:val="008F6B8F"/>
    <w:rsid w:val="00904654"/>
    <w:rsid w:val="00904B1A"/>
    <w:rsid w:val="0092318E"/>
    <w:rsid w:val="0092334B"/>
    <w:rsid w:val="009329F5"/>
    <w:rsid w:val="00952E84"/>
    <w:rsid w:val="009660F9"/>
    <w:rsid w:val="0097409C"/>
    <w:rsid w:val="00975D10"/>
    <w:rsid w:val="0099795B"/>
    <w:rsid w:val="00997E42"/>
    <w:rsid w:val="009A1D3F"/>
    <w:rsid w:val="009A3EA5"/>
    <w:rsid w:val="009B58ED"/>
    <w:rsid w:val="009B5D11"/>
    <w:rsid w:val="009C775E"/>
    <w:rsid w:val="009D27DC"/>
    <w:rsid w:val="009D440F"/>
    <w:rsid w:val="009E4A69"/>
    <w:rsid w:val="009E6F66"/>
    <w:rsid w:val="009E7585"/>
    <w:rsid w:val="00A175BC"/>
    <w:rsid w:val="00A178D5"/>
    <w:rsid w:val="00A347FC"/>
    <w:rsid w:val="00A36B48"/>
    <w:rsid w:val="00A606B8"/>
    <w:rsid w:val="00A635C4"/>
    <w:rsid w:val="00A8247A"/>
    <w:rsid w:val="00AA0AE7"/>
    <w:rsid w:val="00AA2A6C"/>
    <w:rsid w:val="00AC1144"/>
    <w:rsid w:val="00AE0D5F"/>
    <w:rsid w:val="00AE60F9"/>
    <w:rsid w:val="00AE6E01"/>
    <w:rsid w:val="00B1483B"/>
    <w:rsid w:val="00B1688B"/>
    <w:rsid w:val="00B234D5"/>
    <w:rsid w:val="00B278E5"/>
    <w:rsid w:val="00B310E8"/>
    <w:rsid w:val="00B4056E"/>
    <w:rsid w:val="00B47A21"/>
    <w:rsid w:val="00B5099A"/>
    <w:rsid w:val="00B53BC4"/>
    <w:rsid w:val="00B746D7"/>
    <w:rsid w:val="00B81AF1"/>
    <w:rsid w:val="00B85091"/>
    <w:rsid w:val="00B9754B"/>
    <w:rsid w:val="00BB4048"/>
    <w:rsid w:val="00BC5B1D"/>
    <w:rsid w:val="00BD3245"/>
    <w:rsid w:val="00BD3694"/>
    <w:rsid w:val="00BD4BC7"/>
    <w:rsid w:val="00BD5AC0"/>
    <w:rsid w:val="00BD661C"/>
    <w:rsid w:val="00C0564C"/>
    <w:rsid w:val="00C15539"/>
    <w:rsid w:val="00C3060B"/>
    <w:rsid w:val="00C409FB"/>
    <w:rsid w:val="00C42BCC"/>
    <w:rsid w:val="00C4547F"/>
    <w:rsid w:val="00C630FB"/>
    <w:rsid w:val="00C63BBF"/>
    <w:rsid w:val="00C66C78"/>
    <w:rsid w:val="00C73FBC"/>
    <w:rsid w:val="00C749BD"/>
    <w:rsid w:val="00C84EED"/>
    <w:rsid w:val="00CB6A6E"/>
    <w:rsid w:val="00CE7111"/>
    <w:rsid w:val="00CF2F69"/>
    <w:rsid w:val="00CF5F17"/>
    <w:rsid w:val="00D0175E"/>
    <w:rsid w:val="00D05551"/>
    <w:rsid w:val="00D13698"/>
    <w:rsid w:val="00D24ED1"/>
    <w:rsid w:val="00D328F2"/>
    <w:rsid w:val="00D400B9"/>
    <w:rsid w:val="00D40A25"/>
    <w:rsid w:val="00D60113"/>
    <w:rsid w:val="00D616AE"/>
    <w:rsid w:val="00D7087B"/>
    <w:rsid w:val="00DA4B10"/>
    <w:rsid w:val="00DA6C9E"/>
    <w:rsid w:val="00DD1565"/>
    <w:rsid w:val="00DE0FE2"/>
    <w:rsid w:val="00DE46E3"/>
    <w:rsid w:val="00E02B7A"/>
    <w:rsid w:val="00E40E95"/>
    <w:rsid w:val="00E51547"/>
    <w:rsid w:val="00E5262A"/>
    <w:rsid w:val="00E6150D"/>
    <w:rsid w:val="00E76ACD"/>
    <w:rsid w:val="00E80AB5"/>
    <w:rsid w:val="00E83077"/>
    <w:rsid w:val="00E8350B"/>
    <w:rsid w:val="00E92CB3"/>
    <w:rsid w:val="00E96290"/>
    <w:rsid w:val="00EA1FF6"/>
    <w:rsid w:val="00EA6E3D"/>
    <w:rsid w:val="00EB01E7"/>
    <w:rsid w:val="00EB1356"/>
    <w:rsid w:val="00EC7252"/>
    <w:rsid w:val="00ED04C4"/>
    <w:rsid w:val="00EF1778"/>
    <w:rsid w:val="00F00246"/>
    <w:rsid w:val="00F07B99"/>
    <w:rsid w:val="00F2065C"/>
    <w:rsid w:val="00F22150"/>
    <w:rsid w:val="00F26EC4"/>
    <w:rsid w:val="00F301BF"/>
    <w:rsid w:val="00F35BB8"/>
    <w:rsid w:val="00F37D62"/>
    <w:rsid w:val="00F4061A"/>
    <w:rsid w:val="00F55D88"/>
    <w:rsid w:val="00F95DC9"/>
    <w:rsid w:val="00FB0638"/>
    <w:rsid w:val="00FB48B9"/>
    <w:rsid w:val="00FB4C01"/>
    <w:rsid w:val="00FC35C9"/>
    <w:rsid w:val="00FC6C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1B30AE"/>
  <w15:chartTrackingRefBased/>
  <w15:docId w15:val="{26A91AC3-A9B6-4FF0-9B6B-0C0E11FC2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6ACD"/>
  </w:style>
  <w:style w:type="paragraph" w:styleId="Heading1">
    <w:name w:val="heading 1"/>
    <w:basedOn w:val="Normal"/>
    <w:next w:val="Normal"/>
    <w:link w:val="Heading1Char"/>
    <w:uiPriority w:val="9"/>
    <w:qFormat/>
    <w:rsid w:val="00E76ACD"/>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E76ACD"/>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E76ACD"/>
    <w:pPr>
      <w:pBdr>
        <w:top w:val="single" w:sz="6" w:space="2" w:color="4472C4" w:themeColor="accent1"/>
      </w:pBdr>
      <w:spacing w:before="300" w:after="0"/>
      <w:outlineLvl w:val="2"/>
    </w:pPr>
    <w:rPr>
      <w:caps/>
      <w:color w:val="1F3763" w:themeColor="accent1" w:themeShade="7F"/>
      <w:spacing w:val="15"/>
    </w:rPr>
  </w:style>
  <w:style w:type="paragraph" w:styleId="Heading4">
    <w:name w:val="heading 4"/>
    <w:basedOn w:val="Normal"/>
    <w:next w:val="Normal"/>
    <w:link w:val="Heading4Char"/>
    <w:uiPriority w:val="9"/>
    <w:semiHidden/>
    <w:unhideWhenUsed/>
    <w:qFormat/>
    <w:rsid w:val="00E76ACD"/>
    <w:pPr>
      <w:pBdr>
        <w:top w:val="dotted" w:sz="6" w:space="2" w:color="4472C4" w:themeColor="accent1"/>
      </w:pBdr>
      <w:spacing w:before="200" w:after="0"/>
      <w:outlineLvl w:val="3"/>
    </w:pPr>
    <w:rPr>
      <w:caps/>
      <w:color w:val="2F5496" w:themeColor="accent1" w:themeShade="BF"/>
      <w:spacing w:val="10"/>
    </w:rPr>
  </w:style>
  <w:style w:type="paragraph" w:styleId="Heading5">
    <w:name w:val="heading 5"/>
    <w:basedOn w:val="Normal"/>
    <w:next w:val="Normal"/>
    <w:link w:val="Heading5Char"/>
    <w:uiPriority w:val="9"/>
    <w:semiHidden/>
    <w:unhideWhenUsed/>
    <w:qFormat/>
    <w:rsid w:val="00E76ACD"/>
    <w:pPr>
      <w:pBdr>
        <w:bottom w:val="single" w:sz="6" w:space="1" w:color="4472C4" w:themeColor="accent1"/>
      </w:pBdr>
      <w:spacing w:before="200" w:after="0"/>
      <w:outlineLvl w:val="4"/>
    </w:pPr>
    <w:rPr>
      <w:caps/>
      <w:color w:val="2F5496" w:themeColor="accent1" w:themeShade="BF"/>
      <w:spacing w:val="10"/>
    </w:rPr>
  </w:style>
  <w:style w:type="paragraph" w:styleId="Heading6">
    <w:name w:val="heading 6"/>
    <w:basedOn w:val="Normal"/>
    <w:next w:val="Normal"/>
    <w:link w:val="Heading6Char"/>
    <w:uiPriority w:val="9"/>
    <w:semiHidden/>
    <w:unhideWhenUsed/>
    <w:qFormat/>
    <w:rsid w:val="00E76ACD"/>
    <w:pPr>
      <w:pBdr>
        <w:bottom w:val="dotted" w:sz="6" w:space="1" w:color="4472C4" w:themeColor="accent1"/>
      </w:pBdr>
      <w:spacing w:before="200" w:after="0"/>
      <w:outlineLvl w:val="5"/>
    </w:pPr>
    <w:rPr>
      <w:caps/>
      <w:color w:val="2F5496" w:themeColor="accent1" w:themeShade="BF"/>
      <w:spacing w:val="10"/>
    </w:rPr>
  </w:style>
  <w:style w:type="paragraph" w:styleId="Heading7">
    <w:name w:val="heading 7"/>
    <w:basedOn w:val="Normal"/>
    <w:next w:val="Normal"/>
    <w:link w:val="Heading7Char"/>
    <w:uiPriority w:val="9"/>
    <w:semiHidden/>
    <w:unhideWhenUsed/>
    <w:qFormat/>
    <w:rsid w:val="00E76ACD"/>
    <w:pPr>
      <w:spacing w:before="200" w:after="0"/>
      <w:outlineLvl w:val="6"/>
    </w:pPr>
    <w:rPr>
      <w:caps/>
      <w:color w:val="2F5496" w:themeColor="accent1" w:themeShade="BF"/>
      <w:spacing w:val="10"/>
    </w:rPr>
  </w:style>
  <w:style w:type="paragraph" w:styleId="Heading8">
    <w:name w:val="heading 8"/>
    <w:basedOn w:val="Normal"/>
    <w:next w:val="Normal"/>
    <w:link w:val="Heading8Char"/>
    <w:uiPriority w:val="9"/>
    <w:semiHidden/>
    <w:unhideWhenUsed/>
    <w:qFormat/>
    <w:rsid w:val="00E76ACD"/>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E76ACD"/>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6ACD"/>
    <w:rPr>
      <w:caps/>
      <w:color w:val="FFFFFF" w:themeColor="background1"/>
      <w:spacing w:val="15"/>
      <w:sz w:val="22"/>
      <w:szCs w:val="22"/>
      <w:shd w:val="clear" w:color="auto" w:fill="4472C4" w:themeFill="accent1"/>
    </w:rPr>
  </w:style>
  <w:style w:type="character" w:customStyle="1" w:styleId="Heading2Char">
    <w:name w:val="Heading 2 Char"/>
    <w:basedOn w:val="DefaultParagraphFont"/>
    <w:link w:val="Heading2"/>
    <w:uiPriority w:val="9"/>
    <w:rsid w:val="00E76ACD"/>
    <w:rPr>
      <w:caps/>
      <w:spacing w:val="15"/>
      <w:shd w:val="clear" w:color="auto" w:fill="D9E2F3" w:themeFill="accent1" w:themeFillTint="33"/>
    </w:rPr>
  </w:style>
  <w:style w:type="character" w:customStyle="1" w:styleId="Heading3Char">
    <w:name w:val="Heading 3 Char"/>
    <w:basedOn w:val="DefaultParagraphFont"/>
    <w:link w:val="Heading3"/>
    <w:uiPriority w:val="9"/>
    <w:semiHidden/>
    <w:rsid w:val="00E76ACD"/>
    <w:rPr>
      <w:caps/>
      <w:color w:val="1F3763" w:themeColor="accent1" w:themeShade="7F"/>
      <w:spacing w:val="15"/>
    </w:rPr>
  </w:style>
  <w:style w:type="character" w:customStyle="1" w:styleId="Heading4Char">
    <w:name w:val="Heading 4 Char"/>
    <w:basedOn w:val="DefaultParagraphFont"/>
    <w:link w:val="Heading4"/>
    <w:uiPriority w:val="9"/>
    <w:semiHidden/>
    <w:rsid w:val="00E76ACD"/>
    <w:rPr>
      <w:caps/>
      <w:color w:val="2F5496" w:themeColor="accent1" w:themeShade="BF"/>
      <w:spacing w:val="10"/>
    </w:rPr>
  </w:style>
  <w:style w:type="character" w:customStyle="1" w:styleId="Heading5Char">
    <w:name w:val="Heading 5 Char"/>
    <w:basedOn w:val="DefaultParagraphFont"/>
    <w:link w:val="Heading5"/>
    <w:uiPriority w:val="9"/>
    <w:semiHidden/>
    <w:rsid w:val="00E76ACD"/>
    <w:rPr>
      <w:caps/>
      <w:color w:val="2F5496" w:themeColor="accent1" w:themeShade="BF"/>
      <w:spacing w:val="10"/>
    </w:rPr>
  </w:style>
  <w:style w:type="character" w:customStyle="1" w:styleId="Heading6Char">
    <w:name w:val="Heading 6 Char"/>
    <w:basedOn w:val="DefaultParagraphFont"/>
    <w:link w:val="Heading6"/>
    <w:uiPriority w:val="9"/>
    <w:semiHidden/>
    <w:rsid w:val="00E76ACD"/>
    <w:rPr>
      <w:caps/>
      <w:color w:val="2F5496" w:themeColor="accent1" w:themeShade="BF"/>
      <w:spacing w:val="10"/>
    </w:rPr>
  </w:style>
  <w:style w:type="character" w:customStyle="1" w:styleId="Heading7Char">
    <w:name w:val="Heading 7 Char"/>
    <w:basedOn w:val="DefaultParagraphFont"/>
    <w:link w:val="Heading7"/>
    <w:uiPriority w:val="9"/>
    <w:semiHidden/>
    <w:rsid w:val="00E76ACD"/>
    <w:rPr>
      <w:caps/>
      <w:color w:val="2F5496" w:themeColor="accent1" w:themeShade="BF"/>
      <w:spacing w:val="10"/>
    </w:rPr>
  </w:style>
  <w:style w:type="character" w:customStyle="1" w:styleId="Heading8Char">
    <w:name w:val="Heading 8 Char"/>
    <w:basedOn w:val="DefaultParagraphFont"/>
    <w:link w:val="Heading8"/>
    <w:uiPriority w:val="9"/>
    <w:semiHidden/>
    <w:rsid w:val="00E76ACD"/>
    <w:rPr>
      <w:caps/>
      <w:spacing w:val="10"/>
      <w:sz w:val="18"/>
      <w:szCs w:val="18"/>
    </w:rPr>
  </w:style>
  <w:style w:type="character" w:customStyle="1" w:styleId="Heading9Char">
    <w:name w:val="Heading 9 Char"/>
    <w:basedOn w:val="DefaultParagraphFont"/>
    <w:link w:val="Heading9"/>
    <w:uiPriority w:val="9"/>
    <w:semiHidden/>
    <w:rsid w:val="00E76ACD"/>
    <w:rPr>
      <w:i/>
      <w:iCs/>
      <w:caps/>
      <w:spacing w:val="10"/>
      <w:sz w:val="18"/>
      <w:szCs w:val="18"/>
    </w:rPr>
  </w:style>
  <w:style w:type="paragraph" w:styleId="Title">
    <w:name w:val="Title"/>
    <w:basedOn w:val="Normal"/>
    <w:next w:val="Normal"/>
    <w:link w:val="TitleChar"/>
    <w:uiPriority w:val="10"/>
    <w:qFormat/>
    <w:rsid w:val="00E76ACD"/>
    <w:pPr>
      <w:spacing w:before="0" w:after="0"/>
    </w:pPr>
    <w:rPr>
      <w:rFonts w:asciiTheme="majorHAnsi" w:eastAsiaTheme="majorEastAsia" w:hAnsiTheme="majorHAnsi" w:cstheme="majorBidi"/>
      <w:caps/>
      <w:color w:val="4472C4" w:themeColor="accent1"/>
      <w:spacing w:val="10"/>
      <w:sz w:val="52"/>
      <w:szCs w:val="52"/>
    </w:rPr>
  </w:style>
  <w:style w:type="character" w:customStyle="1" w:styleId="TitleChar">
    <w:name w:val="Title Char"/>
    <w:basedOn w:val="DefaultParagraphFont"/>
    <w:link w:val="Title"/>
    <w:uiPriority w:val="10"/>
    <w:rsid w:val="00E76ACD"/>
    <w:rPr>
      <w:rFonts w:asciiTheme="majorHAnsi" w:eastAsiaTheme="majorEastAsia" w:hAnsiTheme="majorHAnsi" w:cstheme="majorBidi"/>
      <w:caps/>
      <w:color w:val="4472C4" w:themeColor="accent1"/>
      <w:spacing w:val="10"/>
      <w:sz w:val="52"/>
      <w:szCs w:val="52"/>
    </w:rPr>
  </w:style>
  <w:style w:type="paragraph" w:styleId="Subtitle">
    <w:name w:val="Subtitle"/>
    <w:basedOn w:val="Normal"/>
    <w:next w:val="Normal"/>
    <w:link w:val="SubtitleChar"/>
    <w:uiPriority w:val="11"/>
    <w:qFormat/>
    <w:rsid w:val="00E76ACD"/>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E76ACD"/>
    <w:rPr>
      <w:caps/>
      <w:color w:val="595959" w:themeColor="text1" w:themeTint="A6"/>
      <w:spacing w:val="10"/>
      <w:sz w:val="21"/>
      <w:szCs w:val="21"/>
    </w:rPr>
  </w:style>
  <w:style w:type="paragraph" w:styleId="Quote">
    <w:name w:val="Quote"/>
    <w:basedOn w:val="Normal"/>
    <w:next w:val="Normal"/>
    <w:link w:val="QuoteChar"/>
    <w:uiPriority w:val="29"/>
    <w:qFormat/>
    <w:rsid w:val="00E76ACD"/>
    <w:rPr>
      <w:i/>
      <w:iCs/>
      <w:sz w:val="24"/>
      <w:szCs w:val="24"/>
    </w:rPr>
  </w:style>
  <w:style w:type="character" w:customStyle="1" w:styleId="QuoteChar">
    <w:name w:val="Quote Char"/>
    <w:basedOn w:val="DefaultParagraphFont"/>
    <w:link w:val="Quote"/>
    <w:uiPriority w:val="29"/>
    <w:rsid w:val="00E76ACD"/>
    <w:rPr>
      <w:i/>
      <w:iCs/>
      <w:sz w:val="24"/>
      <w:szCs w:val="24"/>
    </w:rPr>
  </w:style>
  <w:style w:type="paragraph" w:styleId="ListParagraph">
    <w:name w:val="List Paragraph"/>
    <w:basedOn w:val="Normal"/>
    <w:uiPriority w:val="34"/>
    <w:qFormat/>
    <w:rsid w:val="005678B7"/>
    <w:pPr>
      <w:ind w:left="720"/>
      <w:contextualSpacing/>
    </w:pPr>
  </w:style>
  <w:style w:type="character" w:styleId="IntenseEmphasis">
    <w:name w:val="Intense Emphasis"/>
    <w:uiPriority w:val="21"/>
    <w:qFormat/>
    <w:rsid w:val="00E76ACD"/>
    <w:rPr>
      <w:b/>
      <w:bCs/>
      <w:caps/>
      <w:color w:val="1F3763" w:themeColor="accent1" w:themeShade="7F"/>
      <w:spacing w:val="10"/>
    </w:rPr>
  </w:style>
  <w:style w:type="paragraph" w:styleId="IntenseQuote">
    <w:name w:val="Intense Quote"/>
    <w:basedOn w:val="Normal"/>
    <w:next w:val="Normal"/>
    <w:link w:val="IntenseQuoteChar"/>
    <w:uiPriority w:val="30"/>
    <w:qFormat/>
    <w:rsid w:val="00E76ACD"/>
    <w:pPr>
      <w:spacing w:before="240" w:after="240" w:line="240" w:lineRule="auto"/>
      <w:ind w:left="1080" w:right="1080"/>
      <w:jc w:val="center"/>
    </w:pPr>
    <w:rPr>
      <w:color w:val="4472C4" w:themeColor="accent1"/>
      <w:sz w:val="24"/>
      <w:szCs w:val="24"/>
    </w:rPr>
  </w:style>
  <w:style w:type="character" w:customStyle="1" w:styleId="IntenseQuoteChar">
    <w:name w:val="Intense Quote Char"/>
    <w:basedOn w:val="DefaultParagraphFont"/>
    <w:link w:val="IntenseQuote"/>
    <w:uiPriority w:val="30"/>
    <w:rsid w:val="00E76ACD"/>
    <w:rPr>
      <w:color w:val="4472C4" w:themeColor="accent1"/>
      <w:sz w:val="24"/>
      <w:szCs w:val="24"/>
    </w:rPr>
  </w:style>
  <w:style w:type="character" w:styleId="IntenseReference">
    <w:name w:val="Intense Reference"/>
    <w:uiPriority w:val="32"/>
    <w:qFormat/>
    <w:rsid w:val="00E76ACD"/>
    <w:rPr>
      <w:b/>
      <w:bCs/>
      <w:i/>
      <w:iCs/>
      <w:caps/>
      <w:color w:val="4472C4" w:themeColor="accent1"/>
    </w:rPr>
  </w:style>
  <w:style w:type="character" w:styleId="Hyperlink">
    <w:name w:val="Hyperlink"/>
    <w:basedOn w:val="DefaultParagraphFont"/>
    <w:uiPriority w:val="99"/>
    <w:unhideWhenUsed/>
    <w:rsid w:val="005678B7"/>
    <w:rPr>
      <w:color w:val="0563C1" w:themeColor="hyperlink"/>
      <w:u w:val="single"/>
    </w:rPr>
  </w:style>
  <w:style w:type="character" w:styleId="UnresolvedMention">
    <w:name w:val="Unresolved Mention"/>
    <w:basedOn w:val="DefaultParagraphFont"/>
    <w:uiPriority w:val="99"/>
    <w:semiHidden/>
    <w:unhideWhenUsed/>
    <w:rsid w:val="005678B7"/>
    <w:rPr>
      <w:color w:val="605E5C"/>
      <w:shd w:val="clear" w:color="auto" w:fill="E1DFDD"/>
    </w:rPr>
  </w:style>
  <w:style w:type="paragraph" w:styleId="NormalWeb">
    <w:name w:val="Normal (Web)"/>
    <w:basedOn w:val="Normal"/>
    <w:uiPriority w:val="99"/>
    <w:semiHidden/>
    <w:unhideWhenUsed/>
    <w:rsid w:val="005678B7"/>
    <w:rPr>
      <w:rFonts w:ascii="Times New Roman" w:hAnsi="Times New Roman" w:cs="Times New Roman"/>
      <w:sz w:val="24"/>
      <w:szCs w:val="24"/>
    </w:rPr>
  </w:style>
  <w:style w:type="paragraph" w:styleId="NoSpacing">
    <w:name w:val="No Spacing"/>
    <w:link w:val="NoSpacingChar"/>
    <w:uiPriority w:val="1"/>
    <w:qFormat/>
    <w:rsid w:val="00E76ACD"/>
    <w:pPr>
      <w:spacing w:after="0" w:line="240" w:lineRule="auto"/>
    </w:pPr>
  </w:style>
  <w:style w:type="character" w:customStyle="1" w:styleId="NoSpacingChar">
    <w:name w:val="No Spacing Char"/>
    <w:basedOn w:val="DefaultParagraphFont"/>
    <w:link w:val="NoSpacing"/>
    <w:uiPriority w:val="1"/>
    <w:rsid w:val="00B278E5"/>
  </w:style>
  <w:style w:type="paragraph" w:styleId="TOCHeading">
    <w:name w:val="TOC Heading"/>
    <w:basedOn w:val="Heading1"/>
    <w:next w:val="Normal"/>
    <w:uiPriority w:val="39"/>
    <w:unhideWhenUsed/>
    <w:qFormat/>
    <w:rsid w:val="00E76ACD"/>
    <w:pPr>
      <w:outlineLvl w:val="9"/>
    </w:pPr>
  </w:style>
  <w:style w:type="paragraph" w:styleId="TOC1">
    <w:name w:val="toc 1"/>
    <w:basedOn w:val="Normal"/>
    <w:next w:val="Normal"/>
    <w:autoRedefine/>
    <w:uiPriority w:val="39"/>
    <w:unhideWhenUsed/>
    <w:rsid w:val="00B9754B"/>
    <w:pPr>
      <w:spacing w:after="100"/>
    </w:pPr>
  </w:style>
  <w:style w:type="paragraph" w:styleId="TOC2">
    <w:name w:val="toc 2"/>
    <w:basedOn w:val="Normal"/>
    <w:next w:val="Normal"/>
    <w:autoRedefine/>
    <w:uiPriority w:val="39"/>
    <w:unhideWhenUsed/>
    <w:rsid w:val="00B9754B"/>
    <w:pPr>
      <w:spacing w:after="100"/>
      <w:ind w:left="220"/>
    </w:pPr>
  </w:style>
  <w:style w:type="character" w:styleId="FollowedHyperlink">
    <w:name w:val="FollowedHyperlink"/>
    <w:basedOn w:val="DefaultParagraphFont"/>
    <w:uiPriority w:val="99"/>
    <w:semiHidden/>
    <w:unhideWhenUsed/>
    <w:rsid w:val="00767481"/>
    <w:rPr>
      <w:color w:val="954F72" w:themeColor="followedHyperlink"/>
      <w:u w:val="single"/>
    </w:rPr>
  </w:style>
  <w:style w:type="character" w:styleId="Emphasis">
    <w:name w:val="Emphasis"/>
    <w:uiPriority w:val="20"/>
    <w:qFormat/>
    <w:rsid w:val="00E76ACD"/>
    <w:rPr>
      <w:caps/>
      <w:color w:val="1F3763" w:themeColor="accent1" w:themeShade="7F"/>
      <w:spacing w:val="5"/>
    </w:rPr>
  </w:style>
  <w:style w:type="paragraph" w:styleId="Caption">
    <w:name w:val="caption"/>
    <w:basedOn w:val="Normal"/>
    <w:next w:val="Normal"/>
    <w:uiPriority w:val="35"/>
    <w:semiHidden/>
    <w:unhideWhenUsed/>
    <w:qFormat/>
    <w:rsid w:val="00E76ACD"/>
    <w:rPr>
      <w:b/>
      <w:bCs/>
      <w:color w:val="2F5496" w:themeColor="accent1" w:themeShade="BF"/>
      <w:sz w:val="16"/>
      <w:szCs w:val="16"/>
    </w:rPr>
  </w:style>
  <w:style w:type="character" w:styleId="Strong">
    <w:name w:val="Strong"/>
    <w:uiPriority w:val="22"/>
    <w:qFormat/>
    <w:rsid w:val="00E76ACD"/>
    <w:rPr>
      <w:b/>
      <w:bCs/>
    </w:rPr>
  </w:style>
  <w:style w:type="character" w:styleId="SubtleEmphasis">
    <w:name w:val="Subtle Emphasis"/>
    <w:uiPriority w:val="19"/>
    <w:qFormat/>
    <w:rsid w:val="00E76ACD"/>
    <w:rPr>
      <w:i/>
      <w:iCs/>
      <w:color w:val="1F3763" w:themeColor="accent1" w:themeShade="7F"/>
    </w:rPr>
  </w:style>
  <w:style w:type="character" w:styleId="SubtleReference">
    <w:name w:val="Subtle Reference"/>
    <w:uiPriority w:val="31"/>
    <w:qFormat/>
    <w:rsid w:val="00E76ACD"/>
    <w:rPr>
      <w:b/>
      <w:bCs/>
      <w:color w:val="4472C4" w:themeColor="accent1"/>
    </w:rPr>
  </w:style>
  <w:style w:type="character" w:styleId="BookTitle">
    <w:name w:val="Book Title"/>
    <w:uiPriority w:val="33"/>
    <w:qFormat/>
    <w:rsid w:val="00E76ACD"/>
    <w:rPr>
      <w:b/>
      <w:bCs/>
      <w:i/>
      <w:iCs/>
      <w:spacing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et.police.uk/SysSiteAssets/media/downloads/met/about-us/baroness-casey-review/update-march-2023/baroness-casey-review-march-2023a.pdf" TargetMode="External"/><Relationship Id="rId13" Type="http://schemas.openxmlformats.org/officeDocument/2006/relationships/hyperlink" Target="https://www.gov.uk/government/publications/lammy-review-final-report" TargetMode="External"/><Relationship Id="rId18" Type="http://schemas.openxmlformats.org/officeDocument/2006/relationships/hyperlink" Target="https://www.stop-watch.org/news-opinion/the-colour-of-injustice-race-drugs-and-law-enforcement-in-england-and-wales/"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doi.org/10.1080/10439460802457594" TargetMode="External"/><Relationship Id="rId12" Type="http://schemas.openxmlformats.org/officeDocument/2006/relationships/hyperlink" Target="https://doi.org/10.1093/bjc/azs032" TargetMode="External"/><Relationship Id="rId17" Type="http://schemas.openxmlformats.org/officeDocument/2006/relationships/hyperlink" Target="https://www.lse.ac.uk/united-states/Assets/Documents/The-Colour-of-Injustice.pdf" TargetMode="External"/><Relationship Id="rId2" Type="http://schemas.openxmlformats.org/officeDocument/2006/relationships/styles" Target="styles.xml"/><Relationship Id="rId16" Type="http://schemas.openxmlformats.org/officeDocument/2006/relationships/hyperlink" Target="https://archive.org/details/scarmanreportrep0000scar" TargetMode="External"/><Relationship Id="rId20" Type="http://schemas.openxmlformats.org/officeDocument/2006/relationships/hyperlink" Target="https://doi.org/10.1093/bjc/azh042" TargetMode="External"/><Relationship Id="rId1" Type="http://schemas.openxmlformats.org/officeDocument/2006/relationships/customXml" Target="../customXml/item1.xml"/><Relationship Id="rId6" Type="http://schemas.openxmlformats.org/officeDocument/2006/relationships/hyperlink" Target="https://doi.org/10.1111/j.1468-2230.2007.00671.x" TargetMode="External"/><Relationship Id="rId11" Type="http://schemas.openxmlformats.org/officeDocument/2006/relationships/hyperlink" Target="https://www.gov.uk/government/statistics/stop-and-search-and-arrests-year-ending-march-2023/police-powers-and-procedures-stop-and-search-and-arrests-england-and-wales-year-ending-31-march-2023" TargetMode="External"/><Relationship Id="rId5" Type="http://schemas.openxmlformats.org/officeDocument/2006/relationships/image" Target="media/image1.gif"/><Relationship Id="rId15" Type="http://schemas.openxmlformats.org/officeDocument/2006/relationships/hyperlink" Target="https://www.gov.uk/government/statistics/ethnicity-and-the-criminal-justice-system-2022" TargetMode="External"/><Relationship Id="rId10" Type="http://schemas.openxmlformats.org/officeDocument/2006/relationships/hyperlink" Target="https://www.equalityhumanrights.com/sites/default/files/ehrc_stop_and_search_report.pdf" TargetMode="External"/><Relationship Id="rId19" Type="http://schemas.openxmlformats.org/officeDocument/2006/relationships/hyperlink" Target="https://doi.org/10.1093/bjc/azx085" TargetMode="External"/><Relationship Id="rId4" Type="http://schemas.openxmlformats.org/officeDocument/2006/relationships/webSettings" Target="webSettings.xml"/><Relationship Id="rId9" Type="http://schemas.openxmlformats.org/officeDocument/2006/relationships/hyperlink" Target="https://www.college.police.uk/app/major-investigation-and-public-protection/hate-crime" TargetMode="External"/><Relationship Id="rId14" Type="http://schemas.openxmlformats.org/officeDocument/2006/relationships/hyperlink" Target="https://assets.publishing.service.gov.uk/government/uploads/system/uploads/attachment_data/file/277111/4262.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823BE8-13DE-44BD-9779-F69879ACC4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TotalTime>
  <Pages>15</Pages>
  <Words>3679</Words>
  <Characters>20975</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2310510</Company>
  <LinksUpToDate>false</LinksUpToDate>
  <CharactersWithSpaces>24605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Racism within the Police</dc:title>
  <dc:subject/>
  <dc:creator>Tim Nicholas</dc:creator>
  <cp:keywords/>
  <dc:description/>
  <cp:lastModifiedBy>Tim Nicholas</cp:lastModifiedBy>
  <cp:revision>206</cp:revision>
  <dcterms:created xsi:type="dcterms:W3CDTF">2026-03-25T14:54:00Z</dcterms:created>
  <dcterms:modified xsi:type="dcterms:W3CDTF">2026-04-29T18:00:00Z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c6c324a9-6485-4b85-af0c-331db3abf2dd</vt:lpwstr>
  </property>
</Properties>
</file>