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rFonts w:hint="default" w:ascii="Times New Roman" w:hAnsi="Times New Roman" w:cs="Times New Roman"/>
          <w:sz w:val="32"/>
          <w:szCs w:val="32"/>
          <w:lang w:val="en-US" w:eastAsia="zh-CN"/>
        </w:rPr>
      </w:pPr>
      <w:bookmarkStart w:id="0" w:name="_Toc32285"/>
      <w:bookmarkStart w:id="1" w:name="_Toc25989"/>
      <w:bookmarkStart w:id="2" w:name="_Toc22511"/>
      <w:r>
        <w:rPr>
          <w:rFonts w:hint="default" w:ascii="Times New Roman" w:hAnsi="Times New Roman" w:cs="Times New Roman"/>
          <w:sz w:val="32"/>
          <w:szCs w:val="32"/>
          <w:lang w:val="en-US" w:eastAsia="zh-CN"/>
        </w:rPr>
        <w:t>Report of Quantitative Research</w:t>
      </w:r>
      <w:bookmarkEnd w:id="0"/>
    </w:p>
    <w:p>
      <w:pPr>
        <w:pStyle w:val="2"/>
        <w:bidi w:val="0"/>
        <w:jc w:val="center"/>
        <w:outlineLvl w:val="9"/>
        <w:rPr>
          <w:rFonts w:hint="default" w:ascii="Times New Roman" w:hAnsi="Times New Roman" w:cs="Times New Roman"/>
          <w:sz w:val="32"/>
          <w:szCs w:val="32"/>
          <w:lang w:val="en-US" w:eastAsia="zh-CN"/>
        </w:rPr>
      </w:pPr>
    </w:p>
    <w:p>
      <w:pPr>
        <w:pStyle w:val="2"/>
        <w:bidi w:val="0"/>
        <w:jc w:val="center"/>
        <w:rPr>
          <w:rFonts w:hint="default" w:ascii="Times New Roman" w:hAnsi="Times New Roman" w:cs="Times New Roman"/>
          <w:sz w:val="32"/>
          <w:szCs w:val="32"/>
          <w:lang w:val="en-US" w:eastAsia="zh-CN"/>
        </w:rPr>
      </w:pPr>
      <w:bookmarkStart w:id="3" w:name="_Toc17879"/>
      <w:r>
        <w:rPr>
          <w:rFonts w:hint="default" w:ascii="Times New Roman" w:hAnsi="Times New Roman" w:cs="Times New Roman"/>
          <w:sz w:val="32"/>
          <w:szCs w:val="32"/>
          <w:lang w:val="en-US" w:eastAsia="zh-CN"/>
        </w:rPr>
        <w:t>Bowen Yu</w:t>
      </w:r>
      <w:bookmarkEnd w:id="3"/>
    </w:p>
    <w:p>
      <w:pPr>
        <w:pStyle w:val="2"/>
        <w:bidi w:val="0"/>
        <w:jc w:val="center"/>
        <w:outlineLvl w:val="9"/>
        <w:rPr>
          <w:rFonts w:hint="default" w:ascii="Times New Roman" w:hAnsi="Times New Roman" w:cs="Times New Roman"/>
          <w:sz w:val="32"/>
          <w:szCs w:val="32"/>
          <w:lang w:val="en-US" w:eastAsia="zh-CN"/>
        </w:rPr>
      </w:pPr>
    </w:p>
    <w:p>
      <w:pPr>
        <w:pStyle w:val="2"/>
        <w:bidi w:val="0"/>
        <w:jc w:val="center"/>
        <w:rPr>
          <w:rFonts w:hint="default" w:ascii="Times New Roman" w:hAnsi="Times New Roman" w:cs="Times New Roman"/>
          <w:sz w:val="32"/>
          <w:szCs w:val="32"/>
          <w:lang w:val="en-US" w:eastAsia="zh-CN"/>
        </w:rPr>
      </w:pPr>
      <w:bookmarkStart w:id="4" w:name="_Toc5541"/>
      <w:r>
        <w:rPr>
          <w:rFonts w:hint="default" w:ascii="Times New Roman" w:hAnsi="Times New Roman" w:cs="Times New Roman"/>
          <w:sz w:val="32"/>
          <w:szCs w:val="32"/>
          <w:lang w:val="en-US" w:eastAsia="zh-CN"/>
        </w:rPr>
        <w:t>2008848</w:t>
      </w:r>
      <w:bookmarkEnd w:id="4"/>
    </w:p>
    <w:p>
      <w:pPr>
        <w:pStyle w:val="2"/>
        <w:bidi w:val="0"/>
        <w:jc w:val="center"/>
        <w:outlineLvl w:val="9"/>
        <w:rPr>
          <w:rFonts w:hint="default" w:ascii="Times New Roman" w:hAnsi="Times New Roman" w:cs="Times New Roman"/>
          <w:sz w:val="32"/>
          <w:szCs w:val="32"/>
          <w:lang w:val="en-US" w:eastAsia="zh-CN"/>
        </w:rPr>
      </w:pPr>
    </w:p>
    <w:p>
      <w:pPr>
        <w:pStyle w:val="2"/>
        <w:bidi w:val="0"/>
        <w:jc w:val="center"/>
        <w:rPr>
          <w:rFonts w:hint="default" w:ascii="Times New Roman" w:hAnsi="Times New Roman" w:cs="Times New Roman"/>
          <w:sz w:val="32"/>
          <w:szCs w:val="32"/>
          <w:lang w:val="en-US" w:eastAsia="zh-CN"/>
        </w:rPr>
        <w:sectPr>
          <w:pgSz w:w="11906" w:h="16838"/>
          <w:pgMar w:top="1440" w:right="1800" w:bottom="1440" w:left="1800" w:header="851" w:footer="992" w:gutter="0"/>
          <w:cols w:space="425" w:num="1"/>
          <w:docGrid w:type="lines" w:linePitch="312" w:charSpace="0"/>
        </w:sectPr>
      </w:pPr>
      <w:bookmarkStart w:id="5" w:name="_Toc14523"/>
      <w:r>
        <w:rPr>
          <w:rFonts w:hint="eastAsia" w:ascii="Times New Roman" w:hAnsi="Times New Roman" w:cs="Times New Roman"/>
          <w:sz w:val="32"/>
          <w:szCs w:val="32"/>
          <w:lang w:val="en-US" w:eastAsia="zh-CN"/>
        </w:rPr>
        <w:t>3720</w:t>
      </w:r>
      <w:r>
        <w:rPr>
          <w:rFonts w:hint="default" w:ascii="Times New Roman" w:hAnsi="Times New Roman" w:cs="Times New Roman"/>
          <w:sz w:val="32"/>
          <w:szCs w:val="32"/>
          <w:lang w:val="en-US" w:eastAsia="zh-CN"/>
        </w:rPr>
        <w:t xml:space="preserve"> Words</w:t>
      </w:r>
      <w:bookmarkEnd w:id="5"/>
    </w:p>
    <w:p>
      <w:pPr>
        <w:pStyle w:val="2"/>
        <w:bidi w:val="0"/>
        <w:rPr>
          <w:rFonts w:hint="eastAsia"/>
          <w:lang w:val="en-US" w:eastAsia="zh-CN"/>
        </w:rPr>
      </w:pPr>
      <w:bookmarkStart w:id="6" w:name="_Toc16811"/>
      <w:r>
        <w:rPr>
          <w:rFonts w:hint="eastAsia"/>
          <w:lang w:val="en-US" w:eastAsia="zh-CN"/>
        </w:rPr>
        <w:t>Summary</w:t>
      </w:r>
      <w:bookmarkEnd w:id="1"/>
      <w:bookmarkEnd w:id="6"/>
    </w:p>
    <w:p>
      <w:pPr>
        <w:rPr>
          <w:rFonts w:hint="eastAsia"/>
          <w:lang w:val="en-US" w:eastAsia="zh-CN"/>
        </w:rPr>
      </w:pPr>
    </w:p>
    <w:p>
      <w:pPr>
        <w:rPr>
          <w:rFonts w:hint="default"/>
          <w:lang w:val="en-US" w:eastAsia="zh-CN"/>
        </w:rPr>
      </w:pPr>
      <w:r>
        <w:rPr>
          <w:rFonts w:hint="default"/>
          <w:lang w:val="en-US" w:eastAsia="zh-CN"/>
        </w:rPr>
        <w:t>This report mainly discusses quantitative analysis research methods, and discusses the application of quantitative analysis in the report using parametric and non-parametric statistics, and finally gives evaluations and suggestions.</w:t>
      </w:r>
    </w:p>
    <w:p>
      <w:pPr>
        <w:rPr>
          <w:rFonts w:hint="default"/>
          <w:lang w:val="en-US" w:eastAsia="zh-CN"/>
        </w:rPr>
      </w:pPr>
    </w:p>
    <w:p>
      <w:pPr>
        <w:rPr>
          <w:rFonts w:hint="default"/>
          <w:lang w:val="en-US" w:eastAsia="zh-CN"/>
        </w:rPr>
        <w:sectPr>
          <w:pgSz w:w="11906" w:h="16838"/>
          <w:pgMar w:top="1440" w:right="1800" w:bottom="1440" w:left="1800" w:header="851" w:footer="992" w:gutter="0"/>
          <w:cols w:space="425" w:num="1"/>
          <w:docGrid w:type="lines" w:linePitch="312" w:charSpace="0"/>
        </w:sectPr>
      </w:pPr>
      <w:r>
        <w:rPr>
          <w:rFonts w:hint="eastAsia"/>
          <w:lang w:val="en-US" w:eastAsia="zh-CN"/>
        </w:rPr>
        <w:t>Key Words:</w:t>
      </w:r>
      <w:r>
        <w:rPr>
          <w:rFonts w:hint="eastAsia"/>
          <w:b/>
          <w:bCs/>
          <w:lang w:val="en-US" w:eastAsia="zh-CN"/>
        </w:rPr>
        <w:t xml:space="preserve"> Quantitative Research. Parametric and Non-Parametric Statistics. Management. SME Management. </w:t>
      </w:r>
    </w:p>
    <w:sdt>
      <w:sdtPr>
        <w:rPr>
          <w:rFonts w:hint="default" w:ascii="Times New Roman" w:hAnsi="Times New Roman" w:eastAsia="宋体" w:cs="Times New Roman"/>
          <w:kern w:val="2"/>
          <w:sz w:val="24"/>
          <w:szCs w:val="24"/>
          <w:lang w:val="en-US" w:eastAsia="zh-CN" w:bidi="ar-SA"/>
        </w:rPr>
        <w:id w:val="147451155"/>
        <w15:color w:val="DBDBDB"/>
        <w:docPartObj>
          <w:docPartGallery w:val="Table of Contents"/>
          <w:docPartUnique/>
        </w:docPartObj>
      </w:sdtPr>
      <w:sdtEndPr>
        <w:rPr>
          <w:rFonts w:hint="default" w:ascii="Times New Roman" w:hAnsi="Times New Roman" w:cs="Times New Roman" w:eastAsiaTheme="minorEastAsia"/>
          <w:b/>
          <w:kern w:val="44"/>
          <w:sz w:val="44"/>
          <w:szCs w:val="30"/>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Table of Contents</w:t>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\o "1-3" \h \u </w:instrText>
          </w:r>
          <w:r>
            <w:rPr>
              <w:rFonts w:hint="default" w:ascii="Times New Roman" w:hAnsi="Times New Roman" w:cs="Times New Roman"/>
              <w:b/>
              <w:bCs/>
              <w:sz w:val="24"/>
              <w:szCs w:val="24"/>
              <w:lang w:val="en-US" w:eastAsia="zh-CN"/>
            </w:rPr>
            <w:fldChar w:fldCharType="separate"/>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_Toc16811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Summary</w:t>
          </w:r>
          <w:r>
            <w:rPr>
              <w:rFonts w:hint="default" w:ascii="Times New Roman" w:hAnsi="Times New Roman" w:cs="Times New Roman"/>
              <w:b/>
              <w:bCs/>
              <w:sz w:val="24"/>
              <w:szCs w:val="24"/>
            </w:rPr>
            <w:tab/>
          </w:r>
          <w:r>
            <w:rPr>
              <w:rFonts w:hint="default" w:ascii="Times New Roman" w:hAnsi="Times New Roman" w:cs="Times New Roman"/>
              <w:b/>
              <w:bCs/>
              <w:sz w:val="24"/>
              <w:szCs w:val="24"/>
              <w:lang w:val="en-US" w:eastAsia="zh-CN"/>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_Toc4911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1.0 Introduction</w:t>
          </w:r>
          <w:r>
            <w:rPr>
              <w:rFonts w:hint="default" w:ascii="Times New Roman" w:hAnsi="Times New Roman" w:cs="Times New Roman"/>
              <w:b/>
              <w:bCs/>
              <w:sz w:val="24"/>
              <w:szCs w:val="24"/>
            </w:rPr>
            <w:tab/>
          </w:r>
          <w:r>
            <w:rPr>
              <w:rFonts w:hint="eastAsia" w:ascii="Times New Roman" w:hAnsi="Times New Roman" w:cs="Times New Roman"/>
              <w:b/>
              <w:bCs/>
              <w:sz w:val="24"/>
              <w:szCs w:val="24"/>
              <w:lang w:val="en-US" w:eastAsia="zh-CN"/>
            </w:rPr>
            <w:t>1</w:t>
          </w:r>
          <w:r>
            <w:rPr>
              <w:rFonts w:hint="default" w:ascii="Times New Roman" w:hAnsi="Times New Roman" w:cs="Times New Roman"/>
              <w:b/>
              <w:bCs/>
              <w:sz w:val="24"/>
              <w:szCs w:val="24"/>
              <w:lang w:val="en-US" w:eastAsia="zh-CN"/>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_Toc20695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2.0 Rationale for Choice of Articles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_Toc20695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_Toc23475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 Two Decades of Sustainability Management Tools for SMEs: How Far Have We Come?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_Toc23475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3</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_Toc8274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2.2 Organizational Commitment in Mexican Small and Medium-Sized Firms: The Role of Work Status, Organizational Climate, and Entrepreneurial Orientation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_Toc8274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_Toc20684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3.0 Discussion of Methodology and Research Design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_Toc20684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_Toc31367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eastAsia="Adobe Gothic Std B" w:cs="Times New Roman"/>
              <w:b/>
              <w:bCs/>
              <w:sz w:val="24"/>
              <w:szCs w:val="24"/>
              <w:lang w:val="en-US" w:eastAsia="zh-CN"/>
            </w:rPr>
            <w:t>3.1 Parametric and non-parametric statistic</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_Toc31367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7</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_Toc26958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3.2 Critical Discussion to Articles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_Toc26958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_Toc16582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3.2.1 Two Decades of Sustainability Management Tools for SMEs: How Far Have We Come?</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_Toc16582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3"/>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_Toc22502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3.2.2 Organizational Commitment in Mexican Small and Medium-Sized Firms: The Role of Work Status, Organizational Climate, and Entrepreneurial Orientation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_Toc22502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_Toc24351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 xml:space="preserve">4.0 </w:t>
          </w:r>
          <w:r>
            <w:rPr>
              <w:rFonts w:hint="default" w:ascii="Times New Roman" w:hAnsi="Times New Roman" w:cs="Times New Roman"/>
              <w:b/>
              <w:bCs/>
              <w:sz w:val="24"/>
              <w:szCs w:val="24"/>
            </w:rPr>
            <w:t>Conclusion and recommendations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_Toc24351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_Toc13337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5.0 References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_Toc13337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1"/>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_Toc17391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Appendix</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_Toc17391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20</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12"/>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_Toc15376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Copy of Articles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_Toc15376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bidi w:val="0"/>
            <w:outlineLvl w:val="9"/>
          </w:pPr>
          <w:r>
            <w:rPr>
              <w:rFonts w:hint="default" w:ascii="Times New Roman" w:hAnsi="Times New Roman" w:cs="Times New Roman"/>
              <w:b/>
              <w:bCs/>
              <w:sz w:val="24"/>
              <w:szCs w:val="24"/>
              <w:lang w:val="en-US" w:eastAsia="zh-CN"/>
            </w:rPr>
            <w:fldChar w:fldCharType="end"/>
          </w:r>
          <w:bookmarkStart w:id="7" w:name="_Toc4911"/>
        </w:p>
      </w:sdtContent>
    </w:sdt>
    <w:p>
      <w:pPr>
        <w:pStyle w:val="2"/>
        <w:bidi w:val="0"/>
        <w:outlineLvl w:val="9"/>
        <w:rPr>
          <w:rFonts w:hint="default" w:ascii="Times New Roman" w:hAnsi="Times New Roman" w:cs="Times New Roman"/>
          <w:sz w:val="30"/>
          <w:szCs w:val="30"/>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1.0 Introduction</w:t>
      </w:r>
      <w:bookmarkEnd w:id="7"/>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Generally speaking, quantitative research is defined as the systematic study of a target by collecting quantifiable data and performing statistical, mathematical or computer techniques. Quantitative research uses systematic sampling to collect information from target groups and publish survey actions. The results of the survey can be described in the form of numbers, which can predict the future of the respondents and make corresponding changes.</w:t>
      </w:r>
      <w:r>
        <w:rPr>
          <w:rFonts w:hint="eastAsia" w:ascii="Times New Roman" w:hAnsi="Times New Roman" w:cs="Times New Roman"/>
          <w:sz w:val="24"/>
          <w:szCs w:val="24"/>
          <w:lang w:val="en-US" w:eastAsia="zh-CN"/>
        </w:rPr>
        <w:t>(Goertzen, 2017, Chan, 2003. QuestionPro, 2021)</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 emphasizes objective measurements, opinion polls, questionnaires, and computer techniques to process and analyze pre-existing statistics. Quantitative research focuses on collecting numerical data and generalizing it to different populations or explaining specific phenomena.</w:t>
      </w:r>
      <w:r>
        <w:rPr>
          <w:rFonts w:hint="eastAsia" w:ascii="Times New Roman" w:hAnsi="Times New Roman" w:cs="Times New Roman"/>
          <w:sz w:val="24"/>
          <w:szCs w:val="24"/>
          <w:lang w:val="en-US" w:eastAsia="zh-CN"/>
        </w:rPr>
        <w:t>(Goertzen, 2017, Chan, 2003. QuestionPro, 2021)</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Quantitative research templates are objective, detailed, and in many cases even investigative. The results obtained through this research method are logical, statistical and impartial. Data collection is done using structured methods and on a larger sample that is representative of the entire statistic.</w:t>
      </w:r>
      <w:r>
        <w:rPr>
          <w:rFonts w:hint="eastAsia" w:ascii="Times New Roman" w:hAnsi="Times New Roman" w:cs="Times New Roman"/>
          <w:sz w:val="24"/>
          <w:szCs w:val="24"/>
          <w:lang w:val="en-US" w:eastAsia="zh-CN"/>
        </w:rPr>
        <w:t>(Goertzen, 2017, Chan, 2003. QuestionPro, 2021)</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w:t>
      </w:r>
      <w:r>
        <w:rPr>
          <w:rFonts w:hint="eastAsia" w:ascii="Times New Roman" w:hAnsi="Times New Roman" w:cs="Times New Roman"/>
          <w:sz w:val="24"/>
          <w:szCs w:val="24"/>
          <w:lang w:val="en-US" w:eastAsia="zh-CN"/>
        </w:rPr>
        <w:t>report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selected two articles as research objects for quantitative analysis.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selected articles from the Journal of Small Business Management, with topics mainly related to the development and management of SMEs. The first part mainly introduces the relevant content of sustainable development management tools for SMEs. The second article analyzes the impact of organizational commitment, organizational climate and organizational orientation on employees in the context of Mexican SMEs and employees. These two articles are a good demonstration of the application of quantitative research in journal articles, showing the importance of quantitative research from different perspectives.</w:t>
      </w:r>
      <w:r>
        <w:rPr>
          <w:rFonts w:hint="eastAsia" w:ascii="Times New Roman" w:hAnsi="Times New Roman" w:cs="Times New Roman"/>
          <w:sz w:val="24"/>
          <w:szCs w:val="24"/>
          <w:lang w:val="en-US" w:eastAsia="zh-CN"/>
        </w:rPr>
        <w:t>(Goertzen, 2017, Chan, 2003. QuestionPro, 2021)</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will first introduce the main content of the two articles, followed by an analysis and critical discussion of the articles. In this,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will explain the definition and difference between parametric and nonparametric statistics, and at the end of the article, summarize, evaluate the article and give some suggestions.</w:t>
      </w:r>
      <w:r>
        <w:rPr>
          <w:rFonts w:hint="eastAsia" w:ascii="Times New Roman" w:hAnsi="Times New Roman" w:cs="Times New Roman"/>
          <w:sz w:val="24"/>
          <w:szCs w:val="24"/>
          <w:lang w:val="en-US" w:eastAsia="zh-CN"/>
        </w:rPr>
        <w:t>(Goertzen, 2017, Chan, 2003. QuestionPro, 2021)</w:t>
      </w:r>
    </w:p>
    <w:p>
      <w:pPr>
        <w:pStyle w:val="2"/>
        <w:bidi w:val="0"/>
        <w:spacing w:line="360" w:lineRule="auto"/>
        <w:rPr>
          <w:rFonts w:hint="default" w:ascii="Times New Roman" w:hAnsi="Times New Roman" w:cs="Times New Roman"/>
          <w:sz w:val="30"/>
          <w:szCs w:val="30"/>
          <w:lang w:val="en-US" w:eastAsia="zh-CN"/>
        </w:rPr>
      </w:pPr>
      <w:bookmarkStart w:id="8" w:name="_Toc20695"/>
      <w:r>
        <w:rPr>
          <w:rFonts w:hint="default" w:ascii="Times New Roman" w:hAnsi="Times New Roman" w:cs="Times New Roman"/>
          <w:sz w:val="30"/>
          <w:szCs w:val="30"/>
          <w:lang w:val="en-US" w:eastAsia="zh-CN"/>
        </w:rPr>
        <w:t>2.0 Rationale for Choice of Articles</w:t>
      </w:r>
      <w:bookmarkEnd w:id="2"/>
      <w:bookmarkEnd w:id="8"/>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selected two articles related to quantitative analysis. They are Johnson and Schaltegger (2016)'s Two Decades of Sustainability Management Tools for SMEs: How Far Have We Come? and Clercq and Rius (2007) Organizational Commitment in Mexican Small and Medium-Sized Firms: The Role of Work Status, Organizational Climate, and Entrepreneurial Orientation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 themes of the two articles are discussed around the development, innovation and future planning of small and medium enterprises.</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reason why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chose these two articles is that they both illustrate the importance of the management and development of enterprises, especially small and medium-sized enterprises. These two articles are related to the organizational crisis and crisis management theories studied by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and can help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understand useful information such as organizational management, organizational development, and organizational resource allocation.</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believes that it is necessary to give a brief introduction to the two articles in this section, and then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will briefly summarize the content of the two articles.</w:t>
      </w:r>
    </w:p>
    <w:p>
      <w:pPr>
        <w:pStyle w:val="3"/>
        <w:bidi w:val="0"/>
        <w:spacing w:line="360" w:lineRule="auto"/>
        <w:rPr>
          <w:rFonts w:hint="default" w:ascii="Times New Roman" w:hAnsi="Times New Roman" w:cs="Times New Roman"/>
          <w:sz w:val="28"/>
          <w:szCs w:val="28"/>
          <w:lang w:val="en-US" w:eastAsia="zh-CN"/>
        </w:rPr>
      </w:pPr>
      <w:bookmarkStart w:id="9" w:name="_Toc23475"/>
      <w:bookmarkStart w:id="10" w:name="_Toc15469"/>
      <w:r>
        <w:rPr>
          <w:rFonts w:hint="eastAsia" w:ascii="Times New Roman" w:hAnsi="Times New Roman" w:cs="Times New Roman"/>
          <w:sz w:val="28"/>
          <w:szCs w:val="28"/>
          <w:lang w:val="en-US" w:eastAsia="zh-CN"/>
        </w:rPr>
        <w:t xml:space="preserve">2.1 </w:t>
      </w:r>
      <w:r>
        <w:rPr>
          <w:rFonts w:hint="default" w:ascii="Times New Roman" w:hAnsi="Times New Roman" w:cs="Times New Roman"/>
          <w:sz w:val="28"/>
          <w:szCs w:val="28"/>
          <w:lang w:val="en-US" w:eastAsia="zh-CN"/>
        </w:rPr>
        <w:t>Two Decades of Sustainability Management Tools for</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SMEs: How Far Have We Come?</w:t>
      </w:r>
      <w:bookmarkEnd w:id="9"/>
      <w:bookmarkEnd w:id="10"/>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article,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emphasize the importance of sustainable development management in SMEs.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although many scholars have discussed different management methods and potential challenges, there is still a lack of research and review of sustainable development management tools for SMEs. Therefore, the center of this article is based on a systematic review of academic literature, discussing the importance of implementing sustainability management tools for SMEs, and discussing the main implementation obstacles and promotion standards. In addition, the impact on future research, SME management and public policy is also mapped.</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article has four core parts in total: First,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confirm the number of sustainable development tools for SMEs through quantitative and qualitative research. These include: auditing, corporate social responsibility management, environmental management, policy, life cycle and network, etc. Secondly,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 the reasons why SMEs implement sustainable development management, which includes several aspects. The first is the decision-making aspect: sustainable development management helps small and medium-sized enterprises have legal rules and regulations, and evaluates the content of decision-making. Secondly, the sustainable development management of small and medium-sized enterprises can help enterprises reduce the complexity of the company and help managers measure the environment and internal performance. Finally, the sustainable development of SMEs can help companies manage stakeholder relationships, especially the relationship between development agencies and local administrative bodies.</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Secondly,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 the obstacles to the sustainable development management of SMEs.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classif</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lang w:val="en-US" w:eastAsia="zh-CN"/>
        </w:rPr>
        <w:t xml:space="preserve"> these obstacles into two categories, namely internal obstacles and external obstacles. The internal shortcomings of SMEs include lack of awareness of sustainability issues, lack of perceivable benefits, lack of knowledge and expertise, and lack of human and financial resources. The second category involves external deficiencies, including insufficient external drivers and incentives, the inapplicability of formal management tools in the informal SME structure, and the complexity of international standards and tools designed for local-focused SMEs.</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third part,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describe the standards that promote the implementation of sustainable development management tools for SMEs.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mentioned that the implementation of sustainable development management tools for SMEs should be: the simplicity of management tools/user convenience, the practicality/cost-effectiveness of management tools, the adaptability/flexibility of management tools, the company’s customized management tools to local Focus on management tools and group and network management-oriented tools. In this section,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mentioned that the current information is mainly focused on the development and adjustment of existing sustainable development management tools. In terms of further implementation or improvement of management tools, or whether it is necessary to develop new management tools,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mentioned the need for further observation.</w:t>
      </w:r>
      <w:r>
        <w:rPr>
          <w:rFonts w:hint="eastAsia" w:ascii="Times New Roman" w:hAnsi="Times New Roman" w:cs="Times New Roman"/>
          <w:sz w:val="24"/>
          <w:szCs w:val="24"/>
          <w:lang w:val="en-US" w:eastAsia="zh-CN"/>
        </w:rPr>
        <w:t xml:space="preserve"> (Johnson and schaltegger, 2016)</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 the end,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discussed and prospected this article.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over time, the scope of continuous development of management tools for small and medium enterprises has become larger and more diverse. Not only that, the current vulnerabilities and problems existing in the enterprise can be solved through manageable solutions. Most of the management tools implemented by enterprises are also rationally supported by experience.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although the current sustainable development management tools for small and medium-sized enterprises have been extensively developed, the excessive or blind use of management tools by business managers can also lead to negative effects.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the managers of small and medium-sized enterprises need to optimize the management tools that are most suitable for the development of the enterprise while considering the enterprise's own situation.</w:t>
      </w:r>
      <w:r>
        <w:rPr>
          <w:rFonts w:hint="eastAsia" w:ascii="Times New Roman" w:hAnsi="Times New Roman" w:cs="Times New Roman"/>
          <w:sz w:val="24"/>
          <w:szCs w:val="24"/>
          <w:lang w:val="en-US" w:eastAsia="zh-CN"/>
        </w:rPr>
        <w:t xml:space="preserve"> (Johnson and schaltegger, 2016)</w:t>
      </w:r>
    </w:p>
    <w:p>
      <w:pPr>
        <w:pStyle w:val="3"/>
        <w:bidi w:val="0"/>
        <w:spacing w:line="360" w:lineRule="auto"/>
        <w:rPr>
          <w:rFonts w:hint="default" w:ascii="Times New Roman" w:hAnsi="Times New Roman" w:cs="Times New Roman"/>
          <w:sz w:val="28"/>
          <w:szCs w:val="28"/>
          <w:lang w:val="en-US" w:eastAsia="zh-CN"/>
        </w:rPr>
      </w:pPr>
      <w:bookmarkStart w:id="11" w:name="_Toc8274"/>
      <w:bookmarkStart w:id="12" w:name="_Toc25294"/>
      <w:r>
        <w:rPr>
          <w:rFonts w:hint="eastAsia" w:ascii="Times New Roman" w:hAnsi="Times New Roman" w:cs="Times New Roman"/>
          <w:sz w:val="28"/>
          <w:szCs w:val="28"/>
          <w:lang w:val="en-US" w:eastAsia="zh-CN"/>
        </w:rPr>
        <w:t xml:space="preserve">2.2 </w:t>
      </w:r>
      <w:r>
        <w:rPr>
          <w:rFonts w:hint="default" w:ascii="Times New Roman" w:hAnsi="Times New Roman" w:cs="Times New Roman"/>
          <w:sz w:val="28"/>
          <w:szCs w:val="28"/>
          <w:lang w:val="en-US" w:eastAsia="zh-CN"/>
        </w:rPr>
        <w:t>Organizational Commitment in Mexican Small and Medium-Sized Firms: The Role of Work Status, Organizational Climate, and Entrepreneurial Orientation</w:t>
      </w:r>
      <w:bookmarkEnd w:id="11"/>
      <w:bookmarkEnd w:id="12"/>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made several hypotheses in order to demonstrate their views to promote their quantitative research activities. First,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tr</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lang w:val="en-US" w:eastAsia="zh-CN"/>
        </w:rPr>
        <w:t xml:space="preserve"> to solve this gap by studying how the organizational commitment and efforts of small and medium-sized companies rely on the following factors: the individual's job status in the company, their perception of the organizational climate, and the company's entrepreneurial direction. Therefore, they assume that holding a higher position in the company will positively affect the individual’s attitude towards the employer and the positive impact of their actual behavior in the organization. That is: the status of individuals in the company is positively related to their organizational commitment. The level of an individual’s position in the company is positively correlated with their efforts.</w:t>
      </w:r>
      <w:r>
        <w:rPr>
          <w:rFonts w:hint="eastAsia" w:ascii="Times New Roman" w:hAnsi="Times New Roman" w:cs="Times New Roman"/>
          <w:sz w:val="24"/>
          <w:szCs w:val="24"/>
          <w:lang w:val="en-US" w:eastAsia="zh-CN"/>
        </w:rPr>
        <w:t xml:space="preserve">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second hypothesis given by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is: assuming that the tenure of individuals in the company will affect their attitudes relative to their organization, as well as their actual behavior in the organization. That is: the tenure of individuals in the company is positively related to their organizational commitments. Individuals’ tenure in the company is positively correlated with their efforts</w:t>
      </w:r>
      <w:r>
        <w:rPr>
          <w:rFonts w:hint="eastAsia" w:ascii="Times New Roman" w:hAnsi="Times New Roman" w:cs="Times New Roman"/>
          <w:sz w:val="24"/>
          <w:szCs w:val="24"/>
          <w:lang w:val="en-US" w:eastAsia="zh-CN"/>
        </w:rPr>
        <w:t>.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the perceived safety of the heart will contribute to one's commitment and effort. Through research,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found that the personal loyalty of Mexican SME employees to their organization is positively affected by their overall perception of supervisor support and overall satisfaction with work goals. Their perception of psychological safety may be an important driving factor for their attitudes and behaviors. That is, the individual's perception of psychological safety is positively related to their organizational commitment. Individuals’ perception of psychological safety is positively correlated with their efforts.</w:t>
      </w:r>
      <w:r>
        <w:rPr>
          <w:rFonts w:hint="eastAsia" w:ascii="Times New Roman" w:hAnsi="Times New Roman" w:cs="Times New Roman"/>
          <w:sz w:val="24"/>
          <w:szCs w:val="24"/>
          <w:lang w:val="en-US" w:eastAsia="zh-CN"/>
        </w:rPr>
        <w:t xml:space="preserve">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Next,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assum</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that there is a positive relationship between the perception of meaning and the individual's efforts with respect to his organization. That is: the individual's perception of psychological meaning is positively correlated with their firm commitment to themselves. Individuals’ perception of psychological meaning is positively related to their efforts to the company.</w:t>
      </w:r>
      <w:r>
        <w:rPr>
          <w:rFonts w:hint="eastAsia" w:ascii="Times New Roman" w:hAnsi="Times New Roman" w:cs="Times New Roman"/>
          <w:sz w:val="24"/>
          <w:szCs w:val="24"/>
          <w:lang w:val="en-US" w:eastAsia="zh-CN"/>
        </w:rPr>
        <w:t xml:space="preserve">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Next,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assume that the company’s entrepreneurial orientation is positively correlated with the individual’s organizational commitment. The company's entrepreneurial direction is positively related to individual efforts. And personal organizational commitments are positively related to their efforts, and personal organizational commitments mediate the relationship between position, tenure, psychological safety, psychological meaning, entrepreneurial orientation and effort</w:t>
      </w:r>
      <w:r>
        <w:rPr>
          <w:rFonts w:hint="eastAsia" w:ascii="Times New Roman" w:hAnsi="Times New Roman" w:cs="Times New Roman"/>
          <w:sz w:val="24"/>
          <w:szCs w:val="24"/>
          <w:lang w:val="en-US" w:eastAsia="zh-CN"/>
        </w:rPr>
        <w:t>. (Clercq and Rius, 2007)</w:t>
      </w:r>
    </w:p>
    <w:p>
      <w:pPr>
        <w:spacing w:line="360" w:lineRule="auto"/>
        <w:rPr>
          <w:rFonts w:hint="default"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After the statistics of quantitative analysis actions, the </w:t>
      </w:r>
      <w:r>
        <w:rPr>
          <w:rFonts w:hint="eastAsia" w:ascii="Times New Roman" w:hAnsi="Times New Roman" w:cs="Times New Roman"/>
          <w:sz w:val="24"/>
          <w:szCs w:val="24"/>
          <w:lang w:val="en-US" w:eastAsia="zh-CN"/>
        </w:rPr>
        <w:t>authors</w:t>
      </w:r>
      <w:r>
        <w:rPr>
          <w:rFonts w:hint="default" w:ascii="Times New Roman" w:hAnsi="Times New Roman" w:cs="Times New Roman"/>
          <w:sz w:val="24"/>
          <w:szCs w:val="24"/>
          <w:lang w:val="en-US" w:eastAsia="zh-CN"/>
        </w:rPr>
        <w:t xml:space="preserve"> believe that the personal work status, their perception of the organizational atmosphere, and the company's entrepreneurial orientation are positively related to the individual's commitment and effort. The level of company commitment is positively correlated with personal effort.</w:t>
      </w:r>
      <w:r>
        <w:rPr>
          <w:rFonts w:hint="eastAsia" w:ascii="Times New Roman" w:hAnsi="Times New Roman" w:cs="Times New Roman"/>
          <w:sz w:val="24"/>
          <w:szCs w:val="24"/>
          <w:lang w:val="en-US" w:eastAsia="zh-CN"/>
        </w:rPr>
        <w:t xml:space="preserve"> (Clercq and Rius, 2007)</w:t>
      </w:r>
    </w:p>
    <w:p>
      <w:pPr>
        <w:spacing w:line="360" w:lineRule="auto"/>
        <w:rPr>
          <w:rFonts w:hint="eastAsia" w:ascii="Times New Roman" w:hAnsi="Times New Roman" w:cs="Times New Roman"/>
          <w:sz w:val="24"/>
          <w:szCs w:val="24"/>
          <w:lang w:val="en-US" w:eastAsia="zh-CN"/>
        </w:rPr>
      </w:pPr>
    </w:p>
    <w:p>
      <w:pPr>
        <w:pStyle w:val="2"/>
        <w:bidi w:val="0"/>
        <w:spacing w:line="360" w:lineRule="auto"/>
        <w:rPr>
          <w:rFonts w:hint="default" w:ascii="Times New Roman" w:hAnsi="Times New Roman" w:cs="Times New Roman"/>
          <w:sz w:val="30"/>
          <w:szCs w:val="30"/>
          <w:lang w:val="en-US" w:eastAsia="zh-CN"/>
        </w:rPr>
      </w:pPr>
      <w:bookmarkStart w:id="13" w:name="_Toc18252"/>
      <w:bookmarkStart w:id="14" w:name="_Toc20684"/>
      <w:r>
        <w:rPr>
          <w:rFonts w:hint="default" w:ascii="Times New Roman" w:hAnsi="Times New Roman" w:cs="Times New Roman"/>
          <w:sz w:val="30"/>
          <w:szCs w:val="30"/>
          <w:lang w:val="en-US" w:eastAsia="zh-CN"/>
        </w:rPr>
        <w:t>3.0 Discussion of Methodology and Research Design</w:t>
      </w:r>
      <w:bookmarkEnd w:id="13"/>
      <w:bookmarkEnd w:id="14"/>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section,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will discuss and evaluate the research methods of the two articles. Before evaluating the two articles,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will first analyze the parametric and nonparametric properties of the quantitative study, and discuss the two articles in combination with the parametric and nonparametric properties. After this,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will combine the research methods of the two articles, analyze the author's research and the central argument of the article, and conduct a critical discussion.</w:t>
      </w:r>
    </w:p>
    <w:p>
      <w:pPr>
        <w:spacing w:line="360" w:lineRule="auto"/>
        <w:rPr>
          <w:rFonts w:hint="default" w:ascii="Times New Roman" w:hAnsi="Times New Roman" w:cs="Times New Roman"/>
          <w:sz w:val="24"/>
          <w:szCs w:val="24"/>
          <w:lang w:val="en-US" w:eastAsia="zh-CN"/>
        </w:rPr>
      </w:pPr>
    </w:p>
    <w:p>
      <w:pPr>
        <w:pStyle w:val="3"/>
        <w:bidi w:val="0"/>
        <w:spacing w:line="360" w:lineRule="auto"/>
        <w:rPr>
          <w:rFonts w:hint="default" w:ascii="Times New Roman" w:hAnsi="Times New Roman" w:eastAsia="Adobe Gothic Std B" w:cs="Times New Roman"/>
          <w:sz w:val="28"/>
          <w:szCs w:val="28"/>
          <w:lang w:val="en-US" w:eastAsia="zh-CN"/>
        </w:rPr>
      </w:pPr>
      <w:bookmarkStart w:id="15" w:name="_Toc22885"/>
      <w:bookmarkStart w:id="16" w:name="_Toc31367"/>
      <w:r>
        <w:rPr>
          <w:rFonts w:hint="default" w:ascii="Times New Roman" w:hAnsi="Times New Roman" w:eastAsia="Adobe Gothic Std B" w:cs="Times New Roman"/>
          <w:sz w:val="28"/>
          <w:szCs w:val="28"/>
          <w:lang w:val="en-US" w:eastAsia="zh-CN"/>
        </w:rPr>
        <w:t>3.1 Parametric and non-parametric statistic</w:t>
      </w:r>
      <w:bookmarkEnd w:id="15"/>
      <w:bookmarkEnd w:id="16"/>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parametric statistics, information about the overall distribution is known and is based on a fixed set of parameters. Parametric statistics assume that data has been drawn from a specific distribution and used for parametric testing. (</w:t>
      </w:r>
      <w:r>
        <w:rPr>
          <w:rFonts w:hint="eastAsia" w:ascii="Times New Roman" w:hAnsi="Times New Roman" w:cs="Times New Roman"/>
          <w:sz w:val="24"/>
          <w:szCs w:val="24"/>
          <w:lang w:val="en-US" w:eastAsia="zh-CN"/>
        </w:rPr>
        <w:t xml:space="preserve">Altman, 2009. </w:t>
      </w:r>
      <w:r>
        <w:rPr>
          <w:rFonts w:hint="default" w:ascii="Times New Roman" w:hAnsi="Times New Roman" w:cs="Times New Roman"/>
          <w:sz w:val="24"/>
          <w:szCs w:val="24"/>
          <w:lang w:val="en-US" w:eastAsia="zh-CN"/>
        </w:rPr>
        <w:t xml:space="preserve">Chan, 2003. Dutta, 2014. </w:t>
      </w:r>
      <w:r>
        <w:rPr>
          <w:rFonts w:hint="default" w:ascii="Times New Roman" w:hAnsi="Times New Roman" w:cs="Times New Roman"/>
          <w:sz w:val="24"/>
          <w:szCs w:val="24"/>
        </w:rPr>
        <w:t>Hajian-Tilaki</w:t>
      </w:r>
      <w:r>
        <w:rPr>
          <w:rFonts w:hint="eastAsia" w:ascii="Times New Roman" w:hAnsi="Times New Roman" w:cs="Times New Roman"/>
          <w:sz w:val="24"/>
          <w:szCs w:val="24"/>
          <w:lang w:val="en-US" w:eastAsia="zh-CN"/>
        </w:rPr>
        <w:t xml:space="preserve">, 1997. </w:t>
      </w:r>
      <w:r>
        <w:rPr>
          <w:rFonts w:hint="default" w:ascii="Times New Roman" w:hAnsi="Times New Roman" w:cs="Times New Roman"/>
          <w:sz w:val="24"/>
          <w:szCs w:val="24"/>
          <w:lang w:val="en-US" w:eastAsia="zh-CN"/>
        </w:rPr>
        <w:t>Sheskin,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Parametric hypothesis statistics indicate that the sample data follows a probability distribution based on a set of parameters. The most common assumption is that the data are normally distributed. The most common statistical method is parametric. Although parametric statistics are considered more powerful than nonparametric statistics, they are not always suitable for analyzing the significance of differences. The reason is that the assumptions they are based on are not always satisfied. (</w:t>
      </w:r>
      <w:r>
        <w:rPr>
          <w:rFonts w:hint="eastAsia" w:ascii="Times New Roman" w:hAnsi="Times New Roman" w:cs="Times New Roman"/>
          <w:sz w:val="24"/>
          <w:szCs w:val="24"/>
          <w:lang w:val="en-US" w:eastAsia="zh-CN"/>
        </w:rPr>
        <w:t xml:space="preserve">Altman, 2009. </w:t>
      </w:r>
      <w:r>
        <w:rPr>
          <w:rFonts w:hint="default" w:ascii="Times New Roman" w:hAnsi="Times New Roman" w:cs="Times New Roman"/>
          <w:sz w:val="24"/>
          <w:szCs w:val="24"/>
          <w:lang w:val="en-US" w:eastAsia="zh-CN"/>
        </w:rPr>
        <w:t xml:space="preserve">Chan, 2003. Dutta, 2014. </w:t>
      </w:r>
      <w:r>
        <w:rPr>
          <w:rFonts w:hint="default" w:ascii="Times New Roman" w:hAnsi="Times New Roman" w:cs="Times New Roman"/>
          <w:sz w:val="24"/>
          <w:szCs w:val="24"/>
        </w:rPr>
        <w:t>Hajian-Tilaki</w:t>
      </w:r>
      <w:r>
        <w:rPr>
          <w:rFonts w:hint="eastAsia" w:ascii="Times New Roman" w:hAnsi="Times New Roman" w:cs="Times New Roman"/>
          <w:sz w:val="24"/>
          <w:szCs w:val="24"/>
          <w:lang w:val="en-US" w:eastAsia="zh-CN"/>
        </w:rPr>
        <w:t xml:space="preserve">, 1997. </w:t>
      </w:r>
      <w:r>
        <w:rPr>
          <w:rFonts w:hint="default" w:ascii="Times New Roman" w:hAnsi="Times New Roman" w:cs="Times New Roman"/>
          <w:sz w:val="24"/>
          <w:szCs w:val="24"/>
          <w:lang w:val="en-US" w:eastAsia="zh-CN"/>
        </w:rPr>
        <w:t>Sheskin,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parametric statistics, information about the overall distribution of the data is known and is based on a fixed set of parameters. Parametric statistics assume that data has been drawn from a specific distribution and used for parametric testing. Parametric statistics assumes that the sample data is based on a probability distribution over a set of parameters. The most common one is to assume that the data is normally distributed. So far, the most common parametric statistics are ANOVA tests.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Altman, 2009. </w:t>
      </w:r>
      <w:r>
        <w:rPr>
          <w:rFonts w:hint="default" w:ascii="Times New Roman" w:hAnsi="Times New Roman" w:cs="Times New Roman"/>
          <w:sz w:val="24"/>
          <w:szCs w:val="24"/>
          <w:lang w:val="en-US" w:eastAsia="zh-CN"/>
        </w:rPr>
        <w:t xml:space="preserve">Chan, 2003. Dutta, 2014. </w:t>
      </w:r>
      <w:r>
        <w:rPr>
          <w:rFonts w:hint="default" w:ascii="Times New Roman" w:hAnsi="Times New Roman" w:cs="Times New Roman"/>
          <w:sz w:val="24"/>
          <w:szCs w:val="24"/>
        </w:rPr>
        <w:t>Hajian-Tilaki</w:t>
      </w:r>
      <w:r>
        <w:rPr>
          <w:rFonts w:hint="eastAsia" w:ascii="Times New Roman" w:hAnsi="Times New Roman" w:cs="Times New Roman"/>
          <w:sz w:val="24"/>
          <w:szCs w:val="24"/>
          <w:lang w:val="en-US" w:eastAsia="zh-CN"/>
        </w:rPr>
        <w:t xml:space="preserve">, 1997. </w:t>
      </w:r>
      <w:r>
        <w:rPr>
          <w:rFonts w:hint="default" w:ascii="Times New Roman" w:hAnsi="Times New Roman" w:cs="Times New Roman"/>
          <w:sz w:val="24"/>
          <w:szCs w:val="24"/>
          <w:lang w:val="en-US" w:eastAsia="zh-CN"/>
        </w:rPr>
        <w:t>Sheskin,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w:t>
      </w:r>
      <w:r>
        <w:rPr>
          <w:rFonts w:hint="default" w:ascii="Times New Roman" w:hAnsi="Times New Roman" w:cs="Times New Roman"/>
          <w:sz w:val="24"/>
          <w:szCs w:val="24"/>
          <w:lang w:val="en-US" w:eastAsia="zh-CN"/>
        </w:rPr>
        <w:t>owever, that while parametric statistics are considered widely used and more powerful than nonparametric statistics, it is not always suitable for analyzing the significance of differences. The reason is that the assumptions they are based on are not always satisfied. (Chan, 2003. Dutta, 2014. Sheskin,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Nonparametric statistics refer to methods that do not assume that the data come from a prescribed model determined by several parameters. Sample data for nonparametric statistics do not necessarily follow a normal distribution. The sample data is not based on numbers, but on other criteria, such as rankings or commonalities. (Chan, 2003. Dutta, 2014. Sheskin, 2003.)</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Nonparametric statistics include nonparametric descriptive statistics, statistical models, inference, and statistical testing. The model structure of this statistical model is not formulated a priori, but is determined from the data. It is important to note that non-parameterization does not mean that these models have no parameters at all, but that the number and nature of parameters are flexible and not pre-fixed. A histogram is an example of a nonparametric estimate of a probability distribution. (Chan, 2003. Dutta, 2014. Sheskin, 2003.</w:t>
      </w:r>
      <w:r>
        <w:rPr>
          <w:rFonts w:hint="eastAsia" w:ascii="Times New Roman" w:hAnsi="Times New Roman" w:cs="Times New Roman"/>
          <w:sz w:val="24"/>
          <w:szCs w:val="24"/>
          <w:lang w:val="en-US" w:eastAsia="zh-CN"/>
        </w:rPr>
        <w:t xml:space="preserve"> Grant, 2021.</w:t>
      </w:r>
      <w:r>
        <w:rPr>
          <w:rFonts w:hint="default"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figure below now shows the difference between parametric and nonparametric statistics.</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Parametric</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Non-parametric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Statistics are known</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No statistics information is available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Assumptions about statistical quantities</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No assumptions about statistical quantities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Distribution-based sample data</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Arbitrary sample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Suitable for continuous variables</w:t>
            </w:r>
          </w:p>
        </w:tc>
        <w:tc>
          <w:tcPr>
            <w:tcW w:w="4261" w:type="dxa"/>
          </w:tcPr>
          <w:p>
            <w:pPr>
              <w:spacing w:line="360" w:lineRule="auto"/>
              <w:jc w:val="cente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Suitable for continuous and discrete variables</w:t>
            </w:r>
          </w:p>
        </w:tc>
      </w:tr>
    </w:tbl>
    <w:p>
      <w:pPr>
        <w:spacing w:line="360" w:lineRule="auto"/>
        <w:jc w:val="cente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Chart 1: Differences Between Parametric and Non-Parametric Statistics. (Chan, 2003. Dutta, 2014. Sheskin, 2003.)</w:t>
      </w:r>
    </w:p>
    <w:p>
      <w:pPr>
        <w:spacing w:line="360" w:lineRule="auto"/>
        <w:rPr>
          <w:rFonts w:hint="default" w:ascii="Times New Roman" w:hAnsi="Times New Roman" w:cs="Times New Roman"/>
          <w:sz w:val="24"/>
          <w:szCs w:val="24"/>
          <w:lang w:val="en-US" w:eastAsia="zh-CN"/>
        </w:rPr>
      </w:pPr>
    </w:p>
    <w:p>
      <w:pPr>
        <w:pStyle w:val="3"/>
        <w:bidi w:val="0"/>
        <w:spacing w:line="360" w:lineRule="auto"/>
        <w:jc w:val="left"/>
        <w:rPr>
          <w:rFonts w:hint="default" w:ascii="Times New Roman" w:hAnsi="Times New Roman" w:cs="Times New Roman"/>
          <w:sz w:val="30"/>
          <w:szCs w:val="30"/>
          <w:lang w:val="en-US" w:eastAsia="zh-CN"/>
        </w:rPr>
      </w:pPr>
      <w:bookmarkStart w:id="17" w:name="_Toc20751"/>
      <w:bookmarkStart w:id="18" w:name="_Toc26958"/>
      <w:r>
        <w:rPr>
          <w:rFonts w:hint="eastAsia" w:ascii="Times New Roman" w:hAnsi="Times New Roman" w:cs="Times New Roman"/>
          <w:sz w:val="30"/>
          <w:szCs w:val="30"/>
          <w:lang w:val="en-US" w:eastAsia="zh-CN"/>
        </w:rPr>
        <w:t>3</w:t>
      </w:r>
      <w:r>
        <w:rPr>
          <w:rFonts w:hint="default" w:ascii="Times New Roman" w:hAnsi="Times New Roman" w:cs="Times New Roman"/>
          <w:sz w:val="30"/>
          <w:szCs w:val="30"/>
          <w:lang w:val="en-US" w:eastAsia="zh-CN"/>
        </w:rPr>
        <w:t>.</w:t>
      </w:r>
      <w:r>
        <w:rPr>
          <w:rFonts w:hint="eastAsia" w:ascii="Times New Roman" w:hAnsi="Times New Roman" w:cs="Times New Roman"/>
          <w:sz w:val="30"/>
          <w:szCs w:val="30"/>
          <w:lang w:val="en-US" w:eastAsia="zh-CN"/>
        </w:rPr>
        <w:t>2</w:t>
      </w:r>
      <w:r>
        <w:rPr>
          <w:rFonts w:hint="default" w:ascii="Times New Roman" w:hAnsi="Times New Roman" w:cs="Times New Roman"/>
          <w:sz w:val="30"/>
          <w:szCs w:val="30"/>
          <w:lang w:val="en-US" w:eastAsia="zh-CN"/>
        </w:rPr>
        <w:t xml:space="preserve"> Critical Discussion to Articles</w:t>
      </w:r>
      <w:bookmarkEnd w:id="17"/>
      <w:bookmarkEnd w:id="18"/>
    </w:p>
    <w:p>
      <w:pPr>
        <w:pStyle w:val="4"/>
        <w:bidi w:val="0"/>
        <w:spacing w:line="360" w:lineRule="auto"/>
        <w:rPr>
          <w:rFonts w:hint="default" w:ascii="Times New Roman" w:hAnsi="Times New Roman" w:cs="Times New Roman"/>
          <w:sz w:val="24"/>
          <w:szCs w:val="24"/>
          <w:lang w:val="en-US" w:eastAsia="zh-CN"/>
        </w:rPr>
      </w:pPr>
      <w:bookmarkStart w:id="19" w:name="_Toc23071"/>
      <w:bookmarkStart w:id="20" w:name="_Toc16582"/>
      <w:r>
        <w:rPr>
          <w:rFonts w:hint="eastAsia" w:ascii="Times New Roman" w:hAnsi="Times New Roman" w:cs="Times New Roman"/>
          <w:sz w:val="24"/>
          <w:szCs w:val="24"/>
          <w:lang w:val="en-US" w:eastAsia="zh-CN"/>
        </w:rPr>
        <w:t xml:space="preserve">3.2.1 </w:t>
      </w:r>
      <w:r>
        <w:rPr>
          <w:rFonts w:hint="default" w:ascii="Times New Roman" w:hAnsi="Times New Roman" w:cs="Times New Roman"/>
          <w:sz w:val="24"/>
          <w:szCs w:val="24"/>
          <w:lang w:val="en-US" w:eastAsia="zh-CN"/>
        </w:rPr>
        <w:t>Two Decades of Sustainability Management Tools for SMEs: How Far Have We Come?</w:t>
      </w:r>
      <w:bookmarkEnd w:id="19"/>
      <w:bookmarkEnd w:id="20"/>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article, the authors collected the required literature through basic quantitative research activities, and ultimately provided 112 publications as literature.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s believe that the author of this article used the secondary quantitative research method in quantitative research as the main research method of the article. Secondary quantitative research, also known as desk research. Primarily refers to a quantitative research technique that involves the use of existing or secondary data. Researcher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will summarize and organize existing data to improve the overall validity of the study. Secondary quantitative research can help researcher validate collected data and reinforce, justify, or refute previously collected data. In general, the commonly used secondary quantitative research methods include Internet data, government and non-government information, libraries, educational institutions, and commercial information.</w:t>
      </w:r>
      <w:r>
        <w:rPr>
          <w:rFonts w:hint="eastAsia" w:ascii="Times New Roman" w:hAnsi="Times New Roman" w:cs="Times New Roman"/>
          <w:sz w:val="24"/>
          <w:szCs w:val="24"/>
          <w:lang w:val="en-US" w:eastAsia="zh-CN"/>
        </w:rPr>
        <w:t xml:space="preserve"> (QuestionPro, 2021. Goertzen, 2017)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esearcher usually carry out the following steps before carrying out a second quantitative research action:</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Identify research topics</w:t>
      </w:r>
      <w:r>
        <w:rPr>
          <w:rFonts w:hint="eastAsia" w:ascii="Times New Roman" w:hAnsi="Times New Roman" w:cs="Times New Roman"/>
          <w:sz w:val="24"/>
          <w:szCs w:val="24"/>
          <w:lang w:val="en-US" w:eastAsia="zh-CN"/>
        </w:rPr>
        <w:t>. (QuestionPro, 2021. Goertzen, 2017)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Identify research sources</w:t>
      </w:r>
      <w:r>
        <w:rPr>
          <w:rFonts w:hint="eastAsia" w:ascii="Times New Roman" w:hAnsi="Times New Roman" w:cs="Times New Roman"/>
          <w:sz w:val="24"/>
          <w:szCs w:val="24"/>
          <w:lang w:val="en-US" w:eastAsia="zh-CN"/>
        </w:rPr>
        <w:t>. (QuestionPro, 2021. Goertzen, 2017)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Gather existing data</w:t>
      </w:r>
      <w:r>
        <w:rPr>
          <w:rFonts w:hint="eastAsia" w:ascii="Times New Roman" w:hAnsi="Times New Roman" w:cs="Times New Roman"/>
          <w:sz w:val="24"/>
          <w:szCs w:val="24"/>
          <w:lang w:val="en-US" w:eastAsia="zh-CN"/>
        </w:rPr>
        <w:t>. (QuestionPro, 2021. Goertzen, 2017)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Merge and compare collected data</w:t>
      </w:r>
      <w:r>
        <w:rPr>
          <w:rFonts w:hint="eastAsia" w:ascii="Times New Roman" w:hAnsi="Times New Roman" w:cs="Times New Roman"/>
          <w:sz w:val="24"/>
          <w:szCs w:val="24"/>
          <w:lang w:val="en-US" w:eastAsia="zh-CN"/>
        </w:rPr>
        <w:t>. (QuestionPro, 2021. Goertzen, 2017)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nalyze</w:t>
      </w:r>
      <w:r>
        <w:rPr>
          <w:rFonts w:hint="eastAsia" w:ascii="Times New Roman" w:hAnsi="Times New Roman" w:cs="Times New Roman"/>
          <w:sz w:val="24"/>
          <w:szCs w:val="24"/>
          <w:lang w:val="en-US" w:eastAsia="zh-CN"/>
        </w:rPr>
        <w:t>. (QuestionPro, 2021. Goertzen, 2017)</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the definition and application of secondary quantitative research are combined into the article, the author's quantitative research actions will be presented intuitively. The author first confirmed four themes as the survey topics for the quantitative analysis of the article, namely the four questions raised by the author:</w:t>
      </w:r>
    </w:p>
    <w:p>
      <w:pPr>
        <w:spacing w:line="360" w:lineRule="auto"/>
        <w:rPr>
          <w:rFonts w:hint="default" w:ascii="Times New Roman" w:hAnsi="Times New Roman" w:cs="Times New Roman"/>
          <w:sz w:val="24"/>
          <w:szCs w:val="24"/>
          <w:lang w:val="en-US" w:eastAsia="zh-CN"/>
        </w:rPr>
      </w:pPr>
    </w:p>
    <w:p>
      <w:pPr>
        <w:numPr>
          <w:ilvl w:val="0"/>
          <w:numId w:val="1"/>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What specific sustainability management tools have been proposed and observed in SMEs?</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What are the reasons for SMEs to implement sustainability management tools?</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1"/>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What are the main reasons why most SMEs do not implement this management tool?</w:t>
      </w:r>
    </w:p>
    <w:p>
      <w:pPr>
        <w:numPr>
          <w:ilvl w:val="0"/>
          <w:numId w:val="0"/>
        </w:numPr>
        <w:spacing w:line="360" w:lineRule="auto"/>
        <w:ind w:leftChars="0"/>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What are the key criteria that a sustainability management tool must meet in the literature to improve its applicability in SMEs?</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that, the author confirms the source of the collected literature, that is, it is mainly based on network resources, and the collection scope is mainly based on large network libraries and management-related databases. These data sources are relatively stable and credible, and the relevant sources include well-known data websites such as jstor and wiley online. In order to accurately collect the information the author needs, the author adds keywords such as: sustainable development management, small and medium-sized enterprises, business ethics and corporate social responsibility to the collected content for preliminary screening. Subsequently, the author conducts further comparisons and mergers based on time years (1991 to 2011), language (English), the scope of sustainability theory, and academics, and finally confirms the preliminary 112 documents and continues to compare and analyze .</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end, the author draws the conclusion of the question raised by the author through the collected literature: the author has identified a total of 26 sustainable development management tools, of which the environmental management system (ems) has the most research. The reasons for the use of sustainability management tools by SMEs are mainly in the following aspects, namely: managing legal compliance, managing stakeholder relationships, reducing complexity, and evaluating and supporting decision-making. At the end, the author also raises the difficulty in the usability of sustainable development management tools, namely the implementation barriers, which mainly focus on the lack of awareness of sustainability issues, lack of perceived benefits, lack of professional knowledge and shortage of human resources, etc. , and put forward follow-up development suggestions for these problems.</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conclusion, the secondary quantitative research analysis provided the authors with ready-made literature information, which helped the authors to conduct a quantitative research analysis with low cost and easy access to data. Not only that, the author has a deep understanding and cognition of the sustainable development management tools of small and medium-sized enterprises through secondary quantitative research, and analyzes and evaluates the collected literature, and finally draws conclusions and puts forward some suggestions. Sexual advice.</w:t>
      </w:r>
    </w:p>
    <w:p>
      <w:pPr>
        <w:spacing w:line="360" w:lineRule="auto"/>
        <w:rPr>
          <w:rFonts w:hint="default" w:ascii="Times New Roman" w:hAnsi="Times New Roman" w:cs="Times New Roman"/>
          <w:sz w:val="24"/>
          <w:szCs w:val="24"/>
          <w:lang w:val="en-US" w:eastAsia="zh-CN"/>
        </w:rPr>
      </w:pPr>
    </w:p>
    <w:p>
      <w:pPr>
        <w:pStyle w:val="4"/>
        <w:bidi w:val="0"/>
        <w:spacing w:line="360" w:lineRule="auto"/>
        <w:rPr>
          <w:rFonts w:hint="default" w:ascii="Times New Roman" w:hAnsi="Times New Roman" w:cs="Times New Roman"/>
          <w:sz w:val="24"/>
          <w:szCs w:val="24"/>
          <w:lang w:val="en-US" w:eastAsia="zh-CN"/>
        </w:rPr>
      </w:pPr>
      <w:bookmarkStart w:id="21" w:name="_Toc22502"/>
      <w:bookmarkStart w:id="22" w:name="_Toc16627"/>
      <w:r>
        <w:rPr>
          <w:rFonts w:hint="eastAsia" w:ascii="Times New Roman" w:hAnsi="Times New Roman" w:cs="Times New Roman"/>
          <w:sz w:val="24"/>
          <w:szCs w:val="24"/>
          <w:lang w:val="en-US" w:eastAsia="zh-CN"/>
        </w:rPr>
        <w:t xml:space="preserve">3.2.2 </w:t>
      </w:r>
      <w:r>
        <w:rPr>
          <w:rFonts w:hint="default" w:ascii="Times New Roman" w:hAnsi="Times New Roman" w:cs="Times New Roman"/>
          <w:sz w:val="24"/>
          <w:szCs w:val="24"/>
          <w:lang w:val="en-US" w:eastAsia="zh-CN"/>
        </w:rPr>
        <w:t>Organizational Commitment in Mexican Small and Medium-Sized Firms: The Role of Work Status, Organizational Climate, and Entrepreneurial Orientation</w:t>
      </w:r>
      <w:bookmarkEnd w:id="21"/>
      <w:bookmarkEnd w:id="22"/>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article, author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quantitative research analysis is a typical parametric statistical analysis, and has hypotheses and analysis methods of ANOVA to help obtain intuitive data. Generally, a hypothesis in quantitative research is a statement that a researcher uses to try to prove or disprove, and is used to express the relationship between variables and whether the relationship is significant. The assumptions of quantitative research are specific and provide predictions about the outcome of the research question. Simply put, the research question will lead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to formulate a hypothesis.</w:t>
      </w:r>
      <w:r>
        <w:rPr>
          <w:rFonts w:hint="eastAsia" w:ascii="Times New Roman" w:hAnsi="Times New Roman" w:cs="Times New Roman"/>
          <w:sz w:val="24"/>
          <w:szCs w:val="24"/>
          <w:lang w:val="en-US" w:eastAsia="zh-CN"/>
        </w:rPr>
        <w:t>(Kent State, 2021. Tesside University, 2021.)</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Analysis of </w:t>
      </w:r>
      <w:r>
        <w:rPr>
          <w:rFonts w:hint="eastAsia" w:ascii="Times New Roman" w:hAnsi="Times New Roman" w:cs="Times New Roman"/>
          <w:sz w:val="24"/>
          <w:szCs w:val="24"/>
          <w:lang w:val="en-US" w:eastAsia="zh-CN"/>
        </w:rPr>
        <w:t>ANOVA</w:t>
      </w:r>
      <w:r>
        <w:rPr>
          <w:rFonts w:hint="default" w:ascii="Times New Roman" w:hAnsi="Times New Roman" w:cs="Times New Roman"/>
          <w:sz w:val="24"/>
          <w:szCs w:val="24"/>
          <w:lang w:val="en-US" w:eastAsia="zh-CN"/>
        </w:rPr>
        <w:t xml:space="preserve"> in parametric statistics is used to determine if there is a significant difference between the means of two or more groups. It can be extended to more complex study designs. Typically, ANOVA can be used to conduct experimental and field studies and to perform statistical differences between means.</w:t>
      </w:r>
      <w:r>
        <w:rPr>
          <w:rFonts w:hint="eastAsia" w:ascii="Times New Roman" w:hAnsi="Times New Roman" w:cs="Times New Roman"/>
          <w:sz w:val="24"/>
          <w:szCs w:val="24"/>
          <w:lang w:val="en-US" w:eastAsia="zh-CN"/>
        </w:rPr>
        <w:t xml:space="preserve"> (Kent State, 2021. Tesside University, 2021. Qualtrics, 2022.)</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article, the authors first make assumptions about the following aspects for statistical analysis of the research question:</w:t>
      </w:r>
    </w:p>
    <w:p>
      <w:pPr>
        <w:spacing w:line="360" w:lineRule="auto"/>
        <w:rPr>
          <w:rFonts w:hint="default"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assumed that individuals' status and position levels in the company are positively related to their efforts</w:t>
      </w:r>
      <w:r>
        <w:rPr>
          <w:rFonts w:hint="eastAsia"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Assumes that individuals' tenure with the company is positively related to their organizational commitment and effort</w:t>
      </w:r>
      <w:r>
        <w:rPr>
          <w:rFonts w:hint="eastAsia"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Hypothesized that individuals' perceptions of psychological safety are positively related to their organizational commitment and effort</w:t>
      </w:r>
    </w:p>
    <w:p>
      <w:pPr>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t>
      </w:r>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Hypothesized that individuals' perceptions of psychological meaning are positively related to their commitment relative to themselves and to their positive efforts to the company</w:t>
      </w:r>
      <w:r>
        <w:rPr>
          <w:rFonts w:hint="eastAsia"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assumed that the entrepreneurial direction and orientation of a company is positively related to an individual's organizational commitment and individual effort</w:t>
      </w: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assumed that individuals' organizational commitment is positively related to their efforts</w:t>
      </w:r>
      <w:r>
        <w:rPr>
          <w:rFonts w:hint="eastAsia" w:ascii="Times New Roman" w:hAnsi="Times New Roman" w:cs="Times New Roman"/>
          <w:sz w:val="24"/>
          <w:szCs w:val="24"/>
          <w:lang w:val="en-US" w:eastAsia="zh-CN"/>
        </w:rPr>
        <w:t>.</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making assumptions, the authors conducted research activities such as face-to-face interviews, telephone interviews, etc., of SMEs that met Mexico's regulations, and completed 863 times in a sample of 900. Finally, five predictor variables were calculated in the main research areas based on assumptions, such as organizational commitment, personal effort, psychological safety, and gender differentiation, and the results of the variables were found to be positively correlated with organizational commitment and effort. Therefore, the author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draw the following conclusions through data statistics:</w:t>
      </w:r>
    </w:p>
    <w:p>
      <w:pPr>
        <w:spacing w:line="360" w:lineRule="auto"/>
        <w:rPr>
          <w:rFonts w:hint="default" w:ascii="Times New Roman" w:hAnsi="Times New Roman" w:cs="Times New Roman"/>
          <w:sz w:val="24"/>
          <w:szCs w:val="24"/>
          <w:lang w:val="en-US" w:eastAsia="zh-CN"/>
        </w:rPr>
      </w:pPr>
    </w:p>
    <w:p>
      <w:pPr>
        <w:numPr>
          <w:ilvl w:val="0"/>
          <w:numId w:val="2"/>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Commitment and effort to employees is a vital part of SMEs.</w:t>
      </w:r>
    </w:p>
    <w:p>
      <w:pPr>
        <w:numPr>
          <w:ilvl w:val="0"/>
          <w:numId w:val="0"/>
        </w:numPr>
        <w:spacing w:line="360" w:lineRule="auto"/>
        <w:rPr>
          <w:rFonts w:hint="default" w:ascii="Times New Roman" w:hAnsi="Times New Roman" w:cs="Times New Roman"/>
          <w:sz w:val="24"/>
          <w:szCs w:val="24"/>
          <w:lang w:val="en-US" w:eastAsia="zh-CN"/>
        </w:rPr>
      </w:pPr>
    </w:p>
    <w:p>
      <w:pPr>
        <w:numPr>
          <w:ilvl w:val="0"/>
          <w:numId w:val="2"/>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Employees who feel that their company has a responsibility to promote a positive experience reciprocate the company's actions with a high degree of commitment.</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2"/>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entrepreneurial orientation of small and medium-sized companies serves as a driving force for personal attitudes and behavioral commitments.</w:t>
      </w:r>
    </w:p>
    <w:p>
      <w:pPr>
        <w:numPr>
          <w:ilvl w:val="0"/>
          <w:numId w:val="0"/>
        </w:numPr>
        <w:spacing w:line="360" w:lineRule="auto"/>
        <w:ind w:leftChars="0"/>
        <w:rPr>
          <w:rFonts w:hint="default" w:ascii="Times New Roman" w:hAnsi="Times New Roman" w:cs="Times New Roman"/>
          <w:sz w:val="24"/>
          <w:szCs w:val="24"/>
          <w:lang w:val="en-US" w:eastAsia="zh-CN"/>
        </w:rPr>
      </w:pPr>
    </w:p>
    <w:p>
      <w:pPr>
        <w:numPr>
          <w:ilvl w:val="0"/>
          <w:numId w:val="2"/>
        </w:numPr>
        <w:spacing w:line="36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Organizational commitment has an important component in the operation of SMEs.</w:t>
      </w:r>
    </w:p>
    <w:p>
      <w:pPr>
        <w:numPr>
          <w:ilvl w:val="0"/>
          <w:numId w:val="0"/>
        </w:numPr>
        <w:spacing w:line="360" w:lineRule="auto"/>
        <w:ind w:leftChars="0"/>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Men do their jobs better than women.</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article, the author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ha</w:t>
      </w:r>
      <w:r>
        <w:rPr>
          <w:rFonts w:hint="eastAsia" w:ascii="Times New Roman" w:hAnsi="Times New Roman" w:cs="Times New Roman"/>
          <w:sz w:val="24"/>
          <w:szCs w:val="24"/>
          <w:lang w:val="en-US" w:eastAsia="zh-CN"/>
        </w:rPr>
        <w:t>ve</w:t>
      </w:r>
      <w:r>
        <w:rPr>
          <w:rFonts w:hint="default" w:ascii="Times New Roman" w:hAnsi="Times New Roman" w:cs="Times New Roman"/>
          <w:sz w:val="24"/>
          <w:szCs w:val="24"/>
          <w:lang w:val="en-US" w:eastAsia="zh-CN"/>
        </w:rPr>
        <w:t xml:space="preserve"> a clear understanding of the research question and research method, that is, through the research topic of the role of the commitment of SMEs in Mexico in the work, several hypotheses are proposed, and accurate through real data statistics. , and thus draw conclusions based on the data, it can be seen that this is a direct, clear and powerful quantitative analysis action with the assurance of a large amount of data.</w:t>
      </w:r>
    </w:p>
    <w:p>
      <w:pPr>
        <w:spacing w:line="360" w:lineRule="auto"/>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30"/>
          <w:szCs w:val="30"/>
        </w:rPr>
      </w:pPr>
      <w:bookmarkStart w:id="23" w:name="_Toc20446"/>
      <w:bookmarkStart w:id="24" w:name="_Toc24351"/>
      <w:r>
        <w:rPr>
          <w:rFonts w:hint="default" w:ascii="Times New Roman" w:hAnsi="Times New Roman" w:cs="Times New Roman"/>
          <w:sz w:val="30"/>
          <w:szCs w:val="30"/>
          <w:lang w:val="en-US" w:eastAsia="zh-CN"/>
        </w:rPr>
        <w:t xml:space="preserve">4.0 </w:t>
      </w:r>
      <w:r>
        <w:rPr>
          <w:rFonts w:hint="default" w:ascii="Times New Roman" w:hAnsi="Times New Roman" w:cs="Times New Roman"/>
          <w:sz w:val="30"/>
          <w:szCs w:val="30"/>
        </w:rPr>
        <w:t>Conclusion and recommendations</w:t>
      </w:r>
      <w:bookmarkEnd w:id="23"/>
      <w:bookmarkEnd w:id="24"/>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article 1, </w:t>
      </w:r>
      <w:r>
        <w:rPr>
          <w:rFonts w:hint="eastAsia" w:ascii="Times New Roman" w:hAnsi="Times New Roman" w:cs="Times New Roman"/>
          <w:sz w:val="24"/>
          <w:szCs w:val="24"/>
          <w:lang w:val="en-US" w:eastAsia="zh-CN"/>
        </w:rPr>
        <w:t>researcher</w:t>
      </w:r>
      <w:r>
        <w:rPr>
          <w:rFonts w:hint="default" w:ascii="Times New Roman" w:hAnsi="Times New Roman" w:cs="Times New Roman"/>
          <w:sz w:val="24"/>
          <w:szCs w:val="24"/>
          <w:lang w:val="en-US" w:eastAsia="zh-CN"/>
        </w:rPr>
        <w:t xml:space="preserve"> mentioned that although secondary quantitative research is a quantitative research activity that is low-cost and can quickly collect a large amount of data, the shortcomings of secondary quantitative research are also more obvious. First, secondary quantitative research cannot fully guarantee the authenticity and reliability of the information bro</w:t>
      </w:r>
      <w:bookmarkStart w:id="31" w:name="_GoBack"/>
      <w:bookmarkEnd w:id="31"/>
      <w:r>
        <w:rPr>
          <w:rFonts w:hint="default" w:ascii="Times New Roman" w:hAnsi="Times New Roman" w:cs="Times New Roman"/>
          <w:sz w:val="24"/>
          <w:szCs w:val="24"/>
          <w:lang w:val="en-US" w:eastAsia="zh-CN"/>
        </w:rPr>
        <w:t>ught by the literature. Second, not every secondary quantitative data provides up-to-date statistics and arguments, which means they may not be updated to the latest information.</w:t>
      </w:r>
      <w:r>
        <w:rPr>
          <w:rFonts w:hint="eastAsia" w:ascii="Times New Roman" w:hAnsi="Times New Roman" w:cs="Times New Roman"/>
          <w:sz w:val="24"/>
          <w:szCs w:val="24"/>
          <w:lang w:val="en-US" w:eastAsia="zh-CN"/>
        </w:rPr>
        <w:t xml:space="preserve"> (QuestionPro, 2021. Goertzen, 2017)</w:t>
      </w:r>
      <w:r>
        <w:rPr>
          <w:rFonts w:hint="default" w:ascii="Times New Roman" w:hAnsi="Times New Roman" w:cs="Times New Roman"/>
          <w:sz w:val="24"/>
          <w:szCs w:val="24"/>
          <w:lang w:val="en-US" w:eastAsia="zh-CN"/>
        </w:rPr>
        <w:t xml:space="preserve"> This is why the author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ha</w:t>
      </w:r>
      <w:r>
        <w:rPr>
          <w:rFonts w:hint="eastAsia" w:ascii="Times New Roman" w:hAnsi="Times New Roman" w:cs="Times New Roman"/>
          <w:sz w:val="24"/>
          <w:szCs w:val="24"/>
          <w:lang w:val="en-US" w:eastAsia="zh-CN"/>
        </w:rPr>
        <w:t>ve</w:t>
      </w:r>
      <w:r>
        <w:rPr>
          <w:rFonts w:hint="default" w:ascii="Times New Roman" w:hAnsi="Times New Roman" w:cs="Times New Roman"/>
          <w:sz w:val="24"/>
          <w:szCs w:val="24"/>
          <w:lang w:val="en-US" w:eastAsia="zh-CN"/>
        </w:rPr>
        <w:t xml:space="preserve"> conducted several screenings in the article, including selecting reliable databases and information sources, and screening the publication time of the literature to ensure that the collected information can be valid and timely. But most importantly, the sustainable development management tools discussed by the author are based on the existing information and do not make breakthroughs in related fields. Therefore, if authors want to continue their analysis and research on sustainable development management tools, they can choose to conduct practical experiments and combine previous literature reviews to draw breakthroughs in the development of the theory and draw new conclusions.</w:t>
      </w:r>
    </w:p>
    <w:p>
      <w:pPr>
        <w:spacing w:line="360" w:lineRule="auto"/>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sz w:val="24"/>
          <w:szCs w:val="24"/>
          <w:lang w:val="en-US" w:eastAsia="zh-CN"/>
        </w:rPr>
        <w:t xml:space="preserve">For the second article, it is worth affirming that the author used assumptions and parametric statistics to perform statistics and analysis on the latest data, and combined with relevant literature for cross-analysis. But it can be seen that this article exposed one of the biggest problems of quantitative research analysis, that is, the huge time cost brought by huge data.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uthor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expresses in this article that he performed a sample of 900 numbers of small and medium-sized companies defined by the Mexican government, and finally completed 863 surveys, which is undoubtedly a huge project, so The time and cost are also unimaginable. </w:t>
      </w:r>
      <w:r>
        <w:rPr>
          <w:rFonts w:hint="eastAsia" w:ascii="Times New Roman" w:hAnsi="Times New Roman" w:cs="Times New Roman"/>
          <w:sz w:val="24"/>
          <w:szCs w:val="24"/>
          <w:lang w:val="en-US" w:eastAsia="zh-CN"/>
        </w:rPr>
        <w:t>(QuestionPro, 2021. Goertzen, 2017)</w:t>
      </w:r>
      <w:r>
        <w:rPr>
          <w:rFonts w:hint="default" w:ascii="Times New Roman" w:hAnsi="Times New Roman" w:cs="Times New Roman"/>
          <w:sz w:val="24"/>
          <w:szCs w:val="24"/>
          <w:lang w:val="en-US" w:eastAsia="zh-CN"/>
        </w:rPr>
        <w:t>In addition, due to the limitation of the research purpose of the article itself, that is, the author aimed to investigate the organizational commitment of SMEs in a specific area, this has some influence on whether the conclusions of the article are representative. Considering that different countries have different definitions of SMEs, and different social structures and social phenomena brought about by the environment, the author also finally admits to questioning the applicability of other non-Mexico regions. Therefore, the data of this article is very large and valid, but also has many limitations and has a huge time cost.</w:t>
      </w:r>
      <w:r>
        <w:rPr>
          <w:rFonts w:hint="eastAsia" w:ascii="Times New Roman" w:hAnsi="Times New Roman" w:cs="Times New Roman"/>
          <w:sz w:val="24"/>
          <w:szCs w:val="24"/>
          <w:lang w:val="en-US" w:eastAsia="zh-CN"/>
        </w:rPr>
        <w:t xml:space="preserve"> </w:t>
      </w:r>
    </w:p>
    <w:p>
      <w:pPr>
        <w:pStyle w:val="2"/>
        <w:bidi w:val="0"/>
        <w:spacing w:line="360" w:lineRule="auto"/>
        <w:rPr>
          <w:rFonts w:hint="default" w:ascii="Times New Roman" w:hAnsi="Times New Roman" w:cs="Times New Roman"/>
          <w:sz w:val="30"/>
          <w:szCs w:val="30"/>
          <w:lang w:val="en-US" w:eastAsia="zh-CN"/>
        </w:rPr>
      </w:pPr>
      <w:bookmarkStart w:id="25" w:name="_Toc15517"/>
      <w:bookmarkStart w:id="26" w:name="_Toc13337"/>
      <w:r>
        <w:rPr>
          <w:rFonts w:hint="default" w:ascii="Times New Roman" w:hAnsi="Times New Roman" w:cs="Times New Roman"/>
          <w:sz w:val="30"/>
          <w:szCs w:val="30"/>
          <w:lang w:val="en-US" w:eastAsia="zh-CN"/>
        </w:rPr>
        <w:t>5.0 References</w:t>
      </w:r>
      <w:bookmarkEnd w:id="25"/>
      <w:bookmarkEnd w:id="26"/>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Anderson, H. 1961. Scales and statistics: Parametric and nonparametric. </w:t>
      </w:r>
      <w:r>
        <w:rPr>
          <w:rFonts w:hint="default" w:ascii="Times New Roman" w:hAnsi="Times New Roman" w:cs="Times New Roman"/>
          <w:i/>
          <w:iCs/>
          <w:sz w:val="24"/>
          <w:szCs w:val="24"/>
          <w:lang w:val="en-US" w:eastAsia="zh-CN"/>
        </w:rPr>
        <w:t>Psychological Bulletin</w:t>
      </w:r>
      <w:r>
        <w:rPr>
          <w:rFonts w:hint="default" w:ascii="Times New Roman" w:hAnsi="Times New Roman" w:cs="Times New Roman"/>
          <w:sz w:val="24"/>
          <w:szCs w:val="24"/>
          <w:lang w:val="en-US" w:eastAsia="zh-CN"/>
        </w:rPr>
        <w:t>, 58(4), 305–316.</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Altman, G and Bland, M., Parametric v non-parametric methods for data analysis. </w:t>
      </w:r>
      <w:r>
        <w:rPr>
          <w:rFonts w:hint="default" w:ascii="Times New Roman" w:hAnsi="Times New Roman" w:cs="Times New Roman"/>
          <w:i/>
          <w:iCs/>
          <w:sz w:val="24"/>
          <w:szCs w:val="24"/>
          <w:lang w:val="en-US" w:eastAsia="zh-CN"/>
        </w:rPr>
        <w:t>BMJ</w:t>
      </w:r>
      <w:r>
        <w:rPr>
          <w:rFonts w:hint="default" w:ascii="Times New Roman" w:hAnsi="Times New Roman" w:cs="Times New Roman"/>
          <w:sz w:val="24"/>
          <w:szCs w:val="24"/>
          <w:lang w:val="en-US" w:eastAsia="zh-CN"/>
        </w:rPr>
        <w:t>. 2009.</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Bhandari, P. 2020. </w:t>
      </w:r>
      <w:r>
        <w:rPr>
          <w:rFonts w:hint="default" w:ascii="Times New Roman" w:hAnsi="Times New Roman" w:cs="Times New Roman"/>
          <w:i/>
          <w:iCs/>
          <w:sz w:val="24"/>
          <w:szCs w:val="24"/>
          <w:lang w:val="en-US" w:eastAsia="zh-CN"/>
        </w:rPr>
        <w:t>An Introduction to Quantitative Research</w:t>
      </w:r>
      <w:r>
        <w:rPr>
          <w:rFonts w:hint="default" w:ascii="Times New Roman" w:hAnsi="Times New Roman" w:cs="Times New Roman"/>
          <w:sz w:val="24"/>
          <w:szCs w:val="24"/>
          <w:lang w:val="en-US" w:eastAsia="zh-CN"/>
        </w:rPr>
        <w:t>. [online] Available at: https://www.scribbr.com/methodology/quantitative-research/[Accessed 3rd Dec.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Clercq</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Rius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B</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2007</w:t>
      </w:r>
      <w:r>
        <w:rPr>
          <w:rFonts w:hint="default" w:ascii="Times New Roman" w:hAnsi="Times New Roman" w:cs="Times New Roman"/>
          <w:sz w:val="24"/>
          <w:szCs w:val="24"/>
          <w:lang w:val="en-US" w:eastAsia="zh-CN"/>
        </w:rPr>
        <w:t>, Organizational Commitment in Mexican Small and Medium-Sized Firms: The Role of Work Status, Organizational Climate, and Entrepreneurial Orientation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i/>
          <w:iCs/>
          <w:sz w:val="24"/>
          <w:szCs w:val="24"/>
          <w:lang w:val="en-US" w:eastAsia="zh-CN"/>
        </w:rPr>
        <w:t>Journal of Small Business Management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45</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 pp. </w:t>
      </w:r>
      <w:r>
        <w:rPr>
          <w:rFonts w:hint="eastAsia" w:ascii="Times New Roman" w:hAnsi="Times New Roman" w:cs="Times New Roman"/>
          <w:sz w:val="24"/>
          <w:szCs w:val="24"/>
          <w:lang w:val="en-US" w:eastAsia="zh-CN"/>
        </w:rPr>
        <w:t>467-490</w:t>
      </w:r>
      <w:r>
        <w:rPr>
          <w:rFonts w:hint="default" w:ascii="Times New Roman" w:hAnsi="Times New Roman" w:cs="Times New Roman"/>
          <w:sz w:val="24"/>
          <w:szCs w:val="24"/>
          <w:lang w:val="en-US" w:eastAsia="zh-CN"/>
        </w:rPr>
        <w:t>.</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Chan, H., 2003. Biostatistics 102: quantitative data–parametric &amp; non-parametric tests. </w:t>
      </w:r>
      <w:r>
        <w:rPr>
          <w:rFonts w:hint="eastAsia" w:ascii="Times New Roman" w:hAnsi="Times New Roman" w:cs="Times New Roman"/>
          <w:i/>
          <w:iCs/>
          <w:sz w:val="24"/>
          <w:szCs w:val="24"/>
          <w:lang w:val="en-US" w:eastAsia="zh-CN"/>
        </w:rPr>
        <w:t>Blood Press</w:t>
      </w:r>
      <w:r>
        <w:rPr>
          <w:rFonts w:hint="eastAsia" w:ascii="Times New Roman" w:hAnsi="Times New Roman" w:cs="Times New Roman"/>
          <w:sz w:val="24"/>
          <w:szCs w:val="24"/>
          <w:lang w:val="en-US" w:eastAsia="zh-CN"/>
        </w:rPr>
        <w:t>, 140(24.08), pp. 79.</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Dutta A. 2014. Parametric and nonparametric event study tests: A review.</w:t>
      </w:r>
      <w:r>
        <w:rPr>
          <w:rFonts w:hint="eastAsia" w:ascii="Times New Roman" w:hAnsi="Times New Roman" w:cs="Times New Roman"/>
          <w:i/>
          <w:iCs/>
          <w:sz w:val="24"/>
          <w:szCs w:val="24"/>
          <w:lang w:val="en-US" w:eastAsia="zh-CN"/>
        </w:rPr>
        <w:t xml:space="preserve"> International Business Research</w:t>
      </w:r>
      <w:r>
        <w:rPr>
          <w:rFonts w:hint="eastAsia" w:ascii="Times New Roman" w:hAnsi="Times New Roman" w:cs="Times New Roman"/>
          <w:sz w:val="24"/>
          <w:szCs w:val="24"/>
          <w:lang w:val="en-US" w:eastAsia="zh-CN"/>
        </w:rPr>
        <w:t>, 7(12), pp. 136-142.</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FAQ., 2021. </w:t>
      </w:r>
      <w:r>
        <w:rPr>
          <w:rFonts w:hint="default" w:ascii="Times New Roman" w:hAnsi="Times New Roman" w:cs="Times New Roman"/>
          <w:i/>
          <w:iCs/>
          <w:sz w:val="24"/>
          <w:szCs w:val="24"/>
          <w:lang w:val="en-US" w:eastAsia="zh-CN"/>
        </w:rPr>
        <w:t>What is the difference between parametric and nonparametric statistical tests?</w:t>
      </w:r>
      <w:r>
        <w:rPr>
          <w:rFonts w:hint="default" w:ascii="Times New Roman" w:hAnsi="Times New Roman" w:cs="Times New Roman"/>
          <w:sz w:val="24"/>
          <w:szCs w:val="24"/>
          <w:lang w:val="en-US" w:eastAsia="zh-CN"/>
        </w:rPr>
        <w:t xml:space="preserve"> [online] Available at: https://faq-qa.com/en/Q%26A/page=5a2c1554cba6d95ebd3d1e8b8c399c3a#s0 [Accessed 3rd Dec.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Grant, M., 2021. </w:t>
      </w:r>
      <w:r>
        <w:rPr>
          <w:rFonts w:hint="default" w:ascii="Times New Roman" w:hAnsi="Times New Roman" w:cs="Times New Roman"/>
          <w:i/>
          <w:iCs/>
          <w:sz w:val="24"/>
          <w:szCs w:val="24"/>
          <w:lang w:val="en-US" w:eastAsia="zh-CN"/>
        </w:rPr>
        <w:t>Nonparametric Statistics</w:t>
      </w:r>
      <w:r>
        <w:rPr>
          <w:rFonts w:hint="default" w:ascii="Times New Roman" w:hAnsi="Times New Roman" w:cs="Times New Roman"/>
          <w:sz w:val="24"/>
          <w:szCs w:val="24"/>
          <w:lang w:val="en-US" w:eastAsia="zh-CN"/>
        </w:rPr>
        <w:t>. [online] Available at: https://www.investopedia.com/terms/n/nonparametric-statistics.asp [Accessed 3rd Dec.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Goertzen, M., 2017. Chapter 3. Introduction to Quantitative Research and Data. </w:t>
      </w:r>
      <w:r>
        <w:rPr>
          <w:rFonts w:hint="default" w:ascii="Times New Roman" w:hAnsi="Times New Roman" w:cs="Times New Roman"/>
          <w:i/>
          <w:iCs/>
          <w:sz w:val="24"/>
          <w:szCs w:val="24"/>
          <w:lang w:val="en-US" w:eastAsia="zh-CN"/>
        </w:rPr>
        <w:t>Library Technology Reports</w:t>
      </w:r>
      <w:r>
        <w:rPr>
          <w:rFonts w:hint="default" w:ascii="Times New Roman" w:hAnsi="Times New Roman" w:cs="Times New Roman"/>
          <w:sz w:val="24"/>
          <w:szCs w:val="24"/>
          <w:lang w:val="en-US" w:eastAsia="zh-CN"/>
        </w:rPr>
        <w:t>. 57(8).</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Hajian-Tilaki, K. O. et </w:t>
      </w:r>
      <w:r>
        <w:rPr>
          <w:rFonts w:hint="default" w:ascii="Times New Roman" w:hAnsi="Times New Roman" w:cs="Times New Roman"/>
          <w:sz w:val="24"/>
          <w:szCs w:val="24"/>
          <w:lang w:val="en-US" w:eastAsia="zh-CN"/>
        </w:rPr>
        <w:t>al</w:t>
      </w:r>
      <w:r>
        <w:rPr>
          <w:rFonts w:hint="default" w:ascii="Times New Roman" w:hAnsi="Times New Roman" w:cs="Times New Roman"/>
          <w:sz w:val="24"/>
          <w:szCs w:val="24"/>
        </w:rPr>
        <w:t>. 1997 A Comparison of Parametric and Nonparametric Approaches to ROC Analysis of Quantitative Diagnostic Tests, </w:t>
      </w:r>
      <w:r>
        <w:rPr>
          <w:rFonts w:hint="default" w:ascii="Times New Roman" w:hAnsi="Times New Roman" w:cs="Times New Roman"/>
          <w:i/>
          <w:iCs/>
          <w:sz w:val="24"/>
          <w:szCs w:val="24"/>
        </w:rPr>
        <w:t>Medical Decision Making</w:t>
      </w:r>
      <w:r>
        <w:rPr>
          <w:rFonts w:hint="default" w:ascii="Times New Roman" w:hAnsi="Times New Roman" w:cs="Times New Roman"/>
          <w:sz w:val="24"/>
          <w:szCs w:val="24"/>
        </w:rPr>
        <w:t>, 17(1), pp. 94–102.</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eastAsia="宋体" w:cs="Times New Roman"/>
          <w:i w:val="0"/>
          <w:iCs w:val="0"/>
          <w:caps w:val="0"/>
          <w:color w:val="000000"/>
          <w:spacing w:val="0"/>
          <w:sz w:val="24"/>
          <w:szCs w:val="24"/>
          <w:shd w:val="clear" w:color="auto" w:fill="FFFFFF"/>
          <w:lang w:val="en-US" w:eastAsia="zh-CN"/>
        </w:rPr>
        <w:t xml:space="preserve">Holton, E. and Burnett, M., 2009. </w:t>
      </w:r>
      <w:r>
        <w:rPr>
          <w:rFonts w:hint="default" w:ascii="Times New Roman" w:hAnsi="Times New Roman" w:eastAsia="宋体" w:cs="Times New Roman"/>
          <w:i/>
          <w:iCs/>
          <w:caps w:val="0"/>
          <w:color w:val="000000"/>
          <w:spacing w:val="0"/>
          <w:sz w:val="24"/>
          <w:szCs w:val="24"/>
          <w:shd w:val="clear" w:color="auto" w:fill="FFFFFF"/>
          <w:lang w:val="en-US" w:eastAsia="zh-CN"/>
        </w:rPr>
        <w:t>Foundations and Methods of Inquiry</w:t>
      </w:r>
      <w:r>
        <w:rPr>
          <w:rFonts w:hint="default" w:ascii="Times New Roman" w:hAnsi="Times New Roman" w:eastAsia="宋体" w:cs="Times New Roman"/>
          <w:i w:val="0"/>
          <w:iCs w:val="0"/>
          <w:caps w:val="0"/>
          <w:color w:val="000000"/>
          <w:spacing w:val="0"/>
          <w:sz w:val="24"/>
          <w:szCs w:val="24"/>
          <w:shd w:val="clear" w:color="auto" w:fill="FFFFFF"/>
          <w:lang w:val="en-US" w:eastAsia="zh-CN"/>
        </w:rPr>
        <w:t>. San Francisco: Berrett- Koehler Publisher, Inc</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IBM., 2021.</w:t>
      </w:r>
      <w:r>
        <w:rPr>
          <w:rFonts w:hint="default" w:ascii="Times New Roman" w:hAnsi="Times New Roman" w:cs="Times New Roman"/>
          <w:i/>
          <w:iCs/>
          <w:sz w:val="24"/>
          <w:szCs w:val="24"/>
          <w:lang w:val="en-US" w:eastAsia="zh-CN"/>
        </w:rPr>
        <w:t xml:space="preserve"> Background of parametric and nonparametric statistics.</w:t>
      </w:r>
      <w:r>
        <w:rPr>
          <w:rFonts w:hint="default" w:ascii="Times New Roman" w:hAnsi="Times New Roman" w:cs="Times New Roman"/>
          <w:sz w:val="24"/>
          <w:szCs w:val="24"/>
          <w:lang w:val="en-US" w:eastAsia="zh-CN"/>
        </w:rPr>
        <w:t xml:space="preserve"> [online] Available at: https://www.ibm.com/docs/vi/db2woc?topic=nonparametric-background [Accessed 3rd Dec.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Jensen, K., 2002,</w:t>
      </w:r>
      <w:r>
        <w:rPr>
          <w:rFonts w:hint="default" w:ascii="Times New Roman" w:hAnsi="Times New Roman" w:cs="Times New Roman"/>
          <w:i/>
          <w:iCs/>
          <w:sz w:val="24"/>
          <w:szCs w:val="24"/>
          <w:lang w:val="en-US" w:eastAsia="zh-CN"/>
        </w:rPr>
        <w:t xml:space="preserve"> A handbook of media and communication research</w:t>
      </w:r>
      <w:r>
        <w:rPr>
          <w:rFonts w:hint="default" w:ascii="Times New Roman" w:hAnsi="Times New Roman" w:cs="Times New Roman"/>
          <w:sz w:val="24"/>
          <w:szCs w:val="24"/>
          <w:lang w:val="en-US" w:eastAsia="zh-CN"/>
        </w:rPr>
        <w:t>. London: Routledge.</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Johnson, P. and Schaltegger, S., 2016, Two Decades of Sustainability Management Tools for SMEs: How Far Have We Come? </w:t>
      </w:r>
      <w:r>
        <w:rPr>
          <w:rFonts w:hint="default" w:ascii="Times New Roman" w:hAnsi="Times New Roman" w:cs="Times New Roman"/>
          <w:i/>
          <w:iCs/>
          <w:sz w:val="24"/>
          <w:szCs w:val="24"/>
          <w:lang w:val="en-US" w:eastAsia="zh-CN"/>
        </w:rPr>
        <w:t>Journal of Small Business Management</w:t>
      </w:r>
      <w:r>
        <w:rPr>
          <w:rFonts w:hint="default" w:ascii="Times New Roman" w:hAnsi="Times New Roman" w:cs="Times New Roman"/>
          <w:sz w:val="24"/>
          <w:szCs w:val="24"/>
          <w:lang w:val="en-US" w:eastAsia="zh-CN"/>
        </w:rPr>
        <w:t>, 54(2). pp. 481-505.</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Kent State University.</w:t>
      </w:r>
      <w:r>
        <w:rPr>
          <w:rFonts w:hint="eastAsia" w:ascii="Times New Roman" w:hAnsi="Times New Roman" w:cs="Times New Roman"/>
          <w:sz w:val="24"/>
          <w:szCs w:val="24"/>
          <w:lang w:val="en-US" w:eastAsia="zh-CN"/>
        </w:rPr>
        <w:t xml:space="preserve"> </w:t>
      </w:r>
      <w:r>
        <w:rPr>
          <w:rFonts w:hint="eastAsia" w:ascii="Times New Roman" w:hAnsi="Times New Roman" w:cs="Times New Roman"/>
          <w:i/>
          <w:iCs/>
          <w:sz w:val="24"/>
          <w:szCs w:val="24"/>
          <w:lang w:val="en-US" w:eastAsia="zh-CN"/>
        </w:rPr>
        <w:t>LibGuide. : SPSS Tutorials: One-Way ANOVA</w:t>
      </w:r>
      <w:r>
        <w:rPr>
          <w:rFonts w:hint="default" w:ascii="Times New Roman" w:hAnsi="Times New Roman" w:cs="Times New Roman"/>
          <w:i/>
          <w:iCs/>
          <w:sz w:val="24"/>
          <w:szCs w:val="24"/>
          <w:lang w:val="en-US" w:eastAsia="zh-CN"/>
        </w:rPr>
        <w:t>.</w:t>
      </w:r>
      <w:r>
        <w:rPr>
          <w:rFonts w:hint="default" w:ascii="Times New Roman" w:hAnsi="Times New Roman" w:cs="Times New Roman"/>
          <w:sz w:val="24"/>
          <w:szCs w:val="24"/>
          <w:lang w:val="en-US" w:eastAsia="zh-CN"/>
        </w:rPr>
        <w:t>University.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[online] Available at: https://libguides.library.kent.edu/SPSS/OneWayANOVA[Accessed </w:t>
      </w:r>
      <w:r>
        <w:rPr>
          <w:rFonts w:hint="eastAsia" w:ascii="Times New Roman" w:hAnsi="Times New Roman" w:cs="Times New Roman"/>
          <w:sz w:val="24"/>
          <w:szCs w:val="24"/>
          <w:lang w:val="en-US" w:eastAsia="zh-CN"/>
        </w:rPr>
        <w:t>25 March</w:t>
      </w:r>
      <w:r>
        <w:rPr>
          <w:rFonts w:hint="default" w:ascii="Times New Roman" w:hAnsi="Times New Roman" w:cs="Times New Roman"/>
          <w:sz w:val="24"/>
          <w:szCs w:val="24"/>
          <w:lang w:val="en-US" w:eastAsia="zh-CN"/>
        </w:rPr>
        <w:t>.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QuestionPro., 2021, </w:t>
      </w:r>
      <w:r>
        <w:rPr>
          <w:rFonts w:hint="default" w:ascii="Times New Roman" w:hAnsi="Times New Roman" w:cs="Times New Roman"/>
          <w:i/>
          <w:iCs/>
          <w:sz w:val="24"/>
          <w:szCs w:val="24"/>
          <w:lang w:val="en-US" w:eastAsia="zh-CN"/>
        </w:rPr>
        <w:t>Quantitative Research: Definition, Methods, Types and Examples.</w:t>
      </w:r>
      <w:r>
        <w:rPr>
          <w:rFonts w:hint="default" w:ascii="Times New Roman" w:hAnsi="Times New Roman" w:cs="Times New Roman"/>
          <w:sz w:val="24"/>
          <w:szCs w:val="24"/>
          <w:lang w:val="en-US" w:eastAsia="zh-CN"/>
        </w:rPr>
        <w:t xml:space="preserve"> [online] Available at: https://www.questionpro.com/blog/quantitative-research/ [Accessed 3rd Dec. 2021]</w:t>
      </w: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QuestionPro., 2021, </w:t>
      </w:r>
      <w:r>
        <w:rPr>
          <w:rFonts w:hint="default" w:ascii="Times New Roman" w:hAnsi="Times New Roman" w:cs="Times New Roman"/>
          <w:i/>
          <w:iCs/>
          <w:sz w:val="24"/>
          <w:szCs w:val="24"/>
          <w:lang w:val="en-US" w:eastAsia="zh-CN"/>
        </w:rPr>
        <w:t>Secondary Research- Definition, Methods and Examples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 at: https://www.questionpro.com/blog/secondary-research/ [Accessed 3rd Dec.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Qualtrics.</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i/>
          <w:iCs/>
          <w:sz w:val="24"/>
          <w:szCs w:val="24"/>
          <w:lang w:val="en-US" w:eastAsia="zh-CN"/>
        </w:rPr>
        <w:t>ANOVA Test: Definition &amp; Uses - Qualtrics</w:t>
      </w:r>
      <w:r>
        <w:rPr>
          <w:rFonts w:hint="default" w:ascii="Times New Roman" w:hAnsi="Times New Roman" w:cs="Times New Roman"/>
          <w:sz w:val="24"/>
          <w:szCs w:val="24"/>
          <w:lang w:val="en-US" w:eastAsia="zh-CN"/>
        </w:rPr>
        <w:t xml:space="preserve">. [online] Available at: https://www.qualtrics.com/experience-management/research/anova/[Accessed </w:t>
      </w:r>
      <w:r>
        <w:rPr>
          <w:rFonts w:hint="eastAsia" w:ascii="Times New Roman" w:hAnsi="Times New Roman" w:cs="Times New Roman"/>
          <w:sz w:val="24"/>
          <w:szCs w:val="24"/>
          <w:lang w:val="en-US" w:eastAsia="zh-CN"/>
        </w:rPr>
        <w:t>25 March</w:t>
      </w:r>
      <w:r>
        <w:rPr>
          <w:rFonts w:hint="default" w:ascii="Times New Roman" w:hAnsi="Times New Roman" w:cs="Times New Roman"/>
          <w:sz w:val="24"/>
          <w:szCs w:val="24"/>
          <w:lang w:val="en-US" w:eastAsia="zh-CN"/>
        </w:rPr>
        <w:t>.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StatisticSolutions., 2021. </w:t>
      </w:r>
      <w:r>
        <w:rPr>
          <w:rFonts w:hint="default" w:ascii="Times New Roman" w:hAnsi="Times New Roman" w:cs="Times New Roman"/>
          <w:i/>
          <w:iCs/>
          <w:sz w:val="24"/>
          <w:szCs w:val="24"/>
          <w:lang w:val="en-US" w:eastAsia="zh-CN"/>
        </w:rPr>
        <w:t>Selecting Between Parametric and Non-Parametric Analyses.</w:t>
      </w:r>
      <w:r>
        <w:rPr>
          <w:rFonts w:hint="default" w:ascii="Times New Roman" w:hAnsi="Times New Roman" w:cs="Times New Roman"/>
          <w:sz w:val="24"/>
          <w:szCs w:val="24"/>
          <w:lang w:val="en-US" w:eastAsia="zh-CN"/>
        </w:rPr>
        <w:t xml:space="preserve"> [online] Available at: https://www.statisticssolutions.com/selecting-between-parametric-and-non-parametric-analyses/ [Accessed 3rd Dec.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Stephanie., 2021. </w:t>
      </w:r>
      <w:r>
        <w:rPr>
          <w:rFonts w:hint="default" w:ascii="Times New Roman" w:hAnsi="Times New Roman" w:cs="Times New Roman"/>
          <w:i/>
          <w:iCs/>
          <w:sz w:val="24"/>
          <w:szCs w:val="24"/>
          <w:lang w:val="en-US" w:eastAsia="zh-CN"/>
        </w:rPr>
        <w:t>Parametric Statistics, Tests and Data</w:t>
      </w:r>
      <w:r>
        <w:rPr>
          <w:rFonts w:hint="default" w:ascii="Times New Roman" w:hAnsi="Times New Roman" w:cs="Times New Roman"/>
          <w:sz w:val="24"/>
          <w:szCs w:val="24"/>
          <w:lang w:val="en-US" w:eastAsia="zh-CN"/>
        </w:rPr>
        <w:t>. [online] Available at: https://www.statisticshowto.com/parametric-statistics/#Parametrictest [Accessed 3rd Dec. 2021]</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Sheskin,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2003. </w:t>
      </w:r>
      <w:r>
        <w:rPr>
          <w:rFonts w:hint="default" w:ascii="Times New Roman" w:hAnsi="Times New Roman" w:cs="Times New Roman"/>
          <w:i/>
          <w:iCs/>
          <w:sz w:val="24"/>
          <w:szCs w:val="24"/>
          <w:lang w:val="en-US" w:eastAsia="zh-CN"/>
        </w:rPr>
        <w:t>Handbook of parametric and nonparametric statistical procedures</w:t>
      </w:r>
      <w:r>
        <w:rPr>
          <w:rFonts w:hint="default" w:ascii="Times New Roman" w:hAnsi="Times New Roman" w:cs="Times New Roman"/>
          <w:sz w:val="24"/>
          <w:szCs w:val="24"/>
          <w:lang w:val="en-US" w:eastAsia="zh-CN"/>
        </w:rPr>
        <w:t>. Chapman and Hall/CRC.</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rPr>
        <w:t>Swanson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w:t>
      </w:r>
      <w:r>
        <w:rPr>
          <w:rFonts w:hint="default"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Holton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F.</w:t>
      </w:r>
      <w:r>
        <w:rPr>
          <w:rFonts w:hint="default" w:ascii="Times New Roman" w:hAnsi="Times New Roman" w:cs="Times New Roman"/>
          <w:sz w:val="24"/>
          <w:szCs w:val="24"/>
          <w:lang w:val="en-US" w:eastAsia="zh-CN"/>
        </w:rPr>
        <w:t>, 2005.</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Research in organizations: Foundations and methods in inquiry.</w:t>
      </w:r>
      <w:r>
        <w:rPr>
          <w:rFonts w:hint="default" w:ascii="Times New Roman" w:hAnsi="Times New Roman" w:cs="Times New Roman"/>
          <w:sz w:val="24"/>
          <w:szCs w:val="24"/>
          <w:lang w:val="en-US" w:eastAsia="zh-CN"/>
        </w:rPr>
        <w:t xml:space="preserve"> California:</w:t>
      </w:r>
      <w:r>
        <w:rPr>
          <w:rFonts w:hint="default" w:ascii="Times New Roman" w:hAnsi="Times New Roman" w:cs="Times New Roman"/>
          <w:sz w:val="24"/>
          <w:szCs w:val="24"/>
        </w:rPr>
        <w:t xml:space="preserve"> Berrett-Koehler Publishers</w:t>
      </w:r>
      <w:r>
        <w:rPr>
          <w:rFonts w:hint="default" w:ascii="Times New Roman" w:hAnsi="Times New Roman" w:cs="Times New Roman"/>
          <w:sz w:val="24"/>
          <w:szCs w:val="24"/>
          <w:lang w:val="en-US" w:eastAsia="zh-CN"/>
        </w:rPr>
        <w:t>.</w:t>
      </w:r>
    </w:p>
    <w:p>
      <w:pPr>
        <w:numPr>
          <w:ilvl w:val="0"/>
          <w:numId w:val="0"/>
        </w:numPr>
        <w:bidi w:val="0"/>
        <w:spacing w:line="360" w:lineRule="auto"/>
        <w:ind w:leftChars="0"/>
        <w:rPr>
          <w:rFonts w:hint="default" w:ascii="Times New Roman" w:hAnsi="Times New Roman" w:cs="Times New Roman"/>
          <w:sz w:val="24"/>
          <w:szCs w:val="24"/>
          <w:lang w:val="en-US" w:eastAsia="zh-CN"/>
        </w:rPr>
      </w:pPr>
    </w:p>
    <w:p>
      <w:pPr>
        <w:numPr>
          <w:ilvl w:val="0"/>
          <w:numId w:val="3"/>
        </w:numPr>
        <w:bidi w:val="0"/>
        <w:spacing w:line="360" w:lineRule="auto"/>
        <w:ind w:left="425" w:leftChars="0" w:hanging="425" w:firstLineChars="0"/>
        <w:rPr>
          <w:rFonts w:hint="default" w:ascii="Times New Roman" w:hAnsi="Times New Roman" w:cs="Times New Roman"/>
          <w:sz w:val="24"/>
          <w:szCs w:val="24"/>
          <w:lang w:val="en-US" w:eastAsia="zh-CN"/>
        </w:rPr>
        <w:sectPr>
          <w:footerReference r:id="rId4"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sz w:val="24"/>
          <w:szCs w:val="24"/>
          <w:lang w:val="en-US" w:eastAsia="zh-CN"/>
        </w:rPr>
        <w:t xml:space="preserve">Teesside University., 2021. </w:t>
      </w:r>
      <w:r>
        <w:rPr>
          <w:rFonts w:hint="default" w:ascii="Times New Roman" w:hAnsi="Times New Roman" w:cs="Times New Roman"/>
          <w:i/>
          <w:iCs/>
          <w:sz w:val="24"/>
          <w:szCs w:val="24"/>
          <w:lang w:val="en-US" w:eastAsia="zh-CN"/>
        </w:rPr>
        <w:t>Quantitative data collection and analysis.</w:t>
      </w:r>
      <w:r>
        <w:rPr>
          <w:rFonts w:hint="default" w:ascii="Times New Roman" w:hAnsi="Times New Roman" w:cs="Times New Roman"/>
          <w:sz w:val="24"/>
          <w:szCs w:val="24"/>
          <w:lang w:val="en-US" w:eastAsia="zh-CN"/>
        </w:rPr>
        <w:t xml:space="preserve"> [online] Available at: https://libguides.tees.ac.uk/quantitative/statistical_tests_paramedic [Accessed 3rd Dec. 2021]</w:t>
      </w:r>
    </w:p>
    <w:p>
      <w:pPr>
        <w:pStyle w:val="2"/>
        <w:bidi w:val="0"/>
        <w:rPr>
          <w:rFonts w:hint="eastAsia"/>
          <w:lang w:val="en-US" w:eastAsia="zh-CN"/>
        </w:rPr>
      </w:pPr>
      <w:bookmarkStart w:id="27" w:name="_Toc16078"/>
      <w:bookmarkStart w:id="28" w:name="_Toc17391"/>
      <w:r>
        <w:rPr>
          <w:rFonts w:hint="eastAsia"/>
          <w:lang w:val="en-US" w:eastAsia="zh-CN"/>
        </w:rPr>
        <w:t>Appendix</w:t>
      </w:r>
      <w:bookmarkEnd w:id="27"/>
      <w:bookmarkEnd w:id="28"/>
    </w:p>
    <w:p>
      <w:pPr>
        <w:rPr>
          <w:rFonts w:hint="eastAsia"/>
          <w:lang w:val="en-US" w:eastAsia="zh-CN"/>
        </w:rPr>
      </w:pPr>
    </w:p>
    <w:p>
      <w:pPr>
        <w:pStyle w:val="3"/>
        <w:bidi w:val="0"/>
        <w:rPr>
          <w:rFonts w:hint="eastAsia"/>
          <w:lang w:val="en-US" w:eastAsia="zh-CN"/>
        </w:rPr>
      </w:pPr>
      <w:bookmarkStart w:id="29" w:name="_Toc15376"/>
      <w:bookmarkStart w:id="30" w:name="_Toc24608"/>
      <w:r>
        <w:rPr>
          <w:rFonts w:hint="eastAsia"/>
          <w:lang w:val="en-US" w:eastAsia="zh-CN"/>
        </w:rPr>
        <w:t>Copy of Articles</w:t>
      </w:r>
      <w:bookmarkEnd w:id="29"/>
      <w:bookmarkEnd w:id="30"/>
    </w:p>
    <w:p>
      <w:pPr>
        <w:rPr>
          <w:rFonts w:hint="eastAsia"/>
          <w:lang w:val="en-US" w:eastAsia="zh-CN"/>
        </w:rPr>
      </w:pPr>
      <w:r>
        <w:rPr>
          <w:rFonts w:hint="eastAsia"/>
          <w:lang w:val="en-US" w:eastAsia="zh-CN"/>
        </w:rPr>
        <w:drawing>
          <wp:inline distT="0" distB="0" distL="114300" distR="114300">
            <wp:extent cx="5274310" cy="7534910"/>
            <wp:effectExtent l="0" t="0" r="13970" b="8890"/>
            <wp:docPr id="52" name="图片 52" descr="ContentServer (2)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2" descr="ContentServer (2)_00"/>
                    <pic:cNvPicPr>
                      <a:picLocks noChangeAspect="1"/>
                    </pic:cNvPicPr>
                  </pic:nvPicPr>
                  <pic:blipFill>
                    <a:blip r:embed="rId6"/>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51" name="图片 51" descr="ContentServer (2)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ContentServer (2)_01"/>
                    <pic:cNvPicPr>
                      <a:picLocks noChangeAspect="1"/>
                    </pic:cNvPicPr>
                  </pic:nvPicPr>
                  <pic:blipFill>
                    <a:blip r:embed="rId7"/>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50" name="图片 50" descr="ContentServer (2)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descr="ContentServer (2)_02"/>
                    <pic:cNvPicPr>
                      <a:picLocks noChangeAspect="1"/>
                    </pic:cNvPicPr>
                  </pic:nvPicPr>
                  <pic:blipFill>
                    <a:blip r:embed="rId8"/>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9" name="图片 49" descr="ContentServer (2)_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ContentServer (2)_03"/>
                    <pic:cNvPicPr>
                      <a:picLocks noChangeAspect="1"/>
                    </pic:cNvPicPr>
                  </pic:nvPicPr>
                  <pic:blipFill>
                    <a:blip r:embed="rId9"/>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8" name="图片 48" descr="ContentServer (2)_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ContentServer (2)_04"/>
                    <pic:cNvPicPr>
                      <a:picLocks noChangeAspect="1"/>
                    </pic:cNvPicPr>
                  </pic:nvPicPr>
                  <pic:blipFill>
                    <a:blip r:embed="rId10"/>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7" name="图片 47" descr="ContentServer (2)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ContentServer (2)_05"/>
                    <pic:cNvPicPr>
                      <a:picLocks noChangeAspect="1"/>
                    </pic:cNvPicPr>
                  </pic:nvPicPr>
                  <pic:blipFill>
                    <a:blip r:embed="rId11"/>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6" name="图片 46" descr="ContentServer (2)_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ContentServer (2)_06"/>
                    <pic:cNvPicPr>
                      <a:picLocks noChangeAspect="1"/>
                    </pic:cNvPicPr>
                  </pic:nvPicPr>
                  <pic:blipFill>
                    <a:blip r:embed="rId12"/>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5" name="图片 45" descr="ContentServer (2)_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ContentServer (2)_07"/>
                    <pic:cNvPicPr>
                      <a:picLocks noChangeAspect="1"/>
                    </pic:cNvPicPr>
                  </pic:nvPicPr>
                  <pic:blipFill>
                    <a:blip r:embed="rId13"/>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4" name="图片 44" descr="ContentServer (2)_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ContentServer (2)_08"/>
                    <pic:cNvPicPr>
                      <a:picLocks noChangeAspect="1"/>
                    </pic:cNvPicPr>
                  </pic:nvPicPr>
                  <pic:blipFill>
                    <a:blip r:embed="rId14"/>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3" name="图片 43" descr="ContentServer (2)_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ContentServer (2)_09"/>
                    <pic:cNvPicPr>
                      <a:picLocks noChangeAspect="1"/>
                    </pic:cNvPicPr>
                  </pic:nvPicPr>
                  <pic:blipFill>
                    <a:blip r:embed="rId15"/>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2" name="图片 42" descr="ContentServer (2)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ContentServer (2)_10"/>
                    <pic:cNvPicPr>
                      <a:picLocks noChangeAspect="1"/>
                    </pic:cNvPicPr>
                  </pic:nvPicPr>
                  <pic:blipFill>
                    <a:blip r:embed="rId16"/>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1" name="图片 41" descr="ContentServer (2)_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ContentServer (2)_11"/>
                    <pic:cNvPicPr>
                      <a:picLocks noChangeAspect="1"/>
                    </pic:cNvPicPr>
                  </pic:nvPicPr>
                  <pic:blipFill>
                    <a:blip r:embed="rId17"/>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40" name="图片 40" descr="ContentServer (2)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ContentServer (2)_12"/>
                    <pic:cNvPicPr>
                      <a:picLocks noChangeAspect="1"/>
                    </pic:cNvPicPr>
                  </pic:nvPicPr>
                  <pic:blipFill>
                    <a:blip r:embed="rId18"/>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9" name="图片 39" descr="ContentServer (2)_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ContentServer (2)_13"/>
                    <pic:cNvPicPr>
                      <a:picLocks noChangeAspect="1"/>
                    </pic:cNvPicPr>
                  </pic:nvPicPr>
                  <pic:blipFill>
                    <a:blip r:embed="rId19"/>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8" name="图片 38" descr="ContentServer (2)_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ContentServer (2)_14"/>
                    <pic:cNvPicPr>
                      <a:picLocks noChangeAspect="1"/>
                    </pic:cNvPicPr>
                  </pic:nvPicPr>
                  <pic:blipFill>
                    <a:blip r:embed="rId20"/>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7" name="图片 37" descr="ContentServer (2)_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ContentServer (2)_15"/>
                    <pic:cNvPicPr>
                      <a:picLocks noChangeAspect="1"/>
                    </pic:cNvPicPr>
                  </pic:nvPicPr>
                  <pic:blipFill>
                    <a:blip r:embed="rId21"/>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6" name="图片 36" descr="ContentServer (2)_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ContentServer (2)_16"/>
                    <pic:cNvPicPr>
                      <a:picLocks noChangeAspect="1"/>
                    </pic:cNvPicPr>
                  </pic:nvPicPr>
                  <pic:blipFill>
                    <a:blip r:embed="rId22"/>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5" name="图片 35" descr="ContentServer (2)_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ContentServer (2)_17"/>
                    <pic:cNvPicPr>
                      <a:picLocks noChangeAspect="1"/>
                    </pic:cNvPicPr>
                  </pic:nvPicPr>
                  <pic:blipFill>
                    <a:blip r:embed="rId23"/>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4" name="图片 34" descr="ContentServer (2)_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ContentServer (2)_18"/>
                    <pic:cNvPicPr>
                      <a:picLocks noChangeAspect="1"/>
                    </pic:cNvPicPr>
                  </pic:nvPicPr>
                  <pic:blipFill>
                    <a:blip r:embed="rId24"/>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3" name="图片 33" descr="ContentServer (2)_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ContentServer (2)_19"/>
                    <pic:cNvPicPr>
                      <a:picLocks noChangeAspect="1"/>
                    </pic:cNvPicPr>
                  </pic:nvPicPr>
                  <pic:blipFill>
                    <a:blip r:embed="rId25"/>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2" name="图片 32" descr="ContentServer (2)_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ContentServer (2)_20"/>
                    <pic:cNvPicPr>
                      <a:picLocks noChangeAspect="1"/>
                    </pic:cNvPicPr>
                  </pic:nvPicPr>
                  <pic:blipFill>
                    <a:blip r:embed="rId26"/>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1" name="图片 31" descr="ContentServer (2)_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ContentServer (2)_21"/>
                    <pic:cNvPicPr>
                      <a:picLocks noChangeAspect="1"/>
                    </pic:cNvPicPr>
                  </pic:nvPicPr>
                  <pic:blipFill>
                    <a:blip r:embed="rId27"/>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30" name="图片 30" descr="ContentServer (2)_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ContentServer (2)_22"/>
                    <pic:cNvPicPr>
                      <a:picLocks noChangeAspect="1"/>
                    </pic:cNvPicPr>
                  </pic:nvPicPr>
                  <pic:blipFill>
                    <a:blip r:embed="rId28"/>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29" name="图片 29" descr="ContentServer (2)_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ContentServer (2)_23"/>
                    <pic:cNvPicPr>
                      <a:picLocks noChangeAspect="1"/>
                    </pic:cNvPicPr>
                  </pic:nvPicPr>
                  <pic:blipFill>
                    <a:blip r:embed="rId29"/>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74310" cy="7534910"/>
            <wp:effectExtent l="0" t="0" r="13970" b="8890"/>
            <wp:docPr id="28" name="图片 28" descr="ContentServer (2)_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ContentServer (2)_24"/>
                    <pic:cNvPicPr>
                      <a:picLocks noChangeAspect="1"/>
                    </pic:cNvPicPr>
                  </pic:nvPicPr>
                  <pic:blipFill>
                    <a:blip r:embed="rId30"/>
                    <a:stretch>
                      <a:fillRect/>
                    </a:stretch>
                  </pic:blipFill>
                  <pic:spPr>
                    <a:xfrm>
                      <a:off x="0" y="0"/>
                      <a:ext cx="5274310" cy="7534910"/>
                    </a:xfrm>
                    <a:prstGeom prst="rect">
                      <a:avLst/>
                    </a:prstGeom>
                  </pic:spPr>
                </pic:pic>
              </a:graphicData>
            </a:graphic>
          </wp:inline>
        </w:drawing>
      </w:r>
      <w:r>
        <w:rPr>
          <w:rFonts w:hint="eastAsia"/>
          <w:lang w:val="en-US" w:eastAsia="zh-CN"/>
        </w:rPr>
        <w:drawing>
          <wp:inline distT="0" distB="0" distL="114300" distR="114300">
            <wp:extent cx="5269865" cy="7452995"/>
            <wp:effectExtent l="0" t="0" r="3175" b="14605"/>
            <wp:docPr id="27" name="图片 27" descr="ContentServer (2)_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ContentServer (2)_25"/>
                    <pic:cNvPicPr>
                      <a:picLocks noChangeAspect="1"/>
                    </pic:cNvPicPr>
                  </pic:nvPicPr>
                  <pic:blipFill>
                    <a:blip r:embed="rId31"/>
                    <a:stretch>
                      <a:fillRect/>
                    </a:stretch>
                  </pic:blipFill>
                  <pic:spPr>
                    <a:xfrm>
                      <a:off x="0" y="0"/>
                      <a:ext cx="5269865" cy="7452995"/>
                    </a:xfrm>
                    <a:prstGeom prst="rect">
                      <a:avLst/>
                    </a:prstGeom>
                  </pic:spPr>
                </pic:pic>
              </a:graphicData>
            </a:graphic>
          </wp:inline>
        </w:drawing>
      </w:r>
    </w:p>
    <w:p>
      <w:pPr>
        <w:rPr>
          <w:rFonts w:hint="default" w:ascii="Times New Roman" w:hAnsi="Times New Roman" w:cs="Times New Roman"/>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lang w:val="en-US" w:eastAsia="zh-CN"/>
        </w:rPr>
        <w:drawing>
          <wp:inline distT="0" distB="0" distL="114300" distR="114300">
            <wp:extent cx="5272405" cy="7908925"/>
            <wp:effectExtent l="0" t="0" r="635" b="635"/>
            <wp:docPr id="26" name="图片 26" descr="ContentServer (1)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ContentServer (1)_00"/>
                    <pic:cNvPicPr>
                      <a:picLocks noChangeAspect="1"/>
                    </pic:cNvPicPr>
                  </pic:nvPicPr>
                  <pic:blipFill>
                    <a:blip r:embed="rId32"/>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5" name="图片 25" descr="ContentServer (1)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ContentServer (1)_01"/>
                    <pic:cNvPicPr>
                      <a:picLocks noChangeAspect="1"/>
                    </pic:cNvPicPr>
                  </pic:nvPicPr>
                  <pic:blipFill>
                    <a:blip r:embed="rId33"/>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4" name="图片 24" descr="ContentServer (1)_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ContentServer (1)_02"/>
                    <pic:cNvPicPr>
                      <a:picLocks noChangeAspect="1"/>
                    </pic:cNvPicPr>
                  </pic:nvPicPr>
                  <pic:blipFill>
                    <a:blip r:embed="rId34"/>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3" name="图片 23" descr="ContentServer (1)_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ContentServer (1)_03"/>
                    <pic:cNvPicPr>
                      <a:picLocks noChangeAspect="1"/>
                    </pic:cNvPicPr>
                  </pic:nvPicPr>
                  <pic:blipFill>
                    <a:blip r:embed="rId35"/>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2" name="图片 22" descr="ContentServer (1)_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ContentServer (1)_04"/>
                    <pic:cNvPicPr>
                      <a:picLocks noChangeAspect="1"/>
                    </pic:cNvPicPr>
                  </pic:nvPicPr>
                  <pic:blipFill>
                    <a:blip r:embed="rId36"/>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1" name="图片 21" descr="ContentServer (1)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ContentServer (1)_05"/>
                    <pic:cNvPicPr>
                      <a:picLocks noChangeAspect="1"/>
                    </pic:cNvPicPr>
                  </pic:nvPicPr>
                  <pic:blipFill>
                    <a:blip r:embed="rId37"/>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20" name="图片 20" descr="ContentServer (1)_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ContentServer (1)_06"/>
                    <pic:cNvPicPr>
                      <a:picLocks noChangeAspect="1"/>
                    </pic:cNvPicPr>
                  </pic:nvPicPr>
                  <pic:blipFill>
                    <a:blip r:embed="rId38"/>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9" name="图片 19" descr="ContentServer (1)_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ContentServer (1)_07"/>
                    <pic:cNvPicPr>
                      <a:picLocks noChangeAspect="1"/>
                    </pic:cNvPicPr>
                  </pic:nvPicPr>
                  <pic:blipFill>
                    <a:blip r:embed="rId39"/>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8" name="图片 18" descr="ContentServer (1)_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ContentServer (1)_08"/>
                    <pic:cNvPicPr>
                      <a:picLocks noChangeAspect="1"/>
                    </pic:cNvPicPr>
                  </pic:nvPicPr>
                  <pic:blipFill>
                    <a:blip r:embed="rId40"/>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7" name="图片 17" descr="ContentServer (1)_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ContentServer (1)_09"/>
                    <pic:cNvPicPr>
                      <a:picLocks noChangeAspect="1"/>
                    </pic:cNvPicPr>
                  </pic:nvPicPr>
                  <pic:blipFill>
                    <a:blip r:embed="rId41"/>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6" name="图片 16" descr="ContentServer (1)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ContentServer (1)_10"/>
                    <pic:cNvPicPr>
                      <a:picLocks noChangeAspect="1"/>
                    </pic:cNvPicPr>
                  </pic:nvPicPr>
                  <pic:blipFill>
                    <a:blip r:embed="rId42"/>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5" name="图片 15" descr="ContentServer (1)_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ContentServer (1)_11"/>
                    <pic:cNvPicPr>
                      <a:picLocks noChangeAspect="1"/>
                    </pic:cNvPicPr>
                  </pic:nvPicPr>
                  <pic:blipFill>
                    <a:blip r:embed="rId43"/>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4" name="图片 14" descr="ContentServer (1)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ContentServer (1)_12"/>
                    <pic:cNvPicPr>
                      <a:picLocks noChangeAspect="1"/>
                    </pic:cNvPicPr>
                  </pic:nvPicPr>
                  <pic:blipFill>
                    <a:blip r:embed="rId44"/>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3" name="图片 13" descr="ContentServer (1)_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ontentServer (1)_13"/>
                    <pic:cNvPicPr>
                      <a:picLocks noChangeAspect="1"/>
                    </pic:cNvPicPr>
                  </pic:nvPicPr>
                  <pic:blipFill>
                    <a:blip r:embed="rId45"/>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2" name="图片 12" descr="ContentServer (1)_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ContentServer (1)_14"/>
                    <pic:cNvPicPr>
                      <a:picLocks noChangeAspect="1"/>
                    </pic:cNvPicPr>
                  </pic:nvPicPr>
                  <pic:blipFill>
                    <a:blip r:embed="rId46"/>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1" name="图片 11" descr="ContentServer (1)_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ContentServer (1)_15"/>
                    <pic:cNvPicPr>
                      <a:picLocks noChangeAspect="1"/>
                    </pic:cNvPicPr>
                  </pic:nvPicPr>
                  <pic:blipFill>
                    <a:blip r:embed="rId47"/>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10" name="图片 10" descr="ContentServer (1)_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ContentServer (1)_16"/>
                    <pic:cNvPicPr>
                      <a:picLocks noChangeAspect="1"/>
                    </pic:cNvPicPr>
                  </pic:nvPicPr>
                  <pic:blipFill>
                    <a:blip r:embed="rId48"/>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9" name="图片 9" descr="ContentServer (1)_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ContentServer (1)_17"/>
                    <pic:cNvPicPr>
                      <a:picLocks noChangeAspect="1"/>
                    </pic:cNvPicPr>
                  </pic:nvPicPr>
                  <pic:blipFill>
                    <a:blip r:embed="rId49"/>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8" name="图片 8" descr="ContentServer (1)_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ContentServer (1)_18"/>
                    <pic:cNvPicPr>
                      <a:picLocks noChangeAspect="1"/>
                    </pic:cNvPicPr>
                  </pic:nvPicPr>
                  <pic:blipFill>
                    <a:blip r:embed="rId50"/>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7" name="图片 7" descr="ContentServer (1)_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ontentServer (1)_19"/>
                    <pic:cNvPicPr>
                      <a:picLocks noChangeAspect="1"/>
                    </pic:cNvPicPr>
                  </pic:nvPicPr>
                  <pic:blipFill>
                    <a:blip r:embed="rId51"/>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6" name="图片 6" descr="ContentServer (1)_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ontentServer (1)_20"/>
                    <pic:cNvPicPr>
                      <a:picLocks noChangeAspect="1"/>
                    </pic:cNvPicPr>
                  </pic:nvPicPr>
                  <pic:blipFill>
                    <a:blip r:embed="rId52"/>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5" name="图片 5" descr="ContentServer (1)_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ontentServer (1)_21"/>
                    <pic:cNvPicPr>
                      <a:picLocks noChangeAspect="1"/>
                    </pic:cNvPicPr>
                  </pic:nvPicPr>
                  <pic:blipFill>
                    <a:blip r:embed="rId53"/>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4" name="图片 4" descr="ContentServer (1)_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ContentServer (1)_22"/>
                    <pic:cNvPicPr>
                      <a:picLocks noChangeAspect="1"/>
                    </pic:cNvPicPr>
                  </pic:nvPicPr>
                  <pic:blipFill>
                    <a:blip r:embed="rId54"/>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72405" cy="7908925"/>
            <wp:effectExtent l="0" t="0" r="635" b="635"/>
            <wp:docPr id="3" name="图片 3" descr="ContentServer (1)_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ontentServer (1)_23"/>
                    <pic:cNvPicPr>
                      <a:picLocks noChangeAspect="1"/>
                    </pic:cNvPicPr>
                  </pic:nvPicPr>
                  <pic:blipFill>
                    <a:blip r:embed="rId55"/>
                    <a:stretch>
                      <a:fillRect/>
                    </a:stretch>
                  </pic:blipFill>
                  <pic:spPr>
                    <a:xfrm>
                      <a:off x="0" y="0"/>
                      <a:ext cx="5272405" cy="7908925"/>
                    </a:xfrm>
                    <a:prstGeom prst="rect">
                      <a:avLst/>
                    </a:prstGeom>
                  </pic:spPr>
                </pic:pic>
              </a:graphicData>
            </a:graphic>
          </wp:inline>
        </w:drawing>
      </w:r>
      <w:r>
        <w:rPr>
          <w:rFonts w:hint="default"/>
          <w:lang w:val="en-US" w:eastAsia="zh-CN"/>
        </w:rPr>
        <w:drawing>
          <wp:inline distT="0" distB="0" distL="114300" distR="114300">
            <wp:extent cx="5269865" cy="6819900"/>
            <wp:effectExtent l="0" t="0" r="3175" b="7620"/>
            <wp:docPr id="2" name="图片 2" descr="ContentServer (1)_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ontentServer (1)_24"/>
                    <pic:cNvPicPr>
                      <a:picLocks noChangeAspect="1"/>
                    </pic:cNvPicPr>
                  </pic:nvPicPr>
                  <pic:blipFill>
                    <a:blip r:embed="rId56"/>
                    <a:stretch>
                      <a:fillRect/>
                    </a:stretch>
                  </pic:blipFill>
                  <pic:spPr>
                    <a:xfrm>
                      <a:off x="0" y="0"/>
                      <a:ext cx="5269865" cy="6819900"/>
                    </a:xfrm>
                    <a:prstGeom prst="rect">
                      <a:avLst/>
                    </a:prstGeom>
                  </pic:spPr>
                </pic:pic>
              </a:graphicData>
            </a:graphic>
          </wp:inline>
        </w:drawing>
      </w:r>
    </w:p>
    <w:p>
      <w:pPr>
        <w:rPr>
          <w:rFonts w:hint="default" w:ascii="Times New Roman" w:hAnsi="Times New Roman" w:cs="Times New Roman"/>
          <w:sz w:val="24"/>
          <w:szCs w:val="24"/>
          <w:lang w:val="en-US" w:eastAsia="zh-CN"/>
        </w:rPr>
      </w:pPr>
    </w:p>
    <w:p>
      <w:pPr>
        <w:spacing w:line="360" w:lineRule="auto"/>
        <w:rPr>
          <w:rFonts w:hint="default" w:ascii="Times New Roman" w:hAnsi="Times New Roman" w:cs="Times New Roman"/>
          <w:sz w:val="24"/>
          <w:szCs w:val="24"/>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dobe Gothic Std B">
    <w:panose1 w:val="020B0800000000000000"/>
    <w:charset w:val="80"/>
    <w:family w:val="auto"/>
    <w:pitch w:val="default"/>
    <w:sig w:usb0="00000001" w:usb1="21D72C10" w:usb2="00000010" w:usb3="00000000" w:csb0="602A0005"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4</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53" name="文本框 5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16</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L2AA3MzAgAAYwQAAA4AAAAAAAAAAQAgAAAAHwEAAGRycy9lMm9Eb2MueG1sUEsF&#10;BgAAAAAGAAYAWQEAAMQFA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16</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9825F"/>
    <w:multiLevelType w:val="singleLevel"/>
    <w:tmpl w:val="0059825F"/>
    <w:lvl w:ilvl="0" w:tentative="0">
      <w:start w:val="1"/>
      <w:numFmt w:val="decimal"/>
      <w:suff w:val="space"/>
      <w:lvlText w:val="%1."/>
      <w:lvlJc w:val="left"/>
    </w:lvl>
  </w:abstractNum>
  <w:abstractNum w:abstractNumId="1">
    <w:nsid w:val="3B9C4A1A"/>
    <w:multiLevelType w:val="singleLevel"/>
    <w:tmpl w:val="3B9C4A1A"/>
    <w:lvl w:ilvl="0" w:tentative="0">
      <w:start w:val="1"/>
      <w:numFmt w:val="decimal"/>
      <w:suff w:val="space"/>
      <w:lvlText w:val="%1."/>
      <w:lvlJc w:val="left"/>
    </w:lvl>
  </w:abstractNum>
  <w:abstractNum w:abstractNumId="2">
    <w:nsid w:val="51E53606"/>
    <w:multiLevelType w:val="singleLevel"/>
    <w:tmpl w:val="51E53606"/>
    <w:lvl w:ilvl="0" w:tentative="0">
      <w:start w:val="1"/>
      <w:numFmt w:val="decimal"/>
      <w:lvlText w:val="%1."/>
      <w:lvlJc w:val="left"/>
      <w:pPr>
        <w:ind w:left="425" w:hanging="425"/>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17768C"/>
    <w:rsid w:val="367B32EF"/>
    <w:rsid w:val="521628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uiPriority w:val="0"/>
    <w:rPr>
      <w:color w:val="0000FF"/>
      <w:u w:val="single"/>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 w:type="paragraph" w:customStyle="1" w:styleId="13">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9" Type="http://schemas.openxmlformats.org/officeDocument/2006/relationships/fontTable" Target="fontTable.xml"/><Relationship Id="rId58" Type="http://schemas.openxmlformats.org/officeDocument/2006/relationships/numbering" Target="numbering.xml"/><Relationship Id="rId57" Type="http://schemas.openxmlformats.org/officeDocument/2006/relationships/customXml" Target="../customXml/item1.xml"/><Relationship Id="rId56" Type="http://schemas.openxmlformats.org/officeDocument/2006/relationships/image" Target="media/image51.jpeg"/><Relationship Id="rId55" Type="http://schemas.openxmlformats.org/officeDocument/2006/relationships/image" Target="media/image50.jpeg"/><Relationship Id="rId54" Type="http://schemas.openxmlformats.org/officeDocument/2006/relationships/image" Target="media/image49.jpeg"/><Relationship Id="rId53" Type="http://schemas.openxmlformats.org/officeDocument/2006/relationships/image" Target="media/image48.jpeg"/><Relationship Id="rId52" Type="http://schemas.openxmlformats.org/officeDocument/2006/relationships/image" Target="media/image47.jpeg"/><Relationship Id="rId51" Type="http://schemas.openxmlformats.org/officeDocument/2006/relationships/image" Target="media/image46.jpeg"/><Relationship Id="rId50" Type="http://schemas.openxmlformats.org/officeDocument/2006/relationships/image" Target="media/image45.jpeg"/><Relationship Id="rId5" Type="http://schemas.openxmlformats.org/officeDocument/2006/relationships/theme" Target="theme/theme1.xml"/><Relationship Id="rId49" Type="http://schemas.openxmlformats.org/officeDocument/2006/relationships/image" Target="media/image44.jpeg"/><Relationship Id="rId48" Type="http://schemas.openxmlformats.org/officeDocument/2006/relationships/image" Target="media/image43.jpeg"/><Relationship Id="rId47" Type="http://schemas.openxmlformats.org/officeDocument/2006/relationships/image" Target="media/image42.jpeg"/><Relationship Id="rId46" Type="http://schemas.openxmlformats.org/officeDocument/2006/relationships/image" Target="media/image41.jpeg"/><Relationship Id="rId45" Type="http://schemas.openxmlformats.org/officeDocument/2006/relationships/image" Target="media/image40.jpeg"/><Relationship Id="rId44" Type="http://schemas.openxmlformats.org/officeDocument/2006/relationships/image" Target="media/image39.jpeg"/><Relationship Id="rId43" Type="http://schemas.openxmlformats.org/officeDocument/2006/relationships/image" Target="media/image38.jpeg"/><Relationship Id="rId42" Type="http://schemas.openxmlformats.org/officeDocument/2006/relationships/image" Target="media/image37.jpeg"/><Relationship Id="rId41" Type="http://schemas.openxmlformats.org/officeDocument/2006/relationships/image" Target="media/image36.jpeg"/><Relationship Id="rId40" Type="http://schemas.openxmlformats.org/officeDocument/2006/relationships/image" Target="media/image35.jpeg"/><Relationship Id="rId4" Type="http://schemas.openxmlformats.org/officeDocument/2006/relationships/footer" Target="footer2.xml"/><Relationship Id="rId39" Type="http://schemas.openxmlformats.org/officeDocument/2006/relationships/image" Target="media/image34.jpeg"/><Relationship Id="rId38" Type="http://schemas.openxmlformats.org/officeDocument/2006/relationships/image" Target="media/image33.jpeg"/><Relationship Id="rId37" Type="http://schemas.openxmlformats.org/officeDocument/2006/relationships/image" Target="media/image32.jpeg"/><Relationship Id="rId36" Type="http://schemas.openxmlformats.org/officeDocument/2006/relationships/image" Target="media/image31.jpeg"/><Relationship Id="rId35" Type="http://schemas.openxmlformats.org/officeDocument/2006/relationships/image" Target="media/image30.jpeg"/><Relationship Id="rId34" Type="http://schemas.openxmlformats.org/officeDocument/2006/relationships/image" Target="media/image29.jpeg"/><Relationship Id="rId33" Type="http://schemas.openxmlformats.org/officeDocument/2006/relationships/image" Target="media/image28.jpeg"/><Relationship Id="rId32" Type="http://schemas.openxmlformats.org/officeDocument/2006/relationships/image" Target="media/image27.jpeg"/><Relationship Id="rId31" Type="http://schemas.openxmlformats.org/officeDocument/2006/relationships/image" Target="media/image26.jpeg"/><Relationship Id="rId30" Type="http://schemas.openxmlformats.org/officeDocument/2006/relationships/image" Target="media/image25.jpeg"/><Relationship Id="rId3" Type="http://schemas.openxmlformats.org/officeDocument/2006/relationships/footer" Target="footer1.xml"/><Relationship Id="rId29" Type="http://schemas.openxmlformats.org/officeDocument/2006/relationships/image" Target="media/image24.jpeg"/><Relationship Id="rId28" Type="http://schemas.openxmlformats.org/officeDocument/2006/relationships/image" Target="media/image23.jpeg"/><Relationship Id="rId27" Type="http://schemas.openxmlformats.org/officeDocument/2006/relationships/image" Target="media/image22.jpeg"/><Relationship Id="rId26" Type="http://schemas.openxmlformats.org/officeDocument/2006/relationships/image" Target="media/image21.jpeg"/><Relationship Id="rId25" Type="http://schemas.openxmlformats.org/officeDocument/2006/relationships/image" Target="media/image20.jpeg"/><Relationship Id="rId24" Type="http://schemas.openxmlformats.org/officeDocument/2006/relationships/image" Target="media/image19.jpeg"/><Relationship Id="rId23" Type="http://schemas.openxmlformats.org/officeDocument/2006/relationships/image" Target="media/image18.jpeg"/><Relationship Id="rId22" Type="http://schemas.openxmlformats.org/officeDocument/2006/relationships/image" Target="media/image17.jpeg"/><Relationship Id="rId21" Type="http://schemas.openxmlformats.org/officeDocument/2006/relationships/image" Target="media/image16.jpeg"/><Relationship Id="rId20" Type="http://schemas.openxmlformats.org/officeDocument/2006/relationships/image" Target="media/image15.jpeg"/><Relationship Id="rId2" Type="http://schemas.openxmlformats.org/officeDocument/2006/relationships/settings" Target="settings.xml"/><Relationship Id="rId19" Type="http://schemas.openxmlformats.org/officeDocument/2006/relationships/image" Target="media/image14.jpeg"/><Relationship Id="rId18" Type="http://schemas.openxmlformats.org/officeDocument/2006/relationships/image" Target="media/image13.jpeg"/><Relationship Id="rId17" Type="http://schemas.openxmlformats.org/officeDocument/2006/relationships/image" Target="media/image12.jpeg"/><Relationship Id="rId16" Type="http://schemas.openxmlformats.org/officeDocument/2006/relationships/image" Target="media/image11.jpeg"/><Relationship Id="rId15" Type="http://schemas.openxmlformats.org/officeDocument/2006/relationships/image" Target="media/image10.jpe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asus</dc:creator>
  <cp:lastModifiedBy>Semper_Fidelis</cp:lastModifiedBy>
  <dcterms:modified xsi:type="dcterms:W3CDTF">2022-03-25T13:16:41Z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F02410C8BA474BB9AFE7AE00A4FD4923</vt:lpwstr>
  </property>
</Properties>
</file>