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737B4" w14:textId="77777777" w:rsidR="00E71AC0" w:rsidRDefault="00667FA1">
      <w:pPr>
        <w:spacing w:line="360" w:lineRule="auto"/>
      </w:pPr>
      <w:r>
        <w:rPr>
          <w:rFonts w:ascii="Arial" w:hAnsi="Arial" w:cs="Arial"/>
          <w:color w:val="000000"/>
        </w:rPr>
        <w:t xml:space="preserve">Qualification: </w:t>
      </w:r>
      <w:r>
        <w:rPr>
          <w:rFonts w:ascii="Arial" w:hAnsi="Arial" w:cs="Arial"/>
        </w:rPr>
        <w:tab/>
      </w:r>
      <w:r>
        <w:rPr>
          <w:rFonts w:ascii="Arial" w:hAnsi="Arial" w:cs="Arial"/>
          <w:color w:val="000000"/>
        </w:rPr>
        <w:t xml:space="preserve">Master of Arts, Professional Practice (Level 7) </w:t>
      </w:r>
    </w:p>
    <w:p w14:paraId="786737B5" w14:textId="77777777" w:rsidR="00E71AC0" w:rsidRDefault="00667FA1">
      <w:pPr>
        <w:spacing w:line="360" w:lineRule="auto"/>
        <w:rPr>
          <w:rFonts w:ascii="Arial" w:hAnsi="Arial" w:cs="Arial"/>
          <w:color w:val="000000"/>
        </w:rPr>
      </w:pPr>
      <w:r>
        <w:rPr>
          <w:rFonts w:ascii="Arial" w:hAnsi="Arial" w:cs="Arial"/>
          <w:color w:val="000000"/>
        </w:rPr>
        <w:t>Module:                </w:t>
      </w:r>
      <w:r>
        <w:rPr>
          <w:rFonts w:ascii="Arial" w:hAnsi="Arial" w:cs="Arial"/>
          <w:color w:val="000000"/>
        </w:rPr>
        <w:tab/>
        <w:t>Independent Study Module (BMPF7012)</w:t>
      </w:r>
    </w:p>
    <w:p w14:paraId="786737B6" w14:textId="77777777" w:rsidR="00E71AC0" w:rsidRDefault="00667FA1">
      <w:pPr>
        <w:spacing w:line="360" w:lineRule="auto"/>
      </w:pPr>
      <w:r>
        <w:rPr>
          <w:rFonts w:ascii="Arial" w:hAnsi="Arial" w:cs="Arial"/>
          <w:color w:val="000000"/>
        </w:rPr>
        <w:t>Assignment:           </w:t>
      </w:r>
      <w:r>
        <w:rPr>
          <w:rFonts w:ascii="Arial" w:hAnsi="Arial" w:cs="Arial"/>
          <w:color w:val="000000"/>
        </w:rPr>
        <w:tab/>
        <w:t>Research Project</w:t>
      </w:r>
    </w:p>
    <w:p w14:paraId="786737B7" w14:textId="77777777" w:rsidR="00E71AC0" w:rsidRDefault="00E71AC0">
      <w:pPr>
        <w:spacing w:line="360" w:lineRule="auto"/>
        <w:rPr>
          <w:rFonts w:ascii="Arial" w:hAnsi="Arial" w:cs="Arial"/>
          <w:color w:val="000000"/>
        </w:rPr>
      </w:pPr>
    </w:p>
    <w:p w14:paraId="786737B8" w14:textId="77777777" w:rsidR="00E71AC0" w:rsidRDefault="00667FA1">
      <w:pPr>
        <w:spacing w:line="360" w:lineRule="auto"/>
        <w:rPr>
          <w:rFonts w:ascii="Arial" w:hAnsi="Arial" w:cs="Arial"/>
          <w:color w:val="000000"/>
        </w:rPr>
      </w:pPr>
      <w:r>
        <w:rPr>
          <w:rFonts w:ascii="Arial" w:hAnsi="Arial" w:cs="Arial"/>
          <w:color w:val="000000"/>
        </w:rPr>
        <w:t>Name:                      Shelley Dony</w:t>
      </w:r>
    </w:p>
    <w:p w14:paraId="786737B9" w14:textId="77777777" w:rsidR="00E71AC0" w:rsidRDefault="00667FA1">
      <w:pPr>
        <w:spacing w:line="360" w:lineRule="auto"/>
        <w:rPr>
          <w:rFonts w:ascii="Arial" w:hAnsi="Arial" w:cs="Arial"/>
          <w:color w:val="000000"/>
        </w:rPr>
      </w:pPr>
      <w:r>
        <w:rPr>
          <w:rFonts w:ascii="Arial" w:hAnsi="Arial" w:cs="Arial"/>
          <w:color w:val="000000"/>
        </w:rPr>
        <w:t>Student Number:     </w:t>
      </w:r>
      <w:r>
        <w:rPr>
          <w:rFonts w:ascii="Arial" w:hAnsi="Arial" w:cs="Arial"/>
          <w:color w:val="000000"/>
        </w:rPr>
        <w:tab/>
        <w:t xml:space="preserve">1810449 </w:t>
      </w:r>
    </w:p>
    <w:p w14:paraId="786737BA" w14:textId="77777777" w:rsidR="00E71AC0" w:rsidRDefault="00E71AC0">
      <w:pPr>
        <w:spacing w:line="360" w:lineRule="auto"/>
        <w:rPr>
          <w:rFonts w:ascii="Arial" w:hAnsi="Arial" w:cs="Arial"/>
          <w:color w:val="000000"/>
        </w:rPr>
      </w:pPr>
    </w:p>
    <w:p w14:paraId="786737BB" w14:textId="77777777" w:rsidR="00E71AC0" w:rsidRDefault="00667FA1">
      <w:pPr>
        <w:spacing w:line="360" w:lineRule="auto"/>
        <w:rPr>
          <w:rFonts w:ascii="Arial" w:hAnsi="Arial" w:cs="Arial"/>
          <w:i/>
          <w:iCs/>
          <w:color w:val="000000"/>
        </w:rPr>
      </w:pPr>
      <w:r>
        <w:rPr>
          <w:rFonts w:ascii="Arial" w:hAnsi="Arial" w:cs="Arial"/>
          <w:i/>
          <w:iCs/>
          <w:color w:val="000000"/>
        </w:rPr>
        <w:t>By signing below, I confirm that the work/evidence presented is my own, unaided work.  I understand the regulations pertaining to candidate malpractice and the action that may be taken as a result.</w:t>
      </w:r>
    </w:p>
    <w:p w14:paraId="786737BC" w14:textId="77777777" w:rsidR="00E71AC0" w:rsidRDefault="00E71AC0">
      <w:pPr>
        <w:spacing w:line="360" w:lineRule="auto"/>
        <w:rPr>
          <w:rFonts w:ascii="Arial" w:hAnsi="Arial" w:cs="Arial"/>
          <w:color w:val="000000"/>
        </w:rPr>
      </w:pPr>
    </w:p>
    <w:p w14:paraId="786737BD" w14:textId="77777777" w:rsidR="00E71AC0" w:rsidRDefault="00667FA1">
      <w:pPr>
        <w:spacing w:line="360" w:lineRule="auto"/>
      </w:pPr>
      <w:r>
        <w:rPr>
          <w:rFonts w:ascii="Arial" w:hAnsi="Arial" w:cs="Arial"/>
          <w:color w:val="000000"/>
        </w:rPr>
        <w:t xml:space="preserve">Signed:   </w:t>
      </w:r>
      <w:r>
        <w:rPr>
          <w:rFonts w:ascii="Arial" w:hAnsi="Arial" w:cs="Arial"/>
          <w:noProof/>
          <w:color w:val="000000"/>
        </w:rPr>
        <w:drawing>
          <wp:inline distT="0" distB="0" distL="0" distR="0" wp14:anchorId="786737B4" wp14:editId="786737B5">
            <wp:extent cx="520174" cy="693298"/>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0174" cy="693298"/>
                    </a:xfrm>
                    <a:prstGeom prst="rect">
                      <a:avLst/>
                    </a:prstGeom>
                    <a:noFill/>
                    <a:ln>
                      <a:noFill/>
                      <a:prstDash/>
                    </a:ln>
                  </pic:spPr>
                </pic:pic>
              </a:graphicData>
            </a:graphic>
          </wp:inline>
        </w:drawing>
      </w:r>
    </w:p>
    <w:p w14:paraId="786737BE" w14:textId="77777777" w:rsidR="00E71AC0" w:rsidRDefault="00E71AC0">
      <w:pPr>
        <w:spacing w:line="360" w:lineRule="auto"/>
        <w:rPr>
          <w:rFonts w:ascii="Arial" w:hAnsi="Arial" w:cs="Arial"/>
          <w:color w:val="000000"/>
        </w:rPr>
      </w:pPr>
    </w:p>
    <w:p w14:paraId="786737BF" w14:textId="77777777" w:rsidR="00E71AC0" w:rsidRDefault="00E71AC0">
      <w:pPr>
        <w:spacing w:line="360" w:lineRule="auto"/>
        <w:rPr>
          <w:rFonts w:ascii="Arial" w:hAnsi="Arial" w:cs="Arial"/>
          <w:color w:val="000000"/>
        </w:rPr>
      </w:pPr>
    </w:p>
    <w:p w14:paraId="786737C0" w14:textId="77777777" w:rsidR="00E71AC0" w:rsidRDefault="00E71AC0">
      <w:pPr>
        <w:spacing w:line="360" w:lineRule="auto"/>
        <w:rPr>
          <w:rFonts w:ascii="Arial" w:hAnsi="Arial" w:cs="Arial"/>
          <w:color w:val="000000"/>
        </w:rPr>
      </w:pPr>
    </w:p>
    <w:p w14:paraId="786737C1" w14:textId="77777777" w:rsidR="00E71AC0" w:rsidRDefault="00E71AC0">
      <w:pPr>
        <w:spacing w:line="360" w:lineRule="auto"/>
        <w:rPr>
          <w:rFonts w:ascii="Arial" w:hAnsi="Arial" w:cs="Arial"/>
          <w:color w:val="000000"/>
        </w:rPr>
      </w:pPr>
    </w:p>
    <w:p w14:paraId="786737C2" w14:textId="77777777" w:rsidR="00E71AC0" w:rsidRDefault="00E71AC0">
      <w:pPr>
        <w:spacing w:line="360" w:lineRule="auto"/>
        <w:rPr>
          <w:rFonts w:ascii="Arial" w:hAnsi="Arial" w:cs="Arial"/>
        </w:rPr>
      </w:pPr>
    </w:p>
    <w:p w14:paraId="786737C3" w14:textId="77777777" w:rsidR="00E71AC0" w:rsidRDefault="00E71AC0">
      <w:pPr>
        <w:pageBreakBefore/>
        <w:spacing w:line="360" w:lineRule="auto"/>
        <w:rPr>
          <w:rFonts w:ascii="Arial" w:hAnsi="Arial" w:cs="Arial"/>
        </w:rPr>
      </w:pPr>
    </w:p>
    <w:tbl>
      <w:tblPr>
        <w:tblW w:w="9016" w:type="dxa"/>
        <w:tblCellMar>
          <w:left w:w="10" w:type="dxa"/>
          <w:right w:w="10" w:type="dxa"/>
        </w:tblCellMar>
        <w:tblLook w:val="0000" w:firstRow="0" w:lastRow="0" w:firstColumn="0" w:lastColumn="0" w:noHBand="0" w:noVBand="0"/>
      </w:tblPr>
      <w:tblGrid>
        <w:gridCol w:w="6663"/>
        <w:gridCol w:w="850"/>
        <w:gridCol w:w="1503"/>
      </w:tblGrid>
      <w:tr w:rsidR="00E71AC0" w14:paraId="786737C7" w14:textId="77777777">
        <w:tc>
          <w:tcPr>
            <w:tcW w:w="6663" w:type="dxa"/>
            <w:shd w:val="clear" w:color="auto" w:fill="auto"/>
            <w:tcMar>
              <w:top w:w="0" w:type="dxa"/>
              <w:left w:w="108" w:type="dxa"/>
              <w:bottom w:w="0" w:type="dxa"/>
              <w:right w:w="108" w:type="dxa"/>
            </w:tcMar>
          </w:tcPr>
          <w:p w14:paraId="786737C4" w14:textId="77777777" w:rsidR="00E71AC0" w:rsidRDefault="00667FA1">
            <w:pPr>
              <w:spacing w:after="160" w:line="360" w:lineRule="auto"/>
              <w:rPr>
                <w:rFonts w:ascii="Arial" w:hAnsi="Arial" w:cs="Arial"/>
                <w:b/>
                <w:bCs/>
                <w:u w:val="single"/>
              </w:rPr>
            </w:pPr>
            <w:r>
              <w:rPr>
                <w:rFonts w:ascii="Arial" w:hAnsi="Arial" w:cs="Arial"/>
                <w:b/>
                <w:bCs/>
                <w:u w:val="single"/>
              </w:rPr>
              <w:t>Contents</w:t>
            </w:r>
          </w:p>
        </w:tc>
        <w:tc>
          <w:tcPr>
            <w:tcW w:w="850" w:type="dxa"/>
            <w:shd w:val="clear" w:color="auto" w:fill="auto"/>
            <w:tcMar>
              <w:top w:w="0" w:type="dxa"/>
              <w:left w:w="108" w:type="dxa"/>
              <w:bottom w:w="0" w:type="dxa"/>
              <w:right w:w="108" w:type="dxa"/>
            </w:tcMar>
          </w:tcPr>
          <w:p w14:paraId="786737C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6" w14:textId="77777777" w:rsidR="00E71AC0" w:rsidRDefault="00667FA1">
            <w:pPr>
              <w:spacing w:after="160" w:line="360" w:lineRule="auto"/>
              <w:rPr>
                <w:rFonts w:ascii="Arial" w:hAnsi="Arial" w:cs="Arial"/>
                <w:b/>
                <w:bCs/>
                <w:u w:val="single"/>
              </w:rPr>
            </w:pPr>
            <w:r>
              <w:rPr>
                <w:rFonts w:ascii="Arial" w:hAnsi="Arial" w:cs="Arial"/>
                <w:b/>
                <w:bCs/>
                <w:u w:val="single"/>
              </w:rPr>
              <w:t>Page</w:t>
            </w:r>
          </w:p>
        </w:tc>
      </w:tr>
      <w:tr w:rsidR="00E71AC0" w14:paraId="786737CB" w14:textId="77777777">
        <w:tc>
          <w:tcPr>
            <w:tcW w:w="6663" w:type="dxa"/>
            <w:shd w:val="clear" w:color="auto" w:fill="auto"/>
            <w:tcMar>
              <w:top w:w="0" w:type="dxa"/>
              <w:left w:w="108" w:type="dxa"/>
              <w:bottom w:w="0" w:type="dxa"/>
              <w:right w:w="108" w:type="dxa"/>
            </w:tcMar>
          </w:tcPr>
          <w:p w14:paraId="786737C8" w14:textId="77777777" w:rsidR="00E71AC0" w:rsidRPr="00377120" w:rsidRDefault="00667FA1">
            <w:pPr>
              <w:spacing w:after="160" w:line="360" w:lineRule="auto"/>
              <w:rPr>
                <w:rFonts w:ascii="Arial" w:hAnsi="Arial" w:cs="Arial"/>
                <w:b/>
                <w:bCs/>
              </w:rPr>
            </w:pPr>
            <w:r w:rsidRPr="00377120">
              <w:rPr>
                <w:rFonts w:ascii="Arial" w:hAnsi="Arial" w:cs="Arial"/>
                <w:b/>
                <w:bCs/>
              </w:rPr>
              <w:t xml:space="preserve">1. Summary </w:t>
            </w:r>
          </w:p>
        </w:tc>
        <w:tc>
          <w:tcPr>
            <w:tcW w:w="850" w:type="dxa"/>
            <w:shd w:val="clear" w:color="auto" w:fill="auto"/>
            <w:tcMar>
              <w:top w:w="0" w:type="dxa"/>
              <w:left w:w="108" w:type="dxa"/>
              <w:bottom w:w="0" w:type="dxa"/>
              <w:right w:w="108" w:type="dxa"/>
            </w:tcMar>
          </w:tcPr>
          <w:p w14:paraId="786737C9" w14:textId="77777777" w:rsidR="00E71AC0" w:rsidRPr="00377120"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CA" w14:textId="77777777" w:rsidR="00E71AC0" w:rsidRPr="00377120" w:rsidRDefault="00667FA1">
            <w:pPr>
              <w:spacing w:after="160" w:line="360" w:lineRule="auto"/>
              <w:rPr>
                <w:rFonts w:ascii="Arial" w:hAnsi="Arial" w:cs="Arial"/>
                <w:b/>
                <w:bCs/>
              </w:rPr>
            </w:pPr>
            <w:r w:rsidRPr="00377120">
              <w:rPr>
                <w:rFonts w:ascii="Arial" w:hAnsi="Arial" w:cs="Arial"/>
                <w:b/>
                <w:bCs/>
              </w:rPr>
              <w:t>3</w:t>
            </w:r>
          </w:p>
        </w:tc>
      </w:tr>
      <w:tr w:rsidR="00E71AC0" w14:paraId="786737CF" w14:textId="77777777">
        <w:tc>
          <w:tcPr>
            <w:tcW w:w="6663" w:type="dxa"/>
            <w:shd w:val="clear" w:color="auto" w:fill="auto"/>
            <w:tcMar>
              <w:top w:w="0" w:type="dxa"/>
              <w:left w:w="108" w:type="dxa"/>
              <w:bottom w:w="0" w:type="dxa"/>
              <w:right w:w="108" w:type="dxa"/>
            </w:tcMar>
          </w:tcPr>
          <w:p w14:paraId="786737CC" w14:textId="77777777" w:rsidR="00E71AC0" w:rsidRPr="00377120" w:rsidRDefault="00667FA1">
            <w:pPr>
              <w:spacing w:after="160" w:line="360" w:lineRule="auto"/>
              <w:rPr>
                <w:rFonts w:ascii="Arial" w:hAnsi="Arial" w:cs="Arial"/>
                <w:b/>
                <w:bCs/>
              </w:rPr>
            </w:pPr>
            <w:r w:rsidRPr="00377120">
              <w:rPr>
                <w:rFonts w:ascii="Arial" w:hAnsi="Arial" w:cs="Arial"/>
                <w:b/>
                <w:bCs/>
              </w:rPr>
              <w:t>2. Rationale (933/1000)</w:t>
            </w:r>
          </w:p>
        </w:tc>
        <w:tc>
          <w:tcPr>
            <w:tcW w:w="850" w:type="dxa"/>
            <w:shd w:val="clear" w:color="auto" w:fill="auto"/>
            <w:tcMar>
              <w:top w:w="0" w:type="dxa"/>
              <w:left w:w="108" w:type="dxa"/>
              <w:bottom w:w="0" w:type="dxa"/>
              <w:right w:w="108" w:type="dxa"/>
            </w:tcMar>
          </w:tcPr>
          <w:p w14:paraId="786737CD" w14:textId="77777777" w:rsidR="00E71AC0" w:rsidRPr="00377120"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CE" w14:textId="77777777" w:rsidR="00E71AC0" w:rsidRPr="00377120" w:rsidRDefault="00667FA1">
            <w:pPr>
              <w:spacing w:after="160" w:line="360" w:lineRule="auto"/>
              <w:rPr>
                <w:rFonts w:ascii="Arial" w:hAnsi="Arial" w:cs="Arial"/>
                <w:b/>
                <w:bCs/>
              </w:rPr>
            </w:pPr>
            <w:r w:rsidRPr="00377120">
              <w:rPr>
                <w:rFonts w:ascii="Arial" w:hAnsi="Arial" w:cs="Arial"/>
                <w:b/>
                <w:bCs/>
              </w:rPr>
              <w:t>3</w:t>
            </w:r>
          </w:p>
        </w:tc>
      </w:tr>
      <w:tr w:rsidR="00E71AC0" w14:paraId="786737D3" w14:textId="77777777">
        <w:tc>
          <w:tcPr>
            <w:tcW w:w="6663" w:type="dxa"/>
            <w:shd w:val="clear" w:color="auto" w:fill="auto"/>
            <w:tcMar>
              <w:top w:w="0" w:type="dxa"/>
              <w:left w:w="108" w:type="dxa"/>
              <w:bottom w:w="0" w:type="dxa"/>
              <w:right w:w="108" w:type="dxa"/>
            </w:tcMar>
          </w:tcPr>
          <w:p w14:paraId="786737D0" w14:textId="77777777" w:rsidR="00E71AC0" w:rsidRDefault="00667FA1">
            <w:pPr>
              <w:spacing w:after="160" w:line="360" w:lineRule="auto"/>
              <w:rPr>
                <w:rFonts w:ascii="Arial" w:hAnsi="Arial" w:cs="Arial"/>
              </w:rPr>
            </w:pPr>
            <w:r>
              <w:rPr>
                <w:rFonts w:ascii="Arial" w:hAnsi="Arial" w:cs="Arial"/>
              </w:rPr>
              <w:t>3. Literature Review (1095/1000)</w:t>
            </w:r>
          </w:p>
        </w:tc>
        <w:tc>
          <w:tcPr>
            <w:tcW w:w="850" w:type="dxa"/>
            <w:shd w:val="clear" w:color="auto" w:fill="auto"/>
            <w:tcMar>
              <w:top w:w="0" w:type="dxa"/>
              <w:left w:w="108" w:type="dxa"/>
              <w:bottom w:w="0" w:type="dxa"/>
              <w:right w:w="108" w:type="dxa"/>
            </w:tcMar>
          </w:tcPr>
          <w:p w14:paraId="786737D1"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2" w14:textId="77777777" w:rsidR="00E71AC0" w:rsidRDefault="00667FA1">
            <w:pPr>
              <w:spacing w:after="160" w:line="360" w:lineRule="auto"/>
              <w:rPr>
                <w:rFonts w:ascii="Arial" w:hAnsi="Arial" w:cs="Arial"/>
              </w:rPr>
            </w:pPr>
            <w:r>
              <w:rPr>
                <w:rFonts w:ascii="Arial" w:hAnsi="Arial" w:cs="Arial"/>
              </w:rPr>
              <w:t>6</w:t>
            </w:r>
          </w:p>
        </w:tc>
      </w:tr>
      <w:tr w:rsidR="00E71AC0" w14:paraId="786737D7" w14:textId="77777777">
        <w:tc>
          <w:tcPr>
            <w:tcW w:w="6663" w:type="dxa"/>
            <w:shd w:val="clear" w:color="auto" w:fill="auto"/>
            <w:tcMar>
              <w:top w:w="0" w:type="dxa"/>
              <w:left w:w="108" w:type="dxa"/>
              <w:bottom w:w="0" w:type="dxa"/>
              <w:right w:w="108" w:type="dxa"/>
            </w:tcMar>
          </w:tcPr>
          <w:p w14:paraId="786737D4" w14:textId="03050D8B" w:rsidR="00E71AC0" w:rsidRDefault="00667FA1">
            <w:pPr>
              <w:spacing w:after="160" w:line="360" w:lineRule="auto"/>
              <w:rPr>
                <w:rFonts w:ascii="Arial" w:hAnsi="Arial" w:cs="Arial"/>
              </w:rPr>
            </w:pPr>
            <w:r>
              <w:rPr>
                <w:rFonts w:ascii="Arial" w:hAnsi="Arial" w:cs="Arial"/>
              </w:rPr>
              <w:t>4. Methodology (9</w:t>
            </w:r>
            <w:r w:rsidR="00922A91">
              <w:rPr>
                <w:rFonts w:ascii="Arial" w:hAnsi="Arial" w:cs="Arial"/>
              </w:rPr>
              <w:t>87</w:t>
            </w:r>
            <w:r>
              <w:rPr>
                <w:rFonts w:ascii="Arial" w:hAnsi="Arial" w:cs="Arial"/>
              </w:rPr>
              <w:t>/1000)</w:t>
            </w:r>
          </w:p>
        </w:tc>
        <w:tc>
          <w:tcPr>
            <w:tcW w:w="850" w:type="dxa"/>
            <w:shd w:val="clear" w:color="auto" w:fill="auto"/>
            <w:tcMar>
              <w:top w:w="0" w:type="dxa"/>
              <w:left w:w="108" w:type="dxa"/>
              <w:bottom w:w="0" w:type="dxa"/>
              <w:right w:w="108" w:type="dxa"/>
            </w:tcMar>
          </w:tcPr>
          <w:p w14:paraId="786737D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6" w14:textId="77777777" w:rsidR="00E71AC0" w:rsidRDefault="00667FA1">
            <w:pPr>
              <w:spacing w:after="160" w:line="360" w:lineRule="auto"/>
              <w:rPr>
                <w:rFonts w:ascii="Arial" w:hAnsi="Arial" w:cs="Arial"/>
              </w:rPr>
            </w:pPr>
            <w:r>
              <w:rPr>
                <w:rFonts w:ascii="Arial" w:hAnsi="Arial" w:cs="Arial"/>
              </w:rPr>
              <w:t>9</w:t>
            </w:r>
          </w:p>
        </w:tc>
      </w:tr>
      <w:tr w:rsidR="00E71AC0" w14:paraId="786737DB" w14:textId="77777777">
        <w:tc>
          <w:tcPr>
            <w:tcW w:w="6663" w:type="dxa"/>
            <w:shd w:val="clear" w:color="auto" w:fill="auto"/>
            <w:tcMar>
              <w:top w:w="0" w:type="dxa"/>
              <w:left w:w="108" w:type="dxa"/>
              <w:bottom w:w="0" w:type="dxa"/>
              <w:right w:w="108" w:type="dxa"/>
            </w:tcMar>
          </w:tcPr>
          <w:p w14:paraId="786737D8" w14:textId="74C5D274" w:rsidR="00E71AC0" w:rsidRDefault="00667FA1">
            <w:pPr>
              <w:spacing w:after="160" w:line="360" w:lineRule="auto"/>
              <w:rPr>
                <w:rFonts w:ascii="Arial" w:hAnsi="Arial" w:cs="Arial"/>
              </w:rPr>
            </w:pPr>
            <w:r>
              <w:rPr>
                <w:rFonts w:ascii="Arial" w:hAnsi="Arial" w:cs="Arial"/>
              </w:rPr>
              <w:t>5. Findings (2</w:t>
            </w:r>
            <w:r w:rsidR="00333D89">
              <w:rPr>
                <w:rFonts w:ascii="Arial" w:hAnsi="Arial" w:cs="Arial"/>
              </w:rPr>
              <w:t>441</w:t>
            </w:r>
            <w:r>
              <w:rPr>
                <w:rFonts w:ascii="Arial" w:hAnsi="Arial" w:cs="Arial"/>
              </w:rPr>
              <w:t>/2500)</w:t>
            </w:r>
          </w:p>
        </w:tc>
        <w:tc>
          <w:tcPr>
            <w:tcW w:w="850" w:type="dxa"/>
            <w:shd w:val="clear" w:color="auto" w:fill="auto"/>
            <w:tcMar>
              <w:top w:w="0" w:type="dxa"/>
              <w:left w:w="108" w:type="dxa"/>
              <w:bottom w:w="0" w:type="dxa"/>
              <w:right w:w="108" w:type="dxa"/>
            </w:tcMar>
          </w:tcPr>
          <w:p w14:paraId="786737D9"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A" w14:textId="77777777" w:rsidR="00E71AC0" w:rsidRDefault="00667FA1">
            <w:pPr>
              <w:spacing w:after="160" w:line="360" w:lineRule="auto"/>
              <w:rPr>
                <w:rFonts w:ascii="Arial" w:hAnsi="Arial" w:cs="Arial"/>
              </w:rPr>
            </w:pPr>
            <w:r>
              <w:rPr>
                <w:rFonts w:ascii="Arial" w:hAnsi="Arial" w:cs="Arial"/>
              </w:rPr>
              <w:t>12</w:t>
            </w:r>
          </w:p>
        </w:tc>
      </w:tr>
      <w:tr w:rsidR="00E71AC0" w14:paraId="786737DF" w14:textId="77777777">
        <w:tc>
          <w:tcPr>
            <w:tcW w:w="6663" w:type="dxa"/>
            <w:shd w:val="clear" w:color="auto" w:fill="auto"/>
            <w:tcMar>
              <w:top w:w="0" w:type="dxa"/>
              <w:left w:w="108" w:type="dxa"/>
              <w:bottom w:w="0" w:type="dxa"/>
              <w:right w:w="108" w:type="dxa"/>
            </w:tcMar>
          </w:tcPr>
          <w:p w14:paraId="786737DC" w14:textId="6758082D" w:rsidR="00E71AC0" w:rsidRDefault="00667FA1">
            <w:pPr>
              <w:spacing w:after="160" w:line="360" w:lineRule="auto"/>
              <w:rPr>
                <w:rFonts w:ascii="Arial" w:hAnsi="Arial" w:cs="Arial"/>
              </w:rPr>
            </w:pPr>
            <w:r>
              <w:rPr>
                <w:rFonts w:ascii="Arial" w:hAnsi="Arial" w:cs="Arial"/>
              </w:rPr>
              <w:t>6. Conclusion (45</w:t>
            </w:r>
            <w:r w:rsidR="00427196">
              <w:rPr>
                <w:rFonts w:ascii="Arial" w:hAnsi="Arial" w:cs="Arial"/>
              </w:rPr>
              <w:t>8</w:t>
            </w:r>
            <w:r>
              <w:rPr>
                <w:rFonts w:ascii="Arial" w:hAnsi="Arial" w:cs="Arial"/>
              </w:rPr>
              <w:t>/500)</w:t>
            </w:r>
          </w:p>
        </w:tc>
        <w:tc>
          <w:tcPr>
            <w:tcW w:w="850" w:type="dxa"/>
            <w:shd w:val="clear" w:color="auto" w:fill="auto"/>
            <w:tcMar>
              <w:top w:w="0" w:type="dxa"/>
              <w:left w:w="108" w:type="dxa"/>
              <w:bottom w:w="0" w:type="dxa"/>
              <w:right w:w="108" w:type="dxa"/>
            </w:tcMar>
          </w:tcPr>
          <w:p w14:paraId="786737DD"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E" w14:textId="77777777" w:rsidR="00E71AC0" w:rsidRDefault="00667FA1">
            <w:pPr>
              <w:spacing w:after="160" w:line="360" w:lineRule="auto"/>
              <w:rPr>
                <w:rFonts w:ascii="Arial" w:hAnsi="Arial" w:cs="Arial"/>
              </w:rPr>
            </w:pPr>
            <w:r>
              <w:rPr>
                <w:rFonts w:ascii="Arial" w:hAnsi="Arial" w:cs="Arial"/>
              </w:rPr>
              <w:t>21</w:t>
            </w:r>
          </w:p>
        </w:tc>
      </w:tr>
      <w:tr w:rsidR="00E71AC0" w14:paraId="786737E3" w14:textId="77777777">
        <w:trPr>
          <w:trHeight w:val="393"/>
        </w:trPr>
        <w:tc>
          <w:tcPr>
            <w:tcW w:w="6663" w:type="dxa"/>
            <w:shd w:val="clear" w:color="auto" w:fill="auto"/>
            <w:tcMar>
              <w:top w:w="0" w:type="dxa"/>
              <w:left w:w="108" w:type="dxa"/>
              <w:bottom w:w="0" w:type="dxa"/>
              <w:right w:w="108" w:type="dxa"/>
            </w:tcMar>
          </w:tcPr>
          <w:p w14:paraId="786737E0" w14:textId="77777777" w:rsidR="00E71AC0" w:rsidRDefault="00667FA1">
            <w:pPr>
              <w:spacing w:after="160" w:line="360" w:lineRule="auto"/>
              <w:rPr>
                <w:rFonts w:ascii="Arial" w:hAnsi="Arial" w:cs="Arial"/>
              </w:rPr>
            </w:pPr>
            <w:r>
              <w:rPr>
                <w:rFonts w:ascii="Arial" w:hAnsi="Arial" w:cs="Arial"/>
              </w:rPr>
              <w:t>7. Recommendations</w:t>
            </w:r>
          </w:p>
        </w:tc>
        <w:tc>
          <w:tcPr>
            <w:tcW w:w="850" w:type="dxa"/>
            <w:shd w:val="clear" w:color="auto" w:fill="auto"/>
            <w:tcMar>
              <w:top w:w="0" w:type="dxa"/>
              <w:left w:w="108" w:type="dxa"/>
              <w:bottom w:w="0" w:type="dxa"/>
              <w:right w:w="108" w:type="dxa"/>
            </w:tcMar>
          </w:tcPr>
          <w:p w14:paraId="786737E1"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2" w14:textId="77777777" w:rsidR="00E71AC0" w:rsidRDefault="00667FA1">
            <w:pPr>
              <w:spacing w:after="160" w:line="360" w:lineRule="auto"/>
              <w:rPr>
                <w:rFonts w:ascii="Arial" w:hAnsi="Arial" w:cs="Arial"/>
              </w:rPr>
            </w:pPr>
            <w:r>
              <w:rPr>
                <w:rFonts w:ascii="Arial" w:hAnsi="Arial" w:cs="Arial"/>
              </w:rPr>
              <w:t>22</w:t>
            </w:r>
          </w:p>
        </w:tc>
      </w:tr>
      <w:tr w:rsidR="00E71AC0" w14:paraId="786737E9" w14:textId="77777777">
        <w:trPr>
          <w:trHeight w:val="826"/>
        </w:trPr>
        <w:tc>
          <w:tcPr>
            <w:tcW w:w="6663" w:type="dxa"/>
            <w:shd w:val="clear" w:color="auto" w:fill="auto"/>
            <w:tcMar>
              <w:top w:w="0" w:type="dxa"/>
              <w:left w:w="108" w:type="dxa"/>
              <w:bottom w:w="0" w:type="dxa"/>
              <w:right w:w="108" w:type="dxa"/>
            </w:tcMar>
          </w:tcPr>
          <w:p w14:paraId="786737E4" w14:textId="77777777" w:rsidR="00E71AC0" w:rsidRPr="006E14CB" w:rsidRDefault="00667FA1">
            <w:pPr>
              <w:spacing w:after="160" w:line="360" w:lineRule="auto"/>
              <w:rPr>
                <w:rFonts w:ascii="Arial" w:hAnsi="Arial" w:cs="Arial"/>
                <w:b/>
                <w:bCs/>
              </w:rPr>
            </w:pPr>
            <w:r w:rsidRPr="006E14CB">
              <w:rPr>
                <w:rFonts w:ascii="Arial" w:hAnsi="Arial" w:cs="Arial"/>
                <w:b/>
                <w:bCs/>
              </w:rPr>
              <w:t>8. Bibliography</w:t>
            </w:r>
          </w:p>
          <w:p w14:paraId="786737E5" w14:textId="77777777" w:rsidR="00E71AC0" w:rsidRDefault="00667FA1">
            <w:pPr>
              <w:spacing w:after="160" w:line="360" w:lineRule="auto"/>
              <w:rPr>
                <w:rFonts w:ascii="Arial" w:hAnsi="Arial" w:cs="Arial"/>
              </w:rPr>
            </w:pPr>
            <w:r>
              <w:rPr>
                <w:rFonts w:ascii="Arial" w:hAnsi="Arial" w:cs="Arial"/>
              </w:rPr>
              <w:t>9. Appendices</w:t>
            </w:r>
          </w:p>
        </w:tc>
        <w:tc>
          <w:tcPr>
            <w:tcW w:w="850" w:type="dxa"/>
            <w:shd w:val="clear" w:color="auto" w:fill="auto"/>
            <w:tcMar>
              <w:top w:w="0" w:type="dxa"/>
              <w:left w:w="108" w:type="dxa"/>
              <w:bottom w:w="0" w:type="dxa"/>
              <w:right w:w="108" w:type="dxa"/>
            </w:tcMar>
          </w:tcPr>
          <w:p w14:paraId="786737E6"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7" w14:textId="77777777" w:rsidR="00E71AC0" w:rsidRPr="006E14CB" w:rsidRDefault="00667FA1">
            <w:pPr>
              <w:spacing w:after="160" w:line="360" w:lineRule="auto"/>
              <w:rPr>
                <w:rFonts w:ascii="Arial" w:hAnsi="Arial" w:cs="Arial"/>
                <w:b/>
                <w:bCs/>
              </w:rPr>
            </w:pPr>
            <w:r w:rsidRPr="006E14CB">
              <w:rPr>
                <w:rFonts w:ascii="Arial" w:hAnsi="Arial" w:cs="Arial"/>
                <w:b/>
                <w:bCs/>
              </w:rPr>
              <w:t>23</w:t>
            </w:r>
          </w:p>
          <w:p w14:paraId="786737E8" w14:textId="77777777" w:rsidR="00E71AC0" w:rsidRDefault="00667FA1">
            <w:pPr>
              <w:spacing w:after="160" w:line="360" w:lineRule="auto"/>
              <w:rPr>
                <w:rFonts w:ascii="Arial" w:hAnsi="Arial" w:cs="Arial"/>
              </w:rPr>
            </w:pPr>
            <w:r>
              <w:rPr>
                <w:rFonts w:ascii="Arial" w:hAnsi="Arial" w:cs="Arial"/>
              </w:rPr>
              <w:t>27</w:t>
            </w:r>
          </w:p>
        </w:tc>
      </w:tr>
      <w:tr w:rsidR="00E71AC0" w14:paraId="786737ED" w14:textId="77777777">
        <w:trPr>
          <w:trHeight w:val="826"/>
        </w:trPr>
        <w:tc>
          <w:tcPr>
            <w:tcW w:w="6663" w:type="dxa"/>
            <w:shd w:val="clear" w:color="auto" w:fill="auto"/>
            <w:tcMar>
              <w:top w:w="0" w:type="dxa"/>
              <w:left w:w="108" w:type="dxa"/>
              <w:bottom w:w="0" w:type="dxa"/>
              <w:right w:w="108" w:type="dxa"/>
            </w:tcMar>
          </w:tcPr>
          <w:p w14:paraId="786737EA" w14:textId="77777777" w:rsidR="00E71AC0" w:rsidRDefault="00E71AC0">
            <w:pPr>
              <w:spacing w:after="160" w:line="360" w:lineRule="auto"/>
              <w:rPr>
                <w:rFonts w:ascii="Arial" w:hAnsi="Arial" w:cs="Arial"/>
              </w:rPr>
            </w:pPr>
          </w:p>
        </w:tc>
        <w:tc>
          <w:tcPr>
            <w:tcW w:w="850" w:type="dxa"/>
            <w:shd w:val="clear" w:color="auto" w:fill="auto"/>
            <w:tcMar>
              <w:top w:w="0" w:type="dxa"/>
              <w:left w:w="108" w:type="dxa"/>
              <w:bottom w:w="0" w:type="dxa"/>
              <w:right w:w="108" w:type="dxa"/>
            </w:tcMar>
          </w:tcPr>
          <w:p w14:paraId="786737EB"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C" w14:textId="77777777" w:rsidR="00E71AC0" w:rsidRDefault="00E71AC0">
            <w:pPr>
              <w:spacing w:after="160" w:line="360" w:lineRule="auto"/>
              <w:rPr>
                <w:rFonts w:ascii="Arial" w:hAnsi="Arial" w:cs="Arial"/>
              </w:rPr>
            </w:pPr>
          </w:p>
        </w:tc>
      </w:tr>
      <w:tr w:rsidR="00E71AC0" w14:paraId="786737F1" w14:textId="77777777">
        <w:tc>
          <w:tcPr>
            <w:tcW w:w="6663" w:type="dxa"/>
            <w:shd w:val="clear" w:color="auto" w:fill="auto"/>
            <w:tcMar>
              <w:top w:w="0" w:type="dxa"/>
              <w:left w:w="108" w:type="dxa"/>
              <w:bottom w:w="0" w:type="dxa"/>
              <w:right w:w="108" w:type="dxa"/>
            </w:tcMar>
          </w:tcPr>
          <w:p w14:paraId="786737EE"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EF"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0" w14:textId="77777777" w:rsidR="00E71AC0" w:rsidRDefault="00E71AC0">
            <w:pPr>
              <w:spacing w:after="160" w:line="360" w:lineRule="auto"/>
              <w:rPr>
                <w:rFonts w:ascii="Arial" w:hAnsi="Arial" w:cs="Arial"/>
              </w:rPr>
            </w:pPr>
          </w:p>
        </w:tc>
      </w:tr>
      <w:tr w:rsidR="00E71AC0" w14:paraId="786737F5" w14:textId="77777777">
        <w:tc>
          <w:tcPr>
            <w:tcW w:w="6663" w:type="dxa"/>
            <w:shd w:val="clear" w:color="auto" w:fill="auto"/>
            <w:tcMar>
              <w:top w:w="0" w:type="dxa"/>
              <w:left w:w="108" w:type="dxa"/>
              <w:bottom w:w="0" w:type="dxa"/>
              <w:right w:w="108" w:type="dxa"/>
            </w:tcMar>
          </w:tcPr>
          <w:p w14:paraId="786737F2"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F3"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4" w14:textId="77777777" w:rsidR="00E71AC0" w:rsidRDefault="00E71AC0">
            <w:pPr>
              <w:spacing w:after="160" w:line="360" w:lineRule="auto"/>
              <w:rPr>
                <w:rFonts w:ascii="Arial" w:hAnsi="Arial" w:cs="Arial"/>
              </w:rPr>
            </w:pPr>
          </w:p>
        </w:tc>
      </w:tr>
    </w:tbl>
    <w:p w14:paraId="786737F6" w14:textId="77777777" w:rsidR="00E71AC0" w:rsidRDefault="00E71AC0">
      <w:pPr>
        <w:spacing w:line="360" w:lineRule="auto"/>
        <w:rPr>
          <w:rFonts w:ascii="Arial" w:hAnsi="Arial" w:cs="Arial"/>
        </w:rPr>
      </w:pPr>
    </w:p>
    <w:p w14:paraId="786737F7" w14:textId="77777777" w:rsidR="00E71AC0" w:rsidRDefault="00E71AC0">
      <w:pPr>
        <w:spacing w:line="360" w:lineRule="auto"/>
        <w:rPr>
          <w:rFonts w:ascii="Arial" w:hAnsi="Arial" w:cs="Arial"/>
        </w:rPr>
      </w:pPr>
    </w:p>
    <w:p w14:paraId="786737F8" w14:textId="77777777" w:rsidR="00E71AC0" w:rsidRDefault="00E71AC0">
      <w:pPr>
        <w:spacing w:line="360" w:lineRule="auto"/>
        <w:rPr>
          <w:rFonts w:ascii="Arial" w:hAnsi="Arial" w:cs="Arial"/>
        </w:rPr>
      </w:pPr>
    </w:p>
    <w:p w14:paraId="786737F9" w14:textId="77777777" w:rsidR="00E71AC0" w:rsidRDefault="00E71AC0">
      <w:pPr>
        <w:spacing w:line="360" w:lineRule="auto"/>
        <w:rPr>
          <w:rFonts w:ascii="Arial" w:hAnsi="Arial" w:cs="Arial"/>
        </w:rPr>
      </w:pPr>
    </w:p>
    <w:p w14:paraId="786737FA" w14:textId="77777777" w:rsidR="00E71AC0" w:rsidRDefault="00E71AC0">
      <w:pPr>
        <w:spacing w:line="360" w:lineRule="auto"/>
        <w:rPr>
          <w:rFonts w:ascii="Arial" w:hAnsi="Arial" w:cs="Arial"/>
        </w:rPr>
      </w:pPr>
    </w:p>
    <w:p w14:paraId="786737FB" w14:textId="77777777" w:rsidR="00E71AC0" w:rsidRDefault="00E71AC0">
      <w:pPr>
        <w:spacing w:line="360" w:lineRule="auto"/>
        <w:rPr>
          <w:rFonts w:ascii="Arial" w:hAnsi="Arial" w:cs="Arial"/>
        </w:rPr>
      </w:pPr>
    </w:p>
    <w:p w14:paraId="786737FC" w14:textId="77777777" w:rsidR="00E71AC0" w:rsidRDefault="00E71AC0">
      <w:pPr>
        <w:spacing w:line="360" w:lineRule="auto"/>
        <w:rPr>
          <w:rFonts w:ascii="Arial" w:hAnsi="Arial" w:cs="Arial"/>
        </w:rPr>
      </w:pPr>
    </w:p>
    <w:p w14:paraId="786737FD" w14:textId="77777777" w:rsidR="00E71AC0" w:rsidRDefault="00E71AC0">
      <w:pPr>
        <w:spacing w:line="360" w:lineRule="auto"/>
        <w:rPr>
          <w:rFonts w:ascii="Arial" w:hAnsi="Arial" w:cs="Arial"/>
          <w:color w:val="00B050"/>
          <w:shd w:val="clear" w:color="auto" w:fill="FFFFFF"/>
        </w:rPr>
      </w:pPr>
    </w:p>
    <w:p w14:paraId="786737FE" w14:textId="77777777" w:rsidR="00E71AC0" w:rsidRDefault="00E71AC0">
      <w:pPr>
        <w:spacing w:line="360" w:lineRule="auto"/>
        <w:rPr>
          <w:rFonts w:ascii="Arial" w:hAnsi="Arial" w:cs="Arial"/>
          <w:b/>
          <w:bCs/>
          <w:u w:val="single"/>
        </w:rPr>
      </w:pPr>
    </w:p>
    <w:p w14:paraId="786737FF" w14:textId="77777777" w:rsidR="00E71AC0" w:rsidRDefault="00E71AC0">
      <w:pPr>
        <w:spacing w:line="360" w:lineRule="auto"/>
        <w:rPr>
          <w:rFonts w:ascii="Arial" w:hAnsi="Arial" w:cs="Arial"/>
          <w:b/>
          <w:bCs/>
          <w:u w:val="single"/>
        </w:rPr>
      </w:pPr>
    </w:p>
    <w:p w14:paraId="78673800" w14:textId="77777777" w:rsidR="00E71AC0" w:rsidRDefault="00E71AC0">
      <w:pPr>
        <w:spacing w:line="360" w:lineRule="auto"/>
        <w:rPr>
          <w:rFonts w:ascii="Arial" w:hAnsi="Arial" w:cs="Arial"/>
          <w:b/>
          <w:bCs/>
          <w:u w:val="single"/>
        </w:rPr>
      </w:pPr>
    </w:p>
    <w:p w14:paraId="78673801" w14:textId="77777777" w:rsidR="00E71AC0" w:rsidRDefault="00E71AC0">
      <w:pPr>
        <w:spacing w:line="360" w:lineRule="auto"/>
        <w:rPr>
          <w:rFonts w:ascii="Arial" w:hAnsi="Arial" w:cs="Arial"/>
          <w:b/>
          <w:bCs/>
          <w:u w:val="single"/>
        </w:rPr>
      </w:pPr>
    </w:p>
    <w:p w14:paraId="78673802" w14:textId="77777777" w:rsidR="00E71AC0" w:rsidRDefault="00E71AC0">
      <w:pPr>
        <w:spacing w:line="360" w:lineRule="auto"/>
        <w:rPr>
          <w:rFonts w:ascii="Arial" w:hAnsi="Arial" w:cs="Arial"/>
          <w:b/>
          <w:bCs/>
          <w:u w:val="single"/>
        </w:rPr>
      </w:pPr>
    </w:p>
    <w:p w14:paraId="78673803" w14:textId="77777777" w:rsidR="00E71AC0" w:rsidRDefault="00E71AC0">
      <w:pPr>
        <w:spacing w:line="360" w:lineRule="auto"/>
        <w:rPr>
          <w:rFonts w:ascii="Arial" w:hAnsi="Arial" w:cs="Arial"/>
          <w:b/>
          <w:bCs/>
          <w:u w:val="single"/>
        </w:rPr>
      </w:pPr>
    </w:p>
    <w:p w14:paraId="78673804" w14:textId="77777777" w:rsidR="00E71AC0" w:rsidRDefault="00667FA1">
      <w:pPr>
        <w:spacing w:line="360" w:lineRule="auto"/>
        <w:rPr>
          <w:rFonts w:ascii="Arial" w:hAnsi="Arial" w:cs="Arial"/>
          <w:b/>
          <w:bCs/>
          <w:u w:val="single"/>
        </w:rPr>
      </w:pPr>
      <w:r>
        <w:rPr>
          <w:rFonts w:ascii="Arial" w:hAnsi="Arial" w:cs="Arial"/>
          <w:b/>
          <w:bCs/>
          <w:u w:val="single"/>
        </w:rPr>
        <w:lastRenderedPageBreak/>
        <w:t xml:space="preserve">1. Summary </w:t>
      </w:r>
    </w:p>
    <w:p w14:paraId="78673805" w14:textId="77777777" w:rsidR="00E71AC0" w:rsidRDefault="00E71AC0">
      <w:pPr>
        <w:spacing w:line="360" w:lineRule="auto"/>
        <w:rPr>
          <w:rFonts w:ascii="Arial" w:hAnsi="Arial" w:cs="Arial"/>
        </w:rPr>
      </w:pPr>
    </w:p>
    <w:p w14:paraId="78673806" w14:textId="77777777" w:rsidR="00E71AC0" w:rsidRDefault="00667FA1">
      <w:pPr>
        <w:spacing w:line="360" w:lineRule="auto"/>
        <w:rPr>
          <w:rFonts w:ascii="Arial" w:hAnsi="Arial" w:cs="Arial"/>
        </w:rPr>
      </w:pPr>
      <w:r>
        <w:rPr>
          <w:rFonts w:ascii="Arial" w:hAnsi="Arial" w:cs="Arial"/>
        </w:rPr>
        <w:t xml:space="preserve">There is a need for workforce planning in Hywel Dda, but to enable this necessitates the delivery of training that allows the managers to carry this out.  Despite organising workforce planning training for managers, there appears factors that are hindering their attendance.  To ascertain the most appropriate training formats for managers and to understand their preferences, this study carried out a questionnaire and interviews with managers between bands 5 – 9.  Overall, the findings revealed that time and relationships were an important factor in the learning experience of managers, that facilitation of live sessions, both face-to-face and virtual held many professional benefits, including networking opportunities and a deeper understanding of the topic; however, the preferred formatting of learning was relational to the topic and the perceptions of that topic. </w:t>
      </w:r>
    </w:p>
    <w:p w14:paraId="78673807" w14:textId="77777777" w:rsidR="00E71AC0" w:rsidRDefault="00667FA1">
      <w:pPr>
        <w:spacing w:line="360" w:lineRule="auto"/>
      </w:pPr>
      <w:r>
        <w:rPr>
          <w:rFonts w:ascii="Arial" w:hAnsi="Arial" w:cs="Arial"/>
          <w:noProof/>
        </w:rPr>
        <mc:AlternateContent>
          <mc:Choice Requires="wps">
            <w:drawing>
              <wp:anchor distT="0" distB="0" distL="114300" distR="114300" simplePos="0" relativeHeight="251667456" behindDoc="0" locked="0" layoutInCell="1" allowOverlap="1" wp14:anchorId="786737B6" wp14:editId="786737B7">
                <wp:simplePos x="0" y="0"/>
                <wp:positionH relativeFrom="column">
                  <wp:posOffset>-691112</wp:posOffset>
                </wp:positionH>
                <wp:positionV relativeFrom="paragraph">
                  <wp:posOffset>208135</wp:posOffset>
                </wp:positionV>
                <wp:extent cx="6964042" cy="20949"/>
                <wp:effectExtent l="0" t="0" r="27308" b="36201"/>
                <wp:wrapNone/>
                <wp:docPr id="2" name="Straight Connector 10"/>
                <wp:cNvGraphicFramePr/>
                <a:graphic xmlns:a="http://schemas.openxmlformats.org/drawingml/2006/main">
                  <a:graphicData uri="http://schemas.microsoft.com/office/word/2010/wordprocessingShape">
                    <wps:wsp>
                      <wps:cNvCnPr/>
                      <wps:spPr>
                        <a:xfrm flipV="1">
                          <a:off x="0" y="0"/>
                          <a:ext cx="6964042" cy="20949"/>
                        </a:xfrm>
                        <a:prstGeom prst="straightConnector1">
                          <a:avLst/>
                        </a:prstGeom>
                        <a:noFill/>
                        <a:ln w="19046" cap="flat">
                          <a:solidFill>
                            <a:srgbClr val="000000"/>
                          </a:solidFill>
                          <a:prstDash val="solid"/>
                          <a:miter/>
                        </a:ln>
                      </wps:spPr>
                      <wps:bodyPr/>
                    </wps:wsp>
                  </a:graphicData>
                </a:graphic>
              </wp:anchor>
            </w:drawing>
          </mc:Choice>
          <mc:Fallback>
            <w:pict>
              <v:shapetype w14:anchorId="4CC8C423" id="_x0000_t32" coordsize="21600,21600" o:spt="32" o:oned="t" path="m,l21600,21600e" filled="f">
                <v:path arrowok="t" fillok="f" o:connecttype="none"/>
                <o:lock v:ext="edit" shapetype="t"/>
              </v:shapetype>
              <v:shape id="Straight Connector 10" o:spid="_x0000_s1026" type="#_x0000_t32" style="position:absolute;margin-left:-54.4pt;margin-top:16.4pt;width:548.35pt;height:1.6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" strokeweight=".52906mm">
                <v:stroke joinstyle="miter"/>
              </v:shape>
            </w:pict>
          </mc:Fallback>
        </mc:AlternateContent>
      </w:r>
    </w:p>
    <w:p w14:paraId="78673808" w14:textId="77777777" w:rsidR="00E71AC0" w:rsidRDefault="00E71AC0">
      <w:pPr>
        <w:spacing w:line="360" w:lineRule="auto"/>
        <w:rPr>
          <w:rFonts w:ascii="Arial" w:hAnsi="Arial" w:cs="Arial"/>
        </w:rPr>
      </w:pPr>
    </w:p>
    <w:p w14:paraId="78673809" w14:textId="77777777" w:rsidR="00E71AC0" w:rsidRDefault="00667FA1">
      <w:pPr>
        <w:spacing w:line="360" w:lineRule="auto"/>
      </w:pPr>
      <w:r>
        <w:rPr>
          <w:rFonts w:ascii="Arial" w:hAnsi="Arial" w:cs="Arial"/>
          <w:b/>
          <w:bCs/>
          <w:u w:val="single"/>
        </w:rPr>
        <w:t>2. Rationale</w:t>
      </w:r>
      <w:r>
        <w:rPr>
          <w:rFonts w:ascii="Arial" w:hAnsi="Arial" w:cs="Arial"/>
        </w:rPr>
        <w:t xml:space="preserve">   </w:t>
      </w:r>
    </w:p>
    <w:p w14:paraId="7867380A" w14:textId="77777777" w:rsidR="00E71AC0" w:rsidRDefault="00667FA1">
      <w:pPr>
        <w:spacing w:line="360" w:lineRule="auto"/>
      </w:pPr>
      <w:r>
        <w:rPr>
          <w:rFonts w:ascii="Arial" w:hAnsi="Arial" w:cs="Arial"/>
          <w:color w:val="000000"/>
        </w:rPr>
        <w:t>This rationale outlines the need and approach for improving workforce planning training within the Hywel Dda University Health Board (</w:t>
      </w:r>
      <w:proofErr w:type="spellStart"/>
      <w:r>
        <w:rPr>
          <w:rFonts w:ascii="Arial" w:hAnsi="Arial" w:cs="Arial"/>
          <w:color w:val="000000"/>
        </w:rPr>
        <w:t>HDdUHB</w:t>
      </w:r>
      <w:proofErr w:type="spellEnd"/>
      <w:r>
        <w:rPr>
          <w:rFonts w:ascii="Arial" w:hAnsi="Arial" w:cs="Arial"/>
          <w:color w:val="000000"/>
        </w:rPr>
        <w:t>).   Despite the acknowledgement in the need to undertake workforce planning activities by managers across the board, there exists a significant gap in the actual work.  The significant capability issues in this activity have highlighted a need for training in workforce planning.</w:t>
      </w:r>
    </w:p>
    <w:p w14:paraId="7867380B" w14:textId="77777777" w:rsidR="00E71AC0" w:rsidRDefault="00667FA1">
      <w:pPr>
        <w:spacing w:line="360" w:lineRule="auto"/>
        <w:rPr>
          <w:rFonts w:ascii="Arial" w:hAnsi="Arial" w:cs="Arial"/>
        </w:rPr>
      </w:pPr>
      <w:proofErr w:type="spellStart"/>
      <w:r>
        <w:rPr>
          <w:rFonts w:ascii="Arial" w:hAnsi="Arial" w:cs="Arial"/>
        </w:rPr>
        <w:t>HDdUHB</w:t>
      </w:r>
      <w:proofErr w:type="spellEnd"/>
      <w:r>
        <w:rPr>
          <w:rFonts w:ascii="Arial" w:hAnsi="Arial" w:cs="Arial"/>
        </w:rPr>
        <w:t xml:space="preserve"> provides health care primarily to the residential population of Carmarthenshire, Pembrokeshire and Ceredigion, but also to its thousands of tourists. Comprising 4 General Hospitals, 5 Community Hospitals, 13 Centres/Clinics, 15 Mental Health facilities and the Community setting (</w:t>
      </w:r>
      <w:proofErr w:type="spellStart"/>
      <w:r>
        <w:rPr>
          <w:rFonts w:ascii="Arial" w:hAnsi="Arial" w:cs="Arial"/>
        </w:rPr>
        <w:t>HDdUHB</w:t>
      </w:r>
      <w:proofErr w:type="spellEnd"/>
      <w:r>
        <w:rPr>
          <w:rFonts w:ascii="Arial" w:hAnsi="Arial" w:cs="Arial"/>
        </w:rPr>
        <w:t>, n.d.), it is part of NHS Wales and governed by the Welsh Government. Working with other public sector organisations, third sector agencies and carers, it looks after the ongoing health needs of its population.  The Health Board has a long-term strategy – the Healthier Mid and West Wales Strategy – whereby support and care is provided more in the communities as close to home as possible (</w:t>
      </w:r>
      <w:proofErr w:type="spellStart"/>
      <w:r>
        <w:rPr>
          <w:rFonts w:ascii="Arial" w:hAnsi="Arial" w:cs="Arial"/>
        </w:rPr>
        <w:t>HDdUHB</w:t>
      </w:r>
      <w:proofErr w:type="spellEnd"/>
      <w:r>
        <w:rPr>
          <w:rFonts w:ascii="Arial" w:hAnsi="Arial" w:cs="Arial"/>
        </w:rPr>
        <w:t>, n.d.).</w:t>
      </w:r>
    </w:p>
    <w:p w14:paraId="7867380C" w14:textId="77777777" w:rsidR="00E71AC0" w:rsidRDefault="00667FA1">
      <w:pPr>
        <w:spacing w:line="360" w:lineRule="auto"/>
        <w:rPr>
          <w:rFonts w:ascii="Arial" w:hAnsi="Arial" w:cs="Arial"/>
        </w:rPr>
      </w:pPr>
      <w:r>
        <w:rPr>
          <w:rFonts w:ascii="Arial" w:hAnsi="Arial" w:cs="Arial"/>
        </w:rPr>
        <w:t xml:space="preserve">The Welsh Government requires that each Health Board undertakes a process of planning its necessary workforce to deliver high quality patient care (Welsh </w:t>
      </w:r>
      <w:r>
        <w:rPr>
          <w:rFonts w:ascii="Arial" w:hAnsi="Arial" w:cs="Arial"/>
        </w:rPr>
        <w:lastRenderedPageBreak/>
        <w:t xml:space="preserve">Government, 2023).  Workforce Planning is a continual process whereby the organisational strategy and the individual department needs are translated into a plan </w:t>
      </w:r>
      <w:proofErr w:type="gramStart"/>
      <w:r>
        <w:rPr>
          <w:rFonts w:ascii="Arial" w:hAnsi="Arial" w:cs="Arial"/>
        </w:rPr>
        <w:t>to  employ</w:t>
      </w:r>
      <w:proofErr w:type="gramEnd"/>
      <w:r>
        <w:rPr>
          <w:rFonts w:ascii="Arial" w:hAnsi="Arial" w:cs="Arial"/>
        </w:rPr>
        <w:t xml:space="preserve"> the people necessary to fulfil that strategy/needs (CIPD, 2022; </w:t>
      </w:r>
      <w:proofErr w:type="spellStart"/>
      <w:r>
        <w:rPr>
          <w:rFonts w:ascii="Arial" w:hAnsi="Arial" w:cs="Arial"/>
        </w:rPr>
        <w:t>Vulpen</w:t>
      </w:r>
      <w:proofErr w:type="spellEnd"/>
      <w:r>
        <w:rPr>
          <w:rFonts w:ascii="Arial" w:hAnsi="Arial" w:cs="Arial"/>
        </w:rPr>
        <w:t xml:space="preserve">, n.d.; Schmidt &amp; Laycock, 2009).  Strategic Workforce Planning is when this process is carried out with a long-term view of five years or more (Smithson, Maguire, </w:t>
      </w:r>
      <w:proofErr w:type="spellStart"/>
      <w:r>
        <w:rPr>
          <w:rFonts w:ascii="Arial" w:hAnsi="Arial" w:cs="Arial"/>
        </w:rPr>
        <w:t>Honeyman</w:t>
      </w:r>
      <w:proofErr w:type="spellEnd"/>
      <w:r>
        <w:rPr>
          <w:rFonts w:ascii="Arial" w:hAnsi="Arial" w:cs="Arial"/>
        </w:rPr>
        <w:t xml:space="preserve">, &amp; </w:t>
      </w:r>
      <w:proofErr w:type="spellStart"/>
      <w:r>
        <w:rPr>
          <w:rFonts w:ascii="Arial" w:hAnsi="Arial" w:cs="Arial"/>
        </w:rPr>
        <w:t>Jabbal</w:t>
      </w:r>
      <w:proofErr w:type="spellEnd"/>
      <w:r>
        <w:rPr>
          <w:rFonts w:ascii="Arial" w:hAnsi="Arial" w:cs="Arial"/>
        </w:rPr>
        <w:t xml:space="preserve">, 2015).  Within Hywel Dda University Health Board, Workforce Planning has always been done on a relatively short-term basis, this is not classed as strategic.  </w:t>
      </w:r>
    </w:p>
    <w:p w14:paraId="7867380D" w14:textId="77777777" w:rsidR="00E71AC0" w:rsidRDefault="00667FA1">
      <w:pPr>
        <w:spacing w:line="360" w:lineRule="auto"/>
        <w:rPr>
          <w:rFonts w:ascii="Arial" w:hAnsi="Arial" w:cs="Arial"/>
        </w:rPr>
      </w:pPr>
      <w:r>
        <w:rPr>
          <w:rFonts w:ascii="Arial" w:hAnsi="Arial" w:cs="Arial"/>
        </w:rPr>
        <w:t xml:space="preserve">To enable the service managers across the Health Board to Workforce Plan effectively and efficiently, learning resources and training are needed that will enhance the individuals’ capabilities (Kumar, 2017; </w:t>
      </w:r>
      <w:proofErr w:type="spellStart"/>
      <w:r>
        <w:rPr>
          <w:rFonts w:ascii="Arial" w:hAnsi="Arial" w:cs="Arial"/>
        </w:rPr>
        <w:t>Ordu</w:t>
      </w:r>
      <w:proofErr w:type="spellEnd"/>
      <w:r>
        <w:rPr>
          <w:rFonts w:ascii="Arial" w:hAnsi="Arial" w:cs="Arial"/>
        </w:rPr>
        <w:t>, 2021).  It is widely acknowledged that training and resources can be a source of new knowledge, or a reminder of/deepen existing knowledge (</w:t>
      </w:r>
      <w:proofErr w:type="spellStart"/>
      <w:r>
        <w:rPr>
          <w:rFonts w:ascii="Arial" w:hAnsi="Arial" w:cs="Arial"/>
        </w:rPr>
        <w:t>Bušljeta</w:t>
      </w:r>
      <w:proofErr w:type="spellEnd"/>
      <w:r>
        <w:rPr>
          <w:rFonts w:ascii="Arial" w:hAnsi="Arial" w:cs="Arial"/>
        </w:rPr>
        <w:t xml:space="preserve">, 2013).  </w:t>
      </w:r>
    </w:p>
    <w:p w14:paraId="7867380E" w14:textId="77777777" w:rsidR="00E71AC0" w:rsidRDefault="00667FA1">
      <w:pPr>
        <w:spacing w:line="360" w:lineRule="auto"/>
        <w:rPr>
          <w:rFonts w:ascii="Arial" w:hAnsi="Arial" w:cs="Arial"/>
        </w:rPr>
      </w:pPr>
      <w:r>
        <w:rPr>
          <w:rFonts w:ascii="Arial" w:hAnsi="Arial" w:cs="Arial"/>
        </w:rPr>
        <w:t>Training in workforce planning is believed to be key to build capacity and capability in the workforce, allowing for a more strategic outlook.  The training and facilitation skills within the Workforce Planning Team have been developed to deliver a wide variety of methods and contexts, including face to face, virtual, live, pre-recorded webinars, written, visual, bespoke, generic, using interactive tools and software; all to help engage learners fully and provide different ways to meet their preferred learning styles.</w:t>
      </w:r>
    </w:p>
    <w:p w14:paraId="7867380F" w14:textId="77777777" w:rsidR="00E71AC0" w:rsidRDefault="00E71AC0">
      <w:pPr>
        <w:pStyle w:val="nova-legacy-e-listitem"/>
        <w:shd w:val="clear" w:color="auto" w:fill="FFFFFF"/>
        <w:spacing w:before="0" w:after="0" w:line="360" w:lineRule="auto"/>
        <w:rPr>
          <w:rFonts w:ascii="Arial" w:hAnsi="Arial" w:cs="Arial"/>
        </w:rPr>
      </w:pPr>
    </w:p>
    <w:p w14:paraId="78673810"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t xml:space="preserve">Workforce planning training was initially delivered on a three-part basis consisting of a one-hour introductory webinar, followed by a one-day session, and a subsequent one-hour conclusion webinar.  This was amended, due to capacity issues, to a one-day training session only. Despite overwhelming anecdotal evidence that knowledge on how to Workforce Plan effectively is wanted by managers, number of attendees continues to be limited.  There is a need to understand when, how long and in what format workforce planning training should be offered to managers, by means of suitability and ease of access, to help meet a widespread training need. </w:t>
      </w:r>
    </w:p>
    <w:p w14:paraId="78673811" w14:textId="77777777" w:rsidR="00E71AC0" w:rsidRDefault="00E71AC0">
      <w:pPr>
        <w:pStyle w:val="nova-legacy-e-listitem"/>
        <w:shd w:val="clear" w:color="auto" w:fill="FFFFFF"/>
        <w:spacing w:before="0" w:after="0" w:line="360" w:lineRule="auto"/>
        <w:rPr>
          <w:rFonts w:ascii="Arial" w:hAnsi="Arial" w:cs="Arial"/>
          <w:i/>
          <w:iCs/>
          <w:u w:val="single"/>
        </w:rPr>
      </w:pPr>
    </w:p>
    <w:p w14:paraId="78673812" w14:textId="77777777" w:rsidR="00E71AC0" w:rsidRDefault="00667FA1">
      <w:pPr>
        <w:spacing w:line="360" w:lineRule="auto"/>
        <w:rPr>
          <w:rFonts w:ascii="Arial" w:hAnsi="Arial" w:cs="Arial"/>
        </w:rPr>
      </w:pPr>
      <w:r>
        <w:rPr>
          <w:rFonts w:ascii="Arial" w:hAnsi="Arial" w:cs="Arial"/>
        </w:rPr>
        <w:t>This research aims to address the lack of understanding around how and when to deliver this training by asking the question, how would the delivery of workforce planning education need to look to enable greater accessibility and participation?</w:t>
      </w:r>
    </w:p>
    <w:p w14:paraId="78673813"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lastRenderedPageBreak/>
        <w:t>Critically analysing factors that could increase participation in workforce planning training from managers and aspiring managers, therefore this study will aim to research, analyse and critically evaluate:</w:t>
      </w:r>
    </w:p>
    <w:p w14:paraId="78673814" w14:textId="77777777" w:rsidR="00E71AC0" w:rsidRDefault="00667FA1">
      <w:pPr>
        <w:pStyle w:val="nova-legacy-e-listitem"/>
        <w:numPr>
          <w:ilvl w:val="0"/>
          <w:numId w:val="1"/>
        </w:numPr>
        <w:shd w:val="clear" w:color="auto" w:fill="FFFFFF"/>
        <w:spacing w:before="0" w:after="0" w:line="360" w:lineRule="auto"/>
        <w:rPr>
          <w:rFonts w:ascii="Arial" w:hAnsi="Arial" w:cs="Arial"/>
        </w:rPr>
      </w:pPr>
      <w:r>
        <w:rPr>
          <w:rFonts w:ascii="Arial" w:hAnsi="Arial" w:cs="Arial"/>
        </w:rPr>
        <w:t>what methods of delivery of learning would be preferred or better suited to managers working within the Health Board,</w:t>
      </w:r>
    </w:p>
    <w:p w14:paraId="78673815" w14:textId="77777777" w:rsidR="00E71AC0" w:rsidRDefault="00667FA1">
      <w:pPr>
        <w:pStyle w:val="nova-legacy-e-listitem"/>
        <w:numPr>
          <w:ilvl w:val="0"/>
          <w:numId w:val="1"/>
        </w:numPr>
        <w:shd w:val="clear" w:color="auto" w:fill="FFFFFF"/>
        <w:spacing w:before="0" w:after="0" w:line="360" w:lineRule="auto"/>
        <w:rPr>
          <w:rFonts w:ascii="Arial" w:hAnsi="Arial" w:cs="Arial"/>
        </w:rPr>
      </w:pPr>
      <w:r>
        <w:rPr>
          <w:rFonts w:ascii="Arial" w:hAnsi="Arial" w:cs="Arial"/>
        </w:rPr>
        <w:t>the length of time of learning preferred or more suitable for Health Board managers,</w:t>
      </w:r>
    </w:p>
    <w:p w14:paraId="78673816" w14:textId="77777777" w:rsidR="00E71AC0" w:rsidRDefault="00667FA1">
      <w:pPr>
        <w:pStyle w:val="nova-legacy-e-listitem"/>
        <w:numPr>
          <w:ilvl w:val="0"/>
          <w:numId w:val="1"/>
        </w:numPr>
        <w:shd w:val="clear" w:color="auto" w:fill="FFFFFF"/>
        <w:spacing w:before="0" w:after="0" w:line="360" w:lineRule="auto"/>
        <w:rPr>
          <w:rFonts w:ascii="Arial" w:hAnsi="Arial" w:cs="Arial"/>
        </w:rPr>
      </w:pPr>
      <w:r>
        <w:rPr>
          <w:rFonts w:ascii="Arial" w:hAnsi="Arial" w:cs="Arial"/>
        </w:rPr>
        <w:t>the formatting of programmes preferred by or more suitable for managers.</w:t>
      </w:r>
    </w:p>
    <w:p w14:paraId="78673817" w14:textId="77777777" w:rsidR="00E71AC0" w:rsidRDefault="00E71AC0">
      <w:pPr>
        <w:pStyle w:val="nova-legacy-e-listitem"/>
        <w:shd w:val="clear" w:color="auto" w:fill="FFFFFF"/>
        <w:spacing w:before="0" w:after="0" w:line="360" w:lineRule="auto"/>
        <w:rPr>
          <w:rFonts w:ascii="Arial" w:hAnsi="Arial" w:cs="Arial"/>
        </w:rPr>
      </w:pPr>
    </w:p>
    <w:p w14:paraId="78673818"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t xml:space="preserve">While 1,324 individual managers within the banding range 6-9 will be invited to participate, based on the data held on the NHS Wales Electronic Staff Record at the end of May 2023, it is hoped the number of participants will be circa 100.  It is intended that between 5 and 7 interviews will be conducted in addition, which will include some of the questions from the survey so a comparison can be made following a thematic analysis. Managers will be identified from the Staff </w:t>
      </w:r>
      <w:proofErr w:type="gramStart"/>
      <w:r>
        <w:rPr>
          <w:rFonts w:ascii="Arial" w:hAnsi="Arial" w:cs="Arial"/>
        </w:rPr>
        <w:t>In</w:t>
      </w:r>
      <w:proofErr w:type="gramEnd"/>
      <w:r>
        <w:rPr>
          <w:rFonts w:ascii="Arial" w:hAnsi="Arial" w:cs="Arial"/>
        </w:rPr>
        <w:t xml:space="preserve"> Post (SIP) database held within the Health Board’s Electronic Staff Record (ESR).</w:t>
      </w:r>
    </w:p>
    <w:p w14:paraId="78673819" w14:textId="77777777" w:rsidR="00E71AC0" w:rsidRDefault="00E71AC0">
      <w:pPr>
        <w:pStyle w:val="nova-legacy-e-listitem"/>
        <w:shd w:val="clear" w:color="auto" w:fill="FFFFFF"/>
        <w:spacing w:before="0" w:after="0" w:line="360" w:lineRule="auto"/>
        <w:rPr>
          <w:rFonts w:ascii="Arial" w:hAnsi="Arial" w:cs="Arial"/>
        </w:rPr>
      </w:pPr>
    </w:p>
    <w:p w14:paraId="7867381A"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t>It is anticipated that a critical analysis of the findings of the study would aid the Workforce Planning Team in how to drive forward the educational aspect of the workforce planning within the organisation. The recommendations following the critical analysis were expected to highlight and prioritise what training to develop and deliver that will increase capacity and capability in the Health Board.</w:t>
      </w:r>
    </w:p>
    <w:p w14:paraId="7867381B" w14:textId="77777777" w:rsidR="00E71AC0" w:rsidRDefault="00E71AC0">
      <w:pPr>
        <w:pStyle w:val="nova-legacy-e-listitem"/>
        <w:shd w:val="clear" w:color="auto" w:fill="FFFFFF"/>
        <w:spacing w:before="0" w:after="0" w:line="360" w:lineRule="auto"/>
        <w:rPr>
          <w:rFonts w:ascii="Arial" w:hAnsi="Arial" w:cs="Arial"/>
        </w:rPr>
      </w:pPr>
    </w:p>
    <w:p w14:paraId="7867381C"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t xml:space="preserve">All emails will have email addresses blind copied so nobody knows who else is involved in the research and all details will be anonymised in the findings of the report. Informed consent will be implied through questionnaire completion, and participants will have upfront knowledge on the study’s purpose and confidentiality measures. </w:t>
      </w:r>
    </w:p>
    <w:p w14:paraId="7867381D" w14:textId="77777777" w:rsidR="00E71AC0" w:rsidRDefault="00667FA1">
      <w:pPr>
        <w:spacing w:line="360" w:lineRule="auto"/>
        <w:rPr>
          <w:rFonts w:ascii="Arial" w:hAnsi="Arial" w:cs="Arial"/>
        </w:rPr>
      </w:pPr>
      <w:r>
        <w:rPr>
          <w:rFonts w:ascii="Arial" w:hAnsi="Arial" w:cs="Arial"/>
        </w:rPr>
        <w:t>The questionnaire will be vetted by the head of service and the director before dissemination to reduce potential biases and conflict of interest.  The questionnaire will not ask for personal details or any questions calling for identifiable details.</w:t>
      </w:r>
    </w:p>
    <w:p w14:paraId="7867381E" w14:textId="77777777" w:rsidR="00E71AC0" w:rsidRDefault="00667FA1">
      <w:pPr>
        <w:spacing w:line="360" w:lineRule="auto"/>
        <w:rPr>
          <w:rFonts w:ascii="Arial" w:hAnsi="Arial" w:cs="Arial"/>
        </w:rPr>
      </w:pPr>
      <w:r>
        <w:rPr>
          <w:rFonts w:ascii="Arial" w:hAnsi="Arial" w:cs="Arial"/>
        </w:rPr>
        <w:t xml:space="preserve">Interviews will be held virtually to maximise confidentiality in lieu of the location of meeting rooms. Any specific names/job roles mentioned in the interviews will be </w:t>
      </w:r>
      <w:r>
        <w:rPr>
          <w:rFonts w:ascii="Arial" w:hAnsi="Arial" w:cs="Arial"/>
        </w:rPr>
        <w:lastRenderedPageBreak/>
        <w:t xml:space="preserve">redacted, and all participant details in the interviews will be anonymised by use of codes, i.e. participant 1.  </w:t>
      </w:r>
    </w:p>
    <w:p w14:paraId="7867381F" w14:textId="77777777" w:rsidR="00E71AC0" w:rsidRDefault="00E71AC0">
      <w:pPr>
        <w:pStyle w:val="nova-legacy-e-listitem"/>
        <w:shd w:val="clear" w:color="auto" w:fill="FFFFFF"/>
        <w:spacing w:before="0" w:after="0" w:line="360" w:lineRule="auto"/>
        <w:rPr>
          <w:rFonts w:ascii="Arial" w:hAnsi="Arial" w:cs="Arial"/>
        </w:rPr>
      </w:pPr>
    </w:p>
    <w:p w14:paraId="78673820" w14:textId="77777777" w:rsidR="00E71AC0" w:rsidRDefault="00667FA1">
      <w:pPr>
        <w:pStyle w:val="nova-legacy-e-listitem"/>
        <w:shd w:val="clear" w:color="auto" w:fill="FFFFFF"/>
        <w:spacing w:before="0" w:after="0" w:line="360" w:lineRule="auto"/>
        <w:rPr>
          <w:rFonts w:ascii="Arial" w:hAnsi="Arial" w:cs="Arial"/>
        </w:rPr>
      </w:pPr>
      <w:r>
        <w:rPr>
          <w:rFonts w:ascii="Arial" w:hAnsi="Arial" w:cs="Arial"/>
        </w:rPr>
        <w:t>The data will be collated on the researcher’s professional laptop and stored on the researcher’s Health Board One Drive, with restricted access so that only relevant individuals will have access to the information.  However, all participants will have access to the information that they provide.  All recorded interviews will be deleted after the thematic analyses have been conducted.</w:t>
      </w:r>
    </w:p>
    <w:p w14:paraId="78673821" w14:textId="77777777" w:rsidR="00E71AC0" w:rsidRDefault="00667FA1">
      <w:pPr>
        <w:shd w:val="clear" w:color="auto" w:fill="FFFFFF"/>
        <w:spacing w:line="360" w:lineRule="auto"/>
        <w:textAlignment w:val="baseline"/>
      </w:pPr>
      <w:r>
        <w:rPr>
          <w:rFonts w:ascii="Arial" w:hAnsi="Arial" w:cs="Arial"/>
          <w:noProof/>
        </w:rPr>
        <mc:AlternateContent>
          <mc:Choice Requires="wps">
            <w:drawing>
              <wp:anchor distT="0" distB="0" distL="114300" distR="114300" simplePos="0" relativeHeight="251669504" behindDoc="0" locked="0" layoutInCell="1" allowOverlap="1" wp14:anchorId="786737B8" wp14:editId="786737B9">
                <wp:simplePos x="0" y="0"/>
                <wp:positionH relativeFrom="margin">
                  <wp:posOffset>-617220</wp:posOffset>
                </wp:positionH>
                <wp:positionV relativeFrom="paragraph">
                  <wp:posOffset>181608</wp:posOffset>
                </wp:positionV>
                <wp:extent cx="6964042" cy="20959"/>
                <wp:effectExtent l="0" t="0" r="27308" b="36191"/>
                <wp:wrapNone/>
                <wp:docPr id="3" name="Straight Connector 11"/>
                <wp:cNvGraphicFramePr/>
                <a:graphic xmlns:a="http://schemas.openxmlformats.org/drawingml/2006/main">
                  <a:graphicData uri="http://schemas.microsoft.com/office/word/2010/wordprocessingShape">
                    <wps:wsp>
                      <wps:cNvCnPr/>
                      <wps:spPr>
                        <a:xfrm flipV="1">
                          <a:off x="0" y="0"/>
                          <a:ext cx="6964042" cy="20959"/>
                        </a:xfrm>
                        <a:prstGeom prst="straightConnector1">
                          <a:avLst/>
                        </a:prstGeom>
                        <a:noFill/>
                        <a:ln w="19046" cap="flat">
                          <a:solidFill>
                            <a:srgbClr val="000000"/>
                          </a:solidFill>
                          <a:prstDash val="solid"/>
                          <a:miter/>
                        </a:ln>
                      </wps:spPr>
                      <wps:bodyPr/>
                    </wps:wsp>
                  </a:graphicData>
                </a:graphic>
              </wp:anchor>
            </w:drawing>
          </mc:Choice>
          <mc:Fallback>
            <w:pict>
              <v:shape w14:anchorId="3D179A46" id="Straight Connector 11" o:spid="_x0000_s1026" type="#_x0000_t32" style="position:absolute;margin-left:-48.6pt;margin-top:14.3pt;width:548.35pt;height:1.65pt;flip:y;z-index:2516695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" strokeweight=".52906mm">
                <v:stroke joinstyle="miter"/>
                <w10:wrap anchorx="margin"/>
              </v:shape>
            </w:pict>
          </mc:Fallback>
        </mc:AlternateContent>
      </w:r>
    </w:p>
    <w:p w14:paraId="78673822" w14:textId="77777777" w:rsidR="00E71AC0" w:rsidRDefault="00667FA1">
      <w:pPr>
        <w:shd w:val="clear" w:color="auto" w:fill="FFFFFF"/>
        <w:spacing w:line="360" w:lineRule="auto"/>
        <w:textAlignment w:val="baseline"/>
        <w:rPr>
          <w:rFonts w:ascii="Arial" w:hAnsi="Arial" w:cs="Arial"/>
          <w:color w:val="000000"/>
        </w:rPr>
      </w:pPr>
      <w:r>
        <w:rPr>
          <w:rFonts w:ascii="Arial" w:hAnsi="Arial" w:cs="Arial"/>
          <w:color w:val="000000"/>
        </w:rPr>
        <w:t> </w:t>
      </w:r>
    </w:p>
    <w:p w14:paraId="79D494EE" w14:textId="77777777" w:rsidR="00946B04" w:rsidRDefault="00946B04">
      <w:pPr>
        <w:suppressAutoHyphens w:val="0"/>
        <w:spacing w:after="160" w:line="247" w:lineRule="auto"/>
        <w:rPr>
          <w:rFonts w:ascii="Arial" w:hAnsi="Arial" w:cs="Arial"/>
          <w:b/>
          <w:bCs/>
          <w:u w:val="single"/>
        </w:rPr>
      </w:pPr>
      <w:r>
        <w:rPr>
          <w:rFonts w:ascii="Arial" w:hAnsi="Arial" w:cs="Arial"/>
          <w:b/>
          <w:bCs/>
          <w:u w:val="single"/>
        </w:rPr>
        <w:br w:type="page"/>
      </w:r>
    </w:p>
    <w:p w14:paraId="7867390C" w14:textId="5820B535" w:rsidR="00E71AC0" w:rsidRDefault="00667FA1">
      <w:pPr>
        <w:spacing w:line="360" w:lineRule="auto"/>
        <w:rPr>
          <w:rFonts w:ascii="Arial" w:hAnsi="Arial" w:cs="Arial"/>
          <w:b/>
          <w:bCs/>
          <w:u w:val="single"/>
        </w:rPr>
      </w:pPr>
      <w:r>
        <w:rPr>
          <w:rFonts w:ascii="Arial" w:hAnsi="Arial" w:cs="Arial"/>
          <w:b/>
          <w:bCs/>
          <w:u w:val="single"/>
        </w:rPr>
        <w:lastRenderedPageBreak/>
        <w:t>Bibliography</w:t>
      </w:r>
    </w:p>
    <w:p w14:paraId="7867390D" w14:textId="77777777" w:rsidR="00E71AC0" w:rsidRDefault="00E71AC0">
      <w:pPr>
        <w:spacing w:line="360" w:lineRule="auto"/>
        <w:rPr>
          <w:rFonts w:ascii="Arial" w:hAnsi="Arial" w:cs="Arial"/>
          <w:b/>
          <w:bCs/>
          <w:u w:val="single"/>
        </w:rPr>
      </w:pPr>
    </w:p>
    <w:p w14:paraId="7867390E" w14:textId="77777777" w:rsidR="00E71AC0" w:rsidRDefault="00667FA1">
      <w:pPr>
        <w:pStyle w:val="Bibliography"/>
        <w:spacing w:line="360" w:lineRule="auto"/>
        <w:ind w:left="720" w:hanging="720"/>
      </w:pPr>
      <w:proofErr w:type="spellStart"/>
      <w:r>
        <w:rPr>
          <w:rFonts w:ascii="Arial" w:hAnsi="Arial" w:cs="Arial"/>
          <w:lang w:val="en-US"/>
        </w:rPr>
        <w:t>Akerfeldt</w:t>
      </w:r>
      <w:proofErr w:type="spellEnd"/>
      <w:r>
        <w:rPr>
          <w:rFonts w:ascii="Arial" w:hAnsi="Arial" w:cs="Arial"/>
          <w:lang w:val="en-US"/>
        </w:rPr>
        <w:t xml:space="preserve">, A., Bergdahl, N., &amp; </w:t>
      </w:r>
      <w:proofErr w:type="spellStart"/>
      <w:r>
        <w:rPr>
          <w:rFonts w:ascii="Arial" w:hAnsi="Arial" w:cs="Arial"/>
          <w:lang w:val="en-US"/>
        </w:rPr>
        <w:t>Hrastinkski</w:t>
      </w:r>
      <w:proofErr w:type="spellEnd"/>
      <w:r>
        <w:rPr>
          <w:rFonts w:ascii="Arial" w:hAnsi="Arial" w:cs="Arial"/>
          <w:lang w:val="en-US"/>
        </w:rPr>
        <w:t xml:space="preserve">, S. (2024). Adult learners’ perceptions of distance education. </w:t>
      </w:r>
      <w:r>
        <w:rPr>
          <w:rFonts w:ascii="Arial" w:hAnsi="Arial" w:cs="Arial"/>
          <w:i/>
          <w:iCs/>
          <w:lang w:val="en-US"/>
        </w:rPr>
        <w:t>Journal of Adult and Continuing Education</w:t>
      </w:r>
      <w:r>
        <w:rPr>
          <w:rFonts w:ascii="Arial" w:hAnsi="Arial" w:cs="Arial"/>
          <w:lang w:val="en-US"/>
        </w:rPr>
        <w:t>, Volume 30, Issue 1, Pages 248-266.</w:t>
      </w:r>
    </w:p>
    <w:p w14:paraId="7867390F" w14:textId="77777777" w:rsidR="00E71AC0" w:rsidRDefault="00667FA1">
      <w:pPr>
        <w:pStyle w:val="Bibliography"/>
        <w:spacing w:line="360" w:lineRule="auto"/>
        <w:ind w:left="720" w:hanging="720"/>
      </w:pPr>
      <w:r>
        <w:rPr>
          <w:rFonts w:ascii="Arial" w:hAnsi="Arial" w:cs="Arial"/>
          <w:lang w:val="en-US"/>
        </w:rPr>
        <w:t xml:space="preserve">Ali, D. A., </w:t>
      </w:r>
      <w:proofErr w:type="spellStart"/>
      <w:r>
        <w:rPr>
          <w:rFonts w:ascii="Arial" w:hAnsi="Arial" w:cs="Arial"/>
          <w:lang w:val="en-US"/>
        </w:rPr>
        <w:t>Fazaz</w:t>
      </w:r>
      <w:proofErr w:type="spellEnd"/>
      <w:r>
        <w:rPr>
          <w:rFonts w:ascii="Arial" w:hAnsi="Arial" w:cs="Arial"/>
          <w:lang w:val="en-US"/>
        </w:rPr>
        <w:t xml:space="preserve">, M., </w:t>
      </w:r>
      <w:proofErr w:type="spellStart"/>
      <w:r>
        <w:rPr>
          <w:rFonts w:ascii="Arial" w:hAnsi="Arial" w:cs="Arial"/>
          <w:lang w:val="en-US"/>
        </w:rPr>
        <w:t>Ounaceur</w:t>
      </w:r>
      <w:proofErr w:type="spellEnd"/>
      <w:r>
        <w:rPr>
          <w:rFonts w:ascii="Arial" w:hAnsi="Arial" w:cs="Arial"/>
          <w:lang w:val="en-US"/>
        </w:rPr>
        <w:t xml:space="preserve">, B., </w:t>
      </w:r>
      <w:proofErr w:type="spellStart"/>
      <w:r>
        <w:rPr>
          <w:rFonts w:ascii="Arial" w:hAnsi="Arial" w:cs="Arial"/>
          <w:lang w:val="en-US"/>
        </w:rPr>
        <w:t>Houate</w:t>
      </w:r>
      <w:proofErr w:type="spellEnd"/>
      <w:r>
        <w:rPr>
          <w:rFonts w:ascii="Arial" w:hAnsi="Arial" w:cs="Arial"/>
          <w:lang w:val="en-US"/>
        </w:rPr>
        <w:t xml:space="preserve">, B. E., </w:t>
      </w:r>
      <w:proofErr w:type="spellStart"/>
      <w:r>
        <w:rPr>
          <w:rFonts w:ascii="Arial" w:hAnsi="Arial" w:cs="Arial"/>
          <w:lang w:val="en-US"/>
        </w:rPr>
        <w:t>Koutbi</w:t>
      </w:r>
      <w:proofErr w:type="spellEnd"/>
      <w:r>
        <w:rPr>
          <w:rFonts w:ascii="Arial" w:hAnsi="Arial" w:cs="Arial"/>
          <w:lang w:val="en-US"/>
        </w:rPr>
        <w:t xml:space="preserve">, M. E., </w:t>
      </w:r>
      <w:proofErr w:type="spellStart"/>
      <w:r>
        <w:rPr>
          <w:rFonts w:ascii="Arial" w:hAnsi="Arial" w:cs="Arial"/>
          <w:lang w:val="en-US"/>
        </w:rPr>
        <w:t>Khiat</w:t>
      </w:r>
      <w:proofErr w:type="spellEnd"/>
      <w:r>
        <w:rPr>
          <w:rFonts w:ascii="Arial" w:hAnsi="Arial" w:cs="Arial"/>
          <w:lang w:val="en-US"/>
        </w:rPr>
        <w:t xml:space="preserve">, A. E., &amp; </w:t>
      </w:r>
      <w:proofErr w:type="spellStart"/>
      <w:r>
        <w:rPr>
          <w:rFonts w:ascii="Arial" w:hAnsi="Arial" w:cs="Arial"/>
          <w:lang w:val="en-US"/>
        </w:rPr>
        <w:t>Shenjazi</w:t>
      </w:r>
      <w:proofErr w:type="spellEnd"/>
      <w:r>
        <w:rPr>
          <w:rFonts w:ascii="Arial" w:hAnsi="Arial" w:cs="Arial"/>
          <w:lang w:val="en-US"/>
        </w:rPr>
        <w:t xml:space="preserve">, F. (2022). Motivational factors influencing nurses’ participation in continuing education sessions: A hospital-based study. </w:t>
      </w:r>
      <w:r>
        <w:rPr>
          <w:rFonts w:ascii="Arial" w:hAnsi="Arial" w:cs="Arial"/>
          <w:i/>
          <w:iCs/>
          <w:lang w:val="en-US"/>
        </w:rPr>
        <w:t>Journal of Adult and Continuing Education</w:t>
      </w:r>
      <w:r>
        <w:rPr>
          <w:rFonts w:ascii="Arial" w:hAnsi="Arial" w:cs="Arial"/>
          <w:lang w:val="en-US"/>
        </w:rPr>
        <w:t>, Volume 29, Issue 2, Pages 395-407.</w:t>
      </w:r>
    </w:p>
    <w:p w14:paraId="78673910" w14:textId="77777777" w:rsidR="00E71AC0" w:rsidRDefault="00667FA1">
      <w:pPr>
        <w:spacing w:line="360" w:lineRule="auto"/>
      </w:pPr>
      <w:r>
        <w:rPr>
          <w:rFonts w:ascii="Arial" w:hAnsi="Arial" w:cs="Arial"/>
          <w:lang w:val="en-US"/>
        </w:rPr>
        <w:t xml:space="preserve">Allen, Kate, &amp; Marquez, A. (2019). Teaching Vocabulary with Visual aids. </w:t>
      </w:r>
      <w:r>
        <w:rPr>
          <w:rFonts w:ascii="Arial" w:hAnsi="Arial" w:cs="Arial"/>
          <w:i/>
          <w:iCs/>
          <w:lang w:val="en-US"/>
        </w:rPr>
        <w:t xml:space="preserve">Journal of </w:t>
      </w:r>
    </w:p>
    <w:p w14:paraId="78673911" w14:textId="77777777" w:rsidR="00E71AC0" w:rsidRDefault="00667FA1">
      <w:pPr>
        <w:spacing w:line="360" w:lineRule="auto"/>
        <w:ind w:left="340" w:firstLine="340"/>
      </w:pPr>
      <w:r>
        <w:rPr>
          <w:rFonts w:ascii="Arial" w:hAnsi="Arial" w:cs="Arial"/>
          <w:i/>
          <w:iCs/>
          <w:lang w:val="en-US"/>
        </w:rPr>
        <w:t>Kao Ying Industrial &amp; Commercial Vocational High School</w:t>
      </w:r>
      <w:r>
        <w:rPr>
          <w:rFonts w:ascii="Arial" w:hAnsi="Arial" w:cs="Arial"/>
          <w:lang w:val="en-US"/>
        </w:rPr>
        <w:t>, 01-05</w:t>
      </w:r>
    </w:p>
    <w:p w14:paraId="78673912" w14:textId="77777777" w:rsidR="00E71AC0" w:rsidRDefault="00667FA1">
      <w:pPr>
        <w:pStyle w:val="Bibliography"/>
        <w:spacing w:line="360" w:lineRule="auto"/>
        <w:ind w:left="720" w:hanging="720"/>
      </w:pPr>
      <w:r>
        <w:rPr>
          <w:rFonts w:ascii="Arial" w:hAnsi="Arial" w:cs="Arial"/>
          <w:lang w:val="en-US"/>
        </w:rPr>
        <w:t xml:space="preserve">Appleby, J., Leng, G., &amp; Marshall, M. (2024, March 20). </w:t>
      </w:r>
      <w:r>
        <w:rPr>
          <w:rFonts w:ascii="Arial" w:hAnsi="Arial" w:cs="Arial"/>
          <w:i/>
          <w:iCs/>
          <w:lang w:val="en-US"/>
        </w:rPr>
        <w:t>NHS funding for a secure future</w:t>
      </w:r>
      <w:r>
        <w:rPr>
          <w:rFonts w:ascii="Arial" w:hAnsi="Arial" w:cs="Arial"/>
          <w:lang w:val="en-US"/>
        </w:rPr>
        <w:t>. Retrieved from BMJ: https://www.bmj.com/content/384/bmj-2024-079341</w:t>
      </w:r>
    </w:p>
    <w:p w14:paraId="78673913" w14:textId="77777777" w:rsidR="00E71AC0" w:rsidRDefault="00667FA1">
      <w:pPr>
        <w:pStyle w:val="Bibliography"/>
        <w:spacing w:line="360" w:lineRule="auto"/>
        <w:ind w:left="720" w:hanging="720"/>
      </w:pPr>
      <w:r>
        <w:rPr>
          <w:rFonts w:ascii="Arial" w:hAnsi="Arial" w:cs="Arial"/>
          <w:lang w:val="en-US"/>
        </w:rPr>
        <w:t xml:space="preserve">Broek, S., Linden, J. v., </w:t>
      </w:r>
      <w:proofErr w:type="spellStart"/>
      <w:r>
        <w:rPr>
          <w:rFonts w:ascii="Arial" w:hAnsi="Arial" w:cs="Arial"/>
          <w:lang w:val="en-US"/>
        </w:rPr>
        <w:t>Kuijpers</w:t>
      </w:r>
      <w:proofErr w:type="spellEnd"/>
      <w:r>
        <w:rPr>
          <w:rFonts w:ascii="Arial" w:hAnsi="Arial" w:cs="Arial"/>
          <w:lang w:val="en-US"/>
        </w:rPr>
        <w:t xml:space="preserve">, M. A., &amp; </w:t>
      </w:r>
      <w:proofErr w:type="spellStart"/>
      <w:r>
        <w:rPr>
          <w:rFonts w:ascii="Arial" w:hAnsi="Arial" w:cs="Arial"/>
          <w:lang w:val="en-US"/>
        </w:rPr>
        <w:t>Semeijn</w:t>
      </w:r>
      <w:proofErr w:type="spellEnd"/>
      <w:r>
        <w:rPr>
          <w:rFonts w:ascii="Arial" w:hAnsi="Arial" w:cs="Arial"/>
          <w:lang w:val="en-US"/>
        </w:rPr>
        <w:t xml:space="preserve">, J. H. (2023). What makes adults choose to learn: Factors that stimulate or prevent adults from learning. </w:t>
      </w:r>
      <w:r>
        <w:rPr>
          <w:rFonts w:ascii="Arial" w:hAnsi="Arial" w:cs="Arial"/>
          <w:i/>
          <w:iCs/>
          <w:lang w:val="en-US"/>
        </w:rPr>
        <w:t>Journal of Adult and Continuing Education</w:t>
      </w:r>
      <w:r>
        <w:rPr>
          <w:rFonts w:ascii="Arial" w:hAnsi="Arial" w:cs="Arial"/>
          <w:lang w:val="en-US"/>
        </w:rPr>
        <w:t>, Volume 29, Issue 2, Page 620-642.</w:t>
      </w:r>
    </w:p>
    <w:p w14:paraId="78673914" w14:textId="77777777" w:rsidR="00E71AC0" w:rsidRDefault="00667FA1">
      <w:pPr>
        <w:pStyle w:val="Bibliography"/>
        <w:spacing w:line="360" w:lineRule="auto"/>
        <w:ind w:left="720" w:hanging="720"/>
      </w:pPr>
      <w:proofErr w:type="spellStart"/>
      <w:r>
        <w:rPr>
          <w:rFonts w:ascii="Arial" w:hAnsi="Arial" w:cs="Arial"/>
          <w:lang w:val="en-US"/>
        </w:rPr>
        <w:t>Bušljeta</w:t>
      </w:r>
      <w:proofErr w:type="spellEnd"/>
      <w:r>
        <w:rPr>
          <w:rFonts w:ascii="Arial" w:hAnsi="Arial" w:cs="Arial"/>
          <w:lang w:val="en-US"/>
        </w:rPr>
        <w:t xml:space="preserve">, D. R. (2013). Effective Use of Teaching and Learning Resources. </w:t>
      </w:r>
      <w:r>
        <w:rPr>
          <w:rFonts w:ascii="Arial" w:hAnsi="Arial" w:cs="Arial"/>
          <w:i/>
          <w:iCs/>
          <w:lang w:val="en-US"/>
        </w:rPr>
        <w:t>Czech-Polish Historical and Pedagogical Journal</w:t>
      </w:r>
      <w:r>
        <w:rPr>
          <w:rFonts w:ascii="Arial" w:hAnsi="Arial" w:cs="Arial"/>
          <w:lang w:val="en-US"/>
        </w:rPr>
        <w:t xml:space="preserve">, Vol. 5; 2; </w:t>
      </w:r>
      <w:proofErr w:type="spellStart"/>
      <w:r>
        <w:rPr>
          <w:rFonts w:ascii="Arial" w:hAnsi="Arial" w:cs="Arial"/>
          <w:lang w:val="en-US"/>
        </w:rPr>
        <w:t>pg</w:t>
      </w:r>
      <w:proofErr w:type="spellEnd"/>
      <w:r>
        <w:rPr>
          <w:rFonts w:ascii="Arial" w:hAnsi="Arial" w:cs="Arial"/>
          <w:lang w:val="en-US"/>
        </w:rPr>
        <w:t xml:space="preserve"> 55-70. Retrieved from </w:t>
      </w:r>
      <w:proofErr w:type="spellStart"/>
      <w:r>
        <w:rPr>
          <w:rFonts w:ascii="Arial" w:hAnsi="Arial" w:cs="Arial"/>
          <w:lang w:val="en-US"/>
        </w:rPr>
        <w:t>Researchgate</w:t>
      </w:r>
      <w:proofErr w:type="spellEnd"/>
      <w:r>
        <w:rPr>
          <w:rFonts w:ascii="Arial" w:hAnsi="Arial" w:cs="Arial"/>
          <w:lang w:val="en-US"/>
        </w:rPr>
        <w:t>.</w:t>
      </w:r>
    </w:p>
    <w:p w14:paraId="78673915" w14:textId="77777777" w:rsidR="00E71AC0" w:rsidRDefault="00667FA1">
      <w:pPr>
        <w:pStyle w:val="Bibliography"/>
        <w:spacing w:line="360" w:lineRule="auto"/>
        <w:ind w:left="720" w:hanging="720"/>
      </w:pPr>
      <w:r>
        <w:rPr>
          <w:rFonts w:ascii="Arial" w:hAnsi="Arial" w:cs="Arial"/>
          <w:lang w:val="en-US"/>
        </w:rPr>
        <w:t xml:space="preserve">Cairns, A. (2023, September 22). Professionalism and Artist–Teachers in Adult Community Learning in the UK. </w:t>
      </w:r>
      <w:r>
        <w:rPr>
          <w:rFonts w:ascii="Arial" w:hAnsi="Arial" w:cs="Arial"/>
          <w:i/>
          <w:iCs/>
          <w:lang w:val="en-US"/>
        </w:rPr>
        <w:t xml:space="preserve">The </w:t>
      </w:r>
      <w:proofErr w:type="gramStart"/>
      <w:r>
        <w:rPr>
          <w:rFonts w:ascii="Arial" w:hAnsi="Arial" w:cs="Arial"/>
          <w:i/>
          <w:iCs/>
          <w:lang w:val="en-US"/>
        </w:rPr>
        <w:t xml:space="preserve">International </w:t>
      </w:r>
      <w:r>
        <w:rPr>
          <w:rFonts w:ascii="Arial" w:hAnsi="Arial" w:cs="Arial"/>
          <w:lang w:val="en-US"/>
        </w:rPr>
        <w:t>,</w:t>
      </w:r>
      <w:proofErr w:type="gramEnd"/>
      <w:r>
        <w:rPr>
          <w:rFonts w:ascii="Arial" w:hAnsi="Arial" w:cs="Arial"/>
          <w:lang w:val="en-US"/>
        </w:rPr>
        <w:t xml:space="preserve"> Vol 43, Issue 1, </w:t>
      </w:r>
      <w:proofErr w:type="spellStart"/>
      <w:r>
        <w:rPr>
          <w:rFonts w:ascii="Arial" w:hAnsi="Arial" w:cs="Arial"/>
          <w:lang w:val="en-US"/>
        </w:rPr>
        <w:t>pg</w:t>
      </w:r>
      <w:proofErr w:type="spellEnd"/>
      <w:r>
        <w:rPr>
          <w:rFonts w:ascii="Arial" w:hAnsi="Arial" w:cs="Arial"/>
          <w:lang w:val="en-US"/>
        </w:rPr>
        <w:t xml:space="preserve"> 4-17. Retrieved from </w:t>
      </w:r>
      <w:hyperlink r:id="rId9" w:history="1">
        <w:r>
          <w:rPr>
            <w:rStyle w:val="Hyperlink"/>
            <w:rFonts w:ascii="Arial" w:hAnsi="Arial" w:cs="Arial"/>
            <w:lang w:val="en-US"/>
          </w:rPr>
          <w:t>https://onlinelibrary-wiley-com.ezproxy.uwtsd.ac.uk/doi/full/10.1111/jade.12473</w:t>
        </w:r>
      </w:hyperlink>
      <w:r>
        <w:rPr>
          <w:rFonts w:ascii="Arial" w:hAnsi="Arial" w:cs="Arial"/>
          <w:lang w:val="en-US"/>
        </w:rPr>
        <w:t xml:space="preserve"> (Accessed on 4th July 2024)</w:t>
      </w:r>
    </w:p>
    <w:p w14:paraId="78673916" w14:textId="77777777" w:rsidR="00E71AC0" w:rsidRDefault="00667FA1">
      <w:pPr>
        <w:spacing w:line="360" w:lineRule="auto"/>
        <w:rPr>
          <w:rFonts w:ascii="Arial" w:hAnsi="Arial" w:cs="Arial"/>
          <w:shd w:val="clear" w:color="auto" w:fill="FFFFFF"/>
        </w:rPr>
      </w:pPr>
      <w:r>
        <w:rPr>
          <w:rFonts w:ascii="Arial" w:hAnsi="Arial" w:cs="Arial"/>
          <w:shd w:val="clear" w:color="auto" w:fill="FFFFFF"/>
        </w:rPr>
        <w:t xml:space="preserve">CHOY, S. and LE, A.H., 2023/11//. Workplace practices that support learning across </w:t>
      </w:r>
    </w:p>
    <w:p w14:paraId="78673917" w14:textId="77777777" w:rsidR="00E71AC0" w:rsidRDefault="00667FA1">
      <w:pPr>
        <w:spacing w:line="360" w:lineRule="auto"/>
        <w:ind w:left="340" w:firstLine="340"/>
      </w:pPr>
      <w:r>
        <w:rPr>
          <w:rFonts w:ascii="Arial" w:hAnsi="Arial" w:cs="Arial"/>
          <w:shd w:val="clear" w:color="auto" w:fill="FFFFFF"/>
        </w:rPr>
        <w:t>working life. </w:t>
      </w:r>
      <w:r>
        <w:rPr>
          <w:rFonts w:ascii="Arial" w:hAnsi="Arial" w:cs="Arial"/>
          <w:i/>
          <w:iCs/>
          <w:shd w:val="clear" w:color="auto" w:fill="FFFFFF"/>
        </w:rPr>
        <w:t>Australian Journal of Adult Learning, </w:t>
      </w:r>
      <w:r>
        <w:rPr>
          <w:rFonts w:ascii="Arial" w:hAnsi="Arial" w:cs="Arial"/>
          <w:b/>
          <w:bCs/>
          <w:shd w:val="clear" w:color="auto" w:fill="FFFFFF"/>
        </w:rPr>
        <w:t>63</w:t>
      </w:r>
      <w:r>
        <w:rPr>
          <w:rFonts w:ascii="Arial" w:hAnsi="Arial" w:cs="Arial"/>
          <w:shd w:val="clear" w:color="auto" w:fill="FFFFFF"/>
        </w:rPr>
        <w:t>(3), pp. 320-342.</w:t>
      </w:r>
    </w:p>
    <w:p w14:paraId="78673918" w14:textId="77777777" w:rsidR="00E71AC0" w:rsidRDefault="00667FA1">
      <w:pPr>
        <w:pStyle w:val="Bibliography"/>
        <w:spacing w:line="360" w:lineRule="auto"/>
        <w:ind w:left="720" w:hanging="720"/>
      </w:pPr>
      <w:r>
        <w:rPr>
          <w:rFonts w:ascii="Arial" w:hAnsi="Arial" w:cs="Arial"/>
          <w:lang w:val="en-US"/>
        </w:rPr>
        <w:t xml:space="preserve">CIPD. (n.d.). </w:t>
      </w:r>
      <w:r>
        <w:rPr>
          <w:rFonts w:ascii="Arial" w:hAnsi="Arial" w:cs="Arial"/>
          <w:i/>
          <w:iCs/>
          <w:lang w:val="en-US"/>
        </w:rPr>
        <w:t xml:space="preserve">Strategic workforce planning </w:t>
      </w:r>
      <w:proofErr w:type="spellStart"/>
      <w:r>
        <w:rPr>
          <w:rFonts w:ascii="Arial" w:hAnsi="Arial" w:cs="Arial"/>
          <w:i/>
          <w:iCs/>
          <w:lang w:val="en-US"/>
        </w:rPr>
        <w:t>programme</w:t>
      </w:r>
      <w:proofErr w:type="spellEnd"/>
      <w:r>
        <w:rPr>
          <w:rFonts w:ascii="Arial" w:hAnsi="Arial" w:cs="Arial"/>
          <w:lang w:val="en-US"/>
        </w:rPr>
        <w:t>. Retrieved from CIPD: https://shop.cipd.org/product?catalog=Strategic-Workforce-Planning</w:t>
      </w:r>
    </w:p>
    <w:p w14:paraId="78673919" w14:textId="77777777" w:rsidR="00E71AC0" w:rsidRDefault="00667FA1">
      <w:pPr>
        <w:pStyle w:val="Bibliography"/>
        <w:spacing w:line="360" w:lineRule="auto"/>
        <w:ind w:left="720" w:hanging="720"/>
      </w:pPr>
      <w:r>
        <w:rPr>
          <w:rFonts w:ascii="Arial" w:hAnsi="Arial" w:cs="Arial"/>
          <w:lang w:val="en-US"/>
        </w:rPr>
        <w:t xml:space="preserve">Cookson, C., &amp; Cameron-Chileshe, J. (2023, January 3). </w:t>
      </w:r>
      <w:r>
        <w:rPr>
          <w:rFonts w:ascii="Arial" w:hAnsi="Arial" w:cs="Arial"/>
          <w:i/>
          <w:iCs/>
          <w:lang w:val="en-US"/>
        </w:rPr>
        <w:t>Why is the NHS in its worst ever crisis?</w:t>
      </w:r>
      <w:r>
        <w:rPr>
          <w:rFonts w:ascii="Arial" w:hAnsi="Arial" w:cs="Arial"/>
          <w:lang w:val="en-US"/>
        </w:rPr>
        <w:t xml:space="preserve"> Retrieved from Financial Times: </w:t>
      </w:r>
      <w:hyperlink r:id="rId10" w:history="1">
        <w:r>
          <w:rPr>
            <w:rStyle w:val="Hyperlink"/>
            <w:rFonts w:ascii="Arial" w:hAnsi="Arial" w:cs="Arial"/>
            <w:lang w:val="en-US"/>
          </w:rPr>
          <w:t>https://www.ft.com/content/b593116d-f948-4757-b2fa-c74adadc8b42</w:t>
        </w:r>
      </w:hyperlink>
      <w:r>
        <w:rPr>
          <w:rStyle w:val="Hyperlink"/>
          <w:rFonts w:ascii="Arial" w:hAnsi="Arial" w:cs="Arial"/>
          <w:color w:val="auto"/>
          <w:u w:val="none"/>
          <w:lang w:val="en-US"/>
        </w:rPr>
        <w:t xml:space="preserve"> (21</w:t>
      </w:r>
      <w:r>
        <w:rPr>
          <w:rStyle w:val="Hyperlink"/>
          <w:rFonts w:ascii="Arial" w:hAnsi="Arial" w:cs="Arial"/>
          <w:color w:val="auto"/>
          <w:u w:val="none"/>
          <w:vertAlign w:val="superscript"/>
          <w:lang w:val="en-US"/>
        </w:rPr>
        <w:t>st</w:t>
      </w:r>
      <w:r>
        <w:rPr>
          <w:rStyle w:val="Hyperlink"/>
          <w:rFonts w:ascii="Arial" w:hAnsi="Arial" w:cs="Arial"/>
          <w:color w:val="auto"/>
          <w:u w:val="none"/>
          <w:lang w:val="en-US"/>
        </w:rPr>
        <w:t xml:space="preserve"> September 2023)</w:t>
      </w:r>
    </w:p>
    <w:p w14:paraId="7867391A" w14:textId="77777777" w:rsidR="00E71AC0" w:rsidRDefault="00667FA1">
      <w:pPr>
        <w:pStyle w:val="Bibliography"/>
        <w:spacing w:line="360" w:lineRule="auto"/>
        <w:ind w:left="720" w:hanging="720"/>
      </w:pPr>
      <w:r>
        <w:rPr>
          <w:rFonts w:ascii="Arial" w:hAnsi="Arial" w:cs="Arial"/>
          <w:lang w:val="en-US"/>
        </w:rPr>
        <w:t xml:space="preserve">Denscombe, M. (2008, July). Communities of Practice: A Research Paradigm for the Mixed Methods Approach. </w:t>
      </w:r>
      <w:r>
        <w:rPr>
          <w:rFonts w:ascii="Arial" w:hAnsi="Arial" w:cs="Arial"/>
          <w:i/>
          <w:iCs/>
          <w:lang w:val="en-US"/>
        </w:rPr>
        <w:t>Journal of Mixed Method Research</w:t>
      </w:r>
      <w:r>
        <w:rPr>
          <w:rFonts w:ascii="Arial" w:hAnsi="Arial" w:cs="Arial"/>
          <w:lang w:val="en-US"/>
        </w:rPr>
        <w:t>, pp. Volume 2, Number 3, Pages 270-283.</w:t>
      </w:r>
    </w:p>
    <w:p w14:paraId="7867391B" w14:textId="77777777" w:rsidR="00E71AC0" w:rsidRDefault="00667FA1">
      <w:pPr>
        <w:pStyle w:val="Bibliography"/>
        <w:spacing w:line="360" w:lineRule="auto"/>
        <w:ind w:left="720" w:hanging="720"/>
      </w:pPr>
      <w:proofErr w:type="spellStart"/>
      <w:r>
        <w:rPr>
          <w:rFonts w:ascii="Arial" w:hAnsi="Arial" w:cs="Arial"/>
          <w:lang w:val="en-US"/>
        </w:rPr>
        <w:t>Derera</w:t>
      </w:r>
      <w:proofErr w:type="spellEnd"/>
      <w:r>
        <w:rPr>
          <w:rFonts w:ascii="Arial" w:hAnsi="Arial" w:cs="Arial"/>
          <w:lang w:val="en-US"/>
        </w:rPr>
        <w:t xml:space="preserve">, K. (n.d.). </w:t>
      </w:r>
      <w:r>
        <w:rPr>
          <w:rFonts w:ascii="Arial" w:hAnsi="Arial" w:cs="Arial"/>
          <w:i/>
          <w:iCs/>
          <w:lang w:val="en-US"/>
        </w:rPr>
        <w:t>Toolkits: A guide to developing toolkits that work</w:t>
      </w:r>
      <w:r>
        <w:rPr>
          <w:rFonts w:ascii="Arial" w:hAnsi="Arial" w:cs="Arial"/>
          <w:lang w:val="en-US"/>
        </w:rPr>
        <w:t xml:space="preserve">. Retrieved from The Human Capital Hub: </w:t>
      </w:r>
      <w:hyperlink r:id="rId11" w:history="1">
        <w:r>
          <w:rPr>
            <w:rStyle w:val="Hyperlink"/>
            <w:rFonts w:ascii="Arial" w:hAnsi="Arial" w:cs="Arial"/>
            <w:lang w:val="en-US"/>
          </w:rPr>
          <w:t>https://www.thehumancapitalhub.com/articles/Toolkits-A-Guide-To-Developing-Toolkits-That-Work</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2024)</w:t>
      </w:r>
    </w:p>
    <w:p w14:paraId="7867391C" w14:textId="77777777" w:rsidR="00E71AC0" w:rsidRDefault="00667FA1">
      <w:pPr>
        <w:spacing w:line="360" w:lineRule="auto"/>
      </w:pPr>
      <w:proofErr w:type="spellStart"/>
      <w:r>
        <w:rPr>
          <w:rFonts w:ascii="Arial" w:hAnsi="Arial" w:cs="Arial"/>
          <w:lang w:val="en-US"/>
        </w:rPr>
        <w:t>DiLeornado</w:t>
      </w:r>
      <w:proofErr w:type="spellEnd"/>
      <w:r>
        <w:rPr>
          <w:rFonts w:ascii="Arial" w:hAnsi="Arial" w:cs="Arial"/>
          <w:lang w:val="en-US"/>
        </w:rPr>
        <w:t xml:space="preserve">, Alexander; </w:t>
      </w:r>
      <w:proofErr w:type="spellStart"/>
      <w:r>
        <w:rPr>
          <w:rFonts w:ascii="Arial" w:hAnsi="Arial" w:cs="Arial"/>
          <w:lang w:val="en-US"/>
        </w:rPr>
        <w:t>Lauricella</w:t>
      </w:r>
      <w:proofErr w:type="spellEnd"/>
      <w:r>
        <w:rPr>
          <w:rFonts w:ascii="Arial" w:hAnsi="Arial" w:cs="Arial"/>
          <w:lang w:val="en-US"/>
        </w:rPr>
        <w:t xml:space="preserve">, Taylor; </w:t>
      </w:r>
      <w:proofErr w:type="spellStart"/>
      <w:r>
        <w:rPr>
          <w:rFonts w:ascii="Arial" w:hAnsi="Arial" w:cs="Arial"/>
          <w:lang w:val="en-US"/>
        </w:rPr>
        <w:t>Schaninger</w:t>
      </w:r>
      <w:proofErr w:type="spellEnd"/>
      <w:r>
        <w:rPr>
          <w:rFonts w:ascii="Arial" w:hAnsi="Arial" w:cs="Arial"/>
          <w:lang w:val="en-US"/>
        </w:rPr>
        <w:t xml:space="preserve">, Bill (2021, May 11). </w:t>
      </w:r>
      <w:r>
        <w:rPr>
          <w:rFonts w:ascii="Arial" w:hAnsi="Arial" w:cs="Arial"/>
          <w:i/>
          <w:iCs/>
          <w:color w:val="000000"/>
          <w:shd w:val="clear" w:color="auto" w:fill="FFFFFF"/>
        </w:rPr>
        <w:t xml:space="preserve">Survey </w:t>
      </w:r>
    </w:p>
    <w:p w14:paraId="7867391D" w14:textId="77777777" w:rsidR="00E71AC0" w:rsidRDefault="00667FA1">
      <w:pPr>
        <w:spacing w:line="360" w:lineRule="auto"/>
        <w:ind w:left="720"/>
      </w:pPr>
      <w:r>
        <w:rPr>
          <w:rFonts w:ascii="Arial" w:hAnsi="Arial" w:cs="Arial"/>
          <w:i/>
          <w:iCs/>
          <w:color w:val="000000"/>
          <w:shd w:val="clear" w:color="auto" w:fill="FFFFFF"/>
        </w:rPr>
        <w:t xml:space="preserve">fatigue? Blame the leader, not the question. </w:t>
      </w:r>
      <w:r>
        <w:rPr>
          <w:rFonts w:ascii="Arial" w:hAnsi="Arial" w:cs="Arial"/>
          <w:color w:val="000000"/>
          <w:shd w:val="clear" w:color="auto" w:fill="FFFFFF"/>
        </w:rPr>
        <w:t xml:space="preserve">Retrieved from McKinsey &amp; Company: </w:t>
      </w:r>
      <w:hyperlink r:id="rId12" w:history="1">
        <w:r>
          <w:rPr>
            <w:rStyle w:val="Hyperlink"/>
            <w:rFonts w:ascii="Arial" w:hAnsi="Arial" w:cs="Arial"/>
          </w:rPr>
          <w:t>Survey fatigue? Blame the leader, not the question (mckinsey.com)</w:t>
        </w:r>
      </w:hyperlink>
      <w:r>
        <w:rPr>
          <w:rFonts w:ascii="Arial" w:hAnsi="Arial" w:cs="Arial"/>
        </w:rPr>
        <w:t xml:space="preserve"> (Accessed on 9</w:t>
      </w:r>
      <w:r>
        <w:rPr>
          <w:rFonts w:ascii="Arial" w:hAnsi="Arial" w:cs="Arial"/>
          <w:vertAlign w:val="superscript"/>
        </w:rPr>
        <w:t>th</w:t>
      </w:r>
      <w:r>
        <w:rPr>
          <w:rFonts w:ascii="Arial" w:hAnsi="Arial" w:cs="Arial"/>
        </w:rPr>
        <w:t xml:space="preserve"> October 2024)</w:t>
      </w:r>
    </w:p>
    <w:p w14:paraId="7867391E" w14:textId="77777777" w:rsidR="00E71AC0" w:rsidRDefault="00667FA1">
      <w:pPr>
        <w:pStyle w:val="Bibliography"/>
        <w:spacing w:line="360" w:lineRule="auto"/>
        <w:ind w:left="720" w:hanging="720"/>
      </w:pPr>
      <w:r>
        <w:rPr>
          <w:rFonts w:ascii="Arial" w:hAnsi="Arial" w:cs="Arial"/>
          <w:lang w:val="en-US"/>
        </w:rPr>
        <w:t xml:space="preserve">HCI. (2024). </w:t>
      </w:r>
      <w:r>
        <w:rPr>
          <w:rFonts w:ascii="Arial" w:hAnsi="Arial" w:cs="Arial"/>
          <w:i/>
          <w:iCs/>
          <w:lang w:val="en-US"/>
        </w:rPr>
        <w:t>Strategic Workforce Planning (SWP) Certification</w:t>
      </w:r>
      <w:r>
        <w:rPr>
          <w:rFonts w:ascii="Arial" w:hAnsi="Arial" w:cs="Arial"/>
          <w:lang w:val="en-US"/>
        </w:rPr>
        <w:t>. Retrieved from Human Capital Institute: https://www.hci.org/SWP</w:t>
      </w:r>
    </w:p>
    <w:p w14:paraId="7867391F" w14:textId="77777777" w:rsidR="00E71AC0" w:rsidRDefault="00667FA1">
      <w:pPr>
        <w:pStyle w:val="Bibliography"/>
        <w:spacing w:line="360" w:lineRule="auto"/>
        <w:ind w:left="720" w:hanging="720"/>
      </w:pPr>
      <w:r>
        <w:rPr>
          <w:rFonts w:ascii="Arial" w:hAnsi="Arial" w:cs="Arial"/>
          <w:lang w:val="en-US"/>
        </w:rPr>
        <w:t xml:space="preserve">Hu, H.-M. (2024). A Qualitative Study on Why Older Adults May Be Reluctant to Participate in Learning Activities. </w:t>
      </w:r>
      <w:r>
        <w:rPr>
          <w:rFonts w:ascii="Arial" w:hAnsi="Arial" w:cs="Arial"/>
          <w:i/>
          <w:iCs/>
          <w:lang w:val="en-US"/>
        </w:rPr>
        <w:t>Journal of Adult and Continuing Education</w:t>
      </w:r>
      <w:r>
        <w:rPr>
          <w:rFonts w:ascii="Arial" w:hAnsi="Arial" w:cs="Arial"/>
          <w:lang w:val="en-US"/>
        </w:rPr>
        <w:t>, Volume 30, Issue 1, Pages 39-55.</w:t>
      </w:r>
    </w:p>
    <w:p w14:paraId="78673920" w14:textId="77777777" w:rsidR="00E71AC0" w:rsidRDefault="00667FA1">
      <w:pPr>
        <w:spacing w:line="360" w:lineRule="auto"/>
      </w:pPr>
      <w:r>
        <w:rPr>
          <w:rFonts w:ascii="Arial" w:hAnsi="Arial" w:cs="Arial"/>
          <w:lang w:val="en-US"/>
        </w:rPr>
        <w:t xml:space="preserve">Hywel Dda UHB. (2024, February 23). </w:t>
      </w:r>
      <w:r>
        <w:rPr>
          <w:rFonts w:ascii="Arial" w:hAnsi="Arial" w:cs="Arial"/>
          <w:i/>
          <w:iCs/>
          <w:lang w:val="en-US"/>
        </w:rPr>
        <w:t>Staff Survey Dashboard - Hywel Dda UHB</w:t>
      </w:r>
      <w:r>
        <w:rPr>
          <w:rFonts w:ascii="Arial" w:hAnsi="Arial" w:cs="Arial"/>
          <w:lang w:val="en-US"/>
        </w:rPr>
        <w:t xml:space="preserve">. </w:t>
      </w:r>
    </w:p>
    <w:p w14:paraId="78673921" w14:textId="77777777" w:rsidR="00E71AC0" w:rsidRDefault="00667FA1">
      <w:pPr>
        <w:spacing w:line="360" w:lineRule="auto"/>
        <w:ind w:left="340"/>
      </w:pPr>
      <w:r>
        <w:rPr>
          <w:rFonts w:ascii="Arial" w:hAnsi="Arial" w:cs="Arial"/>
          <w:lang w:val="en-US"/>
        </w:rPr>
        <w:t xml:space="preserve">Retrieved from Hywel Dda University Health Board: </w:t>
      </w:r>
      <w:hyperlink r:id="rId13" w:history="1">
        <w:r>
          <w:rPr>
            <w:rStyle w:val="Hyperlink"/>
            <w:rFonts w:ascii="Arial" w:hAnsi="Arial" w:cs="Arial"/>
            <w:lang w:val="en-US"/>
          </w:rPr>
          <w:t>https://nhswales365.sharepoint.com/:p:/s/HDD_OD_Team-CultureandWorkforceExperience/EZsFzb_ud2JLmP2RbNgx2XsBXCJBGL31x6Ntjk-gtXLiWg</w:t>
        </w:r>
      </w:hyperlink>
      <w:r>
        <w:rPr>
          <w:rFonts w:ascii="Arial" w:hAnsi="Arial" w:cs="Arial"/>
          <w:lang w:val="en-US"/>
        </w:rPr>
        <w:t xml:space="preserve"> (accessed 1st October 2024)</w:t>
      </w:r>
    </w:p>
    <w:p w14:paraId="78673922" w14:textId="77777777" w:rsidR="00E71AC0" w:rsidRDefault="00667FA1">
      <w:pPr>
        <w:pStyle w:val="Bibliography"/>
        <w:spacing w:line="360" w:lineRule="auto"/>
        <w:ind w:left="720" w:hanging="720"/>
      </w:pPr>
      <w:proofErr w:type="spellStart"/>
      <w:r>
        <w:rPr>
          <w:rFonts w:ascii="Arial" w:hAnsi="Arial" w:cs="Arial"/>
          <w:lang w:val="en-US"/>
        </w:rPr>
        <w:t>Kithaka</w:t>
      </w:r>
      <w:proofErr w:type="spellEnd"/>
      <w:r>
        <w:rPr>
          <w:rFonts w:ascii="Arial" w:hAnsi="Arial" w:cs="Arial"/>
          <w:lang w:val="en-US"/>
        </w:rPr>
        <w:t xml:space="preserve">, S. (2021, January). </w:t>
      </w:r>
      <w:r>
        <w:rPr>
          <w:rFonts w:ascii="Arial" w:hAnsi="Arial" w:cs="Arial"/>
          <w:i/>
          <w:iCs/>
          <w:lang w:val="en-US"/>
        </w:rPr>
        <w:t>Strategic Workforce Planning</w:t>
      </w:r>
      <w:r>
        <w:rPr>
          <w:rFonts w:ascii="Arial" w:hAnsi="Arial" w:cs="Arial"/>
          <w:lang w:val="en-US"/>
        </w:rPr>
        <w:t xml:space="preserve">. Retrieved from Udemy: </w:t>
      </w:r>
      <w:hyperlink r:id="rId14" w:history="1">
        <w:r>
          <w:rPr>
            <w:rStyle w:val="Hyperlink"/>
            <w:rFonts w:ascii="Arial" w:hAnsi="Arial" w:cs="Arial"/>
            <w:lang w:val="en-US"/>
          </w:rPr>
          <w:t>https://www.udemy.com/course/strategic-workforce-planning/?couponCode=THANKSLEARNER24</w:t>
        </w:r>
      </w:hyperlink>
      <w:r>
        <w:rPr>
          <w:rFonts w:ascii="Arial" w:hAnsi="Arial" w:cs="Arial"/>
          <w:lang w:val="en-US"/>
        </w:rPr>
        <w:t xml:space="preserve">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3" w14:textId="77777777" w:rsidR="00E71AC0" w:rsidRDefault="00667FA1">
      <w:pPr>
        <w:pStyle w:val="Bibliography"/>
        <w:spacing w:line="360" w:lineRule="auto"/>
        <w:ind w:left="720" w:hanging="720"/>
      </w:pPr>
      <w:proofErr w:type="spellStart"/>
      <w:r>
        <w:rPr>
          <w:rFonts w:ascii="Arial" w:hAnsi="Arial" w:cs="Arial"/>
          <w:lang w:val="en-US"/>
        </w:rPr>
        <w:t>Kwapong</w:t>
      </w:r>
      <w:proofErr w:type="spellEnd"/>
      <w:r>
        <w:rPr>
          <w:rFonts w:ascii="Arial" w:hAnsi="Arial" w:cs="Arial"/>
          <w:lang w:val="en-US"/>
        </w:rPr>
        <w:t xml:space="preserve">, O. A. (2022). E-learning experiences of adults during Covid-19 outbreak: The moderating effect of gender. </w:t>
      </w:r>
      <w:r>
        <w:rPr>
          <w:rFonts w:ascii="Arial" w:hAnsi="Arial" w:cs="Arial"/>
          <w:i/>
          <w:iCs/>
          <w:lang w:val="en-US"/>
        </w:rPr>
        <w:t>Journal of Adult and Continuing Education</w:t>
      </w:r>
      <w:r>
        <w:rPr>
          <w:rFonts w:ascii="Arial" w:hAnsi="Arial" w:cs="Arial"/>
          <w:lang w:val="en-US"/>
        </w:rPr>
        <w:t>, Volume 28, Issue 2, Pages 312-332.</w:t>
      </w:r>
    </w:p>
    <w:p w14:paraId="78673924" w14:textId="77777777" w:rsidR="00E71AC0" w:rsidRDefault="00667FA1">
      <w:pPr>
        <w:pStyle w:val="Bibliography"/>
        <w:spacing w:line="360" w:lineRule="auto"/>
        <w:ind w:left="720" w:hanging="720"/>
      </w:pPr>
      <w:r>
        <w:rPr>
          <w:rFonts w:ascii="Arial" w:hAnsi="Arial" w:cs="Arial"/>
          <w:lang w:val="en-US"/>
        </w:rPr>
        <w:t xml:space="preserve">Kumar, S. (2017, May). </w:t>
      </w:r>
      <w:r>
        <w:rPr>
          <w:rFonts w:ascii="Arial" w:hAnsi="Arial" w:cs="Arial"/>
          <w:i/>
          <w:iCs/>
          <w:lang w:val="en-US"/>
        </w:rPr>
        <w:t>Teaching Materials and Teaching Aids</w:t>
      </w:r>
      <w:r>
        <w:rPr>
          <w:rFonts w:ascii="Arial" w:hAnsi="Arial" w:cs="Arial"/>
          <w:lang w:val="en-US"/>
        </w:rPr>
        <w:t xml:space="preserve">. Retrieved from Research Gate: </w:t>
      </w:r>
      <w:hyperlink r:id="rId15" w:history="1">
        <w:r>
          <w:rPr>
            <w:rStyle w:val="Hyperlink"/>
            <w:rFonts w:ascii="Arial" w:hAnsi="Arial" w:cs="Arial"/>
            <w:lang w:val="en-US"/>
          </w:rPr>
          <w:t>https://www.researchgate.net/publication/318215081_Teaching_materials_and_teaching_aids_-_1_teaching_material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5" w14:textId="77777777" w:rsidR="00E71AC0" w:rsidRDefault="00667FA1">
      <w:pPr>
        <w:pStyle w:val="Bibliography"/>
        <w:spacing w:line="360" w:lineRule="auto"/>
        <w:ind w:left="720" w:hanging="720"/>
      </w:pPr>
      <w:r>
        <w:rPr>
          <w:rFonts w:ascii="Arial" w:hAnsi="Arial" w:cs="Arial"/>
          <w:lang w:val="en-US"/>
        </w:rPr>
        <w:t xml:space="preserve">London Training for Excellence. (2024). </w:t>
      </w:r>
      <w:r>
        <w:rPr>
          <w:rFonts w:ascii="Arial" w:hAnsi="Arial" w:cs="Arial"/>
          <w:i/>
          <w:iCs/>
          <w:lang w:val="en-US"/>
        </w:rPr>
        <w:t>Workforce Planning</w:t>
      </w:r>
      <w:r>
        <w:rPr>
          <w:rFonts w:ascii="Arial" w:hAnsi="Arial" w:cs="Arial"/>
          <w:lang w:val="en-US"/>
        </w:rPr>
        <w:t xml:space="preserve">. Retrieved from London Training for Excellence: </w:t>
      </w:r>
      <w:hyperlink r:id="rId16" w:history="1">
        <w:r>
          <w:rPr>
            <w:rStyle w:val="Hyperlink"/>
            <w:rFonts w:ascii="Arial" w:hAnsi="Arial" w:cs="Arial"/>
            <w:lang w:val="en-US"/>
          </w:rPr>
          <w:t>https://www.londontfe.com/course/human-resources-and-talent-development/Workforce-Planning/2749</w:t>
        </w:r>
      </w:hyperlink>
      <w:r>
        <w:rPr>
          <w:rFonts w:ascii="Arial" w:hAnsi="Arial" w:cs="Arial"/>
          <w:lang w:val="en-US"/>
        </w:rPr>
        <w:t xml:space="preserve"> (</w:t>
      </w:r>
      <w:r>
        <w:rPr>
          <w:rFonts w:ascii="Arial" w:hAnsi="Arial" w:cs="Arial"/>
        </w:rPr>
        <w:t>Accessed on 13</w:t>
      </w:r>
      <w:r>
        <w:rPr>
          <w:rFonts w:ascii="Arial" w:hAnsi="Arial" w:cs="Arial"/>
          <w:vertAlign w:val="superscript"/>
        </w:rPr>
        <w:t>th</w:t>
      </w:r>
      <w:r>
        <w:rPr>
          <w:rFonts w:ascii="Arial" w:hAnsi="Arial" w:cs="Arial"/>
        </w:rPr>
        <w:t xml:space="preserve"> July 2024).</w:t>
      </w:r>
    </w:p>
    <w:p w14:paraId="78673926" w14:textId="77777777" w:rsidR="00E71AC0" w:rsidRDefault="00667FA1">
      <w:pPr>
        <w:pStyle w:val="Bibliography"/>
        <w:spacing w:line="360" w:lineRule="auto"/>
        <w:ind w:left="720" w:hanging="720"/>
      </w:pPr>
      <w:proofErr w:type="spellStart"/>
      <w:r>
        <w:rPr>
          <w:rFonts w:ascii="Arial" w:hAnsi="Arial" w:cs="Arial"/>
          <w:lang w:val="en-US"/>
        </w:rPr>
        <w:t>Magwenya</w:t>
      </w:r>
      <w:proofErr w:type="spellEnd"/>
      <w:r>
        <w:rPr>
          <w:rFonts w:ascii="Arial" w:hAnsi="Arial" w:cs="Arial"/>
          <w:lang w:val="en-US"/>
        </w:rPr>
        <w:t xml:space="preserve">, R. H., Ross, A. J., &amp; </w:t>
      </w:r>
      <w:proofErr w:type="spellStart"/>
      <w:r>
        <w:rPr>
          <w:rFonts w:ascii="Arial" w:hAnsi="Arial" w:cs="Arial"/>
          <w:lang w:val="en-US"/>
        </w:rPr>
        <w:t>Ngatiane</w:t>
      </w:r>
      <w:proofErr w:type="spellEnd"/>
      <w:r>
        <w:rPr>
          <w:rFonts w:ascii="Arial" w:hAnsi="Arial" w:cs="Arial"/>
          <w:lang w:val="en-US"/>
        </w:rPr>
        <w:t xml:space="preserve">, L. S. (2022). Continuing professional development in the last decade – A scoping review. </w:t>
      </w:r>
      <w:r>
        <w:rPr>
          <w:rFonts w:ascii="Arial" w:hAnsi="Arial" w:cs="Arial"/>
          <w:i/>
          <w:iCs/>
          <w:lang w:val="en-US"/>
        </w:rPr>
        <w:t>Journal of Adult and Continuing Education</w:t>
      </w:r>
      <w:r>
        <w:rPr>
          <w:rFonts w:ascii="Arial" w:hAnsi="Arial" w:cs="Arial"/>
          <w:lang w:val="en-US"/>
        </w:rPr>
        <w:t>, Volume 29, Issue 2, Pages 408-437.</w:t>
      </w:r>
    </w:p>
    <w:p w14:paraId="78673927" w14:textId="77777777" w:rsidR="00E71AC0" w:rsidRDefault="00667FA1">
      <w:pPr>
        <w:pStyle w:val="Bibliography"/>
        <w:spacing w:line="360" w:lineRule="auto"/>
        <w:ind w:left="720" w:hanging="720"/>
      </w:pPr>
      <w:r>
        <w:rPr>
          <w:rFonts w:ascii="Arial" w:hAnsi="Arial" w:cs="Arial"/>
          <w:lang w:val="en-US"/>
        </w:rPr>
        <w:t xml:space="preserve">Malamed, C. (n.d.). </w:t>
      </w:r>
      <w:r>
        <w:rPr>
          <w:rFonts w:ascii="Arial" w:hAnsi="Arial" w:cs="Arial"/>
          <w:i/>
          <w:iCs/>
          <w:lang w:val="en-US"/>
        </w:rPr>
        <w:t>Writing and Formatting Voiceover Scripts</w:t>
      </w:r>
      <w:r>
        <w:rPr>
          <w:rFonts w:ascii="Arial" w:hAnsi="Arial" w:cs="Arial"/>
          <w:lang w:val="en-US"/>
        </w:rPr>
        <w:t xml:space="preserve">. Retrieved from eLearning Coach: </w:t>
      </w:r>
      <w:hyperlink r:id="rId17" w:history="1">
        <w:r>
          <w:rPr>
            <w:rStyle w:val="Hyperlink"/>
            <w:rFonts w:ascii="Arial" w:hAnsi="Arial" w:cs="Arial"/>
            <w:lang w:val="en-US"/>
          </w:rPr>
          <w:t>https://www.bing.com/search?q=what+to+bear+in+mind+when+recording+teaching&amp;qs=n&amp;form=QBRE&amp;sp=-1&amp;lq=0&amp;pq=what+to+bear+in+mind+when+recording+&amp;sc=6-36&amp;sk=&amp;cvid=D4E29E8A7B8045DC86ADDF1AD8448FB8&amp;ghsh=0&amp;ghacc=0&amp;ghpl=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24277DB5" w14:textId="3AB0378D" w:rsidR="00562AC1" w:rsidRPr="00686A05" w:rsidRDefault="00562AC1" w:rsidP="00686A05">
      <w:pPr>
        <w:pStyle w:val="Bibliography"/>
        <w:spacing w:line="360" w:lineRule="auto"/>
        <w:ind w:left="720" w:hanging="720"/>
        <w:rPr>
          <w:rFonts w:ascii="Arial" w:hAnsi="Arial" w:cs="Arial"/>
          <w:noProof/>
          <w:lang w:val="en-US"/>
        </w:rPr>
      </w:pPr>
      <w:r w:rsidRPr="00686A05">
        <w:rPr>
          <w:rFonts w:ascii="Arial" w:hAnsi="Arial" w:cs="Arial"/>
          <w:noProof/>
          <w:lang w:val="en-US"/>
        </w:rPr>
        <w:t xml:space="preserve">Marcy, V. (2001). Adult Learning Styles: How the VARK Learning Style Inventory Can Be Used to Improve Student Learning. </w:t>
      </w:r>
      <w:r w:rsidRPr="00686A05">
        <w:rPr>
          <w:rFonts w:ascii="Arial" w:hAnsi="Arial" w:cs="Arial"/>
          <w:i/>
          <w:iCs/>
          <w:noProof/>
          <w:lang w:val="en-US"/>
        </w:rPr>
        <w:t>Journal of the Association of Physician Assistant Programs</w:t>
      </w:r>
      <w:r w:rsidRPr="00686A05">
        <w:rPr>
          <w:rFonts w:ascii="Arial" w:hAnsi="Arial" w:cs="Arial"/>
          <w:noProof/>
          <w:lang w:val="en-US"/>
        </w:rPr>
        <w:t>, p. 12.</w:t>
      </w:r>
    </w:p>
    <w:p w14:paraId="78673928" w14:textId="648A2E85" w:rsidR="00E71AC0" w:rsidRDefault="00667FA1">
      <w:pPr>
        <w:pStyle w:val="Bibliography"/>
        <w:spacing w:line="360" w:lineRule="auto"/>
        <w:ind w:left="720" w:hanging="720"/>
      </w:pPr>
      <w:r>
        <w:rPr>
          <w:rFonts w:ascii="Arial" w:hAnsi="Arial" w:cs="Arial"/>
          <w:lang w:val="en-US"/>
        </w:rPr>
        <w:t xml:space="preserve">Morton, D., Fulton, S., Harris, M., </w:t>
      </w:r>
      <w:proofErr w:type="spellStart"/>
      <w:r>
        <w:rPr>
          <w:rFonts w:ascii="Arial" w:hAnsi="Arial" w:cs="Arial"/>
          <w:lang w:val="en-US"/>
        </w:rPr>
        <w:t>Domalewski</w:t>
      </w:r>
      <w:proofErr w:type="spellEnd"/>
      <w:r>
        <w:rPr>
          <w:rFonts w:ascii="Arial" w:hAnsi="Arial" w:cs="Arial"/>
          <w:lang w:val="en-US"/>
        </w:rPr>
        <w:t xml:space="preserve">, R., Scolari, N., Wishart, L., . . . Hale, K. (2023). Development and implementation of a training package to improve the confidence, skills and knowledge of multi-disciplinary clinicians in the use of </w:t>
      </w:r>
      <w:proofErr w:type="spellStart"/>
      <w:r>
        <w:rPr>
          <w:rFonts w:ascii="Arial" w:hAnsi="Arial" w:cs="Arial"/>
          <w:lang w:val="en-US"/>
        </w:rPr>
        <w:t>telepractice</w:t>
      </w:r>
      <w:proofErr w:type="spellEnd"/>
      <w:r>
        <w:rPr>
          <w:rFonts w:ascii="Arial" w:hAnsi="Arial" w:cs="Arial"/>
          <w:lang w:val="en-US"/>
        </w:rPr>
        <w:t xml:space="preserve"> for outpatient services. </w:t>
      </w:r>
      <w:r>
        <w:rPr>
          <w:rFonts w:ascii="Arial" w:hAnsi="Arial" w:cs="Arial"/>
          <w:i/>
          <w:iCs/>
          <w:lang w:val="en-US"/>
        </w:rPr>
        <w:t>Journal of Adult and Continuing Education</w:t>
      </w:r>
      <w:r>
        <w:rPr>
          <w:rFonts w:ascii="Arial" w:hAnsi="Arial" w:cs="Arial"/>
          <w:lang w:val="en-US"/>
        </w:rPr>
        <w:t>, Volume 29, Issue 2, Pages 379-394.</w:t>
      </w:r>
    </w:p>
    <w:p w14:paraId="78673929" w14:textId="77777777" w:rsidR="00E71AC0" w:rsidRDefault="00667FA1">
      <w:pPr>
        <w:pStyle w:val="Bibliography"/>
        <w:spacing w:line="360" w:lineRule="auto"/>
        <w:ind w:left="720" w:hanging="720"/>
      </w:pPr>
      <w:r>
        <w:rPr>
          <w:rFonts w:ascii="Arial" w:hAnsi="Arial" w:cs="Arial"/>
          <w:lang w:val="en-US"/>
        </w:rPr>
        <w:t xml:space="preserve">My HR Future. (2024). </w:t>
      </w:r>
      <w:r>
        <w:rPr>
          <w:rFonts w:ascii="Arial" w:hAnsi="Arial" w:cs="Arial"/>
          <w:i/>
          <w:iCs/>
          <w:lang w:val="en-US"/>
        </w:rPr>
        <w:t>Online Workforce Planning Courses</w:t>
      </w:r>
      <w:r>
        <w:rPr>
          <w:rFonts w:ascii="Arial" w:hAnsi="Arial" w:cs="Arial"/>
          <w:lang w:val="en-US"/>
        </w:rPr>
        <w:t xml:space="preserve">. Retrieved from My HR Future: </w:t>
      </w:r>
      <w:hyperlink r:id="rId18" w:history="1">
        <w:r>
          <w:rPr>
            <w:rStyle w:val="Hyperlink"/>
            <w:rFonts w:ascii="Arial" w:hAnsi="Arial" w:cs="Arial"/>
            <w:lang w:val="en-US"/>
          </w:rPr>
          <w:t>https://www.myhrfuture.com/online-workforce-planning-training</w:t>
        </w:r>
      </w:hyperlink>
      <w:r>
        <w:rPr>
          <w:rFonts w:ascii="Arial" w:hAnsi="Arial" w:cs="Arial"/>
          <w:lang w:val="en-US"/>
        </w:rPr>
        <w:t>.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A" w14:textId="77777777" w:rsidR="00E71AC0" w:rsidRDefault="00667FA1">
      <w:pPr>
        <w:pStyle w:val="Bibliography"/>
        <w:spacing w:line="360" w:lineRule="auto"/>
        <w:rPr>
          <w:rFonts w:ascii="Arial" w:hAnsi="Arial" w:cs="Arial"/>
          <w:lang w:val="en-US"/>
        </w:rPr>
      </w:pPr>
      <w:proofErr w:type="spellStart"/>
      <w:r>
        <w:rPr>
          <w:rFonts w:ascii="Arial" w:hAnsi="Arial" w:cs="Arial"/>
          <w:lang w:val="en-US"/>
        </w:rPr>
        <w:t>Ordu</w:t>
      </w:r>
      <w:proofErr w:type="spellEnd"/>
      <w:r>
        <w:rPr>
          <w:rFonts w:ascii="Arial" w:hAnsi="Arial" w:cs="Arial"/>
          <w:lang w:val="en-US"/>
        </w:rPr>
        <w:t xml:space="preserve">, U. B.-A. (2021). The Role of Teaching and Learning Aids/Methods in a </w:t>
      </w:r>
    </w:p>
    <w:p w14:paraId="7867392B" w14:textId="77777777" w:rsidR="00E71AC0" w:rsidRDefault="00667FA1">
      <w:pPr>
        <w:pStyle w:val="Bibliography"/>
        <w:spacing w:line="360" w:lineRule="auto"/>
        <w:ind w:left="680"/>
      </w:pPr>
      <w:r>
        <w:rPr>
          <w:rFonts w:ascii="Arial" w:hAnsi="Arial" w:cs="Arial"/>
          <w:lang w:val="en-US"/>
        </w:rPr>
        <w:t xml:space="preserve">Changing World. </w:t>
      </w:r>
      <w:r>
        <w:rPr>
          <w:rFonts w:ascii="Arial" w:hAnsi="Arial" w:cs="Arial"/>
          <w:i/>
          <w:iCs/>
          <w:lang w:val="en-US"/>
        </w:rPr>
        <w:t>New Challenges to Education: Lessons from Around the World</w:t>
      </w:r>
      <w:r>
        <w:rPr>
          <w:rFonts w:ascii="Arial" w:hAnsi="Arial" w:cs="Arial"/>
          <w:lang w:val="en-US"/>
        </w:rPr>
        <w:t xml:space="preserve">, Vol. 19; </w:t>
      </w:r>
      <w:proofErr w:type="spellStart"/>
      <w:r>
        <w:rPr>
          <w:rFonts w:ascii="Arial" w:hAnsi="Arial" w:cs="Arial"/>
          <w:lang w:val="en-US"/>
        </w:rPr>
        <w:t>pg</w:t>
      </w:r>
      <w:proofErr w:type="spellEnd"/>
      <w:r>
        <w:rPr>
          <w:rFonts w:ascii="Arial" w:hAnsi="Arial" w:cs="Arial"/>
          <w:lang w:val="en-US"/>
        </w:rPr>
        <w:t xml:space="preserve"> 210-216.</w:t>
      </w:r>
    </w:p>
    <w:p w14:paraId="7867392C" w14:textId="77777777" w:rsidR="00E71AC0" w:rsidRDefault="00667FA1">
      <w:pPr>
        <w:pStyle w:val="Bibliography"/>
        <w:spacing w:line="360" w:lineRule="auto"/>
        <w:ind w:left="720" w:hanging="720"/>
      </w:pPr>
      <w:r>
        <w:rPr>
          <w:rFonts w:ascii="Arial" w:hAnsi="Arial" w:cs="Arial"/>
          <w:lang w:val="en-US"/>
        </w:rPr>
        <w:t xml:space="preserve">Rehman, A. A., &amp; </w:t>
      </w:r>
      <w:proofErr w:type="spellStart"/>
      <w:r>
        <w:rPr>
          <w:rFonts w:ascii="Arial" w:hAnsi="Arial" w:cs="Arial"/>
          <w:lang w:val="en-US"/>
        </w:rPr>
        <w:t>Alharthi</w:t>
      </w:r>
      <w:proofErr w:type="spellEnd"/>
      <w:r>
        <w:rPr>
          <w:rFonts w:ascii="Arial" w:hAnsi="Arial" w:cs="Arial"/>
          <w:lang w:val="en-US"/>
        </w:rPr>
        <w:t xml:space="preserve">, K. (2016). Introduction to Research Paradigms. </w:t>
      </w:r>
      <w:r>
        <w:rPr>
          <w:rFonts w:ascii="Arial" w:hAnsi="Arial" w:cs="Arial"/>
          <w:i/>
          <w:iCs/>
          <w:lang w:val="en-US"/>
        </w:rPr>
        <w:t>International Journal of Educational Investigations</w:t>
      </w:r>
      <w:r>
        <w:rPr>
          <w:rFonts w:ascii="Arial" w:hAnsi="Arial" w:cs="Arial"/>
          <w:lang w:val="en-US"/>
        </w:rPr>
        <w:t>, Volume 3; Number 8; pp. 51-59.</w:t>
      </w:r>
    </w:p>
    <w:p w14:paraId="7867392D" w14:textId="77777777" w:rsidR="00E71AC0" w:rsidRDefault="00667FA1">
      <w:pPr>
        <w:pStyle w:val="Bibliography"/>
        <w:spacing w:line="360" w:lineRule="auto"/>
        <w:ind w:left="720" w:hanging="720"/>
      </w:pPr>
      <w:r>
        <w:rPr>
          <w:rFonts w:ascii="Arial" w:hAnsi="Arial" w:cs="Arial"/>
        </w:rPr>
        <w:lastRenderedPageBreak/>
        <w:t xml:space="preserve">Skills 4 Health. (2023). </w:t>
      </w:r>
      <w:r>
        <w:rPr>
          <w:rFonts w:ascii="Arial" w:hAnsi="Arial" w:cs="Arial"/>
          <w:i/>
          <w:iCs/>
        </w:rPr>
        <w:t>Six Steps Methodology to Integrated Workforce Planning</w:t>
      </w:r>
      <w:r>
        <w:rPr>
          <w:rFonts w:ascii="Arial" w:hAnsi="Arial" w:cs="Arial"/>
        </w:rPr>
        <w:t xml:space="preserve">. Retrieved from Skills 4 Health: </w:t>
      </w:r>
      <w:hyperlink r:id="rId19" w:anchor=":~:text=The%20Six%20Steps%20Methodology%20offers%3A%201%20a%20systematic,care%2C%20where%20the%20same%20approach%20has%20been%20adopted" w:history="1">
        <w:r>
          <w:rPr>
            <w:rStyle w:val="Hyperlink"/>
            <w:rFonts w:ascii="Arial" w:hAnsi="Arial" w:cs="Arial"/>
          </w:rPr>
          <w:t>https://www.skillsforhealth.org.uk/resources/six-steps-methodology-to-integrated-workforce-planning/#:~:text=The%20Six%20Steps%20Methodology%20offers%3A%201%20a%20systematic,care%2C%20where%20the%20same%20approach%20has%20been%20adopted</w:t>
        </w:r>
      </w:hyperlink>
      <w:r>
        <w:rPr>
          <w:rFonts w:ascii="Arial" w:hAnsi="Arial" w:cs="Arial"/>
        </w:rPr>
        <w:t>. (Accessed on 4</w:t>
      </w:r>
      <w:r>
        <w:rPr>
          <w:rFonts w:ascii="Arial" w:hAnsi="Arial" w:cs="Arial"/>
          <w:vertAlign w:val="superscript"/>
        </w:rPr>
        <w:t>th</w:t>
      </w:r>
      <w:r>
        <w:rPr>
          <w:rFonts w:ascii="Arial" w:hAnsi="Arial" w:cs="Arial"/>
        </w:rPr>
        <w:t xml:space="preserve"> August 2024).</w:t>
      </w:r>
    </w:p>
    <w:p w14:paraId="7867392E" w14:textId="77777777" w:rsidR="00E71AC0" w:rsidRDefault="00667FA1">
      <w:pPr>
        <w:pStyle w:val="Bibliography"/>
        <w:spacing w:line="360" w:lineRule="auto"/>
      </w:pPr>
      <w:r>
        <w:rPr>
          <w:rFonts w:ascii="Arial" w:hAnsi="Arial" w:cs="Arial"/>
          <w:lang w:val="en-US"/>
        </w:rPr>
        <w:t xml:space="preserve">Snelling, C. (2022, December 20). </w:t>
      </w:r>
      <w:r>
        <w:rPr>
          <w:rFonts w:ascii="Arial" w:hAnsi="Arial" w:cs="Arial"/>
          <w:i/>
          <w:iCs/>
          <w:lang w:val="en-US"/>
        </w:rPr>
        <w:t>Lessons from the pandemic: making the most of technologies in teaching</w:t>
      </w:r>
      <w:r>
        <w:rPr>
          <w:rFonts w:ascii="Arial" w:hAnsi="Arial" w:cs="Arial"/>
          <w:lang w:val="en-US"/>
        </w:rPr>
        <w:t xml:space="preserve">. Retrieved from Universities UK: </w:t>
      </w:r>
      <w:hyperlink r:id="rId20" w:history="1">
        <w:r>
          <w:rPr>
            <w:rStyle w:val="Hyperlink"/>
            <w:rFonts w:ascii="Arial" w:hAnsi="Arial" w:cs="Arial"/>
            <w:lang w:val="en-US"/>
          </w:rPr>
          <w:t>https://www.universitiesuk.ac.uk/what-we-do/policy-and-research/publications/lessons-pandemic-making-most</w:t>
        </w:r>
      </w:hyperlink>
      <w:r>
        <w:rPr>
          <w:rStyle w:val="Hyperlink"/>
          <w:rFonts w:ascii="Arial" w:hAnsi="Arial" w:cs="Arial"/>
          <w:lang w:val="en-US"/>
        </w:rPr>
        <w:t>.</w:t>
      </w:r>
      <w:r>
        <w:rPr>
          <w:rStyle w:val="Hyperlink"/>
          <w:rFonts w:ascii="Arial" w:hAnsi="Arial" w:cs="Arial"/>
          <w:u w:val="none"/>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F" w14:textId="77777777" w:rsidR="00E71AC0" w:rsidRDefault="00667FA1">
      <w:pPr>
        <w:pStyle w:val="Bibliography"/>
        <w:spacing w:line="360" w:lineRule="auto"/>
        <w:ind w:left="720" w:hanging="720"/>
      </w:pPr>
      <w:r>
        <w:rPr>
          <w:rFonts w:ascii="Arial" w:hAnsi="Arial" w:cs="Arial"/>
          <w:lang w:val="en-US"/>
        </w:rPr>
        <w:t xml:space="preserve">Steele, A. (2019, June 25). </w:t>
      </w:r>
      <w:r>
        <w:rPr>
          <w:rFonts w:ascii="Arial" w:hAnsi="Arial" w:cs="Arial"/>
          <w:i/>
          <w:iCs/>
          <w:lang w:val="en-US"/>
        </w:rPr>
        <w:t>What is active learning and what are the benefits?</w:t>
      </w:r>
      <w:r>
        <w:rPr>
          <w:rFonts w:ascii="Arial" w:hAnsi="Arial" w:cs="Arial"/>
          <w:lang w:val="en-US"/>
        </w:rPr>
        <w:t xml:space="preserve"> Retrieved from Cambridge University Press: </w:t>
      </w:r>
      <w:hyperlink r:id="rId21" w:history="1">
        <w:r>
          <w:rPr>
            <w:rStyle w:val="Hyperlink"/>
            <w:rFonts w:ascii="Arial" w:hAnsi="Arial" w:cs="Arial"/>
            <w:lang w:val="en-US"/>
          </w:rPr>
          <w:t>https://www.cambridge.org/us/education/blog/2019/06/25/what-active-learning-and-what-are-benefits/</w:t>
        </w:r>
      </w:hyperlink>
      <w:r>
        <w:rPr>
          <w:rStyle w:val="Hyperlink"/>
          <w:rFonts w:ascii="Arial" w:hAnsi="Arial" w:cs="Arial"/>
          <w:u w:val="none"/>
          <w:lang w:val="en-US"/>
        </w:rPr>
        <w:t xml:space="preserve"> </w:t>
      </w:r>
      <w:r>
        <w:rPr>
          <w:rStyle w:val="Hyperlink"/>
          <w:rFonts w:ascii="Arial" w:hAnsi="Arial" w:cs="Arial"/>
          <w:color w:val="auto"/>
          <w:u w:val="none"/>
          <w:lang w:val="en-US"/>
        </w:rPr>
        <w:t>(</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30" w14:textId="77777777" w:rsidR="00E71AC0" w:rsidRDefault="00667FA1">
      <w:pPr>
        <w:pStyle w:val="Bibliography"/>
        <w:spacing w:line="360" w:lineRule="auto"/>
        <w:ind w:left="720" w:hanging="720"/>
      </w:pPr>
      <w:proofErr w:type="spellStart"/>
      <w:r>
        <w:rPr>
          <w:rFonts w:ascii="Arial" w:hAnsi="Arial" w:cs="Arial"/>
          <w:lang w:val="en-US"/>
        </w:rPr>
        <w:t>Tymms</w:t>
      </w:r>
      <w:proofErr w:type="spellEnd"/>
      <w:r>
        <w:rPr>
          <w:rFonts w:ascii="Arial" w:hAnsi="Arial" w:cs="Arial"/>
          <w:lang w:val="en-US"/>
        </w:rPr>
        <w:t xml:space="preserve">, P. (2021). Interventions: Experiments. In R. Coe, M. Waring, L. V. Hedges, &amp; L. D. Ashley, </w:t>
      </w:r>
      <w:r>
        <w:rPr>
          <w:rFonts w:ascii="Arial" w:hAnsi="Arial" w:cs="Arial"/>
          <w:i/>
          <w:iCs/>
          <w:lang w:val="en-US"/>
        </w:rPr>
        <w:t>Research Methods &amp; Methodologies in Education</w:t>
      </w:r>
      <w:r>
        <w:rPr>
          <w:rFonts w:ascii="Arial" w:hAnsi="Arial" w:cs="Arial"/>
          <w:lang w:val="en-US"/>
        </w:rPr>
        <w:t xml:space="preserve"> (pp. 179-185). London: Sage.</w:t>
      </w:r>
    </w:p>
    <w:p w14:paraId="78673931" w14:textId="77777777" w:rsidR="00E71AC0" w:rsidRDefault="00667FA1">
      <w:pPr>
        <w:pStyle w:val="Bibliography"/>
        <w:spacing w:line="360" w:lineRule="auto"/>
        <w:ind w:left="720" w:hanging="720"/>
      </w:pPr>
      <w:r>
        <w:rPr>
          <w:rFonts w:ascii="Arial" w:hAnsi="Arial" w:cs="Arial"/>
          <w:lang w:val="en-US"/>
        </w:rPr>
        <w:t xml:space="preserve">Veronica, M., &amp; Lawrence, M. (2010, November 25). Secondary School Teachers and Learning Style Preferences: action or watching in the classroom? </w:t>
      </w:r>
      <w:r>
        <w:rPr>
          <w:rFonts w:ascii="Arial" w:hAnsi="Arial" w:cs="Arial"/>
          <w:i/>
          <w:iCs/>
          <w:lang w:val="en-US"/>
        </w:rPr>
        <w:t>Educational Psychology</w:t>
      </w:r>
      <w:r>
        <w:rPr>
          <w:rFonts w:ascii="Arial" w:hAnsi="Arial" w:cs="Arial"/>
          <w:lang w:val="en-US"/>
        </w:rPr>
        <w:t xml:space="preserve">, pp. Vol. 17:1-2, </w:t>
      </w:r>
      <w:proofErr w:type="spellStart"/>
      <w:r>
        <w:rPr>
          <w:rFonts w:ascii="Arial" w:hAnsi="Arial" w:cs="Arial"/>
          <w:lang w:val="en-US"/>
        </w:rPr>
        <w:t>pg</w:t>
      </w:r>
      <w:proofErr w:type="spellEnd"/>
      <w:r>
        <w:rPr>
          <w:rFonts w:ascii="Arial" w:hAnsi="Arial" w:cs="Arial"/>
          <w:lang w:val="en-US"/>
        </w:rPr>
        <w:t xml:space="preserve"> 157-170.</w:t>
      </w:r>
    </w:p>
    <w:p w14:paraId="78673932" w14:textId="77777777" w:rsidR="00E71AC0" w:rsidRDefault="00667FA1">
      <w:pPr>
        <w:pStyle w:val="Bibliography"/>
        <w:spacing w:line="360" w:lineRule="auto"/>
        <w:ind w:left="720" w:hanging="720"/>
      </w:pPr>
      <w:r>
        <w:rPr>
          <w:rFonts w:ascii="Arial" w:hAnsi="Arial" w:cs="Arial"/>
        </w:rPr>
        <w:t xml:space="preserve">Welsh Government. (2023, February 1). </w:t>
      </w:r>
      <w:r>
        <w:rPr>
          <w:rFonts w:ascii="Arial" w:hAnsi="Arial" w:cs="Arial"/>
          <w:i/>
          <w:iCs/>
        </w:rPr>
        <w:t>Plan to address NHS workforce challenges</w:t>
      </w:r>
      <w:r>
        <w:rPr>
          <w:rFonts w:ascii="Arial" w:hAnsi="Arial" w:cs="Arial"/>
        </w:rPr>
        <w:t xml:space="preserve">. Retrieved from Welsh Government: </w:t>
      </w:r>
      <w:hyperlink r:id="rId22" w:history="1">
        <w:r>
          <w:rPr>
            <w:rStyle w:val="Hyperlink"/>
            <w:rFonts w:ascii="Arial" w:hAnsi="Arial" w:cs="Arial"/>
          </w:rPr>
          <w:t>https://www.gov.wales/plan-address-nhs-workforce-challenges</w:t>
        </w:r>
      </w:hyperlink>
      <w:r>
        <w:rPr>
          <w:rFonts w:ascii="Arial" w:hAnsi="Arial" w:cs="Arial"/>
        </w:rPr>
        <w:t xml:space="preserve"> (Accessed on 29</w:t>
      </w:r>
      <w:r>
        <w:rPr>
          <w:rFonts w:ascii="Arial" w:hAnsi="Arial" w:cs="Arial"/>
          <w:vertAlign w:val="superscript"/>
        </w:rPr>
        <w:t>th</w:t>
      </w:r>
      <w:r>
        <w:rPr>
          <w:rFonts w:ascii="Arial" w:hAnsi="Arial" w:cs="Arial"/>
        </w:rPr>
        <w:t xml:space="preserve"> September 2024).</w:t>
      </w:r>
    </w:p>
    <w:p w14:paraId="78673933" w14:textId="77777777" w:rsidR="00E71AC0" w:rsidRDefault="00667FA1">
      <w:pPr>
        <w:pStyle w:val="Bibliography"/>
        <w:spacing w:line="360" w:lineRule="auto"/>
        <w:ind w:left="720" w:hanging="720"/>
      </w:pPr>
      <w:r>
        <w:rPr>
          <w:rFonts w:ascii="Arial" w:hAnsi="Arial" w:cs="Arial"/>
          <w:lang w:val="en-US"/>
        </w:rPr>
        <w:t xml:space="preserve">Yusupova, N., </w:t>
      </w:r>
      <w:proofErr w:type="spellStart"/>
      <w:r>
        <w:rPr>
          <w:rFonts w:ascii="Arial" w:hAnsi="Arial" w:cs="Arial"/>
          <w:lang w:val="en-US"/>
        </w:rPr>
        <w:t>Azamatjon</w:t>
      </w:r>
      <w:proofErr w:type="spellEnd"/>
      <w:r>
        <w:rPr>
          <w:rFonts w:ascii="Arial" w:hAnsi="Arial" w:cs="Arial"/>
          <w:lang w:val="en-US"/>
        </w:rPr>
        <w:t xml:space="preserve">, Q., &amp; </w:t>
      </w:r>
      <w:proofErr w:type="spellStart"/>
      <w:r>
        <w:rPr>
          <w:rFonts w:ascii="Arial" w:hAnsi="Arial" w:cs="Arial"/>
          <w:lang w:val="en-US"/>
        </w:rPr>
        <w:t>Adilova</w:t>
      </w:r>
      <w:proofErr w:type="spellEnd"/>
      <w:r>
        <w:rPr>
          <w:rFonts w:ascii="Arial" w:hAnsi="Arial" w:cs="Arial"/>
          <w:lang w:val="en-US"/>
        </w:rPr>
        <w:t xml:space="preserve"> </w:t>
      </w:r>
      <w:proofErr w:type="spellStart"/>
      <w:r>
        <w:rPr>
          <w:rFonts w:ascii="Arial" w:hAnsi="Arial" w:cs="Arial"/>
          <w:lang w:val="en-US"/>
        </w:rPr>
        <w:t>Fotima</w:t>
      </w:r>
      <w:proofErr w:type="spellEnd"/>
      <w:r>
        <w:rPr>
          <w:rFonts w:ascii="Arial" w:hAnsi="Arial" w:cs="Arial"/>
          <w:lang w:val="en-US"/>
        </w:rPr>
        <w:t xml:space="preserve">, M. (2022, April 3454-3462). Learning Styles and their Different Features. </w:t>
      </w:r>
      <w:r>
        <w:rPr>
          <w:rFonts w:ascii="Arial" w:hAnsi="Arial" w:cs="Arial"/>
          <w:i/>
          <w:iCs/>
          <w:lang w:val="en-US"/>
        </w:rPr>
        <w:t>International Journal of Innovative Research in Science, Engineering and Technology</w:t>
      </w:r>
      <w:r>
        <w:rPr>
          <w:rFonts w:ascii="Arial" w:hAnsi="Arial" w:cs="Arial"/>
          <w:lang w:val="en-US"/>
        </w:rPr>
        <w:t>, pp. Volume 11, Issue 4.</w:t>
      </w:r>
    </w:p>
    <w:p w14:paraId="78673934" w14:textId="77777777" w:rsidR="00E71AC0" w:rsidRDefault="00E71AC0">
      <w:pPr>
        <w:spacing w:line="360" w:lineRule="auto"/>
        <w:rPr>
          <w:rFonts w:ascii="Arial" w:hAnsi="Arial" w:cs="Arial"/>
        </w:rPr>
      </w:pPr>
    </w:p>
    <w:p w14:paraId="78673935" w14:textId="77777777" w:rsidR="00E71AC0" w:rsidRDefault="00E71AC0">
      <w:pPr>
        <w:spacing w:line="360" w:lineRule="auto"/>
        <w:rPr>
          <w:rFonts w:ascii="Arial" w:hAnsi="Arial" w:cs="Arial"/>
        </w:rPr>
      </w:pPr>
    </w:p>
    <w:p w14:paraId="78673936" w14:textId="77777777" w:rsidR="00E71AC0" w:rsidRDefault="00E71AC0">
      <w:pPr>
        <w:spacing w:line="360" w:lineRule="auto"/>
        <w:rPr>
          <w:rFonts w:ascii="Arial" w:hAnsi="Arial" w:cs="Arial"/>
        </w:rPr>
      </w:pPr>
    </w:p>
    <w:p w14:paraId="78673939" w14:textId="77777777" w:rsidR="00E71AC0" w:rsidRDefault="00E71AC0"/>
    <w:sectPr w:rsidR="00E71AC0">
      <w:headerReference w:type="default" r:id="rId23"/>
      <w:footerReference w:type="default" r:id="rId2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1B0DE" w14:textId="77777777" w:rsidR="00D43B03" w:rsidRDefault="00D43B03">
      <w:r>
        <w:separator/>
      </w:r>
    </w:p>
  </w:endnote>
  <w:endnote w:type="continuationSeparator" w:id="0">
    <w:p w14:paraId="0B437DEA" w14:textId="77777777" w:rsidR="00D43B03" w:rsidRDefault="00D43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B" w14:textId="77777777" w:rsidR="004846F1" w:rsidRDefault="00667FA1">
    <w:pPr>
      <w:pStyle w:val="Footer"/>
      <w:jc w:val="right"/>
    </w:pPr>
    <w:r>
      <w:fldChar w:fldCharType="begin"/>
    </w:r>
    <w:r>
      <w:instrText xml:space="preserve"> PAGE </w:instrText>
    </w:r>
    <w:r>
      <w:fldChar w:fldCharType="separate"/>
    </w:r>
    <w:r>
      <w:t>2</w:t>
    </w:r>
    <w:r>
      <w:fldChar w:fldCharType="end"/>
    </w:r>
  </w:p>
  <w:p w14:paraId="786737DC" w14:textId="77777777" w:rsidR="004846F1" w:rsidRDefault="00667FA1">
    <w:pPr>
      <w:pStyle w:val="Footer"/>
    </w:pPr>
    <w:r>
      <w:t>Shelley Dony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B64F6" w14:textId="77777777" w:rsidR="00D43B03" w:rsidRDefault="00D43B03">
      <w:r>
        <w:rPr>
          <w:color w:val="000000"/>
        </w:rPr>
        <w:separator/>
      </w:r>
    </w:p>
  </w:footnote>
  <w:footnote w:type="continuationSeparator" w:id="0">
    <w:p w14:paraId="133EDBBD" w14:textId="77777777" w:rsidR="00D43B03" w:rsidRDefault="00D43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8" w14:textId="77777777" w:rsidR="004846F1" w:rsidRDefault="00667FA1">
    <w:pPr>
      <w:pStyle w:val="Header"/>
    </w:pPr>
    <w:r>
      <w:rPr>
        <w:rFonts w:ascii="Arial" w:hAnsi="Arial" w:cs="Arial"/>
        <w:i/>
        <w:iCs/>
      </w:rPr>
      <w:t>How would the delivery of workforce planning education need to look to enable greater accessibility and participation?</w:t>
    </w:r>
  </w:p>
  <w:p w14:paraId="786737D9" w14:textId="77777777" w:rsidR="004846F1" w:rsidRDefault="00484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3360C"/>
    <w:multiLevelType w:val="multilevel"/>
    <w:tmpl w:val="4D868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F844DA7"/>
    <w:multiLevelType w:val="multilevel"/>
    <w:tmpl w:val="A09E6314"/>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97813010">
    <w:abstractNumId w:val="1"/>
  </w:num>
  <w:num w:numId="2" w16cid:durableId="457262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AC0"/>
    <w:rsid w:val="0002077C"/>
    <w:rsid w:val="0004094C"/>
    <w:rsid w:val="00072EE9"/>
    <w:rsid w:val="00081A69"/>
    <w:rsid w:val="00095F9A"/>
    <w:rsid w:val="001B65CD"/>
    <w:rsid w:val="002B0B10"/>
    <w:rsid w:val="00333D89"/>
    <w:rsid w:val="003452E7"/>
    <w:rsid w:val="00345E63"/>
    <w:rsid w:val="00377120"/>
    <w:rsid w:val="00427196"/>
    <w:rsid w:val="00467CD4"/>
    <w:rsid w:val="004846F1"/>
    <w:rsid w:val="004C6D64"/>
    <w:rsid w:val="00562AC1"/>
    <w:rsid w:val="005A17D9"/>
    <w:rsid w:val="006214EF"/>
    <w:rsid w:val="006431E4"/>
    <w:rsid w:val="00667FA1"/>
    <w:rsid w:val="00686A05"/>
    <w:rsid w:val="006C346B"/>
    <w:rsid w:val="006D5E5F"/>
    <w:rsid w:val="006E14CB"/>
    <w:rsid w:val="008064C8"/>
    <w:rsid w:val="0084172A"/>
    <w:rsid w:val="00891D0B"/>
    <w:rsid w:val="008B57D6"/>
    <w:rsid w:val="008D1211"/>
    <w:rsid w:val="00922A91"/>
    <w:rsid w:val="00946B04"/>
    <w:rsid w:val="009E3A1F"/>
    <w:rsid w:val="009F623E"/>
    <w:rsid w:val="00A108C1"/>
    <w:rsid w:val="00AD4D26"/>
    <w:rsid w:val="00B024A0"/>
    <w:rsid w:val="00C647EB"/>
    <w:rsid w:val="00CA5340"/>
    <w:rsid w:val="00CB66DB"/>
    <w:rsid w:val="00D43B03"/>
    <w:rsid w:val="00D441D3"/>
    <w:rsid w:val="00E41EA3"/>
    <w:rsid w:val="00E71AC0"/>
    <w:rsid w:val="00E834C8"/>
    <w:rsid w:val="00EA02E1"/>
    <w:rsid w:val="00EB56C9"/>
    <w:rsid w:val="00EF49E7"/>
    <w:rsid w:val="00F07B0A"/>
    <w:rsid w:val="00FD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737B4"/>
  <w15:docId w15:val="{7468B5E6-455F-4D9E-8DF0-B9246CA55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sz w:val="24"/>
      <w:szCs w:val="24"/>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tyle>
  <w:style w:type="paragraph" w:styleId="ListParagraph">
    <w:name w:val="List Paragraph"/>
    <w:basedOn w:val="Normal"/>
    <w:pPr>
      <w:ind w:left="720"/>
      <w:contextualSpacing/>
    </w:pPr>
  </w:style>
  <w:style w:type="character" w:styleId="Emphasis">
    <w:name w:val="Emphasis"/>
    <w:basedOn w:val="DefaultParagraphFont"/>
    <w:rPr>
      <w:i/>
      <w:iCs/>
    </w:rPr>
  </w:style>
  <w:style w:type="paragraph" w:customStyle="1" w:styleId="nova-legacy-e-listitem">
    <w:name w:val="nova-legacy-e-list__item"/>
    <w:basedOn w:val="Normal"/>
    <w:pPr>
      <w:spacing w:before="100" w:after="10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rPr>
      <w:sz w:val="16"/>
      <w:szCs w:val="16"/>
    </w:rPr>
  </w:style>
  <w:style w:type="paragraph" w:styleId="CommentText">
    <w:name w:val="annotation text"/>
    <w:basedOn w:val="Normal"/>
    <w:rPr>
      <w:sz w:val="20"/>
      <w:szCs w:val="20"/>
      <w:lang w:eastAsia="en-US"/>
    </w:rPr>
  </w:style>
  <w:style w:type="character" w:customStyle="1" w:styleId="CommentTextChar">
    <w:name w:val="Comment Text Char"/>
    <w:basedOn w:val="DefaultParagraphFont"/>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rPr>
      <w:b/>
      <w:bCs/>
      <w:lang w:eastAsia="en-GB"/>
    </w:rPr>
  </w:style>
  <w:style w:type="character" w:customStyle="1" w:styleId="CommentSubjectChar">
    <w:name w:val="Comment Subject Char"/>
    <w:basedOn w:val="CommentTextChar"/>
    <w:rPr>
      <w:rFonts w:ascii="Times New Roman" w:eastAsia="Times New Roman" w:hAnsi="Times New Roman" w:cs="Times New Roman"/>
      <w:b/>
      <w:bCs/>
      <w:sz w:val="20"/>
      <w:szCs w:val="20"/>
      <w:lang w:eastAsia="en-GB"/>
    </w:rPr>
  </w:style>
  <w:style w:type="character" w:customStyle="1" w:styleId="CommentTextChar1">
    <w:name w:val="Comment Text Char1"/>
    <w:basedOn w:val="DefaultParagraphFont"/>
    <w:rPr>
      <w:rFonts w:ascii="Times New Roman" w:eastAsia="Times New Roman" w:hAnsi="Times New Roman" w:cs="Times New Roman"/>
      <w:sz w:val="20"/>
      <w:szCs w:val="20"/>
    </w:rPr>
  </w:style>
  <w:style w:type="paragraph" w:styleId="Caption">
    <w:name w:val="caption"/>
    <w:basedOn w:val="Normal"/>
    <w:next w:val="Normal"/>
    <w:pPr>
      <w:spacing w:after="200"/>
    </w:pPr>
    <w:rPr>
      <w:i/>
      <w:iCs/>
      <w:color w:val="44546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hswales365.sharepoint.com/:p:/s/HDD_OD_Team-CultureandWorkforceExperience/EZsFzb_ud2JLmP2RbNgx2XsBXCJBGL31x6Ntjk-gtXLiWg" TargetMode="External"/><Relationship Id="rId18" Type="http://schemas.openxmlformats.org/officeDocument/2006/relationships/hyperlink" Target="https://www.myhrfuture.com/online-workforce-planning-train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ambridge.org/us/education/blog/2019/06/25/what-active-learning-and-what-are-benefits/" TargetMode="External"/><Relationship Id="rId7" Type="http://schemas.openxmlformats.org/officeDocument/2006/relationships/endnotes" Target="endnotes.xml"/><Relationship Id="rId12" Type="http://schemas.openxmlformats.org/officeDocument/2006/relationships/hyperlink" Target="https://www.mckinsey.com/capabilities/people-and-organizational-performance/our-insights/the-organization-blog/survey-fatigue-blame-the-leader-not-the-question" TargetMode="External"/><Relationship Id="rId17" Type="http://schemas.openxmlformats.org/officeDocument/2006/relationships/hyperlink" Target="https://www.bing.com/search?q=what+to+bear+in+mind+when+recording+teaching&amp;qs=n&amp;form=QBRE&amp;sp=-1&amp;lq=0&amp;pq=what+to+bear+in+mind+when+recording+&amp;sc=6-36&amp;sk=&amp;cvid=D4E29E8A7B8045DC86ADDF1AD8448FB8&amp;ghsh=0&amp;ghacc=0&amp;ghp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ondontfe.com/course/human-resources-and-talent-development/Workforce-Planning/2749" TargetMode="External"/><Relationship Id="rId20" Type="http://schemas.openxmlformats.org/officeDocument/2006/relationships/hyperlink" Target="https://www.universitiesuk.ac.uk/what-we-do/policy-and-research/publications/lessons-pandemic-making-mo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humancapitalhub.com/articles/Toolkits-A-Guide-To-Developing-Toolkits-That-Wor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ublication/318215081_Teaching_materials_and_teaching_aids_-_1_teaching_material" TargetMode="External"/><Relationship Id="rId23" Type="http://schemas.openxmlformats.org/officeDocument/2006/relationships/header" Target="header1.xml"/><Relationship Id="rId10" Type="http://schemas.openxmlformats.org/officeDocument/2006/relationships/hyperlink" Target="https://www.ft.com/content/b593116d-f948-4757-b2fa-c74adadc8b42" TargetMode="External"/><Relationship Id="rId19" Type="http://schemas.openxmlformats.org/officeDocument/2006/relationships/hyperlink" Target="https://www.skillsforhealth.org.uk/resources/six-steps-methodology-to-integrated-workforce-planning/" TargetMode="External"/><Relationship Id="rId4" Type="http://schemas.openxmlformats.org/officeDocument/2006/relationships/settings" Target="settings.xml"/><Relationship Id="rId9" Type="http://schemas.openxmlformats.org/officeDocument/2006/relationships/hyperlink" Target="https://onlinelibrary-wiley-com.ezproxy.uwtsd.ac.uk/doi/full/10.1111/jade.12473" TargetMode="External"/><Relationship Id="rId14" Type="http://schemas.openxmlformats.org/officeDocument/2006/relationships/hyperlink" Target="https://www.udemy.com/course/strategic-workforce-planning/?couponCode=THANKSLEARNER24" TargetMode="External"/><Relationship Id="rId22" Type="http://schemas.openxmlformats.org/officeDocument/2006/relationships/hyperlink" Target="https://www.gov.wales/plan-address-nhs-workforce-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B56FF-8732-4E3D-9FAF-5014F33BC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2578</Words>
  <Characters>14698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(Hywel Dda UHB - Project Manager - Workforce Planning)</dc:creator>
  <dc:description/>
  <cp:lastModifiedBy>Shelley Dony (Hywel Dda UHB - Project Manager - Workforce Planning)</cp:lastModifiedBy>
  <cp:revision>7</cp:revision>
  <dcterms:created xsi:type="dcterms:W3CDTF">2024-11-12T11:05:00Z</dcterms:created>
  <dcterms:modified xsi:type="dcterms:W3CDTF">2024-11-12T11:24:00Z</dcterms:modified>
</cp:coreProperties>
</file>