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53BB8" w14:textId="77777777" w:rsidR="00E8457F" w:rsidRDefault="00E8457F" w:rsidP="00B96D4F">
      <w:pPr>
        <w:jc w:val="center"/>
        <w:rPr>
          <w:rFonts w:ascii="Arial" w:hAnsi="Arial" w:cs="Arial"/>
          <w:b/>
          <w:bCs/>
          <w:sz w:val="40"/>
          <w:szCs w:val="40"/>
        </w:rPr>
      </w:pPr>
    </w:p>
    <w:p w14:paraId="5A500F96" w14:textId="77777777" w:rsidR="00E8457F" w:rsidRDefault="00E8457F" w:rsidP="00B96D4F">
      <w:pPr>
        <w:jc w:val="center"/>
        <w:rPr>
          <w:rFonts w:ascii="Arial" w:hAnsi="Arial" w:cs="Arial"/>
          <w:b/>
          <w:bCs/>
          <w:sz w:val="40"/>
          <w:szCs w:val="40"/>
        </w:rPr>
      </w:pPr>
    </w:p>
    <w:p w14:paraId="623D87F4" w14:textId="1B20F47D" w:rsidR="003712F2" w:rsidRPr="00B96D4F" w:rsidRDefault="003712F2" w:rsidP="00B96D4F">
      <w:pPr>
        <w:jc w:val="center"/>
        <w:rPr>
          <w:rFonts w:ascii="Arial" w:hAnsi="Arial" w:cs="Arial"/>
          <w:b/>
          <w:bCs/>
          <w:sz w:val="40"/>
          <w:szCs w:val="40"/>
        </w:rPr>
      </w:pPr>
      <w:r w:rsidRPr="00B96D4F">
        <w:rPr>
          <w:rFonts w:ascii="Arial" w:hAnsi="Arial" w:cs="Arial"/>
          <w:b/>
          <w:bCs/>
          <w:sz w:val="40"/>
          <w:szCs w:val="40"/>
        </w:rPr>
        <w:t>Programme: Master of Business Administration</w:t>
      </w:r>
    </w:p>
    <w:p w14:paraId="6A1B752D" w14:textId="77777777" w:rsidR="00B96D4F" w:rsidRPr="00B96D4F" w:rsidRDefault="003712F2" w:rsidP="00B96D4F">
      <w:pPr>
        <w:jc w:val="center"/>
        <w:rPr>
          <w:rFonts w:ascii="Arial" w:hAnsi="Arial" w:cs="Arial"/>
          <w:b/>
          <w:bCs/>
          <w:sz w:val="40"/>
          <w:szCs w:val="40"/>
        </w:rPr>
      </w:pPr>
      <w:r w:rsidRPr="00B96D4F">
        <w:rPr>
          <w:rFonts w:ascii="Arial" w:hAnsi="Arial" w:cs="Arial"/>
          <w:b/>
          <w:bCs/>
          <w:sz w:val="40"/>
          <w:szCs w:val="40"/>
        </w:rPr>
        <w:t>Module: Human Capital Management</w:t>
      </w:r>
    </w:p>
    <w:p w14:paraId="6F6B515A" w14:textId="4CE4AE66" w:rsidR="00B96D4F" w:rsidRPr="00B96D4F" w:rsidRDefault="00B96D4F" w:rsidP="00B96D4F">
      <w:pPr>
        <w:jc w:val="center"/>
        <w:rPr>
          <w:rFonts w:ascii="Arial" w:hAnsi="Arial" w:cs="Arial"/>
          <w:b/>
          <w:bCs/>
          <w:sz w:val="40"/>
          <w:szCs w:val="40"/>
          <w:lang w:val="en-US"/>
        </w:rPr>
      </w:pPr>
      <w:r w:rsidRPr="00B96D4F">
        <w:rPr>
          <w:rFonts w:ascii="Arial" w:hAnsi="Arial" w:cs="Arial"/>
          <w:b/>
          <w:bCs/>
          <w:sz w:val="40"/>
          <w:szCs w:val="40"/>
          <w:lang w:val="en-US"/>
        </w:rPr>
        <w:t>Module</w:t>
      </w:r>
      <w:r>
        <w:rPr>
          <w:rFonts w:ascii="Arial" w:hAnsi="Arial" w:cs="Arial"/>
          <w:b/>
          <w:bCs/>
          <w:sz w:val="40"/>
          <w:szCs w:val="40"/>
          <w:lang w:val="en-US"/>
        </w:rPr>
        <w:t xml:space="preserve"> </w:t>
      </w:r>
      <w:r w:rsidRPr="00B96D4F">
        <w:rPr>
          <w:rFonts w:ascii="Arial" w:hAnsi="Arial" w:cs="Arial"/>
          <w:b/>
          <w:bCs/>
          <w:sz w:val="40"/>
          <w:szCs w:val="40"/>
          <w:lang w:val="en-US"/>
        </w:rPr>
        <w:t xml:space="preserve">code: </w:t>
      </w:r>
      <w:r w:rsidRPr="00B96D4F">
        <w:rPr>
          <w:rFonts w:ascii="Arial" w:hAnsi="Arial" w:cs="Arial"/>
          <w:b/>
          <w:bCs/>
          <w:sz w:val="40"/>
          <w:szCs w:val="40"/>
        </w:rPr>
        <w:t>LCMB7023</w:t>
      </w:r>
    </w:p>
    <w:p w14:paraId="32765706" w14:textId="0F9D8519" w:rsidR="00B96D4F" w:rsidRPr="00B96D4F" w:rsidRDefault="00B96D4F" w:rsidP="00B96D4F">
      <w:pPr>
        <w:jc w:val="center"/>
        <w:rPr>
          <w:rFonts w:ascii="Arial" w:hAnsi="Arial" w:cs="Arial"/>
          <w:b/>
          <w:bCs/>
          <w:sz w:val="40"/>
          <w:szCs w:val="40"/>
        </w:rPr>
      </w:pPr>
      <w:r w:rsidRPr="00B96D4F">
        <w:rPr>
          <w:rFonts w:ascii="Arial" w:hAnsi="Arial" w:cs="Arial"/>
          <w:b/>
          <w:bCs/>
          <w:sz w:val="40"/>
          <w:szCs w:val="40"/>
        </w:rPr>
        <w:t>Lecturer:</w:t>
      </w:r>
      <w:r w:rsidR="00FA5D07">
        <w:rPr>
          <w:rFonts w:ascii="Arial" w:hAnsi="Arial" w:cs="Arial"/>
          <w:b/>
          <w:bCs/>
          <w:sz w:val="40"/>
          <w:szCs w:val="40"/>
        </w:rPr>
        <w:t xml:space="preserve"> Hoang Dang Nguyen</w:t>
      </w:r>
      <w:r w:rsidRPr="00B96D4F">
        <w:rPr>
          <w:rFonts w:ascii="Arial" w:hAnsi="Arial" w:cs="Arial"/>
          <w:b/>
          <w:bCs/>
          <w:sz w:val="40"/>
          <w:szCs w:val="40"/>
        </w:rPr>
        <w:t xml:space="preserve"> (London)</w:t>
      </w:r>
    </w:p>
    <w:p w14:paraId="16B3BD76" w14:textId="77777777" w:rsidR="00B96D4F" w:rsidRDefault="00B96D4F" w:rsidP="00B96D4F">
      <w:pPr>
        <w:jc w:val="center"/>
        <w:rPr>
          <w:rFonts w:ascii="Arial" w:hAnsi="Arial" w:cs="Arial"/>
          <w:b/>
          <w:bCs/>
          <w:sz w:val="36"/>
          <w:szCs w:val="36"/>
        </w:rPr>
      </w:pPr>
    </w:p>
    <w:p w14:paraId="24C70A57" w14:textId="77777777" w:rsidR="00B96D4F" w:rsidRDefault="00B96D4F" w:rsidP="00B96D4F">
      <w:pPr>
        <w:jc w:val="center"/>
        <w:rPr>
          <w:rFonts w:ascii="Arial" w:hAnsi="Arial" w:cs="Arial"/>
          <w:b/>
          <w:bCs/>
          <w:sz w:val="36"/>
          <w:szCs w:val="36"/>
        </w:rPr>
      </w:pPr>
    </w:p>
    <w:p w14:paraId="195B499F" w14:textId="77777777" w:rsidR="00E8457F" w:rsidRDefault="00E8457F" w:rsidP="00B96D4F">
      <w:pPr>
        <w:jc w:val="center"/>
        <w:rPr>
          <w:rFonts w:ascii="Arial" w:hAnsi="Arial" w:cs="Arial"/>
          <w:b/>
          <w:bCs/>
          <w:sz w:val="36"/>
          <w:szCs w:val="36"/>
        </w:rPr>
      </w:pPr>
    </w:p>
    <w:p w14:paraId="12DD83BA" w14:textId="77777777" w:rsidR="00B96D4F" w:rsidRDefault="00B96D4F" w:rsidP="00B96D4F">
      <w:pPr>
        <w:jc w:val="center"/>
        <w:rPr>
          <w:rFonts w:ascii="Arial" w:hAnsi="Arial" w:cs="Arial"/>
          <w:b/>
          <w:bCs/>
          <w:sz w:val="36"/>
          <w:szCs w:val="36"/>
        </w:rPr>
      </w:pPr>
    </w:p>
    <w:p w14:paraId="55D98FE4" w14:textId="3D27D802" w:rsidR="00B96D4F" w:rsidRDefault="00B96D4F" w:rsidP="00B96D4F">
      <w:pPr>
        <w:jc w:val="center"/>
        <w:rPr>
          <w:rFonts w:ascii="Arial" w:hAnsi="Arial" w:cs="Arial"/>
          <w:b/>
          <w:bCs/>
          <w:sz w:val="36"/>
          <w:szCs w:val="36"/>
        </w:rPr>
      </w:pPr>
      <w:r w:rsidRPr="00B96D4F">
        <w:rPr>
          <w:rFonts w:ascii="Arial" w:hAnsi="Arial" w:cs="Arial"/>
          <w:b/>
          <w:bCs/>
          <w:sz w:val="36"/>
          <w:szCs w:val="36"/>
        </w:rPr>
        <w:t>Student Name:</w:t>
      </w:r>
      <w:r w:rsidR="00FA5D07">
        <w:rPr>
          <w:rFonts w:ascii="Arial" w:hAnsi="Arial" w:cs="Arial"/>
          <w:b/>
          <w:bCs/>
          <w:sz w:val="36"/>
          <w:szCs w:val="36"/>
        </w:rPr>
        <w:t xml:space="preserve"> Prit Jenishbhai Jariwala</w:t>
      </w:r>
    </w:p>
    <w:p w14:paraId="2849AE15" w14:textId="77777777" w:rsidR="00E8457F" w:rsidRPr="00B96D4F" w:rsidRDefault="00E8457F" w:rsidP="00B96D4F">
      <w:pPr>
        <w:jc w:val="center"/>
        <w:rPr>
          <w:rFonts w:ascii="Arial" w:hAnsi="Arial" w:cs="Arial"/>
          <w:b/>
          <w:bCs/>
          <w:sz w:val="36"/>
          <w:szCs w:val="36"/>
        </w:rPr>
      </w:pPr>
    </w:p>
    <w:p w14:paraId="392D3B94" w14:textId="149E7822" w:rsidR="00B96D4F" w:rsidRPr="00B96D4F" w:rsidRDefault="00B96D4F" w:rsidP="00B96D4F">
      <w:pPr>
        <w:jc w:val="center"/>
        <w:rPr>
          <w:rFonts w:ascii="Arial" w:hAnsi="Arial" w:cs="Arial"/>
          <w:b/>
          <w:bCs/>
          <w:sz w:val="36"/>
          <w:szCs w:val="36"/>
          <w:lang w:val="en-US"/>
        </w:rPr>
      </w:pPr>
      <w:r w:rsidRPr="00B96D4F">
        <w:rPr>
          <w:rFonts w:ascii="Arial" w:hAnsi="Arial" w:cs="Arial"/>
          <w:b/>
          <w:bCs/>
          <w:sz w:val="36"/>
          <w:szCs w:val="36"/>
        </w:rPr>
        <w:t>Student ID:</w:t>
      </w:r>
      <w:r w:rsidR="00FA5D07">
        <w:rPr>
          <w:rFonts w:ascii="Arial" w:hAnsi="Arial" w:cs="Arial"/>
          <w:b/>
          <w:bCs/>
          <w:sz w:val="36"/>
          <w:szCs w:val="36"/>
        </w:rPr>
        <w:t xml:space="preserve"> 2503896</w:t>
      </w:r>
    </w:p>
    <w:p w14:paraId="11881A4F" w14:textId="50305AE2" w:rsidR="000A0EE9" w:rsidRDefault="000A0EE9" w:rsidP="003712F2">
      <w:pPr>
        <w:rPr>
          <w:rFonts w:ascii="Arial" w:hAnsi="Arial" w:cs="Arial"/>
          <w:b/>
          <w:bCs/>
          <w:sz w:val="24"/>
          <w:szCs w:val="24"/>
        </w:rPr>
      </w:pPr>
      <w:r>
        <w:rPr>
          <w:rFonts w:ascii="Arial" w:hAnsi="Arial" w:cs="Arial"/>
          <w:b/>
          <w:bCs/>
          <w:sz w:val="24"/>
          <w:szCs w:val="24"/>
        </w:rPr>
        <w:br w:type="page"/>
      </w:r>
    </w:p>
    <w:p w14:paraId="1ED179C9" w14:textId="3BCF0F3B" w:rsidR="00A42AB0" w:rsidRPr="00772D9C" w:rsidRDefault="00A42AB0" w:rsidP="009C14A1">
      <w:pPr>
        <w:spacing w:line="360" w:lineRule="auto"/>
        <w:rPr>
          <w:rFonts w:ascii="Arial" w:hAnsi="Arial" w:cs="Arial"/>
          <w:b/>
          <w:bCs/>
          <w:sz w:val="24"/>
          <w:szCs w:val="24"/>
        </w:rPr>
      </w:pPr>
      <w:r w:rsidRPr="00772D9C">
        <w:rPr>
          <w:rFonts w:ascii="Arial" w:hAnsi="Arial" w:cs="Arial"/>
          <w:b/>
          <w:bCs/>
          <w:sz w:val="24"/>
          <w:szCs w:val="24"/>
        </w:rPr>
        <w:lastRenderedPageBreak/>
        <w:t xml:space="preserve">Executive Summary </w:t>
      </w:r>
    </w:p>
    <w:p w14:paraId="66B5D047" w14:textId="1D2C9237" w:rsidR="00A42AB0" w:rsidRPr="00772D9C" w:rsidRDefault="00C156DB" w:rsidP="009C14A1">
      <w:pPr>
        <w:spacing w:line="360" w:lineRule="auto"/>
        <w:jc w:val="both"/>
        <w:rPr>
          <w:rFonts w:ascii="Arial" w:hAnsi="Arial" w:cs="Arial"/>
          <w:sz w:val="24"/>
          <w:szCs w:val="24"/>
        </w:rPr>
      </w:pPr>
      <w:r w:rsidRPr="00C156DB">
        <w:rPr>
          <w:rFonts w:ascii="Arial" w:hAnsi="Arial" w:cs="Arial"/>
          <w:sz w:val="24"/>
          <w:szCs w:val="24"/>
        </w:rPr>
        <w:t xml:space="preserve">This report has mentioned the role of globalisation, technology and demographic change that had reshaped the labour markets and Human Resource Management (HRM) practises. The emergence of AI, automation, and digital technology fundamentally transformed the essence of employment relations, including the acquisition of talent and the organization of workforce planning and international HRM strategies. The labour mobility, compliance, and workforce integration had also been stressed by ageing populations and migration trends, geopolitical tensions. The HRM strategies that were formulated within the framework of the Build, Buy, Borrow, and Bind model were deemed to cope with the long-term skill deficiency with the factual data of the industry supporting the claim. The principle of differentiated strategic response was proved with references to industry specific technology, healthcare, and hospitality examples. Finally, the personal competencies required towards global employability had been assessed through a reflective analysis and this was based on the Reflective Cycle by Gibbs. The overall findings showed that sustainable human capital management required a trade-off between technological innovation and human based leadership to ensure flexibility, inclusivity, and stability of organisations in a volatile global economy. </w:t>
      </w:r>
      <w:r w:rsidR="00A42AB0" w:rsidRPr="00772D9C">
        <w:rPr>
          <w:rFonts w:ascii="Arial" w:hAnsi="Arial" w:cs="Arial"/>
          <w:sz w:val="24"/>
          <w:szCs w:val="24"/>
        </w:rPr>
        <w:br w:type="page"/>
      </w:r>
    </w:p>
    <w:sdt>
      <w:sdtPr>
        <w:rPr>
          <w:rFonts w:ascii="Arial" w:eastAsiaTheme="minorHAnsi" w:hAnsi="Arial" w:cs="Arial"/>
          <w:color w:val="auto"/>
          <w:sz w:val="24"/>
          <w:szCs w:val="24"/>
          <w:lang w:val="en-GB"/>
        </w:rPr>
        <w:id w:val="-1659989756"/>
        <w:docPartObj>
          <w:docPartGallery w:val="Table of Contents"/>
          <w:docPartUnique/>
        </w:docPartObj>
      </w:sdtPr>
      <w:sdtEndPr>
        <w:rPr>
          <w:b/>
          <w:bCs/>
          <w:noProof/>
        </w:rPr>
      </w:sdtEndPr>
      <w:sdtContent>
        <w:p w14:paraId="58FB7FD9" w14:textId="2533C7E1" w:rsidR="008D3D96" w:rsidRPr="00772D9C" w:rsidRDefault="008D3D96" w:rsidP="00772D9C">
          <w:pPr>
            <w:pStyle w:val="TOCHeading"/>
            <w:spacing w:line="360" w:lineRule="auto"/>
            <w:jc w:val="center"/>
            <w:rPr>
              <w:rFonts w:ascii="Arial" w:hAnsi="Arial" w:cs="Arial"/>
              <w:b/>
              <w:bCs/>
              <w:color w:val="auto"/>
              <w:sz w:val="24"/>
              <w:szCs w:val="24"/>
            </w:rPr>
          </w:pPr>
          <w:r w:rsidRPr="00772D9C">
            <w:rPr>
              <w:rFonts w:ascii="Arial" w:hAnsi="Arial" w:cs="Arial"/>
              <w:b/>
              <w:bCs/>
              <w:color w:val="auto"/>
              <w:sz w:val="24"/>
              <w:szCs w:val="24"/>
            </w:rPr>
            <w:t>Table of Contents</w:t>
          </w:r>
        </w:p>
        <w:p w14:paraId="6A41A29C" w14:textId="039CCD4F" w:rsidR="00772D9C" w:rsidRPr="00772D9C" w:rsidRDefault="008D3D96"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r w:rsidRPr="00772D9C">
            <w:rPr>
              <w:rFonts w:ascii="Arial" w:hAnsi="Arial" w:cs="Arial"/>
              <w:sz w:val="24"/>
              <w:szCs w:val="24"/>
            </w:rPr>
            <w:fldChar w:fldCharType="begin"/>
          </w:r>
          <w:r w:rsidRPr="00772D9C">
            <w:rPr>
              <w:rFonts w:ascii="Arial" w:hAnsi="Arial" w:cs="Arial"/>
              <w:sz w:val="24"/>
              <w:szCs w:val="24"/>
            </w:rPr>
            <w:instrText xml:space="preserve"> TOC \o "1-3" \h \z \u </w:instrText>
          </w:r>
          <w:r w:rsidRPr="00772D9C">
            <w:rPr>
              <w:rFonts w:ascii="Arial" w:hAnsi="Arial" w:cs="Arial"/>
              <w:sz w:val="24"/>
              <w:szCs w:val="24"/>
            </w:rPr>
            <w:fldChar w:fldCharType="separate"/>
          </w:r>
          <w:hyperlink w:anchor="_Toc213606443" w:history="1">
            <w:r w:rsidR="00772D9C" w:rsidRPr="00772D9C">
              <w:rPr>
                <w:rStyle w:val="Hyperlink"/>
                <w:rFonts w:ascii="Arial" w:hAnsi="Arial" w:cs="Arial"/>
                <w:noProof/>
                <w:sz w:val="24"/>
                <w:szCs w:val="24"/>
              </w:rPr>
              <w:t>Introduction</w:t>
            </w:r>
            <w:r w:rsidR="00772D9C" w:rsidRPr="00772D9C">
              <w:rPr>
                <w:rFonts w:ascii="Arial" w:hAnsi="Arial" w:cs="Arial"/>
                <w:noProof/>
                <w:webHidden/>
                <w:sz w:val="24"/>
                <w:szCs w:val="24"/>
              </w:rPr>
              <w:tab/>
            </w:r>
            <w:r w:rsidR="00772D9C" w:rsidRPr="00772D9C">
              <w:rPr>
                <w:rFonts w:ascii="Arial" w:hAnsi="Arial" w:cs="Arial"/>
                <w:noProof/>
                <w:webHidden/>
                <w:sz w:val="24"/>
                <w:szCs w:val="24"/>
              </w:rPr>
              <w:fldChar w:fldCharType="begin"/>
            </w:r>
            <w:r w:rsidR="00772D9C" w:rsidRPr="00772D9C">
              <w:rPr>
                <w:rFonts w:ascii="Arial" w:hAnsi="Arial" w:cs="Arial"/>
                <w:noProof/>
                <w:webHidden/>
                <w:sz w:val="24"/>
                <w:szCs w:val="24"/>
              </w:rPr>
              <w:instrText xml:space="preserve"> PAGEREF _Toc213606443 \h </w:instrText>
            </w:r>
            <w:r w:rsidR="00772D9C" w:rsidRPr="00772D9C">
              <w:rPr>
                <w:rFonts w:ascii="Arial" w:hAnsi="Arial" w:cs="Arial"/>
                <w:noProof/>
                <w:webHidden/>
                <w:sz w:val="24"/>
                <w:szCs w:val="24"/>
              </w:rPr>
            </w:r>
            <w:r w:rsidR="00772D9C" w:rsidRPr="00772D9C">
              <w:rPr>
                <w:rFonts w:ascii="Arial" w:hAnsi="Arial" w:cs="Arial"/>
                <w:noProof/>
                <w:webHidden/>
                <w:sz w:val="24"/>
                <w:szCs w:val="24"/>
              </w:rPr>
              <w:fldChar w:fldCharType="separate"/>
            </w:r>
            <w:r w:rsidR="00772D9C" w:rsidRPr="00772D9C">
              <w:rPr>
                <w:rFonts w:ascii="Arial" w:hAnsi="Arial" w:cs="Arial"/>
                <w:noProof/>
                <w:webHidden/>
                <w:sz w:val="24"/>
                <w:szCs w:val="24"/>
              </w:rPr>
              <w:t>2</w:t>
            </w:r>
            <w:r w:rsidR="00772D9C" w:rsidRPr="00772D9C">
              <w:rPr>
                <w:rFonts w:ascii="Arial" w:hAnsi="Arial" w:cs="Arial"/>
                <w:noProof/>
                <w:webHidden/>
                <w:sz w:val="24"/>
                <w:szCs w:val="24"/>
              </w:rPr>
              <w:fldChar w:fldCharType="end"/>
            </w:r>
          </w:hyperlink>
        </w:p>
        <w:p w14:paraId="73081C3A" w14:textId="246B4176"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4" w:history="1">
            <w:r w:rsidRPr="00772D9C">
              <w:rPr>
                <w:rStyle w:val="Hyperlink"/>
                <w:rFonts w:ascii="Arial" w:hAnsi="Arial" w:cs="Arial"/>
                <w:noProof/>
                <w:sz w:val="24"/>
                <w:szCs w:val="24"/>
              </w:rPr>
              <w:t>Context and Global Forces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_Toc213606444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2</w:t>
            </w:r>
            <w:r w:rsidRPr="00772D9C">
              <w:rPr>
                <w:rFonts w:ascii="Arial" w:hAnsi="Arial" w:cs="Arial"/>
                <w:noProof/>
                <w:webHidden/>
                <w:sz w:val="24"/>
                <w:szCs w:val="24"/>
              </w:rPr>
              <w:fldChar w:fldCharType="end"/>
            </w:r>
          </w:hyperlink>
        </w:p>
        <w:p w14:paraId="192FC9F2" w14:textId="4001EC33"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5" w:history="1">
            <w:r w:rsidRPr="00772D9C">
              <w:rPr>
                <w:rStyle w:val="Hyperlink"/>
                <w:rFonts w:ascii="Arial" w:hAnsi="Arial" w:cs="Arial"/>
                <w:noProof/>
                <w:sz w:val="24"/>
                <w:szCs w:val="24"/>
              </w:rPr>
              <w:t>Impact on HRM and IHRM</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_Toc213606445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3</w:t>
            </w:r>
            <w:r w:rsidRPr="00772D9C">
              <w:rPr>
                <w:rFonts w:ascii="Arial" w:hAnsi="Arial" w:cs="Arial"/>
                <w:noProof/>
                <w:webHidden/>
                <w:sz w:val="24"/>
                <w:szCs w:val="24"/>
              </w:rPr>
              <w:fldChar w:fldCharType="end"/>
            </w:r>
          </w:hyperlink>
        </w:p>
        <w:p w14:paraId="5962F98B" w14:textId="3B302EA4" w:rsidR="00772D9C" w:rsidRPr="00772D9C" w:rsidRDefault="00772D9C"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6" w:history="1">
            <w:r w:rsidRPr="00772D9C">
              <w:rPr>
                <w:rStyle w:val="Hyperlink"/>
                <w:rFonts w:ascii="Arial" w:hAnsi="Arial" w:cs="Arial"/>
                <w:noProof/>
                <w:sz w:val="24"/>
                <w:szCs w:val="24"/>
              </w:rPr>
              <w:t>Ques 1. Technological Advancements and Their Impact on Labour Markets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_Toc213606446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4</w:t>
            </w:r>
            <w:r w:rsidRPr="00772D9C">
              <w:rPr>
                <w:rFonts w:ascii="Arial" w:hAnsi="Arial" w:cs="Arial"/>
                <w:noProof/>
                <w:webHidden/>
                <w:sz w:val="24"/>
                <w:szCs w:val="24"/>
              </w:rPr>
              <w:fldChar w:fldCharType="end"/>
            </w:r>
          </w:hyperlink>
        </w:p>
        <w:p w14:paraId="450C1EEA" w14:textId="644E5ECA"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7" w:history="1">
            <w:r w:rsidRPr="00772D9C">
              <w:rPr>
                <w:rStyle w:val="Hyperlink"/>
                <w:rFonts w:ascii="Arial" w:hAnsi="Arial" w:cs="Arial"/>
                <w:noProof/>
                <w:sz w:val="24"/>
                <w:szCs w:val="24"/>
              </w:rPr>
              <w:t>1.1 The Reshaping of Labour Markets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_Toc213606447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4</w:t>
            </w:r>
            <w:r w:rsidRPr="00772D9C">
              <w:rPr>
                <w:rFonts w:ascii="Arial" w:hAnsi="Arial" w:cs="Arial"/>
                <w:noProof/>
                <w:webHidden/>
                <w:sz w:val="24"/>
                <w:szCs w:val="24"/>
              </w:rPr>
              <w:fldChar w:fldCharType="end"/>
            </w:r>
          </w:hyperlink>
        </w:p>
        <w:p w14:paraId="7D0AD38A" w14:textId="21A5F218"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8" w:history="1">
            <w:r w:rsidRPr="00772D9C">
              <w:rPr>
                <w:rStyle w:val="Hyperlink"/>
                <w:rFonts w:ascii="Arial" w:hAnsi="Arial" w:cs="Arial"/>
                <w:noProof/>
                <w:sz w:val="24"/>
                <w:szCs w:val="24"/>
              </w:rPr>
              <w:t>1.2 Implications for Human Resource Management (HRM) Strategies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_Toc213606448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5</w:t>
            </w:r>
            <w:r w:rsidRPr="00772D9C">
              <w:rPr>
                <w:rFonts w:ascii="Arial" w:hAnsi="Arial" w:cs="Arial"/>
                <w:noProof/>
                <w:webHidden/>
                <w:sz w:val="24"/>
                <w:szCs w:val="24"/>
              </w:rPr>
              <w:fldChar w:fldCharType="end"/>
            </w:r>
          </w:hyperlink>
        </w:p>
        <w:p w14:paraId="236261DA" w14:textId="5A17387F" w:rsidR="00772D9C" w:rsidRPr="00772D9C" w:rsidRDefault="00772D9C"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49" w:history="1">
            <w:r w:rsidRPr="00772D9C">
              <w:rPr>
                <w:rStyle w:val="Hyperlink"/>
                <w:rFonts w:ascii="Arial" w:hAnsi="Arial" w:cs="Arial"/>
                <w:noProof/>
                <w:sz w:val="24"/>
                <w:szCs w:val="24"/>
              </w:rPr>
              <w:t>Ques 2. Demographic and Geopolitical Factors Influencing Employment Markets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_Toc213606449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8</w:t>
            </w:r>
            <w:r w:rsidRPr="00772D9C">
              <w:rPr>
                <w:rFonts w:ascii="Arial" w:hAnsi="Arial" w:cs="Arial"/>
                <w:noProof/>
                <w:webHidden/>
                <w:sz w:val="24"/>
                <w:szCs w:val="24"/>
              </w:rPr>
              <w:fldChar w:fldCharType="end"/>
            </w:r>
          </w:hyperlink>
        </w:p>
        <w:p w14:paraId="1050A078" w14:textId="5B46EBE7"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0" w:history="1">
            <w:r w:rsidRPr="00772D9C">
              <w:rPr>
                <w:rStyle w:val="Hyperlink"/>
                <w:rFonts w:ascii="Arial" w:hAnsi="Arial" w:cs="Arial"/>
                <w:noProof/>
                <w:sz w:val="24"/>
                <w:szCs w:val="24"/>
              </w:rPr>
              <w:t>2.1 Key Demographic Factors Affecting Labour Markets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_Toc213606450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8</w:t>
            </w:r>
            <w:r w:rsidRPr="00772D9C">
              <w:rPr>
                <w:rFonts w:ascii="Arial" w:hAnsi="Arial" w:cs="Arial"/>
                <w:noProof/>
                <w:webHidden/>
                <w:sz w:val="24"/>
                <w:szCs w:val="24"/>
              </w:rPr>
              <w:fldChar w:fldCharType="end"/>
            </w:r>
          </w:hyperlink>
        </w:p>
        <w:p w14:paraId="0028DEE2" w14:textId="646D490F"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1" w:history="1">
            <w:r w:rsidRPr="00772D9C">
              <w:rPr>
                <w:rStyle w:val="Hyperlink"/>
                <w:rFonts w:ascii="Arial" w:hAnsi="Arial" w:cs="Arial"/>
                <w:noProof/>
                <w:sz w:val="24"/>
                <w:szCs w:val="24"/>
              </w:rPr>
              <w:t>2.2 Key Geopolitical Factors Affecting Labour Markets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_Toc213606451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9</w:t>
            </w:r>
            <w:r w:rsidRPr="00772D9C">
              <w:rPr>
                <w:rFonts w:ascii="Arial" w:hAnsi="Arial" w:cs="Arial"/>
                <w:noProof/>
                <w:webHidden/>
                <w:sz w:val="24"/>
                <w:szCs w:val="24"/>
              </w:rPr>
              <w:fldChar w:fldCharType="end"/>
            </w:r>
          </w:hyperlink>
        </w:p>
        <w:p w14:paraId="3AFB3BEC" w14:textId="2DD7C4BA"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2" w:history="1">
            <w:r w:rsidRPr="00772D9C">
              <w:rPr>
                <w:rStyle w:val="Hyperlink"/>
                <w:rFonts w:ascii="Arial" w:hAnsi="Arial" w:cs="Arial"/>
                <w:noProof/>
                <w:sz w:val="24"/>
                <w:szCs w:val="24"/>
              </w:rPr>
              <w:t>2.3 Challenges Created for HR Professionals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_Toc213606452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9</w:t>
            </w:r>
            <w:r w:rsidRPr="00772D9C">
              <w:rPr>
                <w:rFonts w:ascii="Arial" w:hAnsi="Arial" w:cs="Arial"/>
                <w:noProof/>
                <w:webHidden/>
                <w:sz w:val="24"/>
                <w:szCs w:val="24"/>
              </w:rPr>
              <w:fldChar w:fldCharType="end"/>
            </w:r>
          </w:hyperlink>
        </w:p>
        <w:p w14:paraId="5336B2F0" w14:textId="0977F276" w:rsidR="00772D9C" w:rsidRPr="00772D9C" w:rsidRDefault="00772D9C"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3" w:history="1">
            <w:r w:rsidRPr="00772D9C">
              <w:rPr>
                <w:rStyle w:val="Hyperlink"/>
                <w:rFonts w:ascii="Arial" w:hAnsi="Arial" w:cs="Arial"/>
                <w:noProof/>
                <w:sz w:val="24"/>
                <w:szCs w:val="24"/>
              </w:rPr>
              <w:t>Ques 3. Addressing Skills Gaps and Talent Shortages through Strategic HRM</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_Toc213606453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11</w:t>
            </w:r>
            <w:r w:rsidRPr="00772D9C">
              <w:rPr>
                <w:rFonts w:ascii="Arial" w:hAnsi="Arial" w:cs="Arial"/>
                <w:noProof/>
                <w:webHidden/>
                <w:sz w:val="24"/>
                <w:szCs w:val="24"/>
              </w:rPr>
              <w:fldChar w:fldCharType="end"/>
            </w:r>
          </w:hyperlink>
        </w:p>
        <w:p w14:paraId="747B801E" w14:textId="008CB468"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4" w:history="1">
            <w:r w:rsidRPr="00772D9C">
              <w:rPr>
                <w:rStyle w:val="Hyperlink"/>
                <w:rFonts w:ascii="Arial" w:hAnsi="Arial" w:cs="Arial"/>
                <w:noProof/>
                <w:sz w:val="24"/>
                <w:szCs w:val="24"/>
              </w:rPr>
              <w:t>3.1 Understanding Persistent Skills Gaps and Talent Shortages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_Toc213606454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11</w:t>
            </w:r>
            <w:r w:rsidRPr="00772D9C">
              <w:rPr>
                <w:rFonts w:ascii="Arial" w:hAnsi="Arial" w:cs="Arial"/>
                <w:noProof/>
                <w:webHidden/>
                <w:sz w:val="24"/>
                <w:szCs w:val="24"/>
              </w:rPr>
              <w:fldChar w:fldCharType="end"/>
            </w:r>
          </w:hyperlink>
        </w:p>
        <w:p w14:paraId="40EF046C" w14:textId="41F555A2"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5" w:history="1">
            <w:r w:rsidRPr="00772D9C">
              <w:rPr>
                <w:rStyle w:val="Hyperlink"/>
                <w:rFonts w:ascii="Arial" w:hAnsi="Arial" w:cs="Arial"/>
                <w:noProof/>
                <w:sz w:val="24"/>
                <w:szCs w:val="24"/>
              </w:rPr>
              <w:t>3.2 Strategic HRM Approaches to Address Skills Gaps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_Toc213606455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11</w:t>
            </w:r>
            <w:r w:rsidRPr="00772D9C">
              <w:rPr>
                <w:rFonts w:ascii="Arial" w:hAnsi="Arial" w:cs="Arial"/>
                <w:noProof/>
                <w:webHidden/>
                <w:sz w:val="24"/>
                <w:szCs w:val="24"/>
              </w:rPr>
              <w:fldChar w:fldCharType="end"/>
            </w:r>
          </w:hyperlink>
        </w:p>
        <w:p w14:paraId="2C897116" w14:textId="4F477F20" w:rsidR="00772D9C" w:rsidRPr="00772D9C" w:rsidRDefault="00772D9C" w:rsidP="00772D9C">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6" w:history="1">
            <w:r w:rsidRPr="00772D9C">
              <w:rPr>
                <w:rStyle w:val="Hyperlink"/>
                <w:rFonts w:ascii="Arial" w:hAnsi="Arial" w:cs="Arial"/>
                <w:noProof/>
                <w:sz w:val="24"/>
                <w:szCs w:val="24"/>
              </w:rPr>
              <w:t>3.2.1 Build Strategy – Internal Talent Development</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_Toc213606456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11</w:t>
            </w:r>
            <w:r w:rsidRPr="00772D9C">
              <w:rPr>
                <w:rFonts w:ascii="Arial" w:hAnsi="Arial" w:cs="Arial"/>
                <w:noProof/>
                <w:webHidden/>
                <w:sz w:val="24"/>
                <w:szCs w:val="24"/>
              </w:rPr>
              <w:fldChar w:fldCharType="end"/>
            </w:r>
          </w:hyperlink>
        </w:p>
        <w:p w14:paraId="2FC42845" w14:textId="590AC1F8" w:rsidR="00772D9C" w:rsidRPr="00772D9C" w:rsidRDefault="00772D9C" w:rsidP="00772D9C">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7" w:history="1">
            <w:r w:rsidRPr="00772D9C">
              <w:rPr>
                <w:rStyle w:val="Hyperlink"/>
                <w:rFonts w:ascii="Arial" w:hAnsi="Arial" w:cs="Arial"/>
                <w:noProof/>
                <w:sz w:val="24"/>
                <w:szCs w:val="24"/>
              </w:rPr>
              <w:t>3.2.2 Buy Strategy – Recruitment and Selection</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_Toc213606457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11</w:t>
            </w:r>
            <w:r w:rsidRPr="00772D9C">
              <w:rPr>
                <w:rFonts w:ascii="Arial" w:hAnsi="Arial" w:cs="Arial"/>
                <w:noProof/>
                <w:webHidden/>
                <w:sz w:val="24"/>
                <w:szCs w:val="24"/>
              </w:rPr>
              <w:fldChar w:fldCharType="end"/>
            </w:r>
          </w:hyperlink>
        </w:p>
        <w:p w14:paraId="1349994A" w14:textId="43267233" w:rsidR="00772D9C" w:rsidRPr="00772D9C" w:rsidRDefault="00772D9C" w:rsidP="00772D9C">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8" w:history="1">
            <w:r w:rsidRPr="00772D9C">
              <w:rPr>
                <w:rStyle w:val="Hyperlink"/>
                <w:rFonts w:ascii="Arial" w:hAnsi="Arial" w:cs="Arial"/>
                <w:noProof/>
                <w:sz w:val="24"/>
                <w:szCs w:val="24"/>
              </w:rPr>
              <w:t>3.2.3 Borrow Strategy – External Talent Utilisation</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_Toc213606458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12</w:t>
            </w:r>
            <w:r w:rsidRPr="00772D9C">
              <w:rPr>
                <w:rFonts w:ascii="Arial" w:hAnsi="Arial" w:cs="Arial"/>
                <w:noProof/>
                <w:webHidden/>
                <w:sz w:val="24"/>
                <w:szCs w:val="24"/>
              </w:rPr>
              <w:fldChar w:fldCharType="end"/>
            </w:r>
          </w:hyperlink>
        </w:p>
        <w:p w14:paraId="098A6488" w14:textId="283511D2" w:rsidR="00772D9C" w:rsidRPr="00772D9C" w:rsidRDefault="00772D9C" w:rsidP="00772D9C">
          <w:pPr>
            <w:pStyle w:val="TOC3"/>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59" w:history="1">
            <w:r w:rsidRPr="00772D9C">
              <w:rPr>
                <w:rStyle w:val="Hyperlink"/>
                <w:rFonts w:ascii="Arial" w:hAnsi="Arial" w:cs="Arial"/>
                <w:noProof/>
                <w:sz w:val="24"/>
                <w:szCs w:val="24"/>
              </w:rPr>
              <w:t>3.2.4 Bind Strategy – Retention and Employee Engagement</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_Toc213606459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12</w:t>
            </w:r>
            <w:r w:rsidRPr="00772D9C">
              <w:rPr>
                <w:rFonts w:ascii="Arial" w:hAnsi="Arial" w:cs="Arial"/>
                <w:noProof/>
                <w:webHidden/>
                <w:sz w:val="24"/>
                <w:szCs w:val="24"/>
              </w:rPr>
              <w:fldChar w:fldCharType="end"/>
            </w:r>
          </w:hyperlink>
        </w:p>
        <w:p w14:paraId="1D3F752C" w14:textId="7730E47A"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0" w:history="1">
            <w:r w:rsidRPr="00772D9C">
              <w:rPr>
                <w:rStyle w:val="Hyperlink"/>
                <w:rFonts w:ascii="Arial" w:hAnsi="Arial" w:cs="Arial"/>
                <w:noProof/>
                <w:sz w:val="24"/>
                <w:szCs w:val="24"/>
              </w:rPr>
              <w:t>3.3 Sector-Specific Examples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_Toc213606460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13</w:t>
            </w:r>
            <w:r w:rsidRPr="00772D9C">
              <w:rPr>
                <w:rFonts w:ascii="Arial" w:hAnsi="Arial" w:cs="Arial"/>
                <w:noProof/>
                <w:webHidden/>
                <w:sz w:val="24"/>
                <w:szCs w:val="24"/>
              </w:rPr>
              <w:fldChar w:fldCharType="end"/>
            </w:r>
          </w:hyperlink>
        </w:p>
        <w:p w14:paraId="267EE291" w14:textId="6013BE65" w:rsidR="00772D9C" w:rsidRPr="00772D9C" w:rsidRDefault="00772D9C"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1" w:history="1">
            <w:r w:rsidRPr="00772D9C">
              <w:rPr>
                <w:rStyle w:val="Hyperlink"/>
                <w:rFonts w:ascii="Arial" w:hAnsi="Arial" w:cs="Arial"/>
                <w:noProof/>
                <w:sz w:val="24"/>
                <w:szCs w:val="24"/>
              </w:rPr>
              <w:t>Ques 4. Reflective Analysis: Personal Capabilities for Working in an International Context</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_Toc213606461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14</w:t>
            </w:r>
            <w:r w:rsidRPr="00772D9C">
              <w:rPr>
                <w:rFonts w:ascii="Arial" w:hAnsi="Arial" w:cs="Arial"/>
                <w:noProof/>
                <w:webHidden/>
                <w:sz w:val="24"/>
                <w:szCs w:val="24"/>
              </w:rPr>
              <w:fldChar w:fldCharType="end"/>
            </w:r>
          </w:hyperlink>
        </w:p>
        <w:p w14:paraId="6CC69663" w14:textId="64765F2A"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2" w:history="1">
            <w:r w:rsidRPr="00772D9C">
              <w:rPr>
                <w:rStyle w:val="Hyperlink"/>
                <w:rFonts w:ascii="Arial" w:hAnsi="Arial" w:cs="Arial"/>
                <w:noProof/>
                <w:sz w:val="24"/>
                <w:szCs w:val="24"/>
              </w:rPr>
              <w:t>4.1 Introduction to Reflective Analysis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_Toc213606462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14</w:t>
            </w:r>
            <w:r w:rsidRPr="00772D9C">
              <w:rPr>
                <w:rFonts w:ascii="Arial" w:hAnsi="Arial" w:cs="Arial"/>
                <w:noProof/>
                <w:webHidden/>
                <w:sz w:val="24"/>
                <w:szCs w:val="24"/>
              </w:rPr>
              <w:fldChar w:fldCharType="end"/>
            </w:r>
          </w:hyperlink>
        </w:p>
        <w:p w14:paraId="19843945" w14:textId="7381A01B"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3" w:history="1">
            <w:r w:rsidRPr="00772D9C">
              <w:rPr>
                <w:rStyle w:val="Hyperlink"/>
                <w:rFonts w:ascii="Arial" w:hAnsi="Arial" w:cs="Arial"/>
                <w:noProof/>
                <w:sz w:val="24"/>
                <w:szCs w:val="24"/>
              </w:rPr>
              <w:t>4.2 Reflection on Key Capabilities(Gibbs Reflective Cycle)</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_Toc213606463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14</w:t>
            </w:r>
            <w:r w:rsidRPr="00772D9C">
              <w:rPr>
                <w:rFonts w:ascii="Arial" w:hAnsi="Arial" w:cs="Arial"/>
                <w:noProof/>
                <w:webHidden/>
                <w:sz w:val="24"/>
                <w:szCs w:val="24"/>
              </w:rPr>
              <w:fldChar w:fldCharType="end"/>
            </w:r>
          </w:hyperlink>
        </w:p>
        <w:p w14:paraId="0095D5BA" w14:textId="3B9144FA" w:rsidR="00772D9C" w:rsidRPr="00772D9C" w:rsidRDefault="00772D9C" w:rsidP="00772D9C">
          <w:pPr>
            <w:pStyle w:val="TOC2"/>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4" w:history="1">
            <w:r w:rsidRPr="00772D9C">
              <w:rPr>
                <w:rStyle w:val="Hyperlink"/>
                <w:rFonts w:ascii="Arial" w:hAnsi="Arial" w:cs="Arial"/>
                <w:noProof/>
                <w:sz w:val="24"/>
                <w:szCs w:val="24"/>
              </w:rPr>
              <w:t>4.3 Development Plan</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_Toc213606464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16</w:t>
            </w:r>
            <w:r w:rsidRPr="00772D9C">
              <w:rPr>
                <w:rFonts w:ascii="Arial" w:hAnsi="Arial" w:cs="Arial"/>
                <w:noProof/>
                <w:webHidden/>
                <w:sz w:val="24"/>
                <w:szCs w:val="24"/>
              </w:rPr>
              <w:fldChar w:fldCharType="end"/>
            </w:r>
          </w:hyperlink>
        </w:p>
        <w:p w14:paraId="0F34E2E4" w14:textId="324DD310" w:rsidR="00772D9C" w:rsidRPr="00772D9C" w:rsidRDefault="00772D9C"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5" w:history="1">
            <w:r w:rsidRPr="00772D9C">
              <w:rPr>
                <w:rStyle w:val="Hyperlink"/>
                <w:rFonts w:ascii="Arial" w:hAnsi="Arial" w:cs="Arial"/>
                <w:noProof/>
                <w:sz w:val="24"/>
                <w:szCs w:val="24"/>
              </w:rPr>
              <w:t>Conclusion</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_Toc213606465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17</w:t>
            </w:r>
            <w:r w:rsidRPr="00772D9C">
              <w:rPr>
                <w:rFonts w:ascii="Arial" w:hAnsi="Arial" w:cs="Arial"/>
                <w:noProof/>
                <w:webHidden/>
                <w:sz w:val="24"/>
                <w:szCs w:val="24"/>
              </w:rPr>
              <w:fldChar w:fldCharType="end"/>
            </w:r>
          </w:hyperlink>
        </w:p>
        <w:p w14:paraId="7AF0FFA5" w14:textId="11816226" w:rsidR="00772D9C" w:rsidRPr="00772D9C" w:rsidRDefault="00772D9C"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6" w:history="1">
            <w:r w:rsidRPr="00772D9C">
              <w:rPr>
                <w:rStyle w:val="Hyperlink"/>
                <w:rFonts w:ascii="Arial" w:hAnsi="Arial" w:cs="Arial"/>
                <w:noProof/>
                <w:sz w:val="24"/>
                <w:szCs w:val="24"/>
              </w:rPr>
              <w:t>References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_Toc213606466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18</w:t>
            </w:r>
            <w:r w:rsidRPr="00772D9C">
              <w:rPr>
                <w:rFonts w:ascii="Arial" w:hAnsi="Arial" w:cs="Arial"/>
                <w:noProof/>
                <w:webHidden/>
                <w:sz w:val="24"/>
                <w:szCs w:val="24"/>
              </w:rPr>
              <w:fldChar w:fldCharType="end"/>
            </w:r>
          </w:hyperlink>
        </w:p>
        <w:p w14:paraId="0A8C58D7" w14:textId="0E32B924" w:rsidR="00772D9C" w:rsidRPr="00772D9C" w:rsidRDefault="00772D9C" w:rsidP="00772D9C">
          <w:pPr>
            <w:pStyle w:val="TOC1"/>
            <w:tabs>
              <w:tab w:val="right" w:leader="dot" w:pos="9016"/>
            </w:tabs>
            <w:spacing w:line="360" w:lineRule="auto"/>
            <w:rPr>
              <w:rFonts w:ascii="Arial" w:eastAsiaTheme="minorEastAsia" w:hAnsi="Arial" w:cs="Arial"/>
              <w:noProof/>
              <w:kern w:val="2"/>
              <w:sz w:val="24"/>
              <w:szCs w:val="24"/>
              <w:lang w:val="en-US"/>
              <w14:ligatures w14:val="standardContextual"/>
            </w:rPr>
          </w:pPr>
          <w:hyperlink w:anchor="_Toc213606467" w:history="1">
            <w:r w:rsidRPr="00772D9C">
              <w:rPr>
                <w:rStyle w:val="Hyperlink"/>
                <w:rFonts w:ascii="Arial" w:hAnsi="Arial" w:cs="Arial"/>
                <w:noProof/>
                <w:sz w:val="24"/>
                <w:szCs w:val="24"/>
              </w:rPr>
              <w:t>Appendices</w:t>
            </w:r>
            <w:r w:rsidRPr="00772D9C">
              <w:rPr>
                <w:rFonts w:ascii="Arial" w:hAnsi="Arial" w:cs="Arial"/>
                <w:noProof/>
                <w:webHidden/>
                <w:sz w:val="24"/>
                <w:szCs w:val="24"/>
              </w:rPr>
              <w:tab/>
            </w:r>
            <w:r w:rsidRPr="00772D9C">
              <w:rPr>
                <w:rFonts w:ascii="Arial" w:hAnsi="Arial" w:cs="Arial"/>
                <w:noProof/>
                <w:webHidden/>
                <w:sz w:val="24"/>
                <w:szCs w:val="24"/>
              </w:rPr>
              <w:fldChar w:fldCharType="begin"/>
            </w:r>
            <w:r w:rsidRPr="00772D9C">
              <w:rPr>
                <w:rFonts w:ascii="Arial" w:hAnsi="Arial" w:cs="Arial"/>
                <w:noProof/>
                <w:webHidden/>
                <w:sz w:val="24"/>
                <w:szCs w:val="24"/>
              </w:rPr>
              <w:instrText xml:space="preserve"> PAGEREF _Toc213606467 \h </w:instrText>
            </w:r>
            <w:r w:rsidRPr="00772D9C">
              <w:rPr>
                <w:rFonts w:ascii="Arial" w:hAnsi="Arial" w:cs="Arial"/>
                <w:noProof/>
                <w:webHidden/>
                <w:sz w:val="24"/>
                <w:szCs w:val="24"/>
              </w:rPr>
            </w:r>
            <w:r w:rsidRPr="00772D9C">
              <w:rPr>
                <w:rFonts w:ascii="Arial" w:hAnsi="Arial" w:cs="Arial"/>
                <w:noProof/>
                <w:webHidden/>
                <w:sz w:val="24"/>
                <w:szCs w:val="24"/>
              </w:rPr>
              <w:fldChar w:fldCharType="separate"/>
            </w:r>
            <w:r w:rsidRPr="00772D9C">
              <w:rPr>
                <w:rFonts w:ascii="Arial" w:hAnsi="Arial" w:cs="Arial"/>
                <w:noProof/>
                <w:webHidden/>
                <w:sz w:val="24"/>
                <w:szCs w:val="24"/>
              </w:rPr>
              <w:t>24</w:t>
            </w:r>
            <w:r w:rsidRPr="00772D9C">
              <w:rPr>
                <w:rFonts w:ascii="Arial" w:hAnsi="Arial" w:cs="Arial"/>
                <w:noProof/>
                <w:webHidden/>
                <w:sz w:val="24"/>
                <w:szCs w:val="24"/>
              </w:rPr>
              <w:fldChar w:fldCharType="end"/>
            </w:r>
          </w:hyperlink>
        </w:p>
        <w:p w14:paraId="1C582428" w14:textId="4538DD96" w:rsidR="00A42AB0" w:rsidRPr="00772D9C" w:rsidRDefault="008D3D96" w:rsidP="00772D9C">
          <w:pPr>
            <w:spacing w:line="360" w:lineRule="auto"/>
            <w:rPr>
              <w:rFonts w:ascii="Arial" w:hAnsi="Arial" w:cs="Arial"/>
              <w:sz w:val="24"/>
              <w:szCs w:val="24"/>
            </w:rPr>
          </w:pPr>
          <w:r w:rsidRPr="00772D9C">
            <w:rPr>
              <w:rFonts w:ascii="Arial" w:hAnsi="Arial" w:cs="Arial"/>
              <w:b/>
              <w:bCs/>
              <w:noProof/>
              <w:sz w:val="24"/>
              <w:szCs w:val="24"/>
            </w:rPr>
            <w:fldChar w:fldCharType="end"/>
          </w:r>
        </w:p>
      </w:sdtContent>
    </w:sdt>
    <w:p w14:paraId="0FA7F531" w14:textId="5676884F" w:rsidR="00F70994" w:rsidRPr="00772D9C" w:rsidRDefault="008B1B16" w:rsidP="009C14A1">
      <w:pPr>
        <w:pStyle w:val="Heading1"/>
        <w:spacing w:line="360" w:lineRule="auto"/>
        <w:jc w:val="both"/>
        <w:rPr>
          <w:rFonts w:cs="Arial"/>
          <w:szCs w:val="24"/>
        </w:rPr>
      </w:pPr>
      <w:bookmarkStart w:id="0" w:name="_Toc213606443"/>
      <w:r w:rsidRPr="00772D9C">
        <w:rPr>
          <w:rFonts w:cs="Arial"/>
          <w:szCs w:val="24"/>
        </w:rPr>
        <w:lastRenderedPageBreak/>
        <w:t>Introduction</w:t>
      </w:r>
      <w:bookmarkEnd w:id="0"/>
    </w:p>
    <w:p w14:paraId="4829315F" w14:textId="77777777" w:rsidR="00F70994" w:rsidRDefault="00F70994" w:rsidP="009C14A1">
      <w:pPr>
        <w:pStyle w:val="Heading2"/>
        <w:spacing w:line="360" w:lineRule="auto"/>
        <w:rPr>
          <w:rFonts w:cs="Arial"/>
          <w:szCs w:val="24"/>
        </w:rPr>
      </w:pPr>
      <w:bookmarkStart w:id="1" w:name="_Toc213606444"/>
      <w:r w:rsidRPr="00772D9C">
        <w:rPr>
          <w:rFonts w:cs="Arial"/>
          <w:szCs w:val="24"/>
        </w:rPr>
        <w:t>Context and Global Forces</w:t>
      </w:r>
      <w:bookmarkEnd w:id="1"/>
    </w:p>
    <w:p w14:paraId="6D6A2482" w14:textId="233EA7C9" w:rsidR="00C156DB" w:rsidRPr="00800C58" w:rsidRDefault="00800C58" w:rsidP="00800C58">
      <w:pPr>
        <w:spacing w:line="360" w:lineRule="auto"/>
        <w:jc w:val="both"/>
        <w:rPr>
          <w:rFonts w:ascii="Arial" w:hAnsi="Arial" w:cs="Arial"/>
          <w:sz w:val="24"/>
          <w:szCs w:val="24"/>
        </w:rPr>
      </w:pPr>
      <w:r w:rsidRPr="00800C58">
        <w:rPr>
          <w:rFonts w:ascii="Arial" w:hAnsi="Arial" w:cs="Arial"/>
          <w:sz w:val="24"/>
          <w:szCs w:val="24"/>
        </w:rPr>
        <w:t>The concept of globalisation and introduction of technology has radically altered the labour markets and how organisations attain, develop, and retain talents. Automation, artificial intelligence, and digital channels have changed the nature of work arrangements and generated non-geographical and extremely competitive workplaces.</w:t>
      </w:r>
    </w:p>
    <w:p w14:paraId="1A777CD6" w14:textId="77777777" w:rsidR="00F70994" w:rsidRPr="00772D9C" w:rsidRDefault="00F70994" w:rsidP="009C14A1">
      <w:pPr>
        <w:pStyle w:val="Heading2"/>
        <w:spacing w:line="360" w:lineRule="auto"/>
        <w:rPr>
          <w:rFonts w:cs="Arial"/>
          <w:szCs w:val="24"/>
        </w:rPr>
      </w:pPr>
      <w:bookmarkStart w:id="2" w:name="_Toc213606445"/>
      <w:r w:rsidRPr="00772D9C">
        <w:rPr>
          <w:rFonts w:cs="Arial"/>
          <w:szCs w:val="24"/>
        </w:rPr>
        <w:t>Impact on HRM and IHRM</w:t>
      </w:r>
      <w:bookmarkEnd w:id="2"/>
    </w:p>
    <w:p w14:paraId="7F072561" w14:textId="65C1BB03" w:rsidR="00F70994" w:rsidRPr="00772D9C" w:rsidRDefault="00E8457F" w:rsidP="009C14A1">
      <w:pPr>
        <w:spacing w:line="360" w:lineRule="auto"/>
        <w:jc w:val="both"/>
        <w:rPr>
          <w:rFonts w:ascii="Arial" w:eastAsiaTheme="majorEastAsia" w:hAnsi="Arial" w:cs="Arial"/>
          <w:b/>
          <w:color w:val="000000" w:themeColor="text1"/>
          <w:sz w:val="24"/>
          <w:szCs w:val="24"/>
        </w:rPr>
      </w:pPr>
      <w:r w:rsidRPr="00E8457F">
        <w:rPr>
          <w:rFonts w:ascii="Arial" w:hAnsi="Arial" w:cs="Arial"/>
          <w:sz w:val="24"/>
          <w:szCs w:val="24"/>
        </w:rPr>
        <w:t>Such radical changes require strategic and adaptive Human Resource Management (HRM) and International HRM (IHRM) solutions that apply technological advancement and human-centred practises, which ensure organisational agility, inclusiveness, and sustainability in a very globalised economy.</w:t>
      </w:r>
      <w:r w:rsidR="00F70994" w:rsidRPr="00772D9C">
        <w:rPr>
          <w:rFonts w:ascii="Arial" w:hAnsi="Arial" w:cs="Arial"/>
          <w:sz w:val="24"/>
          <w:szCs w:val="24"/>
        </w:rPr>
        <w:br w:type="page"/>
      </w:r>
    </w:p>
    <w:p w14:paraId="06048A63" w14:textId="397600BD" w:rsidR="008B1B16" w:rsidRPr="00772D9C" w:rsidRDefault="008B1B16" w:rsidP="009C14A1">
      <w:pPr>
        <w:pStyle w:val="Heading1"/>
        <w:spacing w:line="360" w:lineRule="auto"/>
        <w:jc w:val="both"/>
        <w:rPr>
          <w:rFonts w:cs="Arial"/>
          <w:szCs w:val="24"/>
        </w:rPr>
      </w:pPr>
      <w:r w:rsidRPr="00772D9C">
        <w:rPr>
          <w:rFonts w:cs="Arial"/>
          <w:szCs w:val="24"/>
        </w:rPr>
        <w:lastRenderedPageBreak/>
        <w:t xml:space="preserve"> </w:t>
      </w:r>
    </w:p>
    <w:p w14:paraId="68EB8E40" w14:textId="77777777" w:rsidR="008B1B16" w:rsidRPr="00772D9C" w:rsidRDefault="008B1B16" w:rsidP="009C14A1">
      <w:pPr>
        <w:pStyle w:val="Heading1"/>
        <w:spacing w:line="360" w:lineRule="auto"/>
        <w:jc w:val="both"/>
        <w:rPr>
          <w:rFonts w:cs="Arial"/>
          <w:szCs w:val="24"/>
        </w:rPr>
      </w:pPr>
      <w:bookmarkStart w:id="3" w:name="_Toc213606446"/>
      <w:r w:rsidRPr="00772D9C">
        <w:rPr>
          <w:rFonts w:cs="Arial"/>
          <w:szCs w:val="24"/>
        </w:rPr>
        <w:t>Ques 1. Technological Advancements and Their Impact on Labour Markets</w:t>
      </w:r>
      <w:bookmarkEnd w:id="3"/>
    </w:p>
    <w:p w14:paraId="60B510B7" w14:textId="642B5785" w:rsidR="00F70994" w:rsidRPr="00772D9C" w:rsidRDefault="008B1B16" w:rsidP="00BE22AF">
      <w:pPr>
        <w:pStyle w:val="Heading2"/>
        <w:rPr>
          <w:rFonts w:cs="Arial"/>
          <w:szCs w:val="24"/>
        </w:rPr>
      </w:pPr>
      <w:bookmarkStart w:id="4" w:name="_Toc213606447"/>
      <w:r w:rsidRPr="00772D9C">
        <w:rPr>
          <w:rFonts w:cs="Arial"/>
          <w:szCs w:val="24"/>
        </w:rPr>
        <w:t xml:space="preserve">1.1 </w:t>
      </w:r>
      <w:r w:rsidR="00F70994" w:rsidRPr="00772D9C">
        <w:rPr>
          <w:rFonts w:cs="Arial"/>
          <w:szCs w:val="24"/>
        </w:rPr>
        <w:t>The Reshaping of Labour Markets</w:t>
      </w:r>
      <w:bookmarkEnd w:id="4"/>
    </w:p>
    <w:p w14:paraId="75D88079" w14:textId="77777777" w:rsidR="009A1DF8" w:rsidRPr="00772D9C" w:rsidRDefault="00F70994" w:rsidP="009C14A1">
      <w:pPr>
        <w:spacing w:line="360" w:lineRule="auto"/>
        <w:jc w:val="both"/>
        <w:rPr>
          <w:rFonts w:ascii="Arial" w:hAnsi="Arial" w:cs="Arial"/>
          <w:b/>
          <w:bCs/>
          <w:sz w:val="24"/>
          <w:szCs w:val="24"/>
        </w:rPr>
      </w:pPr>
      <w:r w:rsidRPr="00772D9C">
        <w:rPr>
          <w:rFonts w:ascii="Arial" w:hAnsi="Arial" w:cs="Arial"/>
          <w:b/>
          <w:bCs/>
          <w:sz w:val="24"/>
          <w:szCs w:val="24"/>
        </w:rPr>
        <w:t>Automation &amp; AI</w:t>
      </w:r>
    </w:p>
    <w:p w14:paraId="4C85C4C4" w14:textId="5B10C6E2" w:rsidR="003E11DA" w:rsidRPr="00772D9C" w:rsidRDefault="003E11DA" w:rsidP="009C14A1">
      <w:pPr>
        <w:spacing w:line="360" w:lineRule="auto"/>
        <w:jc w:val="both"/>
        <w:rPr>
          <w:rFonts w:ascii="Arial" w:hAnsi="Arial" w:cs="Arial"/>
          <w:sz w:val="24"/>
          <w:szCs w:val="24"/>
        </w:rPr>
      </w:pPr>
      <w:r w:rsidRPr="00772D9C">
        <w:rPr>
          <w:rFonts w:ascii="Arial" w:hAnsi="Arial" w:cs="Arial"/>
          <w:sz w:val="24"/>
          <w:szCs w:val="24"/>
        </w:rPr>
        <w:t>According to the World Economic Forum, AI and information-processing technologies will have transformed 86 per cent of businesses by 2030 creating 170 million jobs and destroying 92 million existing ones (Wheeler, 2025). In the U.S., the number of workers between 22 and 25 years who were employed in AI-exposed industries dropped by 16 percent between 2022 and 2025 (Knight, 2025). The technological upheaval is indicative of what Brynjolfsson and McAfee (2014) describe as the second machine age, meaning a period wherein automation and digital innovation fundamentally change the concept of productivity, job structures, and needs in human capital.</w:t>
      </w:r>
    </w:p>
    <w:p w14:paraId="261D772E" w14:textId="119C0142" w:rsidR="009A1DF8" w:rsidRPr="00772D9C" w:rsidRDefault="00F70994" w:rsidP="009C14A1">
      <w:pPr>
        <w:spacing w:line="360" w:lineRule="auto"/>
        <w:jc w:val="both"/>
        <w:rPr>
          <w:rFonts w:ascii="Arial" w:hAnsi="Arial" w:cs="Arial"/>
          <w:b/>
          <w:bCs/>
          <w:sz w:val="24"/>
          <w:szCs w:val="24"/>
        </w:rPr>
      </w:pPr>
      <w:r w:rsidRPr="00772D9C">
        <w:rPr>
          <w:rFonts w:ascii="Arial" w:hAnsi="Arial" w:cs="Arial"/>
          <w:b/>
          <w:bCs/>
          <w:sz w:val="24"/>
          <w:szCs w:val="24"/>
        </w:rPr>
        <w:t>The Gig Economy &amp;amp; Digital Platforms</w:t>
      </w:r>
    </w:p>
    <w:p w14:paraId="57192EC4" w14:textId="61CF5AA6"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Online gig platforms globally nowadays match talent in 186 countries- there are 545 active platforms as of 2023 alone (The World Bank, 2023).  It is estimated that by 2025, 154 to 435 million people around the globe will be participants in platform-mediated work (HR stacks, 2025). Meanwhile, the blue-collar gig hiring in India increased by 92% annually in 2024 with e-commerce and ride-hailing sites as the major powerhouses (The Economic Times, 2025).</w:t>
      </w:r>
    </w:p>
    <w:p w14:paraId="260FC892" w14:textId="27C21309" w:rsidR="009A1DF8" w:rsidRPr="00772D9C" w:rsidRDefault="009A1DF8" w:rsidP="009C14A1">
      <w:pPr>
        <w:spacing w:line="360" w:lineRule="auto"/>
        <w:jc w:val="center"/>
        <w:rPr>
          <w:rFonts w:ascii="Arial" w:hAnsi="Arial" w:cs="Arial"/>
          <w:b/>
          <w:bCs/>
          <w:sz w:val="24"/>
          <w:szCs w:val="24"/>
        </w:rPr>
      </w:pPr>
      <w:r w:rsidRPr="00772D9C">
        <w:rPr>
          <w:rFonts w:ascii="Arial" w:hAnsi="Arial" w:cs="Arial"/>
          <w:b/>
          <w:bCs/>
          <w:noProof/>
          <w:sz w:val="24"/>
          <w:szCs w:val="24"/>
        </w:rPr>
        <w:lastRenderedPageBreak/>
        <w:drawing>
          <wp:inline distT="0" distB="0" distL="0" distR="0" wp14:anchorId="5B610BCC" wp14:editId="1974AD3D">
            <wp:extent cx="3857464" cy="3314700"/>
            <wp:effectExtent l="0" t="0" r="0" b="0"/>
            <wp:docPr id="160368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683793" name=""/>
                    <pic:cNvPicPr/>
                  </pic:nvPicPr>
                  <pic:blipFill>
                    <a:blip r:embed="rId8"/>
                    <a:stretch>
                      <a:fillRect/>
                    </a:stretch>
                  </pic:blipFill>
                  <pic:spPr>
                    <a:xfrm>
                      <a:off x="0" y="0"/>
                      <a:ext cx="3870390" cy="3325807"/>
                    </a:xfrm>
                    <a:prstGeom prst="rect">
                      <a:avLst/>
                    </a:prstGeom>
                  </pic:spPr>
                </pic:pic>
              </a:graphicData>
            </a:graphic>
          </wp:inline>
        </w:drawing>
      </w:r>
    </w:p>
    <w:p w14:paraId="0BA1DCE4" w14:textId="1F2C08D3" w:rsidR="008D6701" w:rsidRPr="00772D9C" w:rsidRDefault="008D6701" w:rsidP="009C14A1">
      <w:pPr>
        <w:spacing w:line="360" w:lineRule="auto"/>
        <w:jc w:val="center"/>
        <w:rPr>
          <w:rFonts w:ascii="Arial" w:hAnsi="Arial" w:cs="Arial"/>
          <w:b/>
          <w:bCs/>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01</w:t>
      </w:r>
      <w:r w:rsidRPr="00772D9C">
        <w:rPr>
          <w:rFonts w:ascii="Arial" w:hAnsi="Arial" w:cs="Arial"/>
          <w:b/>
          <w:bCs/>
          <w:sz w:val="24"/>
          <w:szCs w:val="24"/>
        </w:rPr>
        <w:t>:</w:t>
      </w:r>
      <w:r w:rsidR="00A42AB0" w:rsidRPr="00772D9C">
        <w:rPr>
          <w:rFonts w:ascii="Arial" w:hAnsi="Arial" w:cs="Arial"/>
          <w:b/>
          <w:bCs/>
          <w:sz w:val="24"/>
          <w:szCs w:val="24"/>
        </w:rPr>
        <w:t xml:space="preserve"> </w:t>
      </w:r>
      <w:r w:rsidR="00A42AB0" w:rsidRPr="00772D9C">
        <w:rPr>
          <w:rFonts w:ascii="Arial" w:hAnsi="Arial" w:cs="Arial"/>
          <w:sz w:val="24"/>
          <w:szCs w:val="24"/>
        </w:rPr>
        <w:t>Snippet showing Blue-Collar Gig Hiring in India Increases by 92% in 2024</w:t>
      </w:r>
    </w:p>
    <w:p w14:paraId="73E6CE1B" w14:textId="47AA8E77" w:rsidR="008D6701" w:rsidRPr="00772D9C" w:rsidRDefault="008D6701" w:rsidP="009C14A1">
      <w:pPr>
        <w:spacing w:line="360" w:lineRule="auto"/>
        <w:jc w:val="center"/>
        <w:rPr>
          <w:rFonts w:ascii="Arial" w:hAnsi="Arial" w:cs="Arial"/>
          <w:b/>
          <w:bCs/>
          <w:sz w:val="24"/>
          <w:szCs w:val="24"/>
        </w:rPr>
      </w:pPr>
      <w:r w:rsidRPr="00772D9C">
        <w:rPr>
          <w:rFonts w:ascii="Arial" w:hAnsi="Arial" w:cs="Arial"/>
          <w:b/>
          <w:bCs/>
          <w:sz w:val="24"/>
          <w:szCs w:val="24"/>
        </w:rPr>
        <w:t xml:space="preserve">Source: </w:t>
      </w:r>
      <w:r w:rsidRPr="00772D9C">
        <w:rPr>
          <w:rFonts w:ascii="Arial" w:hAnsi="Arial" w:cs="Arial"/>
          <w:sz w:val="24"/>
          <w:szCs w:val="24"/>
        </w:rPr>
        <w:t>(The Economic Times, 2025)</w:t>
      </w:r>
    </w:p>
    <w:p w14:paraId="003A4A11" w14:textId="77777777" w:rsidR="009A1DF8" w:rsidRPr="00772D9C" w:rsidRDefault="00F70994" w:rsidP="009C14A1">
      <w:pPr>
        <w:spacing w:line="360" w:lineRule="auto"/>
        <w:rPr>
          <w:rFonts w:ascii="Arial" w:hAnsi="Arial" w:cs="Arial"/>
          <w:b/>
          <w:bCs/>
          <w:sz w:val="24"/>
          <w:szCs w:val="24"/>
        </w:rPr>
      </w:pPr>
      <w:r w:rsidRPr="00772D9C">
        <w:rPr>
          <w:rFonts w:ascii="Arial" w:hAnsi="Arial" w:cs="Arial"/>
          <w:b/>
          <w:bCs/>
          <w:sz w:val="24"/>
          <w:szCs w:val="24"/>
        </w:rPr>
        <w:t>Skills Churn</w:t>
      </w:r>
    </w:p>
    <w:p w14:paraId="5F318CCD" w14:textId="113E11CC"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 xml:space="preserve">The World Economic Forum states that 39 percent of the core worker skills will transform by 2030, as compared to 44 percent in 2023 (World Economic Forum, 2025a). In the meantime, according to the Global Skills Report 2025, 97 percent of employers are investigating skills-based hiring, which is a sign of the quick obsolescence of old-fashioned qualifications (CTF Assets, 2025). </w:t>
      </w:r>
    </w:p>
    <w:p w14:paraId="0599D544" w14:textId="7B4CE76F" w:rsidR="008D6701" w:rsidRPr="00772D9C" w:rsidRDefault="008D6701" w:rsidP="009C14A1">
      <w:pPr>
        <w:spacing w:line="360" w:lineRule="auto"/>
        <w:jc w:val="center"/>
        <w:rPr>
          <w:rFonts w:ascii="Arial" w:hAnsi="Arial" w:cs="Arial"/>
          <w:sz w:val="24"/>
          <w:szCs w:val="24"/>
        </w:rPr>
      </w:pPr>
      <w:r w:rsidRPr="00772D9C">
        <w:rPr>
          <w:rFonts w:ascii="Arial" w:hAnsi="Arial" w:cs="Arial"/>
          <w:noProof/>
          <w:sz w:val="24"/>
          <w:szCs w:val="24"/>
        </w:rPr>
        <w:lastRenderedPageBreak/>
        <w:drawing>
          <wp:inline distT="0" distB="0" distL="0" distR="0" wp14:anchorId="5335A7C6" wp14:editId="5F170A51">
            <wp:extent cx="5397500" cy="3581400"/>
            <wp:effectExtent l="0" t="0" r="0" b="0"/>
            <wp:docPr id="5090230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7645" cy="3608037"/>
                    </a:xfrm>
                    <a:prstGeom prst="rect">
                      <a:avLst/>
                    </a:prstGeom>
                    <a:noFill/>
                  </pic:spPr>
                </pic:pic>
              </a:graphicData>
            </a:graphic>
          </wp:inline>
        </w:drawing>
      </w:r>
    </w:p>
    <w:p w14:paraId="01C226A1" w14:textId="594DAB4D" w:rsidR="008D6701" w:rsidRPr="00772D9C" w:rsidRDefault="008D6701" w:rsidP="009C14A1">
      <w:pPr>
        <w:spacing w:line="360" w:lineRule="auto"/>
        <w:jc w:val="center"/>
        <w:rPr>
          <w:rFonts w:ascii="Arial" w:hAnsi="Arial" w:cs="Arial"/>
          <w:b/>
          <w:bCs/>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02</w:t>
      </w:r>
      <w:r w:rsidRPr="00772D9C">
        <w:rPr>
          <w:rFonts w:ascii="Arial" w:hAnsi="Arial" w:cs="Arial"/>
          <w:b/>
          <w:bCs/>
          <w:sz w:val="24"/>
          <w:szCs w:val="24"/>
        </w:rPr>
        <w:t>:</w:t>
      </w:r>
      <w:r w:rsidR="00A42AB0" w:rsidRPr="00772D9C">
        <w:rPr>
          <w:rFonts w:ascii="Arial" w:hAnsi="Arial" w:cs="Arial"/>
          <w:b/>
          <w:bCs/>
          <w:sz w:val="24"/>
          <w:szCs w:val="24"/>
        </w:rPr>
        <w:t xml:space="preserve"> </w:t>
      </w:r>
      <w:r w:rsidR="00A42AB0" w:rsidRPr="00772D9C">
        <w:rPr>
          <w:rFonts w:ascii="Arial" w:hAnsi="Arial" w:cs="Arial"/>
          <w:sz w:val="24"/>
          <w:szCs w:val="24"/>
        </w:rPr>
        <w:t>Evolution of Workers’ Core Skills Expected to Change or Remain the Same (2016–2025)</w:t>
      </w:r>
    </w:p>
    <w:p w14:paraId="513E948A" w14:textId="03F76A49" w:rsidR="008D6701" w:rsidRPr="00772D9C" w:rsidRDefault="008D6701" w:rsidP="009C14A1">
      <w:pPr>
        <w:spacing w:line="360" w:lineRule="auto"/>
        <w:jc w:val="center"/>
        <w:rPr>
          <w:rFonts w:ascii="Arial" w:hAnsi="Arial" w:cs="Arial"/>
          <w:b/>
          <w:bCs/>
          <w:sz w:val="24"/>
          <w:szCs w:val="24"/>
        </w:rPr>
      </w:pPr>
      <w:r w:rsidRPr="00772D9C">
        <w:rPr>
          <w:rFonts w:ascii="Arial" w:hAnsi="Arial" w:cs="Arial"/>
          <w:b/>
          <w:bCs/>
          <w:sz w:val="24"/>
          <w:szCs w:val="24"/>
        </w:rPr>
        <w:t xml:space="preserve">Source: </w:t>
      </w:r>
      <w:r w:rsidRPr="00772D9C">
        <w:rPr>
          <w:rFonts w:ascii="Arial" w:hAnsi="Arial" w:cs="Arial"/>
          <w:sz w:val="24"/>
          <w:szCs w:val="24"/>
        </w:rPr>
        <w:t>(World Economic Forum, 2025)</w:t>
      </w:r>
    </w:p>
    <w:p w14:paraId="4113E8B7" w14:textId="6593FD2C" w:rsidR="008B1B16" w:rsidRPr="00772D9C" w:rsidRDefault="008B1B16" w:rsidP="00BE22AF">
      <w:pPr>
        <w:pStyle w:val="Heading2"/>
        <w:rPr>
          <w:rFonts w:cs="Arial"/>
          <w:szCs w:val="24"/>
        </w:rPr>
      </w:pPr>
      <w:bookmarkStart w:id="5" w:name="_Toc213606448"/>
      <w:r w:rsidRPr="00772D9C">
        <w:rPr>
          <w:rFonts w:cs="Arial"/>
          <w:szCs w:val="24"/>
        </w:rPr>
        <w:t>1.</w:t>
      </w:r>
      <w:r w:rsidR="00F70994" w:rsidRPr="00772D9C">
        <w:rPr>
          <w:rFonts w:cs="Arial"/>
          <w:szCs w:val="24"/>
        </w:rPr>
        <w:t>2</w:t>
      </w:r>
      <w:r w:rsidRPr="00772D9C">
        <w:rPr>
          <w:rFonts w:cs="Arial"/>
          <w:szCs w:val="24"/>
        </w:rPr>
        <w:t xml:space="preserve"> Implications for Human Resource Management (HRM) Strategies</w:t>
      </w:r>
      <w:bookmarkEnd w:id="5"/>
    </w:p>
    <w:p w14:paraId="6D6E7530" w14:textId="1A0CC576" w:rsidR="008D6701" w:rsidRPr="00772D9C" w:rsidRDefault="008D6701" w:rsidP="009C14A1">
      <w:pPr>
        <w:spacing w:line="360" w:lineRule="auto"/>
        <w:jc w:val="both"/>
        <w:rPr>
          <w:rFonts w:ascii="Arial" w:hAnsi="Arial" w:cs="Arial"/>
          <w:b/>
          <w:bCs/>
          <w:sz w:val="24"/>
          <w:szCs w:val="24"/>
        </w:rPr>
      </w:pPr>
      <w:r w:rsidRPr="00772D9C">
        <w:rPr>
          <w:rFonts w:ascii="Arial" w:hAnsi="Arial" w:cs="Arial"/>
          <w:b/>
          <w:bCs/>
          <w:sz w:val="24"/>
          <w:szCs w:val="24"/>
        </w:rPr>
        <w:t>Talent Acquisition</w:t>
      </w:r>
    </w:p>
    <w:p w14:paraId="20A0A908" w14:textId="3FB67C44"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AI-driven recruitment changes the way businesses hire employees, and 87 percent of firms are currently using AI technologies to recruit and screen candidates better than before, which is projected to grow to $1.1 billion by 2030 compared to 2020 (Kumar, 2023). These systems allow the screening of much larger pools of talent and switching selection criteria to adaptability and learning-agility which are the characteristics of workforces that have to deal with high rates of technological change.</w:t>
      </w:r>
    </w:p>
    <w:p w14:paraId="5EF26C70" w14:textId="51786F7E" w:rsidR="009C4D09" w:rsidRPr="00772D9C" w:rsidRDefault="009C4D09" w:rsidP="009C14A1">
      <w:pPr>
        <w:spacing w:line="360" w:lineRule="auto"/>
        <w:jc w:val="center"/>
        <w:rPr>
          <w:rFonts w:ascii="Arial" w:hAnsi="Arial" w:cs="Arial"/>
          <w:sz w:val="24"/>
          <w:szCs w:val="24"/>
        </w:rPr>
      </w:pPr>
      <w:r w:rsidRPr="00772D9C">
        <w:rPr>
          <w:rFonts w:ascii="Arial" w:hAnsi="Arial" w:cs="Arial"/>
          <w:noProof/>
          <w:sz w:val="24"/>
          <w:szCs w:val="24"/>
        </w:rPr>
        <w:lastRenderedPageBreak/>
        <w:drawing>
          <wp:inline distT="0" distB="0" distL="0" distR="0" wp14:anchorId="145A18CE" wp14:editId="7E1C7A66">
            <wp:extent cx="4863317" cy="2571750"/>
            <wp:effectExtent l="0" t="0" r="0" b="0"/>
            <wp:docPr id="13758792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879247" name=""/>
                    <pic:cNvPicPr/>
                  </pic:nvPicPr>
                  <pic:blipFill>
                    <a:blip r:embed="rId10"/>
                    <a:stretch>
                      <a:fillRect/>
                    </a:stretch>
                  </pic:blipFill>
                  <pic:spPr>
                    <a:xfrm>
                      <a:off x="0" y="0"/>
                      <a:ext cx="4880103" cy="2580626"/>
                    </a:xfrm>
                    <a:prstGeom prst="rect">
                      <a:avLst/>
                    </a:prstGeom>
                  </pic:spPr>
                </pic:pic>
              </a:graphicData>
            </a:graphic>
          </wp:inline>
        </w:drawing>
      </w:r>
    </w:p>
    <w:p w14:paraId="23A9B0D4" w14:textId="0C5B2967" w:rsidR="009C4D09" w:rsidRPr="00772D9C" w:rsidRDefault="009C4D09" w:rsidP="009C14A1">
      <w:pPr>
        <w:spacing w:line="360" w:lineRule="auto"/>
        <w:jc w:val="center"/>
        <w:rPr>
          <w:rFonts w:ascii="Arial" w:hAnsi="Arial" w:cs="Arial"/>
          <w:b/>
          <w:bCs/>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03</w:t>
      </w:r>
      <w:r w:rsidRPr="00772D9C">
        <w:rPr>
          <w:rFonts w:ascii="Arial" w:hAnsi="Arial" w:cs="Arial"/>
          <w:b/>
          <w:bCs/>
          <w:sz w:val="24"/>
          <w:szCs w:val="24"/>
        </w:rPr>
        <w:t>:</w:t>
      </w:r>
      <w:r w:rsidR="00A42AB0" w:rsidRPr="00772D9C">
        <w:rPr>
          <w:rFonts w:ascii="Arial" w:hAnsi="Arial" w:cs="Arial"/>
          <w:b/>
          <w:bCs/>
          <w:sz w:val="24"/>
          <w:szCs w:val="24"/>
        </w:rPr>
        <w:t xml:space="preserve"> </w:t>
      </w:r>
      <w:r w:rsidR="00A42AB0" w:rsidRPr="00772D9C">
        <w:rPr>
          <w:rFonts w:ascii="Arial" w:hAnsi="Arial" w:cs="Arial"/>
          <w:sz w:val="24"/>
          <w:szCs w:val="24"/>
        </w:rPr>
        <w:t>Market Size of the Global AI Recruitment Industry (2020–2030)</w:t>
      </w:r>
    </w:p>
    <w:p w14:paraId="64C367BC" w14:textId="14E2BE04" w:rsidR="009C4D09" w:rsidRPr="00772D9C" w:rsidRDefault="009C4D09" w:rsidP="009C14A1">
      <w:pPr>
        <w:spacing w:line="360" w:lineRule="auto"/>
        <w:jc w:val="center"/>
        <w:rPr>
          <w:rFonts w:ascii="Arial" w:hAnsi="Arial" w:cs="Arial"/>
          <w:b/>
          <w:bCs/>
          <w:sz w:val="24"/>
          <w:szCs w:val="24"/>
        </w:rPr>
      </w:pPr>
      <w:r w:rsidRPr="00772D9C">
        <w:rPr>
          <w:rFonts w:ascii="Arial" w:hAnsi="Arial" w:cs="Arial"/>
          <w:b/>
          <w:bCs/>
          <w:sz w:val="24"/>
          <w:szCs w:val="24"/>
        </w:rPr>
        <w:t xml:space="preserve">Source: </w:t>
      </w:r>
      <w:r w:rsidRPr="00772D9C">
        <w:rPr>
          <w:rFonts w:ascii="Arial" w:hAnsi="Arial" w:cs="Arial"/>
          <w:sz w:val="24"/>
          <w:szCs w:val="24"/>
        </w:rPr>
        <w:t>(Demand Sage, 2023)</w:t>
      </w:r>
    </w:p>
    <w:p w14:paraId="40212107" w14:textId="77777777" w:rsidR="009C4D09" w:rsidRPr="00772D9C" w:rsidRDefault="009C4D09" w:rsidP="009C14A1">
      <w:pPr>
        <w:spacing w:line="360" w:lineRule="auto"/>
        <w:jc w:val="both"/>
        <w:rPr>
          <w:rFonts w:ascii="Arial" w:hAnsi="Arial" w:cs="Arial"/>
          <w:sz w:val="24"/>
          <w:szCs w:val="24"/>
        </w:rPr>
      </w:pPr>
    </w:p>
    <w:p w14:paraId="3DA57175" w14:textId="136B0D3D" w:rsidR="008D6701" w:rsidRPr="00772D9C" w:rsidRDefault="008D6701" w:rsidP="009C14A1">
      <w:pPr>
        <w:spacing w:line="360" w:lineRule="auto"/>
        <w:rPr>
          <w:rFonts w:ascii="Arial" w:hAnsi="Arial" w:cs="Arial"/>
          <w:b/>
          <w:bCs/>
          <w:sz w:val="24"/>
          <w:szCs w:val="24"/>
        </w:rPr>
      </w:pPr>
      <w:r w:rsidRPr="00772D9C">
        <w:rPr>
          <w:rFonts w:ascii="Arial" w:hAnsi="Arial" w:cs="Arial"/>
          <w:b/>
          <w:bCs/>
          <w:sz w:val="24"/>
          <w:szCs w:val="24"/>
        </w:rPr>
        <w:t>Learning &amp;amp; Development (L&amp;D)</w:t>
      </w:r>
    </w:p>
    <w:p w14:paraId="2324AA47" w14:textId="1E606AA1"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In 2025, approximately half of leaders of learning and development mention AI-induced skills gaps as the primary issue (TIMESOFINDIA.COM, 2025). Meanwhile, long-term upskilling is a global strategy to train more than 50% of the working population (World Economic Forum, 2025b). This drive into micro-learning individualisation and digital-badge trajectories is substituting the fixed training programmes (Carol, 2025).</w:t>
      </w:r>
    </w:p>
    <w:p w14:paraId="6172B8F2" w14:textId="092E0378" w:rsidR="00CC6DE6" w:rsidRPr="00772D9C" w:rsidRDefault="008D6701" w:rsidP="009C14A1">
      <w:pPr>
        <w:spacing w:line="360" w:lineRule="auto"/>
        <w:rPr>
          <w:rFonts w:ascii="Arial" w:hAnsi="Arial" w:cs="Arial"/>
          <w:b/>
          <w:bCs/>
          <w:sz w:val="24"/>
          <w:szCs w:val="24"/>
        </w:rPr>
      </w:pPr>
      <w:r w:rsidRPr="00772D9C">
        <w:rPr>
          <w:rFonts w:ascii="Arial" w:hAnsi="Arial" w:cs="Arial"/>
          <w:b/>
          <w:bCs/>
          <w:sz w:val="24"/>
          <w:szCs w:val="24"/>
        </w:rPr>
        <w:t>Strategic HR Planning</w:t>
      </w:r>
    </w:p>
    <w:p w14:paraId="08F0A567" w14:textId="700BE83E"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According to a recent Society for Human Resource Management (SHRM) study, only one in ten organisations demonstrates mature strategic workforce planning practises although they use advanced analytics and scenario modelling to align the skills of workforce with future business priorities (SHRM, 2024).</w:t>
      </w:r>
    </w:p>
    <w:p w14:paraId="392D48C9" w14:textId="66C66A29" w:rsidR="008D6701" w:rsidRPr="00772D9C" w:rsidRDefault="008D6701" w:rsidP="009C14A1">
      <w:pPr>
        <w:spacing w:line="360" w:lineRule="auto"/>
        <w:rPr>
          <w:rFonts w:ascii="Arial" w:hAnsi="Arial" w:cs="Arial"/>
          <w:b/>
          <w:bCs/>
          <w:sz w:val="24"/>
          <w:szCs w:val="24"/>
        </w:rPr>
      </w:pPr>
      <w:r w:rsidRPr="00772D9C">
        <w:rPr>
          <w:rFonts w:ascii="Arial" w:hAnsi="Arial" w:cs="Arial"/>
          <w:b/>
          <w:bCs/>
          <w:sz w:val="24"/>
          <w:szCs w:val="24"/>
        </w:rPr>
        <w:t>IHRM Specifics</w:t>
      </w:r>
    </w:p>
    <w:p w14:paraId="3986B0D7" w14:textId="153D7715" w:rsidR="008509AF"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 xml:space="preserve">The global talent approaches are evolving at a lightning pace: the survey conducted by Remote in 2025 revealed that more than 73% of organisations anticipate that over 50 percent of their new employees next year will be foreigners (Remote, 2024). In the </w:t>
      </w:r>
      <w:r w:rsidRPr="00772D9C">
        <w:rPr>
          <w:rFonts w:ascii="Arial" w:hAnsi="Arial" w:cs="Arial"/>
          <w:sz w:val="24"/>
          <w:szCs w:val="24"/>
        </w:rPr>
        <w:lastRenderedPageBreak/>
        <w:t xml:space="preserve">meantime, the regulatory complexity is growing - data-privacy regulation such as GDPR and CPRA require complex HRIS controls (Out Sail, 2025). </w:t>
      </w:r>
      <w:r w:rsidR="008509AF" w:rsidRPr="00772D9C">
        <w:rPr>
          <w:rFonts w:ascii="Arial" w:hAnsi="Arial" w:cs="Arial"/>
          <w:sz w:val="24"/>
          <w:szCs w:val="24"/>
        </w:rPr>
        <w:br w:type="page"/>
      </w:r>
    </w:p>
    <w:p w14:paraId="2E96D371" w14:textId="63D63B94" w:rsidR="008B1B16" w:rsidRPr="00772D9C" w:rsidRDefault="008B1B16" w:rsidP="009C14A1">
      <w:pPr>
        <w:pStyle w:val="Heading1"/>
        <w:spacing w:line="360" w:lineRule="auto"/>
        <w:rPr>
          <w:rFonts w:cs="Arial"/>
          <w:szCs w:val="24"/>
        </w:rPr>
      </w:pPr>
      <w:bookmarkStart w:id="6" w:name="_Toc213606449"/>
      <w:r w:rsidRPr="00772D9C">
        <w:rPr>
          <w:rFonts w:cs="Arial"/>
          <w:szCs w:val="24"/>
        </w:rPr>
        <w:lastRenderedPageBreak/>
        <w:t>Ques 2. Demographic and Geopolitical Factors Influencing Employment Markets</w:t>
      </w:r>
      <w:bookmarkEnd w:id="6"/>
    </w:p>
    <w:p w14:paraId="6B3A527A" w14:textId="3EB30710" w:rsidR="008B1B16" w:rsidRPr="00772D9C" w:rsidRDefault="008B1B16" w:rsidP="009C14A1">
      <w:pPr>
        <w:pStyle w:val="Heading2"/>
        <w:spacing w:line="360" w:lineRule="auto"/>
        <w:rPr>
          <w:rFonts w:cs="Arial"/>
          <w:szCs w:val="24"/>
        </w:rPr>
      </w:pPr>
      <w:bookmarkStart w:id="7" w:name="_Toc213606450"/>
      <w:r w:rsidRPr="00772D9C">
        <w:rPr>
          <w:rFonts w:cs="Arial"/>
          <w:szCs w:val="24"/>
        </w:rPr>
        <w:t>2.</w:t>
      </w:r>
      <w:r w:rsidR="008509AF" w:rsidRPr="00772D9C">
        <w:rPr>
          <w:rFonts w:cs="Arial"/>
          <w:szCs w:val="24"/>
        </w:rPr>
        <w:t>1</w:t>
      </w:r>
      <w:r w:rsidRPr="00772D9C">
        <w:rPr>
          <w:rFonts w:cs="Arial"/>
          <w:szCs w:val="24"/>
        </w:rPr>
        <w:t xml:space="preserve"> Key Demographic Factors Affecting Labour Markets</w:t>
      </w:r>
      <w:bookmarkEnd w:id="7"/>
    </w:p>
    <w:p w14:paraId="313582FD" w14:textId="52B07ED6" w:rsidR="008509AF" w:rsidRPr="00772D9C" w:rsidRDefault="008509AF" w:rsidP="009C14A1">
      <w:pPr>
        <w:spacing w:line="360" w:lineRule="auto"/>
        <w:rPr>
          <w:rFonts w:ascii="Arial" w:hAnsi="Arial" w:cs="Arial"/>
          <w:b/>
          <w:bCs/>
          <w:sz w:val="24"/>
          <w:szCs w:val="24"/>
        </w:rPr>
      </w:pPr>
      <w:r w:rsidRPr="00772D9C">
        <w:rPr>
          <w:rFonts w:ascii="Arial" w:hAnsi="Arial" w:cs="Arial"/>
          <w:b/>
          <w:bCs/>
          <w:sz w:val="24"/>
          <w:szCs w:val="24"/>
        </w:rPr>
        <w:t>Ageing Populations</w:t>
      </w:r>
    </w:p>
    <w:p w14:paraId="11A342F5" w14:textId="19D5EBEA"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The working-age population in the Organisation for Economic Co-operation and Development (OECD) is under the forecast that it will decrease by 8% by 2060, whereas the old-age dependency ratio (people aged 65 and above per working-age individual) will grow to 52% in 2060, as compared to 31% in 2023 (Ostertag, 2025). This sudden change limits the labour supply, increases the pension and healthcare costs and forces the employers to implement multigenerational workforce policies and knowledge-transfer models.</w:t>
      </w:r>
    </w:p>
    <w:p w14:paraId="30BE144E" w14:textId="26D40070" w:rsidR="001F5D84" w:rsidRPr="00772D9C" w:rsidRDefault="001F5D84" w:rsidP="009C14A1">
      <w:pPr>
        <w:spacing w:line="360" w:lineRule="auto"/>
        <w:jc w:val="both"/>
        <w:rPr>
          <w:rFonts w:ascii="Arial" w:hAnsi="Arial" w:cs="Arial"/>
          <w:b/>
          <w:bCs/>
          <w:sz w:val="24"/>
          <w:szCs w:val="24"/>
        </w:rPr>
      </w:pPr>
      <w:r w:rsidRPr="00772D9C">
        <w:rPr>
          <w:rFonts w:ascii="Arial" w:hAnsi="Arial" w:cs="Arial"/>
          <w:b/>
          <w:bCs/>
          <w:sz w:val="24"/>
          <w:szCs w:val="24"/>
        </w:rPr>
        <w:t>Changing Migration Patterns</w:t>
      </w:r>
    </w:p>
    <w:p w14:paraId="17E62E47" w14:textId="7CF0E8CF"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By 2024, the number of migrants across the world had hit 304 million, which constitutes around 3.7% of the 8.2 billion population in the world (Paez-Deggeller, 2025). Permanent work-related migration in the OECD region declined by 21 percent, 2023-2024 to 934,000, indicating that the immigration policies are tightening down on immigration, though many companies continue to depend on foreign talent (Strauss, 2025).</w:t>
      </w:r>
    </w:p>
    <w:p w14:paraId="04EFDF97" w14:textId="74061719" w:rsidR="001F5D84" w:rsidRPr="00772D9C" w:rsidRDefault="001F5D84" w:rsidP="009C14A1">
      <w:pPr>
        <w:spacing w:line="360" w:lineRule="auto"/>
        <w:jc w:val="center"/>
        <w:rPr>
          <w:rFonts w:ascii="Arial" w:hAnsi="Arial" w:cs="Arial"/>
          <w:sz w:val="24"/>
          <w:szCs w:val="24"/>
        </w:rPr>
      </w:pPr>
      <w:r w:rsidRPr="00772D9C">
        <w:rPr>
          <w:rFonts w:ascii="Arial" w:hAnsi="Arial" w:cs="Arial"/>
          <w:noProof/>
          <w:sz w:val="24"/>
          <w:szCs w:val="24"/>
        </w:rPr>
        <w:drawing>
          <wp:inline distT="0" distB="0" distL="0" distR="0" wp14:anchorId="5184E324" wp14:editId="6CEABA3F">
            <wp:extent cx="5731510" cy="2433320"/>
            <wp:effectExtent l="76200" t="76200" r="135890" b="138430"/>
            <wp:docPr id="10096476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33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3A48A75" w14:textId="7800D7A4" w:rsidR="001F5D84" w:rsidRPr="00772D9C" w:rsidRDefault="001F5D84" w:rsidP="009C14A1">
      <w:pPr>
        <w:spacing w:line="360" w:lineRule="auto"/>
        <w:jc w:val="center"/>
        <w:rPr>
          <w:rFonts w:ascii="Arial" w:hAnsi="Arial" w:cs="Arial"/>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04</w:t>
      </w:r>
      <w:r w:rsidRPr="00772D9C">
        <w:rPr>
          <w:rFonts w:ascii="Arial" w:hAnsi="Arial" w:cs="Arial"/>
          <w:b/>
          <w:bCs/>
          <w:sz w:val="24"/>
          <w:szCs w:val="24"/>
        </w:rPr>
        <w:t>:</w:t>
      </w:r>
      <w:r w:rsidR="00A42AB0" w:rsidRPr="00772D9C">
        <w:rPr>
          <w:rFonts w:ascii="Arial" w:hAnsi="Arial" w:cs="Arial"/>
          <w:sz w:val="24"/>
          <w:szCs w:val="24"/>
        </w:rPr>
        <w:t xml:space="preserve"> Market Size and Growth Rate of the Global AI Recruitment Industry (2020–2030)</w:t>
      </w:r>
    </w:p>
    <w:p w14:paraId="1A408050" w14:textId="77777777" w:rsidR="001F5D84" w:rsidRPr="00772D9C" w:rsidRDefault="001F5D84" w:rsidP="009C14A1">
      <w:pPr>
        <w:spacing w:line="360" w:lineRule="auto"/>
        <w:jc w:val="center"/>
        <w:rPr>
          <w:rFonts w:ascii="Arial" w:hAnsi="Arial" w:cs="Arial"/>
          <w:sz w:val="24"/>
          <w:szCs w:val="24"/>
        </w:rPr>
      </w:pPr>
      <w:r w:rsidRPr="00772D9C">
        <w:rPr>
          <w:rFonts w:ascii="Arial" w:hAnsi="Arial" w:cs="Arial"/>
          <w:b/>
          <w:bCs/>
          <w:sz w:val="24"/>
          <w:szCs w:val="24"/>
        </w:rPr>
        <w:lastRenderedPageBreak/>
        <w:t>Source:</w:t>
      </w:r>
      <w:r w:rsidRPr="00772D9C">
        <w:rPr>
          <w:rFonts w:ascii="Arial" w:hAnsi="Arial" w:cs="Arial"/>
          <w:sz w:val="24"/>
          <w:szCs w:val="24"/>
        </w:rPr>
        <w:t xml:space="preserve"> (Migration Policy, 2025)</w:t>
      </w:r>
    </w:p>
    <w:p w14:paraId="2ED172F5" w14:textId="40D1146B" w:rsidR="001F5D84" w:rsidRPr="00772D9C" w:rsidRDefault="001F5D84" w:rsidP="009C14A1">
      <w:pPr>
        <w:spacing w:line="360" w:lineRule="auto"/>
        <w:rPr>
          <w:rFonts w:ascii="Arial" w:hAnsi="Arial" w:cs="Arial"/>
          <w:b/>
          <w:bCs/>
          <w:sz w:val="24"/>
          <w:szCs w:val="24"/>
        </w:rPr>
      </w:pPr>
      <w:r w:rsidRPr="00772D9C">
        <w:rPr>
          <w:rFonts w:ascii="Arial" w:hAnsi="Arial" w:cs="Arial"/>
          <w:b/>
          <w:bCs/>
          <w:sz w:val="24"/>
          <w:szCs w:val="24"/>
        </w:rPr>
        <w:t>Increasing Workforce Diversity</w:t>
      </w:r>
    </w:p>
    <w:p w14:paraId="102D8AC6" w14:textId="683DCB81" w:rsidR="00DD599F" w:rsidRPr="00772D9C" w:rsidRDefault="00DD599F" w:rsidP="00DD599F">
      <w:pPr>
        <w:spacing w:line="360" w:lineRule="auto"/>
        <w:jc w:val="both"/>
        <w:rPr>
          <w:rFonts w:ascii="Arial" w:hAnsi="Arial" w:cs="Arial"/>
          <w:sz w:val="24"/>
          <w:szCs w:val="24"/>
          <w:lang w:val="en-US"/>
        </w:rPr>
      </w:pPr>
      <w:r w:rsidRPr="00772D9C">
        <w:rPr>
          <w:rFonts w:ascii="Arial" w:hAnsi="Arial" w:cs="Arial"/>
          <w:sz w:val="24"/>
          <w:szCs w:val="24"/>
          <w:lang w:val="en-US"/>
        </w:rPr>
        <w:t>Culturally and technically diverse teams innovate 35% more than homogeneous teams if aggressively included (Team Dynamics, 2025). HR practitioners must adapt to global diversity, cross-border rules, and economic concerns. Dowling, Festing, and Engle (2017) say demographics and geopolitics are crucial for IHRM success in workforce sustainability and global competitiveness. Non-inclusive policies and communication tactics based on backgrounds and styles may not innovate mixed teams but cause miscommunication, alienation, and conflict (Ylmaz, 2024).</w:t>
      </w:r>
    </w:p>
    <w:p w14:paraId="377B1243" w14:textId="52AE3B60" w:rsidR="008B1B16" w:rsidRPr="00772D9C" w:rsidRDefault="008B1B16" w:rsidP="009C14A1">
      <w:pPr>
        <w:pStyle w:val="Heading2"/>
        <w:spacing w:line="360" w:lineRule="auto"/>
        <w:rPr>
          <w:rFonts w:cs="Arial"/>
          <w:szCs w:val="24"/>
        </w:rPr>
      </w:pPr>
      <w:bookmarkStart w:id="8" w:name="_Toc213606451"/>
      <w:r w:rsidRPr="00772D9C">
        <w:rPr>
          <w:rFonts w:cs="Arial"/>
          <w:szCs w:val="24"/>
        </w:rPr>
        <w:t>2.</w:t>
      </w:r>
      <w:r w:rsidR="008509AF" w:rsidRPr="00772D9C">
        <w:rPr>
          <w:rFonts w:cs="Arial"/>
          <w:szCs w:val="24"/>
        </w:rPr>
        <w:t>2</w:t>
      </w:r>
      <w:r w:rsidRPr="00772D9C">
        <w:rPr>
          <w:rFonts w:cs="Arial"/>
          <w:szCs w:val="24"/>
        </w:rPr>
        <w:t xml:space="preserve"> Key Geopolitical Factors Affecting Labour Markets</w:t>
      </w:r>
      <w:bookmarkEnd w:id="8"/>
    </w:p>
    <w:p w14:paraId="475D67F8" w14:textId="3C35601C" w:rsidR="001F5D84" w:rsidRPr="00772D9C" w:rsidRDefault="001F5D84" w:rsidP="009C14A1">
      <w:pPr>
        <w:spacing w:line="360" w:lineRule="auto"/>
        <w:jc w:val="both"/>
        <w:rPr>
          <w:rFonts w:ascii="Arial" w:hAnsi="Arial" w:cs="Arial"/>
          <w:b/>
          <w:bCs/>
          <w:sz w:val="24"/>
          <w:szCs w:val="24"/>
        </w:rPr>
      </w:pPr>
      <w:r w:rsidRPr="00772D9C">
        <w:rPr>
          <w:rFonts w:ascii="Arial" w:hAnsi="Arial" w:cs="Arial"/>
          <w:b/>
          <w:bCs/>
          <w:sz w:val="24"/>
          <w:szCs w:val="24"/>
        </w:rPr>
        <w:t>Trade Wars &amp; Protectionism</w:t>
      </w:r>
    </w:p>
    <w:p w14:paraId="09522B4B" w14:textId="2D593BCB" w:rsidR="00151B30" w:rsidRPr="00772D9C" w:rsidRDefault="00151B30" w:rsidP="009C14A1">
      <w:pPr>
        <w:spacing w:line="360" w:lineRule="auto"/>
        <w:jc w:val="both"/>
        <w:rPr>
          <w:rFonts w:ascii="Arial" w:hAnsi="Arial" w:cs="Arial"/>
          <w:sz w:val="24"/>
          <w:szCs w:val="24"/>
          <w:lang w:val="en-US"/>
        </w:rPr>
      </w:pPr>
      <w:r w:rsidRPr="00772D9C">
        <w:rPr>
          <w:rFonts w:ascii="Arial" w:hAnsi="Arial" w:cs="Arial"/>
          <w:sz w:val="24"/>
          <w:szCs w:val="24"/>
          <w:lang w:val="en-US"/>
        </w:rPr>
        <w:t>The Boston Consulting Group expects US-China commerce to shrink $197 billion by 2032 due to protectionist industrial policies such US Buy American clauses (Gilbert et al., 2023). As companies reshore and near-shore, HR professionals must rethink talent acquisition and workforce redeployment, changing hiring locations and labor-market dependencies.</w:t>
      </w:r>
    </w:p>
    <w:p w14:paraId="232518F2" w14:textId="7C8EFD6A" w:rsidR="001F5D84" w:rsidRPr="00772D9C" w:rsidRDefault="001F5D84" w:rsidP="009C14A1">
      <w:pPr>
        <w:spacing w:line="360" w:lineRule="auto"/>
        <w:jc w:val="both"/>
        <w:rPr>
          <w:rFonts w:ascii="Arial" w:hAnsi="Arial" w:cs="Arial"/>
          <w:b/>
          <w:bCs/>
          <w:sz w:val="24"/>
          <w:szCs w:val="24"/>
        </w:rPr>
      </w:pPr>
      <w:r w:rsidRPr="00772D9C">
        <w:rPr>
          <w:rFonts w:ascii="Arial" w:hAnsi="Arial" w:cs="Arial"/>
          <w:b/>
          <w:bCs/>
          <w:sz w:val="24"/>
          <w:szCs w:val="24"/>
        </w:rPr>
        <w:t xml:space="preserve">Political Instability </w:t>
      </w:r>
      <w:r w:rsidR="009D0801" w:rsidRPr="00772D9C">
        <w:rPr>
          <w:rFonts w:ascii="Arial" w:hAnsi="Arial" w:cs="Arial"/>
          <w:b/>
          <w:bCs/>
          <w:sz w:val="24"/>
          <w:szCs w:val="24"/>
        </w:rPr>
        <w:t>&amp; Sanctions</w:t>
      </w:r>
    </w:p>
    <w:p w14:paraId="1CB5314F" w14:textId="5E19A703" w:rsidR="00CC6DE6" w:rsidRPr="00772D9C" w:rsidRDefault="002D1529" w:rsidP="009C14A1">
      <w:pPr>
        <w:spacing w:line="360" w:lineRule="auto"/>
        <w:jc w:val="both"/>
        <w:rPr>
          <w:rFonts w:ascii="Arial" w:hAnsi="Arial" w:cs="Arial"/>
          <w:sz w:val="24"/>
          <w:szCs w:val="24"/>
          <w:lang w:val="en-US"/>
        </w:rPr>
      </w:pPr>
      <w:r w:rsidRPr="00772D9C">
        <w:rPr>
          <w:rFonts w:ascii="Arial" w:hAnsi="Arial" w:cs="Arial"/>
          <w:sz w:val="24"/>
          <w:szCs w:val="24"/>
          <w:lang w:val="en-US"/>
        </w:rPr>
        <w:t xml:space="preserve">Backed sanctions in 50+ countries lapsed or were challenged by unexpected effects in 2023, forcing companies to implement crisis-management and duty-of-care systems for expatriates due to border restrictions and air/sea travel bans in over 8 African and Middle East countries since 2020 </w:t>
      </w:r>
      <w:r w:rsidR="00CC6DE6" w:rsidRPr="00772D9C">
        <w:rPr>
          <w:rFonts w:ascii="Arial" w:hAnsi="Arial" w:cs="Arial"/>
          <w:sz w:val="24"/>
          <w:szCs w:val="24"/>
        </w:rPr>
        <w:t xml:space="preserve">(Fragomen, 2023). </w:t>
      </w:r>
    </w:p>
    <w:p w14:paraId="2FBE9663" w14:textId="37B10262" w:rsidR="009D0801" w:rsidRPr="00772D9C" w:rsidRDefault="009D0801" w:rsidP="009C14A1">
      <w:pPr>
        <w:spacing w:line="360" w:lineRule="auto"/>
        <w:jc w:val="both"/>
        <w:rPr>
          <w:rFonts w:ascii="Arial" w:hAnsi="Arial" w:cs="Arial"/>
          <w:b/>
          <w:bCs/>
          <w:sz w:val="24"/>
          <w:szCs w:val="24"/>
        </w:rPr>
      </w:pPr>
      <w:r w:rsidRPr="00772D9C">
        <w:rPr>
          <w:rFonts w:ascii="Arial" w:hAnsi="Arial" w:cs="Arial"/>
          <w:b/>
          <w:bCs/>
          <w:sz w:val="24"/>
          <w:szCs w:val="24"/>
        </w:rPr>
        <w:t>Pandemics &amp; Global Health Crises</w:t>
      </w:r>
    </w:p>
    <w:p w14:paraId="141E6B06" w14:textId="5FB62F3F" w:rsidR="00CC6DE6" w:rsidRPr="00772D9C" w:rsidRDefault="00CC6DE6" w:rsidP="009C14A1">
      <w:pPr>
        <w:spacing w:line="360" w:lineRule="auto"/>
        <w:jc w:val="both"/>
        <w:rPr>
          <w:rFonts w:ascii="Arial" w:hAnsi="Arial" w:cs="Arial"/>
          <w:sz w:val="24"/>
          <w:szCs w:val="24"/>
        </w:rPr>
      </w:pPr>
      <w:r w:rsidRPr="00772D9C">
        <w:rPr>
          <w:rFonts w:ascii="Arial" w:hAnsi="Arial" w:cs="Arial"/>
          <w:sz w:val="24"/>
          <w:szCs w:val="24"/>
        </w:rPr>
        <w:t>In the COVID 19 pandemic, positions in the U.S. that could be done remotely grew to approximately 20 percent in February 2020 and almost 45 percent by February 2024 (Tito, 2025).  The transition compelled organisations to adopt the latest health guidelines, redesigned continuity frameworks, and hybrid working frameworks- propelling HR to  instil resilience and worldwide risk-reduction strategies.</w:t>
      </w:r>
    </w:p>
    <w:p w14:paraId="077860D8" w14:textId="0F75E6FC" w:rsidR="008B1B16" w:rsidRPr="00772D9C" w:rsidRDefault="008B1B16" w:rsidP="009C14A1">
      <w:pPr>
        <w:pStyle w:val="Heading2"/>
        <w:spacing w:line="360" w:lineRule="auto"/>
        <w:rPr>
          <w:rFonts w:cs="Arial"/>
          <w:szCs w:val="24"/>
        </w:rPr>
      </w:pPr>
      <w:bookmarkStart w:id="9" w:name="_Toc213606452"/>
      <w:r w:rsidRPr="00772D9C">
        <w:rPr>
          <w:rFonts w:cs="Arial"/>
          <w:szCs w:val="24"/>
        </w:rPr>
        <w:t>2.</w:t>
      </w:r>
      <w:r w:rsidR="008509AF" w:rsidRPr="00772D9C">
        <w:rPr>
          <w:rFonts w:cs="Arial"/>
          <w:szCs w:val="24"/>
        </w:rPr>
        <w:t>3</w:t>
      </w:r>
      <w:r w:rsidRPr="00772D9C">
        <w:rPr>
          <w:rFonts w:cs="Arial"/>
          <w:szCs w:val="24"/>
        </w:rPr>
        <w:t xml:space="preserve"> Challenges Created for HR Professionals</w:t>
      </w:r>
      <w:bookmarkEnd w:id="9"/>
    </w:p>
    <w:p w14:paraId="3545CFC6" w14:textId="1479E0D4" w:rsidR="00F87D29" w:rsidRPr="00772D9C" w:rsidRDefault="00F87D29" w:rsidP="009C14A1">
      <w:pPr>
        <w:spacing w:line="360" w:lineRule="auto"/>
        <w:rPr>
          <w:rFonts w:ascii="Arial" w:hAnsi="Arial" w:cs="Arial"/>
          <w:b/>
          <w:bCs/>
          <w:sz w:val="24"/>
          <w:szCs w:val="24"/>
        </w:rPr>
      </w:pPr>
      <w:r w:rsidRPr="00772D9C">
        <w:rPr>
          <w:rFonts w:ascii="Arial" w:hAnsi="Arial" w:cs="Arial"/>
          <w:b/>
          <w:bCs/>
          <w:sz w:val="24"/>
          <w:szCs w:val="24"/>
        </w:rPr>
        <w:t>Table 1</w:t>
      </w:r>
    </w:p>
    <w:tbl>
      <w:tblPr>
        <w:tblStyle w:val="TableGrid"/>
        <w:tblW w:w="0" w:type="auto"/>
        <w:tblLook w:val="04A0" w:firstRow="1" w:lastRow="0" w:firstColumn="1" w:lastColumn="0" w:noHBand="0" w:noVBand="1"/>
      </w:tblPr>
      <w:tblGrid>
        <w:gridCol w:w="1827"/>
        <w:gridCol w:w="7189"/>
      </w:tblGrid>
      <w:tr w:rsidR="00F87D29" w:rsidRPr="00772D9C" w14:paraId="3C29AD27" w14:textId="77777777" w:rsidTr="00F87D29">
        <w:tc>
          <w:tcPr>
            <w:tcW w:w="0" w:type="auto"/>
            <w:hideMark/>
          </w:tcPr>
          <w:p w14:paraId="0C42445F" w14:textId="77777777" w:rsidR="00F87D29" w:rsidRPr="00772D9C" w:rsidRDefault="00F87D29" w:rsidP="009C14A1">
            <w:pPr>
              <w:spacing w:after="160" w:line="360" w:lineRule="auto"/>
              <w:rPr>
                <w:rFonts w:ascii="Arial" w:hAnsi="Arial" w:cs="Arial"/>
                <w:b/>
                <w:bCs/>
                <w:sz w:val="24"/>
                <w:szCs w:val="24"/>
              </w:rPr>
            </w:pPr>
            <w:r w:rsidRPr="00772D9C">
              <w:rPr>
                <w:rFonts w:ascii="Arial" w:hAnsi="Arial" w:cs="Arial"/>
                <w:b/>
                <w:bCs/>
                <w:sz w:val="24"/>
                <w:szCs w:val="24"/>
              </w:rPr>
              <w:lastRenderedPageBreak/>
              <w:t>Challenge</w:t>
            </w:r>
          </w:p>
        </w:tc>
        <w:tc>
          <w:tcPr>
            <w:tcW w:w="0" w:type="auto"/>
            <w:hideMark/>
          </w:tcPr>
          <w:p w14:paraId="6545A722" w14:textId="77E5A55C" w:rsidR="00F87D29" w:rsidRPr="00772D9C" w:rsidRDefault="00F87D29" w:rsidP="009C14A1">
            <w:pPr>
              <w:spacing w:after="160" w:line="360" w:lineRule="auto"/>
              <w:rPr>
                <w:rFonts w:ascii="Arial" w:hAnsi="Arial" w:cs="Arial"/>
                <w:b/>
                <w:bCs/>
                <w:sz w:val="24"/>
                <w:szCs w:val="24"/>
              </w:rPr>
            </w:pPr>
            <w:r w:rsidRPr="00772D9C">
              <w:rPr>
                <w:rFonts w:ascii="Arial" w:hAnsi="Arial" w:cs="Arial"/>
                <w:b/>
                <w:bCs/>
                <w:sz w:val="24"/>
                <w:szCs w:val="24"/>
              </w:rPr>
              <w:t xml:space="preserve">Details </w:t>
            </w:r>
          </w:p>
        </w:tc>
      </w:tr>
      <w:tr w:rsidR="00F87D29" w:rsidRPr="00772D9C" w14:paraId="1FAD50C0" w14:textId="77777777" w:rsidTr="00F87D29">
        <w:tc>
          <w:tcPr>
            <w:tcW w:w="0" w:type="auto"/>
            <w:hideMark/>
          </w:tcPr>
          <w:p w14:paraId="25E476EE" w14:textId="77777777" w:rsidR="00F87D29" w:rsidRPr="00772D9C" w:rsidRDefault="00F87D29" w:rsidP="009C14A1">
            <w:pPr>
              <w:spacing w:after="160" w:line="360" w:lineRule="auto"/>
              <w:rPr>
                <w:rFonts w:ascii="Arial" w:hAnsi="Arial" w:cs="Arial"/>
                <w:sz w:val="24"/>
                <w:szCs w:val="24"/>
              </w:rPr>
            </w:pPr>
            <w:r w:rsidRPr="00772D9C">
              <w:rPr>
                <w:rFonts w:ascii="Arial" w:hAnsi="Arial" w:cs="Arial"/>
                <w:b/>
                <w:bCs/>
                <w:sz w:val="24"/>
                <w:szCs w:val="24"/>
              </w:rPr>
              <w:t>Talent Mobility</w:t>
            </w:r>
          </w:p>
        </w:tc>
        <w:tc>
          <w:tcPr>
            <w:tcW w:w="0" w:type="auto"/>
            <w:hideMark/>
          </w:tcPr>
          <w:p w14:paraId="48B3400F" w14:textId="7FA41E54" w:rsidR="00F87D29"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The PwC Global Workforce Hopes &amp; Fears Survey 2024 indicated that 39% of HR leaders expect visa delays after 53 nations tightened work-permit requirements post-COVID-19. Global companies use digital mobility technologies for remote hires and compliance (PWC, 2024).</w:t>
            </w:r>
          </w:p>
        </w:tc>
      </w:tr>
      <w:tr w:rsidR="00F87D29" w:rsidRPr="00772D9C" w14:paraId="7A5412ED" w14:textId="77777777" w:rsidTr="00F87D29">
        <w:tc>
          <w:tcPr>
            <w:tcW w:w="0" w:type="auto"/>
            <w:hideMark/>
          </w:tcPr>
          <w:p w14:paraId="56FF8C4C" w14:textId="77777777" w:rsidR="00F87D29" w:rsidRPr="00772D9C" w:rsidRDefault="00F87D29" w:rsidP="009C14A1">
            <w:pPr>
              <w:spacing w:after="160" w:line="360" w:lineRule="auto"/>
              <w:rPr>
                <w:rFonts w:ascii="Arial" w:hAnsi="Arial" w:cs="Arial"/>
                <w:sz w:val="24"/>
                <w:szCs w:val="24"/>
              </w:rPr>
            </w:pPr>
            <w:r w:rsidRPr="00772D9C">
              <w:rPr>
                <w:rFonts w:ascii="Arial" w:hAnsi="Arial" w:cs="Arial"/>
                <w:b/>
                <w:bCs/>
                <w:sz w:val="24"/>
                <w:szCs w:val="24"/>
              </w:rPr>
              <w:t>Risk Management</w:t>
            </w:r>
          </w:p>
        </w:tc>
        <w:tc>
          <w:tcPr>
            <w:tcW w:w="0" w:type="auto"/>
            <w:hideMark/>
          </w:tcPr>
          <w:p w14:paraId="24B62271" w14:textId="613FA654" w:rsidR="00F87D29"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 xml:space="preserve">Deloitte Global Human Capital Trends 2025 found that 62% of organisations have crisis-response frameworks for geopolitical and ecological crises, extending duty-of-care to expatriates and digital nomads </w:t>
            </w:r>
            <w:r w:rsidR="00F87D29" w:rsidRPr="00772D9C">
              <w:rPr>
                <w:rFonts w:ascii="Arial" w:hAnsi="Arial" w:cs="Arial"/>
                <w:sz w:val="24"/>
                <w:szCs w:val="24"/>
              </w:rPr>
              <w:t>(Deloitte Insights, 2025).</w:t>
            </w:r>
          </w:p>
        </w:tc>
      </w:tr>
      <w:tr w:rsidR="00F87D29" w:rsidRPr="00772D9C" w14:paraId="28842EBD" w14:textId="77777777" w:rsidTr="00F87D29">
        <w:tc>
          <w:tcPr>
            <w:tcW w:w="0" w:type="auto"/>
            <w:hideMark/>
          </w:tcPr>
          <w:p w14:paraId="0667120D" w14:textId="77777777" w:rsidR="00F87D29" w:rsidRPr="00772D9C" w:rsidRDefault="00F87D29" w:rsidP="009C14A1">
            <w:pPr>
              <w:spacing w:after="160" w:line="360" w:lineRule="auto"/>
              <w:rPr>
                <w:rFonts w:ascii="Arial" w:hAnsi="Arial" w:cs="Arial"/>
                <w:sz w:val="24"/>
                <w:szCs w:val="24"/>
              </w:rPr>
            </w:pPr>
            <w:r w:rsidRPr="00772D9C">
              <w:rPr>
                <w:rFonts w:ascii="Arial" w:hAnsi="Arial" w:cs="Arial"/>
                <w:b/>
                <w:bCs/>
                <w:sz w:val="24"/>
                <w:szCs w:val="24"/>
              </w:rPr>
              <w:t>Compliance</w:t>
            </w:r>
          </w:p>
        </w:tc>
        <w:tc>
          <w:tcPr>
            <w:tcW w:w="0" w:type="auto"/>
            <w:hideMark/>
          </w:tcPr>
          <w:p w14:paraId="3B2C2B41" w14:textId="672C5226" w:rsidR="00F87D29"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According to KPMG's (2024) poll, 84% of chief compliance officers expect regulatory scrutiny to increase over the next two years, driving investment in sophisticated compliance solutions.</w:t>
            </w:r>
          </w:p>
        </w:tc>
      </w:tr>
      <w:tr w:rsidR="00F87D29" w:rsidRPr="00772D9C" w14:paraId="6934A721" w14:textId="77777777" w:rsidTr="00F87D29">
        <w:tc>
          <w:tcPr>
            <w:tcW w:w="0" w:type="auto"/>
            <w:hideMark/>
          </w:tcPr>
          <w:p w14:paraId="7201BF21" w14:textId="77777777" w:rsidR="00F87D29" w:rsidRPr="00772D9C" w:rsidRDefault="00F87D29" w:rsidP="009C14A1">
            <w:pPr>
              <w:spacing w:after="160" w:line="360" w:lineRule="auto"/>
              <w:rPr>
                <w:rFonts w:ascii="Arial" w:hAnsi="Arial" w:cs="Arial"/>
                <w:sz w:val="24"/>
                <w:szCs w:val="24"/>
              </w:rPr>
            </w:pPr>
            <w:r w:rsidRPr="00772D9C">
              <w:rPr>
                <w:rFonts w:ascii="Arial" w:hAnsi="Arial" w:cs="Arial"/>
                <w:b/>
                <w:bCs/>
                <w:sz w:val="24"/>
                <w:szCs w:val="24"/>
              </w:rPr>
              <w:t>Cultural Integration</w:t>
            </w:r>
          </w:p>
        </w:tc>
        <w:tc>
          <w:tcPr>
            <w:tcW w:w="0" w:type="auto"/>
            <w:hideMark/>
          </w:tcPr>
          <w:p w14:paraId="480E5737" w14:textId="19289083" w:rsidR="00F87D29"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The Gartner Workforce Diversity Report 2025 found that hybrid multicultural teams with organised inclusion and intercultural communication strategies outperform peers by 19% in creativity (Gartner, 2025).</w:t>
            </w:r>
          </w:p>
        </w:tc>
      </w:tr>
    </w:tbl>
    <w:p w14:paraId="7751CCB1" w14:textId="53BB0009" w:rsidR="00517FB7" w:rsidRPr="00772D9C" w:rsidRDefault="00517FB7" w:rsidP="009C14A1">
      <w:pPr>
        <w:spacing w:line="360" w:lineRule="auto"/>
        <w:rPr>
          <w:rFonts w:ascii="Arial" w:hAnsi="Arial" w:cs="Arial"/>
          <w:sz w:val="24"/>
          <w:szCs w:val="24"/>
        </w:rPr>
      </w:pPr>
    </w:p>
    <w:p w14:paraId="56429780" w14:textId="59A9B34E" w:rsidR="00F87D29" w:rsidRPr="00772D9C" w:rsidRDefault="00517FB7" w:rsidP="009C14A1">
      <w:pPr>
        <w:spacing w:line="360" w:lineRule="auto"/>
        <w:rPr>
          <w:rFonts w:ascii="Arial" w:hAnsi="Arial" w:cs="Arial"/>
          <w:sz w:val="24"/>
          <w:szCs w:val="24"/>
        </w:rPr>
      </w:pPr>
      <w:r w:rsidRPr="00772D9C">
        <w:rPr>
          <w:rFonts w:ascii="Arial" w:hAnsi="Arial" w:cs="Arial"/>
          <w:sz w:val="24"/>
          <w:szCs w:val="24"/>
        </w:rPr>
        <w:br w:type="page"/>
      </w:r>
    </w:p>
    <w:p w14:paraId="3E758E68" w14:textId="3A7A2704" w:rsidR="008B1B16" w:rsidRPr="00772D9C" w:rsidRDefault="008B1B16" w:rsidP="009C14A1">
      <w:pPr>
        <w:pStyle w:val="Heading1"/>
        <w:spacing w:line="360" w:lineRule="auto"/>
        <w:rPr>
          <w:rFonts w:cs="Arial"/>
          <w:szCs w:val="24"/>
        </w:rPr>
      </w:pPr>
      <w:bookmarkStart w:id="10" w:name="_Toc213606453"/>
      <w:r w:rsidRPr="00772D9C">
        <w:rPr>
          <w:rFonts w:cs="Arial"/>
          <w:szCs w:val="24"/>
        </w:rPr>
        <w:lastRenderedPageBreak/>
        <w:t>Ques 3. Addressing Skills Gaps and Talent Shortages through Strategic HRM</w:t>
      </w:r>
      <w:bookmarkEnd w:id="10"/>
    </w:p>
    <w:p w14:paraId="3EE50492" w14:textId="3380EFC3" w:rsidR="008B1B16" w:rsidRPr="00772D9C" w:rsidRDefault="008B1B16" w:rsidP="009C14A1">
      <w:pPr>
        <w:pStyle w:val="Heading2"/>
        <w:spacing w:line="360" w:lineRule="auto"/>
        <w:rPr>
          <w:rFonts w:cs="Arial"/>
          <w:szCs w:val="24"/>
        </w:rPr>
      </w:pPr>
      <w:bookmarkStart w:id="11" w:name="_Toc213606454"/>
      <w:r w:rsidRPr="00772D9C">
        <w:rPr>
          <w:rFonts w:cs="Arial"/>
          <w:szCs w:val="24"/>
        </w:rPr>
        <w:t>3.1 Understanding Persistent Skills Gaps and Talent Shortages</w:t>
      </w:r>
      <w:bookmarkEnd w:id="11"/>
    </w:p>
    <w:p w14:paraId="44B557BA" w14:textId="22921A98"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A report by Ernst and Young (2023) points to low availability of key tech skills in 81 per cent of organisations and 28 per cent of organisations think that by 2025 over a third of jobs will have to be reformed (EY, 2023). It is due to the accelerated change in technology, the mismatch of the education systems with the industry requirements, and the continued under-investment in L&amp;D infrastructure (Hota, 2023).</w:t>
      </w:r>
    </w:p>
    <w:p w14:paraId="72ED383E" w14:textId="2AB5CB48" w:rsidR="008B1B16" w:rsidRPr="00772D9C" w:rsidRDefault="008B1B16" w:rsidP="009C14A1">
      <w:pPr>
        <w:pStyle w:val="Heading2"/>
        <w:spacing w:line="360" w:lineRule="auto"/>
        <w:rPr>
          <w:rFonts w:cs="Arial"/>
          <w:szCs w:val="24"/>
        </w:rPr>
      </w:pPr>
      <w:bookmarkStart w:id="12" w:name="_Toc213606455"/>
      <w:r w:rsidRPr="00772D9C">
        <w:rPr>
          <w:rFonts w:cs="Arial"/>
          <w:szCs w:val="24"/>
        </w:rPr>
        <w:t>3.2 Strategic HRM Approaches to Address Skills Gaps</w:t>
      </w:r>
      <w:bookmarkEnd w:id="12"/>
    </w:p>
    <w:p w14:paraId="11938F3F" w14:textId="34BB24AB" w:rsidR="008B1B16" w:rsidRPr="00772D9C" w:rsidRDefault="008B1B16" w:rsidP="009C14A1">
      <w:pPr>
        <w:pStyle w:val="Heading3"/>
        <w:spacing w:line="360" w:lineRule="auto"/>
        <w:rPr>
          <w:rFonts w:cs="Arial"/>
          <w:szCs w:val="24"/>
        </w:rPr>
      </w:pPr>
      <w:bookmarkStart w:id="13" w:name="_Toc213606456"/>
      <w:r w:rsidRPr="00772D9C">
        <w:rPr>
          <w:rFonts w:cs="Arial"/>
          <w:szCs w:val="24"/>
        </w:rPr>
        <w:t>3.2.1 Build Strategy – Internal Talent Development</w:t>
      </w:r>
      <w:bookmarkEnd w:id="13"/>
    </w:p>
    <w:p w14:paraId="4E6490F4" w14:textId="013CA0BD"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Deloitte states that in organisations that invest in internal learning ecosystems, employees are said to have spent 50 percent of their time learning than it was last year (Deloitte, 2025). Companies develop future-fit talent through the creation of corporate academies, apprenticeships, and compulsory upskilling programmes instead of depending on outsourced workers.</w:t>
      </w:r>
    </w:p>
    <w:p w14:paraId="64EB2CF1" w14:textId="65431CF1" w:rsidR="008B1B16" w:rsidRPr="00772D9C" w:rsidRDefault="008B1B16" w:rsidP="009C14A1">
      <w:pPr>
        <w:pStyle w:val="Heading3"/>
        <w:spacing w:line="360" w:lineRule="auto"/>
        <w:rPr>
          <w:rFonts w:cs="Arial"/>
          <w:szCs w:val="24"/>
        </w:rPr>
      </w:pPr>
      <w:bookmarkStart w:id="14" w:name="_Toc213606457"/>
      <w:r w:rsidRPr="00772D9C">
        <w:rPr>
          <w:rFonts w:cs="Arial"/>
          <w:szCs w:val="24"/>
        </w:rPr>
        <w:t>3.2.2 Buy Strategy – Recruitment and Selection</w:t>
      </w:r>
      <w:bookmarkEnd w:id="14"/>
    </w:p>
    <w:p w14:paraId="1E14E733" w14:textId="57AA4B0A"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The 2025 projections have 63 per cent organisations mentioning building a robust talent pipeline, and 55 per cent mentioning employer branding as very important in attracting scarce talent (Eightfold, 2025). With talent analytics, it is possible to target sourcing on new channels, and competitive compensation and attractive employer value propositions will guarantee first-choice in overly competitive labour markets.</w:t>
      </w:r>
    </w:p>
    <w:p w14:paraId="25684EE5" w14:textId="2973F584" w:rsidR="00572E35" w:rsidRPr="00772D9C" w:rsidRDefault="00572E35" w:rsidP="009C14A1">
      <w:pPr>
        <w:spacing w:line="360" w:lineRule="auto"/>
        <w:jc w:val="center"/>
        <w:rPr>
          <w:rFonts w:ascii="Arial" w:hAnsi="Arial" w:cs="Arial"/>
          <w:sz w:val="24"/>
          <w:szCs w:val="24"/>
        </w:rPr>
      </w:pPr>
      <w:r w:rsidRPr="00772D9C">
        <w:rPr>
          <w:rFonts w:ascii="Arial" w:hAnsi="Arial" w:cs="Arial"/>
          <w:noProof/>
          <w:sz w:val="24"/>
          <w:szCs w:val="24"/>
        </w:rPr>
        <w:lastRenderedPageBreak/>
        <w:drawing>
          <wp:inline distT="0" distB="0" distL="0" distR="0" wp14:anchorId="609E8738" wp14:editId="0961E52D">
            <wp:extent cx="2741621" cy="3343275"/>
            <wp:effectExtent l="76200" t="76200" r="135255" b="123825"/>
            <wp:docPr id="124708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081206" name=""/>
                    <pic:cNvPicPr/>
                  </pic:nvPicPr>
                  <pic:blipFill>
                    <a:blip r:embed="rId12"/>
                    <a:stretch>
                      <a:fillRect/>
                    </a:stretch>
                  </pic:blipFill>
                  <pic:spPr>
                    <a:xfrm>
                      <a:off x="0" y="0"/>
                      <a:ext cx="2775675" cy="33848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93D3A6" w14:textId="124B3573" w:rsidR="00572E35" w:rsidRPr="00772D9C" w:rsidRDefault="00572E35" w:rsidP="009C14A1">
      <w:pPr>
        <w:spacing w:line="360" w:lineRule="auto"/>
        <w:jc w:val="center"/>
        <w:rPr>
          <w:rFonts w:ascii="Arial" w:hAnsi="Arial" w:cs="Arial"/>
          <w:b/>
          <w:bCs/>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05</w:t>
      </w:r>
      <w:r w:rsidRPr="00772D9C">
        <w:rPr>
          <w:rFonts w:ascii="Arial" w:hAnsi="Arial" w:cs="Arial"/>
          <w:b/>
          <w:bCs/>
          <w:sz w:val="24"/>
          <w:szCs w:val="24"/>
        </w:rPr>
        <w:t>:</w:t>
      </w:r>
      <w:r w:rsidR="00A42AB0" w:rsidRPr="00772D9C">
        <w:rPr>
          <w:rFonts w:ascii="Arial" w:hAnsi="Arial" w:cs="Arial"/>
          <w:b/>
          <w:bCs/>
          <w:sz w:val="24"/>
          <w:szCs w:val="24"/>
        </w:rPr>
        <w:t xml:space="preserve"> </w:t>
      </w:r>
      <w:r w:rsidR="00A42AB0" w:rsidRPr="00772D9C">
        <w:rPr>
          <w:rFonts w:ascii="Arial" w:hAnsi="Arial" w:cs="Arial"/>
          <w:sz w:val="24"/>
          <w:szCs w:val="24"/>
        </w:rPr>
        <w:t>Key Talent Acquisition Goals for Organisations (2025)</w:t>
      </w:r>
    </w:p>
    <w:p w14:paraId="5018E432" w14:textId="1A91162C" w:rsidR="00572E35" w:rsidRPr="00772D9C" w:rsidRDefault="00572E35" w:rsidP="009C14A1">
      <w:pPr>
        <w:spacing w:line="360" w:lineRule="auto"/>
        <w:jc w:val="center"/>
        <w:rPr>
          <w:rFonts w:ascii="Arial" w:hAnsi="Arial" w:cs="Arial"/>
          <w:b/>
          <w:bCs/>
          <w:sz w:val="24"/>
          <w:szCs w:val="24"/>
        </w:rPr>
      </w:pPr>
      <w:r w:rsidRPr="00772D9C">
        <w:rPr>
          <w:rFonts w:ascii="Arial" w:hAnsi="Arial" w:cs="Arial"/>
          <w:b/>
          <w:bCs/>
          <w:sz w:val="24"/>
          <w:szCs w:val="24"/>
        </w:rPr>
        <w:t>Source: (</w:t>
      </w:r>
      <w:r w:rsidRPr="00772D9C">
        <w:rPr>
          <w:rFonts w:ascii="Arial" w:hAnsi="Arial" w:cs="Arial"/>
          <w:sz w:val="24"/>
          <w:szCs w:val="24"/>
        </w:rPr>
        <w:t>Eightfold, 2025)</w:t>
      </w:r>
    </w:p>
    <w:p w14:paraId="2D27F736" w14:textId="1F5B3262" w:rsidR="008B1B16" w:rsidRPr="00772D9C" w:rsidRDefault="008B1B16" w:rsidP="009C14A1">
      <w:pPr>
        <w:pStyle w:val="Heading3"/>
        <w:spacing w:line="360" w:lineRule="auto"/>
        <w:rPr>
          <w:rFonts w:cs="Arial"/>
          <w:szCs w:val="24"/>
        </w:rPr>
      </w:pPr>
      <w:bookmarkStart w:id="15" w:name="_Toc213606458"/>
      <w:r w:rsidRPr="00772D9C">
        <w:rPr>
          <w:rFonts w:cs="Arial"/>
          <w:szCs w:val="24"/>
        </w:rPr>
        <w:t>3.2.3 Borrow Strategy – External Talent Utilisation</w:t>
      </w:r>
      <w:bookmarkEnd w:id="15"/>
    </w:p>
    <w:p w14:paraId="4F6313D3" w14:textId="5BC24D28"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The Deloitte 2024 Global Outsourcing Survey reports that 83 percent of companies today incorporate outsourcing or gig worker talent into the core operation and 20 percent are already running digital ecosystems of workers (Deloitte, 2024).  The strategic model provides organisations with fast access to niche expertise, helps organisations to be agile in response to skill shortages, and does not tie organisations to full-time employees in the long-term.</w:t>
      </w:r>
    </w:p>
    <w:p w14:paraId="7143AE67" w14:textId="264A9017" w:rsidR="008B1B16" w:rsidRPr="00772D9C" w:rsidRDefault="008B1B16" w:rsidP="009C14A1">
      <w:pPr>
        <w:pStyle w:val="Heading3"/>
        <w:spacing w:line="360" w:lineRule="auto"/>
        <w:rPr>
          <w:rFonts w:cs="Arial"/>
          <w:szCs w:val="24"/>
        </w:rPr>
      </w:pPr>
      <w:bookmarkStart w:id="16" w:name="_Toc213606459"/>
      <w:r w:rsidRPr="00772D9C">
        <w:rPr>
          <w:rFonts w:cs="Arial"/>
          <w:szCs w:val="24"/>
        </w:rPr>
        <w:t>3.2.4 Bind</w:t>
      </w:r>
      <w:r w:rsidR="008D3D96" w:rsidRPr="00772D9C">
        <w:rPr>
          <w:rFonts w:cs="Arial"/>
          <w:szCs w:val="24"/>
        </w:rPr>
        <w:t xml:space="preserve"> </w:t>
      </w:r>
      <w:r w:rsidRPr="00772D9C">
        <w:rPr>
          <w:rFonts w:cs="Arial"/>
          <w:szCs w:val="24"/>
        </w:rPr>
        <w:t>Strategy – Retention and Employee Engagement</w:t>
      </w:r>
      <w:bookmarkEnd w:id="16"/>
    </w:p>
    <w:p w14:paraId="4A94BA99" w14:textId="575C51CE" w:rsidR="00517FB7"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According to the survey prepared by the Society of Human Resource Management in 2023-24, 78 per cent of the HR leaders indicated that retaining the best talent is a crucial priority (SHRM, 2023). Organisations that had mentorship programmes that are structured record 38 per cent reduced turnover of employees who are mentored (Chellappa, 2023). The companies transform developed talent in to a long term value by providing clear career paths, job rotations, and a culture conducive to learning as opposed to investing in replacement time and again.</w:t>
      </w:r>
    </w:p>
    <w:p w14:paraId="4C8692D0" w14:textId="0381FC51" w:rsidR="008B1B16" w:rsidRPr="00772D9C" w:rsidRDefault="008B1B16" w:rsidP="009C14A1">
      <w:pPr>
        <w:pStyle w:val="Heading2"/>
        <w:spacing w:line="360" w:lineRule="auto"/>
        <w:rPr>
          <w:rFonts w:cs="Arial"/>
          <w:szCs w:val="24"/>
        </w:rPr>
      </w:pPr>
      <w:bookmarkStart w:id="17" w:name="_Toc213606460"/>
      <w:r w:rsidRPr="00772D9C">
        <w:rPr>
          <w:rFonts w:cs="Arial"/>
          <w:szCs w:val="24"/>
        </w:rPr>
        <w:lastRenderedPageBreak/>
        <w:t>3.3 Sector-Specific Examples</w:t>
      </w:r>
      <w:bookmarkEnd w:id="17"/>
    </w:p>
    <w:tbl>
      <w:tblPr>
        <w:tblStyle w:val="TableGrid"/>
        <w:tblW w:w="0" w:type="auto"/>
        <w:tblLook w:val="04A0" w:firstRow="1" w:lastRow="0" w:firstColumn="1" w:lastColumn="0" w:noHBand="0" w:noVBand="1"/>
      </w:tblPr>
      <w:tblGrid>
        <w:gridCol w:w="1444"/>
        <w:gridCol w:w="7572"/>
      </w:tblGrid>
      <w:tr w:rsidR="00517FB7" w:rsidRPr="00772D9C" w14:paraId="6BFCB418" w14:textId="77777777" w:rsidTr="00517FB7">
        <w:tc>
          <w:tcPr>
            <w:tcW w:w="0" w:type="auto"/>
            <w:hideMark/>
          </w:tcPr>
          <w:p w14:paraId="5A4266B6" w14:textId="77777777" w:rsidR="00517FB7" w:rsidRPr="00772D9C" w:rsidRDefault="00517FB7" w:rsidP="009C14A1">
            <w:pPr>
              <w:spacing w:after="160" w:line="360" w:lineRule="auto"/>
              <w:jc w:val="both"/>
              <w:rPr>
                <w:rFonts w:ascii="Arial" w:hAnsi="Arial" w:cs="Arial"/>
                <w:b/>
                <w:bCs/>
                <w:sz w:val="24"/>
                <w:szCs w:val="24"/>
              </w:rPr>
            </w:pPr>
            <w:r w:rsidRPr="00772D9C">
              <w:rPr>
                <w:rFonts w:ascii="Arial" w:hAnsi="Arial" w:cs="Arial"/>
                <w:b/>
                <w:bCs/>
                <w:sz w:val="24"/>
                <w:szCs w:val="24"/>
              </w:rPr>
              <w:t>Sector</w:t>
            </w:r>
          </w:p>
        </w:tc>
        <w:tc>
          <w:tcPr>
            <w:tcW w:w="0" w:type="auto"/>
            <w:hideMark/>
          </w:tcPr>
          <w:p w14:paraId="406B35D3" w14:textId="77777777" w:rsidR="00517FB7" w:rsidRPr="00772D9C" w:rsidRDefault="00517FB7" w:rsidP="009C14A1">
            <w:pPr>
              <w:spacing w:after="160" w:line="360" w:lineRule="auto"/>
              <w:jc w:val="both"/>
              <w:rPr>
                <w:rFonts w:ascii="Arial" w:hAnsi="Arial" w:cs="Arial"/>
                <w:b/>
                <w:bCs/>
                <w:sz w:val="24"/>
                <w:szCs w:val="24"/>
              </w:rPr>
            </w:pPr>
            <w:r w:rsidRPr="00772D9C">
              <w:rPr>
                <w:rFonts w:ascii="Arial" w:hAnsi="Arial" w:cs="Arial"/>
                <w:b/>
                <w:bCs/>
                <w:sz w:val="24"/>
                <w:szCs w:val="24"/>
              </w:rPr>
              <w:t>Example of “Build” &amp; “Borrow/Buy/Bind” Strategies with Data</w:t>
            </w:r>
          </w:p>
        </w:tc>
      </w:tr>
      <w:tr w:rsidR="00517FB7" w:rsidRPr="00772D9C" w14:paraId="40707C34" w14:textId="77777777" w:rsidTr="00517FB7">
        <w:tc>
          <w:tcPr>
            <w:tcW w:w="0" w:type="auto"/>
            <w:hideMark/>
          </w:tcPr>
          <w:p w14:paraId="5895F1C1" w14:textId="77777777" w:rsidR="00517FB7" w:rsidRPr="00772D9C" w:rsidRDefault="00517FB7" w:rsidP="009C14A1">
            <w:pPr>
              <w:spacing w:after="160" w:line="360" w:lineRule="auto"/>
              <w:jc w:val="both"/>
              <w:rPr>
                <w:rFonts w:ascii="Arial" w:hAnsi="Arial" w:cs="Arial"/>
                <w:sz w:val="24"/>
                <w:szCs w:val="24"/>
              </w:rPr>
            </w:pPr>
            <w:r w:rsidRPr="00772D9C">
              <w:rPr>
                <w:rFonts w:ascii="Arial" w:hAnsi="Arial" w:cs="Arial"/>
                <w:b/>
                <w:bCs/>
                <w:sz w:val="24"/>
                <w:szCs w:val="24"/>
              </w:rPr>
              <w:t>Tech</w:t>
            </w:r>
          </w:p>
        </w:tc>
        <w:tc>
          <w:tcPr>
            <w:tcW w:w="0" w:type="auto"/>
            <w:hideMark/>
          </w:tcPr>
          <w:p w14:paraId="0B686ED4" w14:textId="78286FF6" w:rsidR="00517FB7" w:rsidRPr="00772D9C" w:rsidRDefault="009C14A1" w:rsidP="009C14A1">
            <w:pPr>
              <w:spacing w:after="160" w:line="360" w:lineRule="auto"/>
              <w:jc w:val="both"/>
              <w:rPr>
                <w:rFonts w:ascii="Arial" w:hAnsi="Arial" w:cs="Arial"/>
                <w:sz w:val="24"/>
                <w:szCs w:val="24"/>
                <w:lang w:val="en-US"/>
              </w:rPr>
            </w:pPr>
            <w:r w:rsidRPr="00772D9C">
              <w:rPr>
                <w:rFonts w:ascii="Arial" w:hAnsi="Arial" w:cs="Arial"/>
                <w:sz w:val="24"/>
                <w:szCs w:val="24"/>
                <w:lang w:val="en-US"/>
              </w:rPr>
              <w:t xml:space="preserve">The 2025 Built In Talent Trend Report found that 49.4% of companies expect recruiting to rise in 2025, emphasising the need to improve talent-acquisition tactics </w:t>
            </w:r>
            <w:r w:rsidR="0041110B" w:rsidRPr="00772D9C">
              <w:rPr>
                <w:rFonts w:ascii="Arial" w:hAnsi="Arial" w:cs="Arial"/>
                <w:sz w:val="24"/>
                <w:szCs w:val="24"/>
              </w:rPr>
              <w:t>(Built In, 2025)</w:t>
            </w:r>
            <w:r w:rsidR="00517FB7" w:rsidRPr="00772D9C">
              <w:rPr>
                <w:rFonts w:ascii="Arial" w:hAnsi="Arial" w:cs="Arial"/>
                <w:sz w:val="24"/>
                <w:szCs w:val="24"/>
              </w:rPr>
              <w:t>.</w:t>
            </w:r>
          </w:p>
        </w:tc>
      </w:tr>
      <w:tr w:rsidR="00517FB7" w:rsidRPr="00772D9C" w14:paraId="4419292B" w14:textId="77777777" w:rsidTr="00517FB7">
        <w:tc>
          <w:tcPr>
            <w:tcW w:w="0" w:type="auto"/>
            <w:hideMark/>
          </w:tcPr>
          <w:p w14:paraId="3659B1C8" w14:textId="77777777" w:rsidR="00517FB7" w:rsidRPr="00772D9C" w:rsidRDefault="00517FB7" w:rsidP="009C14A1">
            <w:pPr>
              <w:spacing w:after="160" w:line="360" w:lineRule="auto"/>
              <w:jc w:val="both"/>
              <w:rPr>
                <w:rFonts w:ascii="Arial" w:hAnsi="Arial" w:cs="Arial"/>
                <w:sz w:val="24"/>
                <w:szCs w:val="24"/>
              </w:rPr>
            </w:pPr>
            <w:r w:rsidRPr="00772D9C">
              <w:rPr>
                <w:rFonts w:ascii="Arial" w:hAnsi="Arial" w:cs="Arial"/>
                <w:b/>
                <w:bCs/>
                <w:sz w:val="24"/>
                <w:szCs w:val="24"/>
              </w:rPr>
              <w:t>Healthcare</w:t>
            </w:r>
          </w:p>
        </w:tc>
        <w:tc>
          <w:tcPr>
            <w:tcW w:w="0" w:type="auto"/>
            <w:hideMark/>
          </w:tcPr>
          <w:p w14:paraId="2A0605CC" w14:textId="0210D125" w:rsidR="00517FB7"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The worldwide nursing workforce rose from 27.9 million in 2018 to 29.8 million in 2023, yet acute shortages drive “buy” strategies of aggressive international recruitment and “bind” retention through career-path frameworks (World Health Organisation, 2025).</w:t>
            </w:r>
          </w:p>
        </w:tc>
      </w:tr>
      <w:tr w:rsidR="00517FB7" w:rsidRPr="00772D9C" w14:paraId="1BDF8ED2" w14:textId="77777777" w:rsidTr="00517FB7">
        <w:tc>
          <w:tcPr>
            <w:tcW w:w="0" w:type="auto"/>
            <w:hideMark/>
          </w:tcPr>
          <w:p w14:paraId="144D2A18" w14:textId="77777777" w:rsidR="00517FB7" w:rsidRPr="00772D9C" w:rsidRDefault="00517FB7" w:rsidP="009C14A1">
            <w:pPr>
              <w:spacing w:after="160" w:line="360" w:lineRule="auto"/>
              <w:jc w:val="both"/>
              <w:rPr>
                <w:rFonts w:ascii="Arial" w:hAnsi="Arial" w:cs="Arial"/>
                <w:sz w:val="24"/>
                <w:szCs w:val="24"/>
              </w:rPr>
            </w:pPr>
            <w:r w:rsidRPr="00772D9C">
              <w:rPr>
                <w:rFonts w:ascii="Arial" w:hAnsi="Arial" w:cs="Arial"/>
                <w:b/>
                <w:bCs/>
                <w:sz w:val="24"/>
                <w:szCs w:val="24"/>
              </w:rPr>
              <w:t>Hospitality</w:t>
            </w:r>
          </w:p>
        </w:tc>
        <w:tc>
          <w:tcPr>
            <w:tcW w:w="0" w:type="auto"/>
            <w:hideMark/>
          </w:tcPr>
          <w:p w14:paraId="6F549B87" w14:textId="4A2DCFEB" w:rsidR="00517FB7"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In early 2024, 67% of U.S. hotels experienced workforce difficulties, according to AHLA (Kirk, 2024). To attract scarce service talent in a brutally competitive labour market, big chains developed internal management training academies “build” and increased employer-branding initiatives “buy”, such as expanded perks, flexible hours, and speedy promotion tracks.</w:t>
            </w:r>
          </w:p>
        </w:tc>
      </w:tr>
    </w:tbl>
    <w:p w14:paraId="616A2728" w14:textId="21701213" w:rsidR="0041110B" w:rsidRPr="00772D9C" w:rsidRDefault="0041110B" w:rsidP="009C14A1">
      <w:pPr>
        <w:spacing w:line="360" w:lineRule="auto"/>
        <w:jc w:val="both"/>
        <w:rPr>
          <w:rFonts w:ascii="Arial" w:hAnsi="Arial" w:cs="Arial"/>
          <w:sz w:val="24"/>
          <w:szCs w:val="24"/>
        </w:rPr>
      </w:pPr>
    </w:p>
    <w:p w14:paraId="529E6406" w14:textId="2B3034A5" w:rsidR="008B1B16" w:rsidRPr="00772D9C" w:rsidRDefault="0041110B" w:rsidP="009C14A1">
      <w:pPr>
        <w:spacing w:line="360" w:lineRule="auto"/>
        <w:rPr>
          <w:rFonts w:ascii="Arial" w:hAnsi="Arial" w:cs="Arial"/>
          <w:sz w:val="24"/>
          <w:szCs w:val="24"/>
        </w:rPr>
      </w:pPr>
      <w:r w:rsidRPr="00772D9C">
        <w:rPr>
          <w:rFonts w:ascii="Arial" w:hAnsi="Arial" w:cs="Arial"/>
          <w:sz w:val="24"/>
          <w:szCs w:val="24"/>
        </w:rPr>
        <w:br w:type="page"/>
      </w:r>
    </w:p>
    <w:p w14:paraId="406D0CD0" w14:textId="264706BC" w:rsidR="008B1B16" w:rsidRPr="00772D9C" w:rsidRDefault="008B1B16" w:rsidP="009C14A1">
      <w:pPr>
        <w:pStyle w:val="Heading1"/>
        <w:spacing w:line="360" w:lineRule="auto"/>
        <w:rPr>
          <w:rFonts w:cs="Arial"/>
          <w:szCs w:val="24"/>
        </w:rPr>
      </w:pPr>
      <w:bookmarkStart w:id="18" w:name="_Toc213606461"/>
      <w:r w:rsidRPr="00772D9C">
        <w:rPr>
          <w:rFonts w:cs="Arial"/>
          <w:szCs w:val="24"/>
        </w:rPr>
        <w:lastRenderedPageBreak/>
        <w:t>Ques 4. Reflective Analysis: Personal Capabilities for Working in an International Context</w:t>
      </w:r>
      <w:bookmarkEnd w:id="18"/>
    </w:p>
    <w:p w14:paraId="329154E4" w14:textId="02F003DA" w:rsidR="008B1B16" w:rsidRPr="00772D9C" w:rsidRDefault="008B1B16" w:rsidP="009C14A1">
      <w:pPr>
        <w:pStyle w:val="Heading2"/>
        <w:spacing w:line="360" w:lineRule="auto"/>
        <w:rPr>
          <w:rFonts w:cs="Arial"/>
          <w:szCs w:val="24"/>
        </w:rPr>
      </w:pPr>
      <w:bookmarkStart w:id="19" w:name="_Toc213606462"/>
      <w:r w:rsidRPr="00772D9C">
        <w:rPr>
          <w:rFonts w:cs="Arial"/>
          <w:szCs w:val="24"/>
        </w:rPr>
        <w:t>4.1 Introduction to Reflective Analysis</w:t>
      </w:r>
      <w:bookmarkEnd w:id="19"/>
    </w:p>
    <w:p w14:paraId="566F99F7" w14:textId="5D0DD597"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In a world where globalisation and technological change are the order of the day, MBA holders will be forced to develop adaptive skills including digital fluency, cultural fluency, and strategic resilience in order to operate within global human resources and volatile markets. Not only are these global skills necessary in career advancement, but also in innovation and value delivery in the constantly evolving business conditions.</w:t>
      </w:r>
    </w:p>
    <w:p w14:paraId="0C7273B1" w14:textId="53BF4325" w:rsidR="008B1B16" w:rsidRPr="00772D9C" w:rsidRDefault="008B1B16" w:rsidP="009C14A1">
      <w:pPr>
        <w:pStyle w:val="Heading2"/>
        <w:spacing w:line="360" w:lineRule="auto"/>
        <w:rPr>
          <w:rFonts w:cs="Arial"/>
          <w:szCs w:val="24"/>
        </w:rPr>
      </w:pPr>
      <w:bookmarkStart w:id="20" w:name="_Toc213606463"/>
      <w:r w:rsidRPr="00772D9C">
        <w:rPr>
          <w:rFonts w:cs="Arial"/>
          <w:szCs w:val="24"/>
        </w:rPr>
        <w:t>4.2 Reflection on Key Capabilities</w:t>
      </w:r>
      <w:r w:rsidR="00E94BFF" w:rsidRPr="00772D9C">
        <w:rPr>
          <w:rFonts w:cs="Arial"/>
          <w:szCs w:val="24"/>
        </w:rPr>
        <w:t>(Gibbs Reflective Cycle)</w:t>
      </w:r>
      <w:bookmarkEnd w:id="20"/>
    </w:p>
    <w:p w14:paraId="1E27AAAD" w14:textId="465780FE" w:rsidR="00E94BFF" w:rsidRPr="00772D9C" w:rsidRDefault="00E94BFF" w:rsidP="009C14A1">
      <w:pPr>
        <w:spacing w:line="360" w:lineRule="auto"/>
        <w:jc w:val="center"/>
        <w:rPr>
          <w:rFonts w:ascii="Arial" w:hAnsi="Arial" w:cs="Arial"/>
          <w:sz w:val="24"/>
          <w:szCs w:val="24"/>
        </w:rPr>
      </w:pPr>
      <w:r w:rsidRPr="00772D9C">
        <w:rPr>
          <w:rFonts w:ascii="Arial" w:hAnsi="Arial" w:cs="Arial"/>
          <w:noProof/>
          <w:sz w:val="24"/>
          <w:szCs w:val="24"/>
        </w:rPr>
        <w:drawing>
          <wp:inline distT="0" distB="0" distL="0" distR="0" wp14:anchorId="11C4CB0C" wp14:editId="1661235A">
            <wp:extent cx="3255049" cy="2544247"/>
            <wp:effectExtent l="76200" t="76200" r="135890" b="142240"/>
            <wp:docPr id="182204694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57475" cy="25461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33E4C0" w14:textId="7950655A" w:rsidR="00E94BFF" w:rsidRPr="00772D9C" w:rsidRDefault="00E94BFF" w:rsidP="009C14A1">
      <w:pPr>
        <w:spacing w:line="360" w:lineRule="auto"/>
        <w:jc w:val="center"/>
        <w:rPr>
          <w:rFonts w:ascii="Arial" w:hAnsi="Arial" w:cs="Arial"/>
          <w:sz w:val="24"/>
          <w:szCs w:val="24"/>
        </w:rPr>
      </w:pPr>
      <w:r w:rsidRPr="00772D9C">
        <w:rPr>
          <w:rFonts w:ascii="Arial" w:hAnsi="Arial" w:cs="Arial"/>
          <w:b/>
          <w:bCs/>
          <w:sz w:val="24"/>
          <w:szCs w:val="24"/>
        </w:rPr>
        <w:t>Figure</w:t>
      </w:r>
      <w:r w:rsidR="00FC0B11" w:rsidRPr="00772D9C">
        <w:rPr>
          <w:rFonts w:ascii="Arial" w:hAnsi="Arial" w:cs="Arial"/>
          <w:b/>
          <w:bCs/>
          <w:sz w:val="24"/>
          <w:szCs w:val="24"/>
        </w:rPr>
        <w:t xml:space="preserve"> 06</w:t>
      </w:r>
      <w:r w:rsidRPr="00772D9C">
        <w:rPr>
          <w:rFonts w:ascii="Arial" w:hAnsi="Arial" w:cs="Arial"/>
          <w:b/>
          <w:bCs/>
          <w:sz w:val="24"/>
          <w:szCs w:val="24"/>
        </w:rPr>
        <w:t>:</w:t>
      </w:r>
      <w:r w:rsidRPr="00772D9C">
        <w:rPr>
          <w:rFonts w:ascii="Arial" w:hAnsi="Arial" w:cs="Arial"/>
          <w:sz w:val="24"/>
          <w:szCs w:val="24"/>
        </w:rPr>
        <w:t xml:space="preserve"> Gibbs’ Reflective Cycle </w:t>
      </w:r>
    </w:p>
    <w:p w14:paraId="6F59A3A3" w14:textId="407BD12D" w:rsidR="00E94BFF" w:rsidRPr="00772D9C" w:rsidRDefault="00E94BFF" w:rsidP="009C14A1">
      <w:pPr>
        <w:spacing w:line="360" w:lineRule="auto"/>
        <w:jc w:val="center"/>
        <w:rPr>
          <w:rFonts w:ascii="Arial" w:hAnsi="Arial" w:cs="Arial"/>
          <w:b/>
          <w:bCs/>
          <w:sz w:val="24"/>
          <w:szCs w:val="24"/>
          <w:lang w:val="en-US"/>
        </w:rPr>
      </w:pPr>
      <w:r w:rsidRPr="00772D9C">
        <w:rPr>
          <w:rFonts w:ascii="Arial" w:hAnsi="Arial" w:cs="Arial"/>
          <w:b/>
          <w:bCs/>
          <w:sz w:val="24"/>
          <w:szCs w:val="24"/>
        </w:rPr>
        <w:t>Source:</w:t>
      </w:r>
      <w:r w:rsidR="00A42AB0" w:rsidRPr="00772D9C">
        <w:rPr>
          <w:rFonts w:ascii="Arial" w:hAnsi="Arial" w:cs="Arial"/>
          <w:b/>
          <w:bCs/>
          <w:sz w:val="24"/>
          <w:szCs w:val="24"/>
        </w:rPr>
        <w:t xml:space="preserve"> </w:t>
      </w:r>
      <w:r w:rsidR="00A42AB0" w:rsidRPr="00772D9C">
        <w:rPr>
          <w:rFonts w:ascii="Arial" w:hAnsi="Arial" w:cs="Arial"/>
          <w:sz w:val="24"/>
          <w:szCs w:val="24"/>
          <w:lang w:val="en-US"/>
        </w:rPr>
        <w:t>(Expert Program Management., 2023)</w:t>
      </w:r>
    </w:p>
    <w:p w14:paraId="0C67EE08" w14:textId="3A68A507"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Description</w:t>
      </w:r>
    </w:p>
    <w:p w14:paraId="3E9453B9" w14:textId="723C971B"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This MBA module made me work with new platforms such as MS Teams, LMS and AI tools to conduct research. During a multicultural group presentation that I did across time zones, assigned task-roles and slight conflict in overlapping responsibilities. I signed up to organise group-data analysis and tutor a peer who felt not so comfortable with excel. I also made time to do weekly reading on materials not required to build Python scripting.</w:t>
      </w:r>
    </w:p>
    <w:p w14:paraId="0B6218D8" w14:textId="4E4EA6FA"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Feelings</w:t>
      </w:r>
    </w:p>
    <w:p w14:paraId="7CA8EB25" w14:textId="77777777"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lastRenderedPageBreak/>
        <w:t>The first response to the AI-tool was being overwhelmed with the learning curve and confusion about leading remote-peers. But as assignments continued I felt strong with learning how to analyse data, more competent to give the presentation, and proud to help another peer develop.</w:t>
      </w:r>
    </w:p>
    <w:p w14:paraId="6EEA198C" w14:textId="6C43B5F8"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Evaluation</w:t>
      </w:r>
    </w:p>
    <w:p w14:paraId="00E0F178" w14:textId="77777777"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 xml:space="preserve">Technological flexibility and self-directed learning were my principal strength points that allowed accomplishing tasks and mentoring peers efficiently. However, I misjudged the aspect of cross-cultural collaboration and I might have realised the issue of communication impediments in the past. Studies confirm that digital collaboration requires certain task-structure and reflection to embrace success (Lane et al., 2023). </w:t>
      </w:r>
    </w:p>
    <w:p w14:paraId="13A9BF07" w14:textId="5A36BC41"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Analysis</w:t>
      </w:r>
    </w:p>
    <w:p w14:paraId="6A6C4E0E" w14:textId="77777777" w:rsidR="009C14A1" w:rsidRPr="00772D9C" w:rsidRDefault="009C14A1" w:rsidP="009C14A1">
      <w:pPr>
        <w:spacing w:line="360" w:lineRule="auto"/>
        <w:jc w:val="both"/>
        <w:rPr>
          <w:rFonts w:ascii="Arial" w:hAnsi="Arial" w:cs="Arial"/>
          <w:sz w:val="24"/>
          <w:szCs w:val="24"/>
        </w:rPr>
      </w:pPr>
      <w:r w:rsidRPr="00772D9C">
        <w:rPr>
          <w:rFonts w:ascii="Arial" w:hAnsi="Arial" w:cs="Arial"/>
          <w:sz w:val="24"/>
          <w:szCs w:val="24"/>
        </w:rPr>
        <w:t xml:space="preserve">My technical expertise Teams, Excel, AI tools fits well with the digital-skills model of the 21st century as developed by the OECD. The communication/teamwork gap is caused by a lack of previous experiential leadership in multicultural teams, it has been discovered that hybrid global teams cannot cope without systematic reflection (Hu and Ka, 2024). </w:t>
      </w:r>
    </w:p>
    <w:p w14:paraId="3D4C2330" w14:textId="53AB3710" w:rsidR="00E94BFF" w:rsidRPr="00772D9C" w:rsidRDefault="00E94BFF" w:rsidP="009C14A1">
      <w:pPr>
        <w:spacing w:line="360" w:lineRule="auto"/>
        <w:jc w:val="both"/>
        <w:rPr>
          <w:rFonts w:ascii="Arial" w:hAnsi="Arial" w:cs="Arial"/>
          <w:b/>
          <w:bCs/>
          <w:sz w:val="24"/>
          <w:szCs w:val="24"/>
        </w:rPr>
      </w:pPr>
      <w:r w:rsidRPr="00772D9C">
        <w:rPr>
          <w:rFonts w:ascii="Arial" w:hAnsi="Arial" w:cs="Arial"/>
          <w:b/>
          <w:bCs/>
          <w:sz w:val="24"/>
          <w:szCs w:val="24"/>
        </w:rPr>
        <w:t>Conclusion</w:t>
      </w:r>
    </w:p>
    <w:p w14:paraId="6243A7EA" w14:textId="77777777" w:rsidR="009C14A1" w:rsidRPr="00772D9C" w:rsidRDefault="009C14A1" w:rsidP="009C14A1">
      <w:pPr>
        <w:spacing w:line="360" w:lineRule="auto"/>
        <w:rPr>
          <w:rFonts w:ascii="Arial" w:hAnsi="Arial" w:cs="Arial"/>
          <w:sz w:val="24"/>
          <w:szCs w:val="24"/>
        </w:rPr>
      </w:pPr>
      <w:r w:rsidRPr="00772D9C">
        <w:rPr>
          <w:rFonts w:ascii="Arial" w:hAnsi="Arial" w:cs="Arial"/>
          <w:sz w:val="24"/>
          <w:szCs w:val="24"/>
        </w:rPr>
        <w:t>I will have to improve on my tech/self-learning strengths, and consciously work on cross-cultural communication and leadership in multifaceted teams.</w:t>
      </w:r>
    </w:p>
    <w:p w14:paraId="4EDDA6B5" w14:textId="2C9B70D0" w:rsidR="00E94BFF" w:rsidRPr="00772D9C" w:rsidRDefault="00E94BFF" w:rsidP="009C14A1">
      <w:pPr>
        <w:spacing w:line="360" w:lineRule="auto"/>
        <w:rPr>
          <w:rFonts w:ascii="Arial" w:hAnsi="Arial" w:cs="Arial"/>
          <w:b/>
          <w:bCs/>
          <w:sz w:val="24"/>
          <w:szCs w:val="24"/>
        </w:rPr>
      </w:pPr>
      <w:r w:rsidRPr="00772D9C">
        <w:rPr>
          <w:rFonts w:ascii="Arial" w:hAnsi="Arial" w:cs="Arial"/>
          <w:b/>
          <w:bCs/>
          <w:sz w:val="24"/>
          <w:szCs w:val="24"/>
        </w:rPr>
        <w:t>Action Plan</w:t>
      </w:r>
    </w:p>
    <w:tbl>
      <w:tblPr>
        <w:tblStyle w:val="TableGrid"/>
        <w:tblW w:w="0" w:type="auto"/>
        <w:tblLook w:val="04A0" w:firstRow="1" w:lastRow="0" w:firstColumn="1" w:lastColumn="0" w:noHBand="0" w:noVBand="1"/>
      </w:tblPr>
      <w:tblGrid>
        <w:gridCol w:w="2030"/>
        <w:gridCol w:w="5031"/>
        <w:gridCol w:w="1955"/>
      </w:tblGrid>
      <w:tr w:rsidR="00E94BFF" w:rsidRPr="00772D9C" w14:paraId="01B3A323" w14:textId="77777777" w:rsidTr="00E94BFF">
        <w:tc>
          <w:tcPr>
            <w:tcW w:w="0" w:type="auto"/>
            <w:hideMark/>
          </w:tcPr>
          <w:p w14:paraId="0542F540"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Area</w:t>
            </w:r>
          </w:p>
        </w:tc>
        <w:tc>
          <w:tcPr>
            <w:tcW w:w="0" w:type="auto"/>
            <w:hideMark/>
          </w:tcPr>
          <w:p w14:paraId="74C75CCE"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Action</w:t>
            </w:r>
          </w:p>
        </w:tc>
        <w:tc>
          <w:tcPr>
            <w:tcW w:w="0" w:type="auto"/>
            <w:hideMark/>
          </w:tcPr>
          <w:p w14:paraId="1F4052C2"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Timeline</w:t>
            </w:r>
          </w:p>
        </w:tc>
      </w:tr>
      <w:tr w:rsidR="00E94BFF" w:rsidRPr="00772D9C" w14:paraId="3FA1D7A9" w14:textId="77777777" w:rsidTr="00E94BFF">
        <w:tc>
          <w:tcPr>
            <w:tcW w:w="0" w:type="auto"/>
            <w:hideMark/>
          </w:tcPr>
          <w:p w14:paraId="63863434"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Tech</w:t>
            </w:r>
          </w:p>
        </w:tc>
        <w:tc>
          <w:tcPr>
            <w:tcW w:w="0" w:type="auto"/>
            <w:hideMark/>
          </w:tcPr>
          <w:p w14:paraId="2E8D9B77"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Complete “Advanced AI for Business” on Coursera</w:t>
            </w:r>
          </w:p>
        </w:tc>
        <w:tc>
          <w:tcPr>
            <w:tcW w:w="0" w:type="auto"/>
            <w:hideMark/>
          </w:tcPr>
          <w:p w14:paraId="0991F648"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By June 2026</w:t>
            </w:r>
          </w:p>
        </w:tc>
      </w:tr>
      <w:tr w:rsidR="00E94BFF" w:rsidRPr="00772D9C" w14:paraId="48CA3579" w14:textId="77777777" w:rsidTr="00E94BFF">
        <w:tc>
          <w:tcPr>
            <w:tcW w:w="0" w:type="auto"/>
            <w:hideMark/>
          </w:tcPr>
          <w:p w14:paraId="3EDB4E61"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Communication</w:t>
            </w:r>
          </w:p>
        </w:tc>
        <w:tc>
          <w:tcPr>
            <w:tcW w:w="0" w:type="auto"/>
            <w:hideMark/>
          </w:tcPr>
          <w:p w14:paraId="7E5AACDC"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Lead next multicultural group project; request feedback</w:t>
            </w:r>
          </w:p>
        </w:tc>
        <w:tc>
          <w:tcPr>
            <w:tcW w:w="0" w:type="auto"/>
            <w:hideMark/>
          </w:tcPr>
          <w:p w14:paraId="77A67B04"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Next module cycle</w:t>
            </w:r>
          </w:p>
        </w:tc>
      </w:tr>
      <w:tr w:rsidR="00E94BFF" w:rsidRPr="00772D9C" w14:paraId="7C2A2997" w14:textId="77777777" w:rsidTr="00E94BFF">
        <w:tc>
          <w:tcPr>
            <w:tcW w:w="0" w:type="auto"/>
            <w:hideMark/>
          </w:tcPr>
          <w:p w14:paraId="107247E3"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t>Leadership</w:t>
            </w:r>
          </w:p>
        </w:tc>
        <w:tc>
          <w:tcPr>
            <w:tcW w:w="0" w:type="auto"/>
            <w:hideMark/>
          </w:tcPr>
          <w:p w14:paraId="0B3C9CA5"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Mentor 1 peer during internship; reflect weekly log</w:t>
            </w:r>
          </w:p>
        </w:tc>
        <w:tc>
          <w:tcPr>
            <w:tcW w:w="0" w:type="auto"/>
            <w:hideMark/>
          </w:tcPr>
          <w:p w14:paraId="2F521CDD"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From July 2025</w:t>
            </w:r>
          </w:p>
        </w:tc>
      </w:tr>
      <w:tr w:rsidR="00E94BFF" w:rsidRPr="00772D9C" w14:paraId="596B6098" w14:textId="77777777" w:rsidTr="00E94BFF">
        <w:tc>
          <w:tcPr>
            <w:tcW w:w="0" w:type="auto"/>
            <w:hideMark/>
          </w:tcPr>
          <w:p w14:paraId="788A87DA" w14:textId="77777777" w:rsidR="00E94BFF" w:rsidRPr="00772D9C" w:rsidRDefault="00E94BFF" w:rsidP="009C14A1">
            <w:pPr>
              <w:spacing w:after="160" w:line="360" w:lineRule="auto"/>
              <w:rPr>
                <w:rFonts w:ascii="Arial" w:hAnsi="Arial" w:cs="Arial"/>
                <w:b/>
                <w:bCs/>
                <w:sz w:val="24"/>
                <w:szCs w:val="24"/>
              </w:rPr>
            </w:pPr>
            <w:r w:rsidRPr="00772D9C">
              <w:rPr>
                <w:rFonts w:ascii="Arial" w:hAnsi="Arial" w:cs="Arial"/>
                <w:b/>
                <w:bCs/>
                <w:sz w:val="24"/>
                <w:szCs w:val="24"/>
              </w:rPr>
              <w:lastRenderedPageBreak/>
              <w:t>Self-Learning</w:t>
            </w:r>
          </w:p>
        </w:tc>
        <w:tc>
          <w:tcPr>
            <w:tcW w:w="0" w:type="auto"/>
            <w:hideMark/>
          </w:tcPr>
          <w:p w14:paraId="758ABC17"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Initiate a dashboard challenge using Python monthly</w:t>
            </w:r>
          </w:p>
        </w:tc>
        <w:tc>
          <w:tcPr>
            <w:tcW w:w="0" w:type="auto"/>
            <w:hideMark/>
          </w:tcPr>
          <w:p w14:paraId="665EAEF8" w14:textId="77777777" w:rsidR="00E94BFF" w:rsidRPr="00772D9C" w:rsidRDefault="00E94BFF" w:rsidP="009C14A1">
            <w:pPr>
              <w:spacing w:after="160" w:line="360" w:lineRule="auto"/>
              <w:rPr>
                <w:rFonts w:ascii="Arial" w:hAnsi="Arial" w:cs="Arial"/>
                <w:sz w:val="24"/>
                <w:szCs w:val="24"/>
              </w:rPr>
            </w:pPr>
            <w:r w:rsidRPr="00772D9C">
              <w:rPr>
                <w:rFonts w:ascii="Arial" w:hAnsi="Arial" w:cs="Arial"/>
                <w:sz w:val="24"/>
                <w:szCs w:val="24"/>
              </w:rPr>
              <w:t>Monthly in 2025</w:t>
            </w:r>
          </w:p>
        </w:tc>
      </w:tr>
    </w:tbl>
    <w:p w14:paraId="2DC11A37" w14:textId="77777777" w:rsidR="00E94BFF" w:rsidRPr="00772D9C" w:rsidRDefault="00E94BFF" w:rsidP="009C14A1">
      <w:pPr>
        <w:spacing w:line="360" w:lineRule="auto"/>
        <w:jc w:val="both"/>
        <w:rPr>
          <w:rFonts w:ascii="Arial" w:hAnsi="Arial" w:cs="Arial"/>
          <w:b/>
          <w:bCs/>
          <w:sz w:val="24"/>
          <w:szCs w:val="24"/>
        </w:rPr>
      </w:pPr>
    </w:p>
    <w:p w14:paraId="56DD05F7" w14:textId="1907346F" w:rsidR="008B1B16" w:rsidRPr="00772D9C" w:rsidRDefault="008B1B16" w:rsidP="00397738">
      <w:pPr>
        <w:pStyle w:val="Heading2"/>
        <w:rPr>
          <w:rFonts w:cs="Arial"/>
          <w:szCs w:val="24"/>
        </w:rPr>
      </w:pPr>
      <w:bookmarkStart w:id="21" w:name="_Toc213606464"/>
      <w:r w:rsidRPr="00772D9C">
        <w:rPr>
          <w:rFonts w:cs="Arial"/>
          <w:szCs w:val="24"/>
        </w:rPr>
        <w:t>4.</w:t>
      </w:r>
      <w:r w:rsidR="00E94BFF" w:rsidRPr="00772D9C">
        <w:rPr>
          <w:rFonts w:cs="Arial"/>
          <w:szCs w:val="24"/>
        </w:rPr>
        <w:t>3</w:t>
      </w:r>
      <w:r w:rsidRPr="00772D9C">
        <w:rPr>
          <w:rFonts w:cs="Arial"/>
          <w:szCs w:val="24"/>
        </w:rPr>
        <w:t xml:space="preserve"> Development Plan</w:t>
      </w:r>
      <w:bookmarkEnd w:id="21"/>
    </w:p>
    <w:p w14:paraId="3FB104F1" w14:textId="77777777" w:rsidR="00E94BFF" w:rsidRPr="00772D9C" w:rsidRDefault="00E94BFF" w:rsidP="009C14A1">
      <w:pPr>
        <w:spacing w:line="360" w:lineRule="auto"/>
        <w:jc w:val="both"/>
        <w:rPr>
          <w:rFonts w:ascii="Arial" w:hAnsi="Arial" w:cs="Arial"/>
          <w:b/>
          <w:bCs/>
          <w:sz w:val="24"/>
          <w:szCs w:val="24"/>
          <w:lang w:val="en-US"/>
        </w:rPr>
      </w:pPr>
      <w:r w:rsidRPr="00772D9C">
        <w:rPr>
          <w:rFonts w:ascii="Arial" w:hAnsi="Arial" w:cs="Arial"/>
          <w:b/>
          <w:bCs/>
          <w:sz w:val="24"/>
          <w:szCs w:val="24"/>
          <w:lang w:val="en-US"/>
        </w:rPr>
        <w:t>Leveraging Strengths</w:t>
      </w:r>
    </w:p>
    <w:p w14:paraId="05175AC2" w14:textId="267E0179" w:rsidR="00E94BFF" w:rsidRPr="00772D9C" w:rsidRDefault="009C14A1" w:rsidP="009C14A1">
      <w:pPr>
        <w:spacing w:line="360" w:lineRule="auto"/>
        <w:jc w:val="both"/>
        <w:rPr>
          <w:rFonts w:ascii="Arial" w:hAnsi="Arial" w:cs="Arial"/>
          <w:sz w:val="24"/>
          <w:szCs w:val="24"/>
          <w:lang w:val="en-US"/>
        </w:rPr>
      </w:pPr>
      <w:r w:rsidRPr="00772D9C">
        <w:rPr>
          <w:rFonts w:ascii="Arial" w:hAnsi="Arial" w:cs="Arial"/>
          <w:sz w:val="24"/>
          <w:szCs w:val="24"/>
          <w:lang w:val="en-US"/>
        </w:rPr>
        <w:t>The aspects of my flexibility towards technology allow me to incorporate AI and analytics into HR decision-making, making me a stronger employee in data-driven organisations. Self-directed learning is a habit that enables me to constantly update my skills- learners of constantly evolving HR systems, including predictive analytics or HR dashboards, will be ahead of the game in international positions.</w:t>
      </w:r>
    </w:p>
    <w:p w14:paraId="6C0189B5" w14:textId="77777777" w:rsidR="00E94BFF" w:rsidRPr="00772D9C" w:rsidRDefault="00E94BFF" w:rsidP="009C14A1">
      <w:pPr>
        <w:spacing w:line="360" w:lineRule="auto"/>
        <w:jc w:val="both"/>
        <w:rPr>
          <w:rFonts w:ascii="Arial" w:hAnsi="Arial" w:cs="Arial"/>
          <w:b/>
          <w:bCs/>
          <w:sz w:val="24"/>
          <w:szCs w:val="24"/>
          <w:lang w:val="en-US"/>
        </w:rPr>
      </w:pPr>
      <w:r w:rsidRPr="00772D9C">
        <w:rPr>
          <w:rFonts w:ascii="Arial" w:hAnsi="Arial" w:cs="Arial"/>
          <w:b/>
          <w:bCs/>
          <w:sz w:val="24"/>
          <w:szCs w:val="24"/>
          <w:lang w:val="en-US"/>
        </w:rPr>
        <w:t>Addressing Weaknesses</w:t>
      </w:r>
    </w:p>
    <w:p w14:paraId="48462A2E" w14:textId="299CBDBA" w:rsidR="008B1B16" w:rsidRPr="00772D9C" w:rsidRDefault="009C14A1" w:rsidP="00120930">
      <w:pPr>
        <w:spacing w:line="360" w:lineRule="auto"/>
        <w:jc w:val="both"/>
        <w:rPr>
          <w:rFonts w:ascii="Arial" w:hAnsi="Arial" w:cs="Arial"/>
          <w:sz w:val="24"/>
          <w:szCs w:val="24"/>
          <w:lang w:val="en-US"/>
        </w:rPr>
      </w:pPr>
      <w:r w:rsidRPr="00772D9C">
        <w:rPr>
          <w:rFonts w:ascii="Arial" w:hAnsi="Arial" w:cs="Arial"/>
          <w:sz w:val="24"/>
          <w:szCs w:val="24"/>
          <w:lang w:val="en-US"/>
        </w:rPr>
        <w:t xml:space="preserve">To address the lack of experience related to managing multicultural teams, I will offer to lead the next cross-border project </w:t>
      </w:r>
      <w:r w:rsidR="00DD599F" w:rsidRPr="00772D9C">
        <w:rPr>
          <w:rFonts w:ascii="Arial" w:hAnsi="Arial" w:cs="Arial"/>
          <w:sz w:val="24"/>
          <w:szCs w:val="24"/>
          <w:lang w:val="en-US"/>
        </w:rPr>
        <w:t>during</w:t>
      </w:r>
      <w:r w:rsidRPr="00772D9C">
        <w:rPr>
          <w:rFonts w:ascii="Arial" w:hAnsi="Arial" w:cs="Arial"/>
          <w:sz w:val="24"/>
          <w:szCs w:val="24"/>
          <w:lang w:val="en-US"/>
        </w:rPr>
        <w:t xml:space="preserve"> my internship and ask my peers to provide me with structured feedback. Moreover, I will finish the course Leading Global Teams on Coursera by August 2025 and put the acquired cultural intelligence models into practical use in teams.</w:t>
      </w:r>
      <w:r w:rsidR="00A42AB0" w:rsidRPr="00772D9C">
        <w:rPr>
          <w:rFonts w:ascii="Arial" w:hAnsi="Arial" w:cs="Arial"/>
          <w:sz w:val="24"/>
          <w:szCs w:val="24"/>
          <w:lang w:val="en-US"/>
        </w:rPr>
        <w:br w:type="page"/>
      </w:r>
    </w:p>
    <w:p w14:paraId="31B65068" w14:textId="39397F94" w:rsidR="00A42AB0" w:rsidRPr="00772D9C" w:rsidRDefault="008B1B16" w:rsidP="009C14A1">
      <w:pPr>
        <w:pStyle w:val="Heading1"/>
        <w:spacing w:line="360" w:lineRule="auto"/>
        <w:rPr>
          <w:rFonts w:cs="Arial"/>
          <w:szCs w:val="24"/>
        </w:rPr>
      </w:pPr>
      <w:bookmarkStart w:id="22" w:name="_Toc213606465"/>
      <w:r w:rsidRPr="00772D9C">
        <w:rPr>
          <w:rFonts w:cs="Arial"/>
          <w:szCs w:val="24"/>
        </w:rPr>
        <w:lastRenderedPageBreak/>
        <w:t>Conclusion</w:t>
      </w:r>
      <w:bookmarkEnd w:id="22"/>
    </w:p>
    <w:p w14:paraId="48E3EF9B" w14:textId="5B327283" w:rsidR="00A42AB0" w:rsidRPr="00772D9C" w:rsidRDefault="008B0CE3" w:rsidP="008B0CE3">
      <w:pPr>
        <w:spacing w:line="360" w:lineRule="auto"/>
        <w:jc w:val="both"/>
        <w:rPr>
          <w:rFonts w:ascii="Arial" w:hAnsi="Arial" w:cs="Arial"/>
          <w:sz w:val="24"/>
          <w:szCs w:val="24"/>
        </w:rPr>
      </w:pPr>
      <w:r w:rsidRPr="00772D9C">
        <w:rPr>
          <w:rFonts w:ascii="Arial" w:hAnsi="Arial" w:cs="Arial"/>
          <w:sz w:val="24"/>
          <w:szCs w:val="24"/>
        </w:rPr>
        <w:t>This report concluded that the globalisation, technology, and demographic changes have revolutionised the labour markets and HRM. The challenges to talent stability were posed by the demands of AI and automation which necessitated adaptive HR and IHRM practises, as well as demands of ageing populations and geopolitical instability. With the help of the Build, Buy, Borrow, and Bind strategic HRM approaches, sustainable and human-focused workforce resilience was guaranteed with the help of the Cappelli (2008) framework.</w:t>
      </w:r>
    </w:p>
    <w:p w14:paraId="3A37640C" w14:textId="1D9CBAD9" w:rsidR="008B1B16" w:rsidRPr="00772D9C" w:rsidRDefault="00A42AB0" w:rsidP="009C14A1">
      <w:pPr>
        <w:spacing w:line="360" w:lineRule="auto"/>
        <w:rPr>
          <w:rFonts w:ascii="Arial" w:hAnsi="Arial" w:cs="Arial"/>
          <w:b/>
          <w:bCs/>
          <w:sz w:val="24"/>
          <w:szCs w:val="24"/>
        </w:rPr>
      </w:pPr>
      <w:r w:rsidRPr="00772D9C">
        <w:rPr>
          <w:rFonts w:ascii="Arial" w:hAnsi="Arial" w:cs="Arial"/>
          <w:b/>
          <w:bCs/>
          <w:sz w:val="24"/>
          <w:szCs w:val="24"/>
        </w:rPr>
        <w:br w:type="page"/>
      </w:r>
    </w:p>
    <w:p w14:paraId="7A05F806" w14:textId="77777777" w:rsidR="008B1B16" w:rsidRPr="00772D9C" w:rsidRDefault="008B1B16" w:rsidP="009C14A1">
      <w:pPr>
        <w:pStyle w:val="Heading1"/>
        <w:spacing w:line="360" w:lineRule="auto"/>
        <w:rPr>
          <w:rFonts w:cs="Arial"/>
          <w:szCs w:val="24"/>
        </w:rPr>
      </w:pPr>
      <w:bookmarkStart w:id="23" w:name="_Toc213606466"/>
      <w:r w:rsidRPr="00772D9C">
        <w:rPr>
          <w:rFonts w:cs="Arial"/>
          <w:szCs w:val="24"/>
        </w:rPr>
        <w:lastRenderedPageBreak/>
        <w:t>References</w:t>
      </w:r>
      <w:bookmarkEnd w:id="23"/>
    </w:p>
    <w:p w14:paraId="52BC7E4D"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t>Brynjolfsson, E., &amp;amp; McAfee, A. (2014). The Second Machine Age: Work, Progress, and Prosperity in a Time of Brilliant Technologies. W. W. Norton &amp;amp; Company. (A foundational text on the economic impact of technology).</w:t>
      </w:r>
    </w:p>
    <w:p w14:paraId="24462DA3"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t xml:space="preserve">Built In (2025) </w:t>
      </w:r>
      <w:r w:rsidRPr="00D93183">
        <w:rPr>
          <w:rFonts w:ascii="Arial" w:hAnsi="Arial" w:cs="Arial"/>
          <w:i/>
          <w:iCs/>
          <w:sz w:val="24"/>
          <w:szCs w:val="24"/>
        </w:rPr>
        <w:t>2025 Talent Trend Report</w:t>
      </w:r>
      <w:r w:rsidRPr="00D93183">
        <w:rPr>
          <w:rFonts w:ascii="Arial" w:hAnsi="Arial" w:cs="Arial"/>
          <w:sz w:val="24"/>
          <w:szCs w:val="24"/>
        </w:rPr>
        <w:t xml:space="preserve">. Available at: </w:t>
      </w:r>
      <w:hyperlink r:id="rId14" w:tgtFrame="_new" w:history="1">
        <w:r w:rsidRPr="00D93183">
          <w:rPr>
            <w:rStyle w:val="Hyperlink"/>
            <w:rFonts w:ascii="Arial" w:hAnsi="Arial" w:cs="Arial"/>
            <w:sz w:val="24"/>
            <w:szCs w:val="24"/>
          </w:rPr>
          <w:t>https://employers.builtin.com/wp-content/uploads/2025/04/The-Built-In-2025-Talent-Trend-Report.pdf</w:t>
        </w:r>
      </w:hyperlink>
      <w:r w:rsidRPr="00D93183">
        <w:rPr>
          <w:rFonts w:ascii="Arial" w:hAnsi="Arial" w:cs="Arial"/>
          <w:sz w:val="24"/>
          <w:szCs w:val="24"/>
        </w:rPr>
        <w:t xml:space="preserve"> (Accessed: 10 November 2025).</w:t>
      </w:r>
    </w:p>
    <w:p w14:paraId="33517BA4"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Carol (2025). </w:t>
      </w:r>
      <w:r w:rsidRPr="00D93183">
        <w:rPr>
          <w:rFonts w:ascii="Arial" w:hAnsi="Arial" w:cs="Arial"/>
          <w:i/>
          <w:iCs/>
          <w:sz w:val="24"/>
          <w:szCs w:val="24"/>
          <w:lang w:val="en-US"/>
        </w:rPr>
        <w:t>2025 Workplace Learning Trends: Global Insights for Upskilling - Techademy</w:t>
      </w:r>
      <w:r w:rsidRPr="00D93183">
        <w:rPr>
          <w:rFonts w:ascii="Arial" w:hAnsi="Arial" w:cs="Arial"/>
          <w:sz w:val="24"/>
          <w:szCs w:val="24"/>
          <w:lang w:val="en-US"/>
        </w:rPr>
        <w:t>. [online] Techademy - Start Solving Your Tech Skill Gaps To Accelerate Business Transformation. Available at: https://enterprise.techademy.com/resources/blogs/workplace-learning-trends-upskilling/ [Accessed 9 Nov. 2025].</w:t>
      </w:r>
    </w:p>
    <w:p w14:paraId="5801099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Chellappa, S. (2023). </w:t>
      </w:r>
      <w:r w:rsidRPr="00D93183">
        <w:rPr>
          <w:rFonts w:ascii="Arial" w:hAnsi="Arial" w:cs="Arial"/>
          <w:i/>
          <w:iCs/>
          <w:sz w:val="24"/>
          <w:szCs w:val="24"/>
          <w:lang w:val="en-US"/>
        </w:rPr>
        <w:t>Mentoring Statistics in 2024: A Guide to Key Insights and Trends</w:t>
      </w:r>
      <w:r w:rsidRPr="00D93183">
        <w:rPr>
          <w:rFonts w:ascii="Arial" w:hAnsi="Arial" w:cs="Arial"/>
          <w:sz w:val="24"/>
          <w:szCs w:val="24"/>
          <w:lang w:val="en-US"/>
        </w:rPr>
        <w:t>. [online] Mentoring Complete. Available at: https://www.mentoringcomplete.com/mentoring-statistics-everything-you-need-to-know-in-2024/.</w:t>
      </w:r>
    </w:p>
    <w:p w14:paraId="3ADA8701"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CTF Assets (2025). </w:t>
      </w:r>
      <w:r w:rsidRPr="00D93183">
        <w:rPr>
          <w:rFonts w:ascii="Arial" w:hAnsi="Arial" w:cs="Arial"/>
          <w:i/>
          <w:iCs/>
          <w:sz w:val="24"/>
          <w:szCs w:val="24"/>
          <w:lang w:val="en-US"/>
        </w:rPr>
        <w:t>Global Skills Report Trusted skill insights for a rapidly changing world</w:t>
      </w:r>
      <w:r w:rsidRPr="00D93183">
        <w:rPr>
          <w:rFonts w:ascii="Arial" w:hAnsi="Arial" w:cs="Arial"/>
          <w:sz w:val="24"/>
          <w:szCs w:val="24"/>
          <w:lang w:val="en-US"/>
        </w:rPr>
        <w:t>. [online] Available at: https://assets.ctfassets.net/2pudprfttvy6/3ELFKTA8GBPBuRkNrOzmpS/24fc7ec2372d0adb96965340069f705c/Global_Skills_Report_2025.pdf [Accessed 9 Nov. 2025].</w:t>
      </w:r>
    </w:p>
    <w:p w14:paraId="6C7A0954"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Deloitte (2024). </w:t>
      </w:r>
      <w:r w:rsidRPr="00D93183">
        <w:rPr>
          <w:rFonts w:ascii="Arial" w:hAnsi="Arial" w:cs="Arial"/>
          <w:i/>
          <w:iCs/>
          <w:sz w:val="24"/>
          <w:szCs w:val="24"/>
          <w:lang w:val="en-US"/>
        </w:rPr>
        <w:t>2024 Deloitte Global Outsourcing Survey | Deloitte US</w:t>
      </w:r>
      <w:r w:rsidRPr="00D93183">
        <w:rPr>
          <w:rFonts w:ascii="Arial" w:hAnsi="Arial" w:cs="Arial"/>
          <w:sz w:val="24"/>
          <w:szCs w:val="24"/>
          <w:lang w:val="en-US"/>
        </w:rPr>
        <w:t>. [online] Deloitte. Available at: https://www.deloitte.com/us/en/services/consulting/articles/global-outsourcing-survey.html.</w:t>
      </w:r>
    </w:p>
    <w:p w14:paraId="20C4BEC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Deloitte (2025). </w:t>
      </w:r>
      <w:r w:rsidRPr="00D93183">
        <w:rPr>
          <w:rFonts w:ascii="Arial" w:hAnsi="Arial" w:cs="Arial"/>
          <w:i/>
          <w:iCs/>
          <w:sz w:val="24"/>
          <w:szCs w:val="24"/>
          <w:lang w:val="en-US"/>
        </w:rPr>
        <w:t>Corporate Academies | Deloitte US</w:t>
      </w:r>
      <w:r w:rsidRPr="00D93183">
        <w:rPr>
          <w:rFonts w:ascii="Arial" w:hAnsi="Arial" w:cs="Arial"/>
          <w:sz w:val="24"/>
          <w:szCs w:val="24"/>
          <w:lang w:val="en-US"/>
        </w:rPr>
        <w:t>. [online] Deloitte. Available at: https://www.deloitte.com/us/en/services/consulting/blogs/human-capital/corporate-academies-are-latest-approach-to-corporate-learning-development.html [Accessed 9 Nov. 2025].</w:t>
      </w:r>
    </w:p>
    <w:p w14:paraId="36D86583"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Deloitte Insights (2025). </w:t>
      </w:r>
      <w:r w:rsidRPr="00D93183">
        <w:rPr>
          <w:rFonts w:ascii="Arial" w:hAnsi="Arial" w:cs="Arial"/>
          <w:i/>
          <w:iCs/>
          <w:sz w:val="24"/>
          <w:szCs w:val="24"/>
          <w:lang w:val="en-US"/>
        </w:rPr>
        <w:t>2025 Global Human Capital Trends</w:t>
      </w:r>
      <w:r w:rsidRPr="00D93183">
        <w:rPr>
          <w:rFonts w:ascii="Arial" w:hAnsi="Arial" w:cs="Arial"/>
          <w:sz w:val="24"/>
          <w:szCs w:val="24"/>
          <w:lang w:val="en-US"/>
        </w:rPr>
        <w:t>. [online] Deloitte Insights. Available at: https://www.deloitte.com/us/en/insights/topics/talent/human-capital-trends.html#authors.</w:t>
      </w:r>
    </w:p>
    <w:p w14:paraId="26BB1E6B"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lastRenderedPageBreak/>
        <w:t xml:space="preserve">Demand Sage (2023). </w:t>
      </w:r>
      <w:r w:rsidRPr="00D93183">
        <w:rPr>
          <w:rFonts w:ascii="Arial" w:hAnsi="Arial" w:cs="Arial"/>
          <w:i/>
          <w:iCs/>
          <w:sz w:val="24"/>
          <w:szCs w:val="24"/>
          <w:lang w:val="en-US"/>
        </w:rPr>
        <w:t>41 AI Recruitment Statistics 2023 (Facts &amp; Hiring Trends)</w:t>
      </w:r>
      <w:r w:rsidRPr="00D93183">
        <w:rPr>
          <w:rFonts w:ascii="Arial" w:hAnsi="Arial" w:cs="Arial"/>
          <w:sz w:val="24"/>
          <w:szCs w:val="24"/>
          <w:lang w:val="en-US"/>
        </w:rPr>
        <w:t>. [online] DemandSage. Available at: https://www.demandsage.com/ai-recruitment-statistics/.</w:t>
      </w:r>
    </w:p>
    <w:p w14:paraId="738AC1D0"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t>Dowling, P. J., Festing, M., &amp;amp; Engle, A. D. (2017). International Human Resource Management. Cengage Learning. (A core IHRM textbook with chapters dedicated to the global context).</w:t>
      </w:r>
    </w:p>
    <w:p w14:paraId="2D3A4BB0"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t xml:space="preserve">Eightfold AI (2025) </w:t>
      </w:r>
      <w:r w:rsidRPr="00D93183">
        <w:rPr>
          <w:rFonts w:ascii="Arial" w:hAnsi="Arial" w:cs="Arial"/>
          <w:i/>
          <w:iCs/>
          <w:sz w:val="24"/>
          <w:szCs w:val="24"/>
        </w:rPr>
        <w:t>HR.com’s Future of Talent Acquisition 2025: Research Report</w:t>
      </w:r>
      <w:r w:rsidRPr="00D93183">
        <w:rPr>
          <w:rFonts w:ascii="Arial" w:hAnsi="Arial" w:cs="Arial"/>
          <w:sz w:val="24"/>
          <w:szCs w:val="24"/>
        </w:rPr>
        <w:t>. Research survey of 207 HR professionals. Available at: https://www.eightfold.ai/wp-content/uploads/hr-coms-future-of-talent-acquisition-2025-research-report-eightfold-ai.pdf (Accessed: 5 November 2025).</w:t>
      </w:r>
    </w:p>
    <w:p w14:paraId="307673FB" w14:textId="77777777" w:rsidR="00030FD4" w:rsidRPr="00D93183" w:rsidRDefault="00030FD4" w:rsidP="00D93183">
      <w:pPr>
        <w:spacing w:line="360" w:lineRule="auto"/>
        <w:jc w:val="both"/>
        <w:rPr>
          <w:rFonts w:ascii="Arial" w:hAnsi="Arial" w:cs="Arial"/>
          <w:i/>
          <w:iCs/>
          <w:sz w:val="24"/>
          <w:szCs w:val="24"/>
        </w:rPr>
      </w:pPr>
      <w:r w:rsidRPr="00D93183">
        <w:rPr>
          <w:rFonts w:ascii="Arial" w:hAnsi="Arial" w:cs="Arial"/>
          <w:i/>
          <w:iCs/>
          <w:sz w:val="24"/>
          <w:szCs w:val="24"/>
        </w:rPr>
        <w:t xml:space="preserve">Ernst &amp; Young (EY) &amp; iMocha (2023) Tech Skills Transformation – Navigating the Future of Work in 2025 and Beyond. EY India &amp; iMocha. Available at: </w:t>
      </w:r>
      <w:hyperlink r:id="rId15" w:tgtFrame="_new" w:history="1">
        <w:r w:rsidRPr="00D93183">
          <w:rPr>
            <w:rStyle w:val="Hyperlink"/>
            <w:rFonts w:ascii="Arial" w:hAnsi="Arial" w:cs="Arial"/>
            <w:i/>
            <w:iCs/>
            <w:sz w:val="24"/>
            <w:szCs w:val="24"/>
          </w:rPr>
          <w:t>https://www.ey.com/content/dam/ey-unified-site/ey-com/en-in/insights/workforce/documents/ey-tech-skills-transformation-navigating-the-future-of-work-in-2025-and-beyond.pdf</w:t>
        </w:r>
      </w:hyperlink>
      <w:r w:rsidRPr="00D93183">
        <w:rPr>
          <w:rFonts w:ascii="Arial" w:hAnsi="Arial" w:cs="Arial"/>
          <w:i/>
          <w:iCs/>
          <w:sz w:val="24"/>
          <w:szCs w:val="24"/>
        </w:rPr>
        <w:t xml:space="preserve"> (Accessed: 5 November 2025)</w:t>
      </w:r>
    </w:p>
    <w:p w14:paraId="4B4C443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Expert Program Management. (2023). [online] Expertprogrammanagement.com. Available at: https://expertprogrammanagement.com/wp-content/uploads/2022/11/Gibbs-Reflective-Cycle.png.</w:t>
      </w:r>
    </w:p>
    <w:p w14:paraId="47E2D31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Fragomen (2023). </w:t>
      </w:r>
      <w:r w:rsidRPr="00D93183">
        <w:rPr>
          <w:rFonts w:ascii="Arial" w:hAnsi="Arial" w:cs="Arial"/>
          <w:i/>
          <w:iCs/>
          <w:sz w:val="24"/>
          <w:szCs w:val="24"/>
          <w:lang w:val="en-US"/>
        </w:rPr>
        <w:t>Impact of Political Instability on Expatriate Populations: Key Considerations for Companies</w:t>
      </w:r>
      <w:r w:rsidRPr="00D93183">
        <w:rPr>
          <w:rFonts w:ascii="Arial" w:hAnsi="Arial" w:cs="Arial"/>
          <w:sz w:val="24"/>
          <w:szCs w:val="24"/>
          <w:lang w:val="en-US"/>
        </w:rPr>
        <w:t>. [online] Fragomen - Immigration attorneys, solicitors, and consultants worldwide - Impact of Political Instability on Expatriate Populations: Key Considerations for Companies. Available at: https://www.fragomen.com/insights/impact-of-political-instability-on-expatriate-populations-key-considerations-for-companies.html.</w:t>
      </w:r>
    </w:p>
    <w:p w14:paraId="63CA0282"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Gartner (2025). </w:t>
      </w:r>
      <w:r w:rsidRPr="00D93183">
        <w:rPr>
          <w:rFonts w:ascii="Arial" w:hAnsi="Arial" w:cs="Arial"/>
          <w:i/>
          <w:iCs/>
          <w:sz w:val="24"/>
          <w:szCs w:val="24"/>
          <w:lang w:val="en-US"/>
        </w:rPr>
        <w:t>Diversity, Equity, and Inclusion - HR Insights</w:t>
      </w:r>
      <w:r w:rsidRPr="00D93183">
        <w:rPr>
          <w:rFonts w:ascii="Arial" w:hAnsi="Arial" w:cs="Arial"/>
          <w:sz w:val="24"/>
          <w:szCs w:val="24"/>
          <w:lang w:val="en-US"/>
        </w:rPr>
        <w:t>. [online] Gartner. Available at: https://www.gartner.com/en/human-resources/insights/diversity-equity-inclusion.</w:t>
      </w:r>
    </w:p>
    <w:p w14:paraId="57CF228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Gilbert, M., Lang, N., Mavropoulos, G., mcAdoo, M. and Konomi, T. (2023). </w:t>
      </w:r>
      <w:r w:rsidRPr="00D93183">
        <w:rPr>
          <w:rFonts w:ascii="Arial" w:hAnsi="Arial" w:cs="Arial"/>
          <w:i/>
          <w:iCs/>
          <w:sz w:val="24"/>
          <w:szCs w:val="24"/>
          <w:lang w:val="en-US"/>
        </w:rPr>
        <w:t>Jobs, National Security, and the Future of Trade</w:t>
      </w:r>
      <w:r w:rsidRPr="00D93183">
        <w:rPr>
          <w:rFonts w:ascii="Arial" w:hAnsi="Arial" w:cs="Arial"/>
          <w:sz w:val="24"/>
          <w:szCs w:val="24"/>
          <w:lang w:val="en-US"/>
        </w:rPr>
        <w:t>. [online] BCG Global. Available at: https://www.bcg.com/publications/2024/jobs-national-security-and-future-of-trade.</w:t>
      </w:r>
    </w:p>
    <w:p w14:paraId="406D2F39" w14:textId="77777777" w:rsidR="00030FD4" w:rsidRPr="00D93183" w:rsidRDefault="00030FD4" w:rsidP="00D93183">
      <w:pPr>
        <w:spacing w:line="360" w:lineRule="auto"/>
        <w:jc w:val="both"/>
        <w:rPr>
          <w:rFonts w:ascii="Arial" w:hAnsi="Arial" w:cs="Arial"/>
          <w:sz w:val="24"/>
          <w:szCs w:val="24"/>
        </w:rPr>
      </w:pPr>
      <w:r w:rsidRPr="00D93183">
        <w:rPr>
          <w:rFonts w:ascii="Arial" w:hAnsi="Arial" w:cs="Arial"/>
          <w:sz w:val="24"/>
          <w:szCs w:val="24"/>
        </w:rPr>
        <w:lastRenderedPageBreak/>
        <w:t xml:space="preserve">Hota, S. P. (2023) ‘Education infrastructure, expenditure, enrolment &amp; economic development in Odisha, India’, </w:t>
      </w:r>
      <w:r w:rsidRPr="00D93183">
        <w:rPr>
          <w:rFonts w:ascii="Arial" w:hAnsi="Arial" w:cs="Arial"/>
          <w:i/>
          <w:iCs/>
          <w:sz w:val="24"/>
          <w:szCs w:val="24"/>
        </w:rPr>
        <w:t>International Journal of Educational Development</w:t>
      </w:r>
      <w:r w:rsidRPr="00D93183">
        <w:rPr>
          <w:rFonts w:ascii="Arial" w:hAnsi="Arial" w:cs="Arial"/>
          <w:sz w:val="24"/>
          <w:szCs w:val="24"/>
        </w:rPr>
        <w:t xml:space="preserve">, 103, Article 102903. Available at: </w:t>
      </w:r>
      <w:hyperlink r:id="rId16" w:tgtFrame="_new" w:history="1">
        <w:r w:rsidRPr="00D93183">
          <w:rPr>
            <w:rStyle w:val="Hyperlink"/>
            <w:rFonts w:ascii="Arial" w:hAnsi="Arial" w:cs="Arial"/>
            <w:sz w:val="24"/>
            <w:szCs w:val="24"/>
          </w:rPr>
          <w:t>https://www.sciencedirect.com/science/article/pii/S0738059323001797</w:t>
        </w:r>
      </w:hyperlink>
      <w:r w:rsidRPr="00D93183">
        <w:rPr>
          <w:rFonts w:ascii="Arial" w:hAnsi="Arial" w:cs="Arial"/>
          <w:sz w:val="24"/>
          <w:szCs w:val="24"/>
        </w:rPr>
        <w:t xml:space="preserve"> (Accessed: 2 November 2025). </w:t>
      </w:r>
      <w:hyperlink r:id="rId17" w:tgtFrame="_blank" w:history="1">
        <w:r w:rsidRPr="00D93183">
          <w:rPr>
            <w:rStyle w:val="Hyperlink"/>
            <w:rFonts w:ascii="Arial" w:hAnsi="Arial" w:cs="Arial"/>
            <w:sz w:val="24"/>
            <w:szCs w:val="24"/>
          </w:rPr>
          <w:t>ScienceDirect+1</w:t>
        </w:r>
      </w:hyperlink>
    </w:p>
    <w:p w14:paraId="37B979CB"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HR stacks (2025). </w:t>
      </w:r>
      <w:r w:rsidRPr="00D93183">
        <w:rPr>
          <w:rFonts w:ascii="Arial" w:hAnsi="Arial" w:cs="Arial"/>
          <w:i/>
          <w:iCs/>
          <w:sz w:val="24"/>
          <w:szCs w:val="24"/>
          <w:lang w:val="en-US"/>
        </w:rPr>
        <w:t>2025 Gig Economy &amp; Freelance Work Statistics (Global Report)</w:t>
      </w:r>
      <w:r w:rsidRPr="00D93183">
        <w:rPr>
          <w:rFonts w:ascii="Arial" w:hAnsi="Arial" w:cs="Arial"/>
          <w:sz w:val="24"/>
          <w:szCs w:val="24"/>
          <w:lang w:val="en-US"/>
        </w:rPr>
        <w:t>. [online] hrstacks.com. Available at: https://www.hrstacks.com/gig-economy-freelance-work-statistics/.</w:t>
      </w:r>
    </w:p>
    <w:p w14:paraId="618243A6"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Hu, W. and Ka, C. (2024). Evaluating technological interventions for developing teamwork competency in higher education: A systematic review and meta-ethnography. </w:t>
      </w:r>
      <w:r w:rsidRPr="00D93183">
        <w:rPr>
          <w:rFonts w:ascii="Arial" w:hAnsi="Arial" w:cs="Arial"/>
          <w:i/>
          <w:iCs/>
          <w:sz w:val="24"/>
          <w:szCs w:val="24"/>
          <w:lang w:val="en-US"/>
        </w:rPr>
        <w:t>Studies In Educational Evaluation</w:t>
      </w:r>
      <w:r w:rsidRPr="00D93183">
        <w:rPr>
          <w:rFonts w:ascii="Arial" w:hAnsi="Arial" w:cs="Arial"/>
          <w:sz w:val="24"/>
          <w:szCs w:val="24"/>
          <w:lang w:val="en-US"/>
        </w:rPr>
        <w:t>, 83, pp.101382–101382. doi:https://doi.org/10.1016/j.stueduc.2024.101382.</w:t>
      </w:r>
    </w:p>
    <w:p w14:paraId="5D6A2E84"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Kirk, P. (2024). </w:t>
      </w:r>
      <w:r w:rsidRPr="00D93183">
        <w:rPr>
          <w:rFonts w:ascii="Arial" w:hAnsi="Arial" w:cs="Arial"/>
          <w:i/>
          <w:iCs/>
          <w:sz w:val="24"/>
          <w:szCs w:val="24"/>
          <w:lang w:val="en-US"/>
        </w:rPr>
        <w:t>Four years since start of pandemic, hotels are still struggling to fill jobs</w:t>
      </w:r>
      <w:r w:rsidRPr="00D93183">
        <w:rPr>
          <w:rFonts w:ascii="Arial" w:hAnsi="Arial" w:cs="Arial"/>
          <w:sz w:val="24"/>
          <w:szCs w:val="24"/>
          <w:lang w:val="en-US"/>
        </w:rPr>
        <w:t>. [online] Hospitality Investor. Available at: https://www.hospitalityinvestor.com/americas/four-years-start-pandemic-hotels-are-still-struggling-fill-jobs.</w:t>
      </w:r>
    </w:p>
    <w:p w14:paraId="4D87576B"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Knight, W. (2025). </w:t>
      </w:r>
      <w:r w:rsidRPr="00D93183">
        <w:rPr>
          <w:rFonts w:ascii="Arial" w:hAnsi="Arial" w:cs="Arial"/>
          <w:i/>
          <w:iCs/>
          <w:sz w:val="24"/>
          <w:szCs w:val="24"/>
          <w:lang w:val="en-US"/>
        </w:rPr>
        <w:t>AI Is Eliminating Jobs for Younger Workers</w:t>
      </w:r>
      <w:r w:rsidRPr="00D93183">
        <w:rPr>
          <w:rFonts w:ascii="Arial" w:hAnsi="Arial" w:cs="Arial"/>
          <w:sz w:val="24"/>
          <w:szCs w:val="24"/>
          <w:lang w:val="en-US"/>
        </w:rPr>
        <w:t>. [online] WIRED. Available at: https://www.wired.com/story/stanford-research-ai-replace-jobs-young-workers/.</w:t>
      </w:r>
    </w:p>
    <w:p w14:paraId="5C317910"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KPMG (2024). </w:t>
      </w:r>
      <w:r w:rsidRPr="00D93183">
        <w:rPr>
          <w:rFonts w:ascii="Arial" w:hAnsi="Arial" w:cs="Arial"/>
          <w:i/>
          <w:iCs/>
          <w:sz w:val="24"/>
          <w:szCs w:val="24"/>
          <w:lang w:val="en-US"/>
        </w:rPr>
        <w:t>KPMG Global Chief Ethics and Compliance Officer survey Stepping up to a new level of compliance 08 Workforce expansion</w:t>
      </w:r>
      <w:r w:rsidRPr="00D93183">
        <w:rPr>
          <w:rFonts w:ascii="Arial" w:hAnsi="Arial" w:cs="Arial"/>
          <w:sz w:val="24"/>
          <w:szCs w:val="24"/>
          <w:lang w:val="en-US"/>
        </w:rPr>
        <w:t>. [online] Available at: https://assets.kpmg.com/content/dam/kpmg/xx/pdf/2024/01/stepping-up-to-a-new-level-of-compliance.pdf.</w:t>
      </w:r>
    </w:p>
    <w:p w14:paraId="70FE48C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Kumar, N. (2023). </w:t>
      </w:r>
      <w:r w:rsidRPr="00D93183">
        <w:rPr>
          <w:rFonts w:ascii="Arial" w:hAnsi="Arial" w:cs="Arial"/>
          <w:i/>
          <w:iCs/>
          <w:sz w:val="24"/>
          <w:szCs w:val="24"/>
          <w:lang w:val="en-US"/>
        </w:rPr>
        <w:t>41 AI Recruitment Statistics 2023 (Facts &amp; Hiring Trends)</w:t>
      </w:r>
      <w:r w:rsidRPr="00D93183">
        <w:rPr>
          <w:rFonts w:ascii="Arial" w:hAnsi="Arial" w:cs="Arial"/>
          <w:sz w:val="24"/>
          <w:szCs w:val="24"/>
          <w:lang w:val="en-US"/>
        </w:rPr>
        <w:t>. [online] DemandSage. Available at: https://www.demandsage.com/ai-recruitment-statistics/.</w:t>
      </w:r>
    </w:p>
    <w:p w14:paraId="663BF98D"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Lane, J.N., Leonardi, P.M., Contractor, N. and DeChurch, L.A. (2023). Teams in the Digital Workplace: Technology’s Role for Communication, Collaboration, and Performance. </w:t>
      </w:r>
      <w:r w:rsidRPr="00D93183">
        <w:rPr>
          <w:rFonts w:ascii="Arial" w:hAnsi="Arial" w:cs="Arial"/>
          <w:i/>
          <w:iCs/>
          <w:sz w:val="24"/>
          <w:szCs w:val="24"/>
          <w:lang w:val="en-US"/>
        </w:rPr>
        <w:t>Small Group Research</w:t>
      </w:r>
      <w:r w:rsidRPr="00D93183">
        <w:rPr>
          <w:rFonts w:ascii="Arial" w:hAnsi="Arial" w:cs="Arial"/>
          <w:sz w:val="24"/>
          <w:szCs w:val="24"/>
          <w:lang w:val="en-US"/>
        </w:rPr>
        <w:t>, 55(1). doi:https://doi.org/10.1177/10464964231200015.</w:t>
      </w:r>
    </w:p>
    <w:p w14:paraId="25E173A9"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lastRenderedPageBreak/>
        <w:t>Migration Policy (2025). [online] Migrationpolicy.org. Available at: https://www.migrationpolicy.org/sites/default/files/source_charts/fe-2025-globalfrs-fig1-sizeshare.png [Accessed 1 Nov. 2025].</w:t>
      </w:r>
    </w:p>
    <w:p w14:paraId="551EE147"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Ostertag, M. (2025). </w:t>
      </w:r>
      <w:r w:rsidRPr="00D93183">
        <w:rPr>
          <w:rFonts w:ascii="Arial" w:hAnsi="Arial" w:cs="Arial"/>
          <w:i/>
          <w:iCs/>
          <w:sz w:val="24"/>
          <w:szCs w:val="24"/>
          <w:lang w:val="en-US"/>
        </w:rPr>
        <w:t>Fact of the Week: The Working-Age Population in the OECD Will Decline by 8 Percent by 2060</w:t>
      </w:r>
      <w:r w:rsidRPr="00D93183">
        <w:rPr>
          <w:rFonts w:ascii="Arial" w:hAnsi="Arial" w:cs="Arial"/>
          <w:sz w:val="24"/>
          <w:szCs w:val="24"/>
          <w:lang w:val="en-US"/>
        </w:rPr>
        <w:t>. [online] Itif.org. Available at: https://itif.org/publications/2025/08/04/working-age-population-oecd-will-decline-by-8-percent-by-2060/.</w:t>
      </w:r>
    </w:p>
    <w:p w14:paraId="1CB53431"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Out Sail (2025). </w:t>
      </w:r>
      <w:r w:rsidRPr="00D93183">
        <w:rPr>
          <w:rFonts w:ascii="Arial" w:hAnsi="Arial" w:cs="Arial"/>
          <w:i/>
          <w:iCs/>
          <w:sz w:val="24"/>
          <w:szCs w:val="24"/>
          <w:lang w:val="en-US"/>
        </w:rPr>
        <w:t>The Future of Data Privacy in HRIS: 2025 Trends &amp; Compliance Risks</w:t>
      </w:r>
      <w:r w:rsidRPr="00D93183">
        <w:rPr>
          <w:rFonts w:ascii="Arial" w:hAnsi="Arial" w:cs="Arial"/>
          <w:sz w:val="24"/>
          <w:szCs w:val="24"/>
          <w:lang w:val="en-US"/>
        </w:rPr>
        <w:t>. [online] Outsail.co. Available at: https://www.outsail.co/post/the-future-of-data-privacy-in-hris-2025.</w:t>
      </w:r>
    </w:p>
    <w:p w14:paraId="6E9FF5A5"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Paez-Deggeller, V. (2025). </w:t>
      </w:r>
      <w:r w:rsidRPr="00D93183">
        <w:rPr>
          <w:rFonts w:ascii="Arial" w:hAnsi="Arial" w:cs="Arial"/>
          <w:i/>
          <w:iCs/>
          <w:sz w:val="24"/>
          <w:szCs w:val="24"/>
          <w:lang w:val="en-US"/>
        </w:rPr>
        <w:t>Top Statistics on Global Migration and Migrants</w:t>
      </w:r>
      <w:r w:rsidRPr="00D93183">
        <w:rPr>
          <w:rFonts w:ascii="Arial" w:hAnsi="Arial" w:cs="Arial"/>
          <w:sz w:val="24"/>
          <w:szCs w:val="24"/>
          <w:lang w:val="en-US"/>
        </w:rPr>
        <w:t>. [online] migrationpolicy.org. Available at: https://www.migrationpolicy.org/article/top-statistics-global-migration-migrants-2025.</w:t>
      </w:r>
    </w:p>
    <w:p w14:paraId="099F9D7A"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PWC (2024). </w:t>
      </w:r>
      <w:r w:rsidRPr="00D93183">
        <w:rPr>
          <w:rFonts w:ascii="Arial" w:hAnsi="Arial" w:cs="Arial"/>
          <w:i/>
          <w:iCs/>
          <w:sz w:val="24"/>
          <w:szCs w:val="24"/>
          <w:lang w:val="en-US"/>
        </w:rPr>
        <w:t>Global Workforce Hopes and Fears Survey</w:t>
      </w:r>
      <w:r w:rsidRPr="00D93183">
        <w:rPr>
          <w:rFonts w:ascii="Arial" w:hAnsi="Arial" w:cs="Arial"/>
          <w:sz w:val="24"/>
          <w:szCs w:val="24"/>
          <w:lang w:val="en-US"/>
        </w:rPr>
        <w:t>. [online] PwC. Available at: https://www.pwc.com/gx/en/issues/workforce/hopes-and-fears.html.</w:t>
      </w:r>
    </w:p>
    <w:p w14:paraId="4B68FF67"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Remote (2024). </w:t>
      </w:r>
      <w:r w:rsidRPr="00D93183">
        <w:rPr>
          <w:rFonts w:ascii="Arial" w:hAnsi="Arial" w:cs="Arial"/>
          <w:i/>
          <w:iCs/>
          <w:sz w:val="24"/>
          <w:szCs w:val="24"/>
          <w:lang w:val="en-US"/>
        </w:rPr>
        <w:t>Remote Global Workforce Report Breadcrumbs</w:t>
      </w:r>
      <w:r w:rsidRPr="00D93183">
        <w:rPr>
          <w:rFonts w:ascii="Arial" w:hAnsi="Arial" w:cs="Arial"/>
          <w:sz w:val="24"/>
          <w:szCs w:val="24"/>
          <w:lang w:val="en-US"/>
        </w:rPr>
        <w:t>. [online] Remote. Available at: https://remote.com/resources/research/remote-workforce-report.</w:t>
      </w:r>
    </w:p>
    <w:p w14:paraId="161AE118"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SHRM (2023). </w:t>
      </w:r>
      <w:r w:rsidRPr="00D93183">
        <w:rPr>
          <w:rFonts w:ascii="Arial" w:hAnsi="Arial" w:cs="Arial"/>
          <w:i/>
          <w:iCs/>
          <w:sz w:val="24"/>
          <w:szCs w:val="24"/>
          <w:lang w:val="en-US"/>
        </w:rPr>
        <w:t>SHRM State of the Workplace Report 2023-24</w:t>
      </w:r>
      <w:r w:rsidRPr="00D93183">
        <w:rPr>
          <w:rFonts w:ascii="Arial" w:hAnsi="Arial" w:cs="Arial"/>
          <w:sz w:val="24"/>
          <w:szCs w:val="24"/>
          <w:lang w:val="en-US"/>
        </w:rPr>
        <w:t>. [online] Available at: https://www.shrm.org/content/dam/en/shrm/research/2023-2024-State-of-the-Workplace-Report.pdf.</w:t>
      </w:r>
    </w:p>
    <w:p w14:paraId="203A24E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SHRM (2024). </w:t>
      </w:r>
      <w:r w:rsidRPr="00D93183">
        <w:rPr>
          <w:rFonts w:ascii="Arial" w:hAnsi="Arial" w:cs="Arial"/>
          <w:i/>
          <w:iCs/>
          <w:sz w:val="24"/>
          <w:szCs w:val="24"/>
          <w:lang w:val="en-US"/>
        </w:rPr>
        <w:t>Strategic Workforce Planning: Navigating the Future of HR</w:t>
      </w:r>
      <w:r w:rsidRPr="00D93183">
        <w:rPr>
          <w:rFonts w:ascii="Arial" w:hAnsi="Arial" w:cs="Arial"/>
          <w:sz w:val="24"/>
          <w:szCs w:val="24"/>
          <w:lang w:val="en-US"/>
        </w:rPr>
        <w:t>. [online] Shrm.org. Available at: https://www.shrm.org/in/labs/resources/strategic-workforce-planning-navigating-the-future-of-hr.</w:t>
      </w:r>
    </w:p>
    <w:p w14:paraId="71A724F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Strauss, D. (2025). </w:t>
      </w:r>
      <w:r w:rsidRPr="00D93183">
        <w:rPr>
          <w:rFonts w:ascii="Arial" w:hAnsi="Arial" w:cs="Arial"/>
          <w:i/>
          <w:iCs/>
          <w:sz w:val="24"/>
          <w:szCs w:val="24"/>
          <w:lang w:val="en-US"/>
        </w:rPr>
        <w:t>OECD reports sharp fall in work-related migration to rich countries</w:t>
      </w:r>
      <w:r w:rsidRPr="00D93183">
        <w:rPr>
          <w:rFonts w:ascii="Arial" w:hAnsi="Arial" w:cs="Arial"/>
          <w:sz w:val="24"/>
          <w:szCs w:val="24"/>
          <w:lang w:val="en-US"/>
        </w:rPr>
        <w:t>. [online] @FinancialTimes. Available at: https://www.ft.com/content/671f1ec4-4dc8-4d6d-b76d-204a10458849 [Accessed 6 Nov. 2025].</w:t>
      </w:r>
    </w:p>
    <w:p w14:paraId="3442BAA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Team Dynamics (2025). </w:t>
      </w:r>
      <w:r w:rsidRPr="00D93183">
        <w:rPr>
          <w:rFonts w:ascii="Arial" w:hAnsi="Arial" w:cs="Arial"/>
          <w:i/>
          <w:iCs/>
          <w:sz w:val="24"/>
          <w:szCs w:val="24"/>
          <w:lang w:val="en-US"/>
        </w:rPr>
        <w:t>How to Create a More Inclusive Team: Diversity in Team Dynamics</w:t>
      </w:r>
      <w:r w:rsidRPr="00D93183">
        <w:rPr>
          <w:rFonts w:ascii="Arial" w:hAnsi="Arial" w:cs="Arial"/>
          <w:sz w:val="24"/>
          <w:szCs w:val="24"/>
          <w:lang w:val="en-US"/>
        </w:rPr>
        <w:t>. [online] Teamdynamics.io. Available at: https://www.teamdynamics.io/blog/how-to-create-a-more-inclusive-team-diversity-in-team-dynamics.</w:t>
      </w:r>
    </w:p>
    <w:p w14:paraId="7F0064AC"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lastRenderedPageBreak/>
        <w:t xml:space="preserve">The Economic Times (2025). </w:t>
      </w:r>
      <w:r w:rsidRPr="00D93183">
        <w:rPr>
          <w:rFonts w:ascii="Arial" w:hAnsi="Arial" w:cs="Arial"/>
          <w:i/>
          <w:iCs/>
          <w:sz w:val="24"/>
          <w:szCs w:val="24"/>
          <w:lang w:val="en-US"/>
        </w:rPr>
        <w:t>Blue-collar gig hiring jumps 92% in 2024, led by e-commerce and delivery platforms: Report</w:t>
      </w:r>
      <w:r w:rsidRPr="00D93183">
        <w:rPr>
          <w:rFonts w:ascii="Arial" w:hAnsi="Arial" w:cs="Arial"/>
          <w:sz w:val="24"/>
          <w:szCs w:val="24"/>
          <w:lang w:val="en-US"/>
        </w:rPr>
        <w:t>. [online] The Economic Times. Available at: https://economictimes.indiatimes.com/jobs/hr-policies-trends/blue-collar-gig-hiring-jumps-92-in-2024-led-by-e-commerce-and-delivery-platforms-report/articleshow/121992503.cms [Accessed 9 Nov. 2025].</w:t>
      </w:r>
    </w:p>
    <w:p w14:paraId="4D2314EB"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The World Bank (2023). </w:t>
      </w:r>
      <w:r w:rsidRPr="00D93183">
        <w:rPr>
          <w:rFonts w:ascii="Arial" w:hAnsi="Arial" w:cs="Arial"/>
          <w:i/>
          <w:iCs/>
          <w:sz w:val="24"/>
          <w:szCs w:val="24"/>
          <w:lang w:val="en-US"/>
        </w:rPr>
        <w:t>Demand for online gig work rapidly rising in developing countries</w:t>
      </w:r>
      <w:r w:rsidRPr="00D93183">
        <w:rPr>
          <w:rFonts w:ascii="Arial" w:hAnsi="Arial" w:cs="Arial"/>
          <w:sz w:val="24"/>
          <w:szCs w:val="24"/>
          <w:lang w:val="en-US"/>
        </w:rPr>
        <w:t>. [online] World Bank. Available at: https://www.worldbank.org/en/news/press-release/2023/09/07/demand-for-online-gig-work-rapidly-rising-in-developing-countries.</w:t>
      </w:r>
    </w:p>
    <w:p w14:paraId="55E64DB7"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TIMESOFINDIA.COM (2025). </w:t>
      </w:r>
      <w:r w:rsidRPr="00D93183">
        <w:rPr>
          <w:rFonts w:ascii="Arial" w:hAnsi="Arial" w:cs="Arial"/>
          <w:i/>
          <w:iCs/>
          <w:sz w:val="24"/>
          <w:szCs w:val="24"/>
          <w:lang w:val="en-US"/>
        </w:rPr>
        <w:t>58% of L&amp;D leaders name skill gaps &amp; AI adoption their biggest challenge: ETHRWorld 2025 Study</w:t>
      </w:r>
      <w:r w:rsidRPr="00D93183">
        <w:rPr>
          <w:rFonts w:ascii="Arial" w:hAnsi="Arial" w:cs="Arial"/>
          <w:sz w:val="24"/>
          <w:szCs w:val="24"/>
          <w:lang w:val="en-US"/>
        </w:rPr>
        <w:t>. [online] The Times of India. Available at: https://timesofindia.indiatimes.com/business/india-business/58-of-ld-leaders-name-skill-gaps-ai-adoption-their-biggest-challenge-ethrworld-2025-study/articleshow/122112521.cms.</w:t>
      </w:r>
    </w:p>
    <w:p w14:paraId="7F405738"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Tito, M.D. (2025). </w:t>
      </w:r>
      <w:r w:rsidRPr="00D93183">
        <w:rPr>
          <w:rFonts w:ascii="Arial" w:hAnsi="Arial" w:cs="Arial"/>
          <w:i/>
          <w:iCs/>
          <w:sz w:val="24"/>
          <w:szCs w:val="24"/>
          <w:lang w:val="en-US"/>
        </w:rPr>
        <w:t>What Drives the Rise in Remote Work? Preliminary Evidence from Utilization Rates and Wage Trends</w:t>
      </w:r>
      <w:r w:rsidRPr="00D93183">
        <w:rPr>
          <w:rFonts w:ascii="Arial" w:hAnsi="Arial" w:cs="Arial"/>
          <w:sz w:val="24"/>
          <w:szCs w:val="24"/>
          <w:lang w:val="en-US"/>
        </w:rPr>
        <w:t>. [online] Federalreserve.gov. Available at: https://www.federalreserve.gov/econres/notes/feds-notes/what-drives-the-rise-in-remote-work-preliminary-evidence-from-utilization-rates-and-wage-trends-20250603.html.</w:t>
      </w:r>
    </w:p>
    <w:p w14:paraId="625EF534"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Wheeler, K. (2025). </w:t>
      </w:r>
      <w:r w:rsidRPr="00D93183">
        <w:rPr>
          <w:rFonts w:ascii="Arial" w:hAnsi="Arial" w:cs="Arial"/>
          <w:i/>
          <w:iCs/>
          <w:sz w:val="24"/>
          <w:szCs w:val="24"/>
          <w:lang w:val="en-US"/>
        </w:rPr>
        <w:t>WEF: How AI Will Reshape 86% of Businesses by 2030</w:t>
      </w:r>
      <w:r w:rsidRPr="00D93183">
        <w:rPr>
          <w:rFonts w:ascii="Arial" w:hAnsi="Arial" w:cs="Arial"/>
          <w:sz w:val="24"/>
          <w:szCs w:val="24"/>
          <w:lang w:val="en-US"/>
        </w:rPr>
        <w:t>. [online] Technologymagazine.com. Available at: https://technologymagazine.com/articles/wef-report-the-impact-of-ai-driving-170m-new-jobs-by-2030.</w:t>
      </w:r>
    </w:p>
    <w:p w14:paraId="6FF1C173"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World Economic Forum (2025a). </w:t>
      </w:r>
      <w:r w:rsidRPr="00D93183">
        <w:rPr>
          <w:rFonts w:ascii="Arial" w:hAnsi="Arial" w:cs="Arial"/>
          <w:i/>
          <w:iCs/>
          <w:sz w:val="24"/>
          <w:szCs w:val="24"/>
          <w:lang w:val="en-US"/>
        </w:rPr>
        <w:t>The Future of Jobs Report 2025</w:t>
      </w:r>
      <w:r w:rsidRPr="00D93183">
        <w:rPr>
          <w:rFonts w:ascii="Arial" w:hAnsi="Arial" w:cs="Arial"/>
          <w:sz w:val="24"/>
          <w:szCs w:val="24"/>
          <w:lang w:val="en-US"/>
        </w:rPr>
        <w:t>. [online] World Economic Forum. Available at: https://www.weforum.org/publications/the-future-of-jobs-report-2025/in-full/3-skills-outlook/.</w:t>
      </w:r>
    </w:p>
    <w:p w14:paraId="289758C2"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World Economic Forum (2025b). </w:t>
      </w:r>
      <w:r w:rsidRPr="00D93183">
        <w:rPr>
          <w:rFonts w:ascii="Arial" w:hAnsi="Arial" w:cs="Arial"/>
          <w:i/>
          <w:iCs/>
          <w:sz w:val="24"/>
          <w:szCs w:val="24"/>
          <w:lang w:val="en-US"/>
        </w:rPr>
        <w:t>The Future of Jobs Report 2025</w:t>
      </w:r>
      <w:r w:rsidRPr="00D93183">
        <w:rPr>
          <w:rFonts w:ascii="Arial" w:hAnsi="Arial" w:cs="Arial"/>
          <w:sz w:val="24"/>
          <w:szCs w:val="24"/>
          <w:lang w:val="en-US"/>
        </w:rPr>
        <w:t>. [online] World Economic Forum. Available at: https://www.weforum.org/publications/the-future-of-jobs-report-2025/in-full/3-skills-outlook/.</w:t>
      </w:r>
    </w:p>
    <w:p w14:paraId="5134C73E"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lastRenderedPageBreak/>
        <w:t xml:space="preserve">World Health Organization (2025). </w:t>
      </w:r>
      <w:r w:rsidRPr="00D93183">
        <w:rPr>
          <w:rFonts w:ascii="Arial" w:hAnsi="Arial" w:cs="Arial"/>
          <w:i/>
          <w:iCs/>
          <w:sz w:val="24"/>
          <w:szCs w:val="24"/>
          <w:lang w:val="en-US"/>
        </w:rPr>
        <w:t>Nursing workforce grows, but inequities threaten global health goals</w:t>
      </w:r>
      <w:r w:rsidRPr="00D93183">
        <w:rPr>
          <w:rFonts w:ascii="Arial" w:hAnsi="Arial" w:cs="Arial"/>
          <w:sz w:val="24"/>
          <w:szCs w:val="24"/>
          <w:lang w:val="en-US"/>
        </w:rPr>
        <w:t>. [online] Who.int. Available at: https://www.who.int/news/item/12-05-2025-nursing-workforce-grows--but-inequities-threaten-global-health-goals.</w:t>
      </w:r>
    </w:p>
    <w:p w14:paraId="70CC7B46" w14:textId="77777777" w:rsidR="00030FD4" w:rsidRPr="00D93183" w:rsidRDefault="00030FD4" w:rsidP="00D93183">
      <w:pPr>
        <w:spacing w:line="360" w:lineRule="auto"/>
        <w:jc w:val="both"/>
        <w:rPr>
          <w:rFonts w:ascii="Arial" w:hAnsi="Arial" w:cs="Arial"/>
          <w:sz w:val="24"/>
          <w:szCs w:val="24"/>
          <w:lang w:val="en-US"/>
        </w:rPr>
      </w:pPr>
      <w:r w:rsidRPr="00D93183">
        <w:rPr>
          <w:rFonts w:ascii="Arial" w:hAnsi="Arial" w:cs="Arial"/>
          <w:sz w:val="24"/>
          <w:szCs w:val="24"/>
          <w:lang w:val="en-US"/>
        </w:rPr>
        <w:t xml:space="preserve">Ylmaz, A. (2024). Inclusive Communication Practices: Building Stronger Connections And Embracing Diversity In The Workplace. </w:t>
      </w:r>
      <w:r w:rsidRPr="00D93183">
        <w:rPr>
          <w:rFonts w:ascii="Arial" w:hAnsi="Arial" w:cs="Arial"/>
          <w:i/>
          <w:iCs/>
          <w:sz w:val="24"/>
          <w:szCs w:val="24"/>
          <w:lang w:val="en-US"/>
        </w:rPr>
        <w:t>Journal of Organizational Culture Communications and Conflict</w:t>
      </w:r>
      <w:r w:rsidRPr="00D93183">
        <w:rPr>
          <w:rFonts w:ascii="Arial" w:hAnsi="Arial" w:cs="Arial"/>
          <w:sz w:val="24"/>
          <w:szCs w:val="24"/>
          <w:lang w:val="en-US"/>
        </w:rPr>
        <w:t xml:space="preserve">, [online] 28(6), pp.1–3. Available at: </w:t>
      </w:r>
      <w:hyperlink r:id="rId18" w:history="1">
        <w:r w:rsidRPr="00D93183">
          <w:rPr>
            <w:rStyle w:val="Hyperlink"/>
            <w:rFonts w:ascii="Arial" w:hAnsi="Arial" w:cs="Arial"/>
            <w:sz w:val="24"/>
            <w:szCs w:val="24"/>
            <w:lang w:val="en-US"/>
          </w:rPr>
          <w:t>https://www.abacademies.org/articles/inclusive-communication-practices-building-stronger-connections-and-embracing-diversity-in-the-workplace.pdf</w:t>
        </w:r>
      </w:hyperlink>
      <w:r w:rsidRPr="00D93183">
        <w:rPr>
          <w:rFonts w:ascii="Arial" w:hAnsi="Arial" w:cs="Arial"/>
          <w:sz w:val="24"/>
          <w:szCs w:val="24"/>
          <w:lang w:val="en-US"/>
        </w:rPr>
        <w:t>.</w:t>
      </w:r>
    </w:p>
    <w:p w14:paraId="02C9F3E6" w14:textId="77777777" w:rsidR="00030FD4" w:rsidRPr="00772D9C" w:rsidRDefault="00030FD4" w:rsidP="00030FD4">
      <w:pPr>
        <w:spacing w:line="360" w:lineRule="auto"/>
        <w:rPr>
          <w:rFonts w:ascii="Arial" w:hAnsi="Arial" w:cs="Arial"/>
          <w:sz w:val="24"/>
          <w:szCs w:val="24"/>
          <w:lang w:val="en-US"/>
        </w:rPr>
      </w:pPr>
    </w:p>
    <w:p w14:paraId="3041CF81" w14:textId="77777777" w:rsidR="008B0CE3" w:rsidRPr="00772D9C" w:rsidRDefault="008B0CE3" w:rsidP="00F22E3D">
      <w:pPr>
        <w:spacing w:line="360" w:lineRule="auto"/>
        <w:rPr>
          <w:rFonts w:ascii="Arial" w:hAnsi="Arial" w:cs="Arial"/>
          <w:sz w:val="24"/>
          <w:szCs w:val="24"/>
        </w:rPr>
      </w:pPr>
    </w:p>
    <w:p w14:paraId="7043BBAF" w14:textId="62CCB637" w:rsidR="0041110B" w:rsidRPr="00772D9C" w:rsidRDefault="00A42AB0" w:rsidP="00AD6648">
      <w:pPr>
        <w:spacing w:line="360" w:lineRule="auto"/>
        <w:jc w:val="center"/>
        <w:rPr>
          <w:rFonts w:ascii="Arial" w:hAnsi="Arial" w:cs="Arial"/>
          <w:sz w:val="24"/>
          <w:szCs w:val="24"/>
        </w:rPr>
      </w:pPr>
      <w:r w:rsidRPr="00772D9C">
        <w:rPr>
          <w:rFonts w:ascii="Arial" w:hAnsi="Arial" w:cs="Arial"/>
          <w:sz w:val="24"/>
          <w:szCs w:val="24"/>
        </w:rPr>
        <w:br w:type="page"/>
      </w:r>
    </w:p>
    <w:p w14:paraId="518817E2" w14:textId="77777777" w:rsidR="00572E35" w:rsidRPr="00772D9C" w:rsidRDefault="00572E35" w:rsidP="009C14A1">
      <w:pPr>
        <w:spacing w:line="360" w:lineRule="auto"/>
        <w:rPr>
          <w:rFonts w:ascii="Arial" w:hAnsi="Arial" w:cs="Arial"/>
          <w:sz w:val="24"/>
          <w:szCs w:val="24"/>
        </w:rPr>
      </w:pPr>
    </w:p>
    <w:p w14:paraId="7B1C1945" w14:textId="25F8F326" w:rsidR="00A63BA2" w:rsidRPr="00772D9C" w:rsidRDefault="008B1B16" w:rsidP="009C14A1">
      <w:pPr>
        <w:pStyle w:val="Heading1"/>
        <w:spacing w:line="360" w:lineRule="auto"/>
        <w:rPr>
          <w:rFonts w:cs="Arial"/>
          <w:szCs w:val="24"/>
        </w:rPr>
      </w:pPr>
      <w:bookmarkStart w:id="24" w:name="_Toc213606467"/>
      <w:r w:rsidRPr="00772D9C">
        <w:rPr>
          <w:rFonts w:cs="Arial"/>
          <w:szCs w:val="24"/>
        </w:rPr>
        <w:t>Appendices</w:t>
      </w:r>
      <w:bookmarkEnd w:id="24"/>
      <w:r w:rsidRPr="00772D9C">
        <w:rPr>
          <w:rFonts w:cs="Arial"/>
          <w:szCs w:val="24"/>
        </w:rPr>
        <w:t xml:space="preserve"> </w:t>
      </w:r>
    </w:p>
    <w:p w14:paraId="02BF29C4" w14:textId="77777777" w:rsidR="00A42AB0" w:rsidRPr="00772D9C" w:rsidRDefault="00A42AB0" w:rsidP="009C14A1">
      <w:pPr>
        <w:spacing w:line="360" w:lineRule="auto"/>
        <w:jc w:val="both"/>
        <w:rPr>
          <w:rFonts w:ascii="Arial" w:hAnsi="Arial" w:cs="Arial"/>
          <w:b/>
          <w:bCs/>
          <w:sz w:val="24"/>
          <w:szCs w:val="24"/>
        </w:rPr>
      </w:pPr>
      <w:r w:rsidRPr="00772D9C">
        <w:rPr>
          <w:rFonts w:ascii="Arial" w:hAnsi="Arial" w:cs="Arial"/>
          <w:b/>
          <w:bCs/>
          <w:sz w:val="24"/>
          <w:szCs w:val="24"/>
        </w:rPr>
        <w:t>SWOT Analysis</w:t>
      </w:r>
    </w:p>
    <w:tbl>
      <w:tblPr>
        <w:tblStyle w:val="TableGrid"/>
        <w:tblW w:w="0" w:type="auto"/>
        <w:tblLook w:val="04A0" w:firstRow="1" w:lastRow="0" w:firstColumn="1" w:lastColumn="0" w:noHBand="0" w:noVBand="1"/>
      </w:tblPr>
      <w:tblGrid>
        <w:gridCol w:w="1790"/>
        <w:gridCol w:w="7226"/>
      </w:tblGrid>
      <w:tr w:rsidR="00A42AB0" w:rsidRPr="00772D9C" w14:paraId="22DC68CA" w14:textId="77777777" w:rsidTr="00E06583">
        <w:tc>
          <w:tcPr>
            <w:tcW w:w="0" w:type="auto"/>
            <w:hideMark/>
          </w:tcPr>
          <w:p w14:paraId="7AB1F14F"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Category</w:t>
            </w:r>
          </w:p>
        </w:tc>
        <w:tc>
          <w:tcPr>
            <w:tcW w:w="0" w:type="auto"/>
            <w:hideMark/>
          </w:tcPr>
          <w:p w14:paraId="17834AE1"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Details</w:t>
            </w:r>
          </w:p>
        </w:tc>
      </w:tr>
      <w:tr w:rsidR="00A42AB0" w:rsidRPr="00772D9C" w14:paraId="5FAC6C62" w14:textId="77777777" w:rsidTr="00E06583">
        <w:tc>
          <w:tcPr>
            <w:tcW w:w="0" w:type="auto"/>
            <w:hideMark/>
          </w:tcPr>
          <w:p w14:paraId="7CACD90F"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Strengths</w:t>
            </w:r>
          </w:p>
        </w:tc>
        <w:tc>
          <w:tcPr>
            <w:tcW w:w="0" w:type="auto"/>
            <w:hideMark/>
          </w:tcPr>
          <w:p w14:paraId="0E0FFFD3"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Strong adaptability to technology (MS Teams, AI tools).</w:t>
            </w:r>
          </w:p>
          <w:p w14:paraId="16D6005F"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Self-directed learner with effective time management.</w:t>
            </w:r>
          </w:p>
          <w:p w14:paraId="2AD8F143"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Analytical and research-driven mindset.</w:t>
            </w:r>
          </w:p>
        </w:tc>
      </w:tr>
      <w:tr w:rsidR="00A42AB0" w:rsidRPr="00772D9C" w14:paraId="02333F83" w14:textId="77777777" w:rsidTr="00E06583">
        <w:tc>
          <w:tcPr>
            <w:tcW w:w="0" w:type="auto"/>
            <w:hideMark/>
          </w:tcPr>
          <w:p w14:paraId="74C6CBA8"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Weaknesses</w:t>
            </w:r>
          </w:p>
        </w:tc>
        <w:tc>
          <w:tcPr>
            <w:tcW w:w="0" w:type="auto"/>
            <w:hideMark/>
          </w:tcPr>
          <w:p w14:paraId="097FE6FE"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Limited experience leading multicultural teams.</w:t>
            </w:r>
          </w:p>
          <w:p w14:paraId="0ACD549A"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•Occasionally over-focuses on task completion over relationship-building.</w:t>
            </w:r>
          </w:p>
        </w:tc>
      </w:tr>
      <w:tr w:rsidR="00A42AB0" w:rsidRPr="00772D9C" w14:paraId="01AC95B5" w14:textId="77777777" w:rsidTr="00E06583">
        <w:tc>
          <w:tcPr>
            <w:tcW w:w="0" w:type="auto"/>
            <w:hideMark/>
          </w:tcPr>
          <w:p w14:paraId="03183479"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Opportunities</w:t>
            </w:r>
          </w:p>
        </w:tc>
        <w:tc>
          <w:tcPr>
            <w:tcW w:w="0" w:type="auto"/>
            <w:hideMark/>
          </w:tcPr>
          <w:p w14:paraId="52A1BC0F"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Expand global leadership via internships.</w:t>
            </w:r>
          </w:p>
          <w:p w14:paraId="21B85B78"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Enrol in “Leading Global Teams” (Coursera).</w:t>
            </w:r>
          </w:p>
          <w:p w14:paraId="3899DC7E"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Apply data-analytics skills in HR contexts.</w:t>
            </w:r>
          </w:p>
        </w:tc>
      </w:tr>
      <w:tr w:rsidR="00A42AB0" w:rsidRPr="00772D9C" w14:paraId="4322B7FB" w14:textId="77777777" w:rsidTr="00E06583">
        <w:tc>
          <w:tcPr>
            <w:tcW w:w="0" w:type="auto"/>
            <w:hideMark/>
          </w:tcPr>
          <w:p w14:paraId="54F8029D" w14:textId="77777777" w:rsidR="00A42AB0" w:rsidRPr="00772D9C" w:rsidRDefault="00A42AB0" w:rsidP="009C14A1">
            <w:pPr>
              <w:spacing w:after="160" w:line="360" w:lineRule="auto"/>
              <w:jc w:val="both"/>
              <w:rPr>
                <w:rFonts w:ascii="Arial" w:hAnsi="Arial" w:cs="Arial"/>
                <w:b/>
                <w:bCs/>
                <w:sz w:val="24"/>
                <w:szCs w:val="24"/>
              </w:rPr>
            </w:pPr>
            <w:r w:rsidRPr="00772D9C">
              <w:rPr>
                <w:rFonts w:ascii="Arial" w:hAnsi="Arial" w:cs="Arial"/>
                <w:b/>
                <w:bCs/>
                <w:sz w:val="24"/>
                <w:szCs w:val="24"/>
              </w:rPr>
              <w:t>Threats</w:t>
            </w:r>
          </w:p>
        </w:tc>
        <w:tc>
          <w:tcPr>
            <w:tcW w:w="0" w:type="auto"/>
            <w:hideMark/>
          </w:tcPr>
          <w:p w14:paraId="49893447"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Rapid tech changes requiring continual upskilling.</w:t>
            </w:r>
          </w:p>
          <w:p w14:paraId="2FA76036" w14:textId="77777777" w:rsidR="00A42AB0" w:rsidRPr="00772D9C" w:rsidRDefault="00A42AB0" w:rsidP="009C14A1">
            <w:pPr>
              <w:spacing w:after="160" w:line="360" w:lineRule="auto"/>
              <w:jc w:val="both"/>
              <w:rPr>
                <w:rFonts w:ascii="Arial" w:hAnsi="Arial" w:cs="Arial"/>
                <w:sz w:val="24"/>
                <w:szCs w:val="24"/>
              </w:rPr>
            </w:pPr>
            <w:r w:rsidRPr="00772D9C">
              <w:rPr>
                <w:rFonts w:ascii="Arial" w:hAnsi="Arial" w:cs="Arial"/>
                <w:sz w:val="24"/>
                <w:szCs w:val="24"/>
              </w:rPr>
              <w:t>• Global competition for digitally skilled talent.</w:t>
            </w:r>
          </w:p>
        </w:tc>
      </w:tr>
    </w:tbl>
    <w:p w14:paraId="09427D9A" w14:textId="77777777" w:rsidR="00A42AB0" w:rsidRPr="00772D9C" w:rsidRDefault="00A42AB0" w:rsidP="009C14A1">
      <w:pPr>
        <w:spacing w:line="360" w:lineRule="auto"/>
        <w:rPr>
          <w:rFonts w:ascii="Arial" w:hAnsi="Arial" w:cs="Arial"/>
          <w:sz w:val="24"/>
          <w:szCs w:val="24"/>
        </w:rPr>
      </w:pPr>
    </w:p>
    <w:sectPr w:rsidR="00A42AB0" w:rsidRPr="00772D9C">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5C071" w14:textId="77777777" w:rsidR="00946A84" w:rsidRDefault="00946A84" w:rsidP="008D3D96">
      <w:pPr>
        <w:spacing w:after="0" w:line="240" w:lineRule="auto"/>
      </w:pPr>
      <w:r>
        <w:separator/>
      </w:r>
    </w:p>
  </w:endnote>
  <w:endnote w:type="continuationSeparator" w:id="0">
    <w:p w14:paraId="28964577" w14:textId="77777777" w:rsidR="00946A84" w:rsidRDefault="00946A84" w:rsidP="008D3D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9030630"/>
      <w:docPartObj>
        <w:docPartGallery w:val="Page Numbers (Bottom of Page)"/>
        <w:docPartUnique/>
      </w:docPartObj>
    </w:sdtPr>
    <w:sdtEndPr>
      <w:rPr>
        <w:rFonts w:ascii="Arial" w:hAnsi="Arial" w:cs="Arial"/>
        <w:noProof/>
        <w:sz w:val="24"/>
        <w:szCs w:val="24"/>
      </w:rPr>
    </w:sdtEndPr>
    <w:sdtContent>
      <w:p w14:paraId="5C9F6B41" w14:textId="17249AB4" w:rsidR="008D3D96" w:rsidRPr="008D3D96" w:rsidRDefault="008D3D96">
        <w:pPr>
          <w:pStyle w:val="Footer"/>
          <w:jc w:val="right"/>
          <w:rPr>
            <w:rFonts w:ascii="Arial" w:hAnsi="Arial" w:cs="Arial"/>
            <w:sz w:val="24"/>
            <w:szCs w:val="24"/>
          </w:rPr>
        </w:pPr>
        <w:r w:rsidRPr="008D3D96">
          <w:rPr>
            <w:rFonts w:ascii="Arial" w:hAnsi="Arial" w:cs="Arial"/>
            <w:sz w:val="24"/>
            <w:szCs w:val="24"/>
          </w:rPr>
          <w:fldChar w:fldCharType="begin"/>
        </w:r>
        <w:r w:rsidRPr="008D3D96">
          <w:rPr>
            <w:rFonts w:ascii="Arial" w:hAnsi="Arial" w:cs="Arial"/>
            <w:sz w:val="24"/>
            <w:szCs w:val="24"/>
          </w:rPr>
          <w:instrText xml:space="preserve"> PAGE   \* MERGEFORMAT </w:instrText>
        </w:r>
        <w:r w:rsidRPr="008D3D96">
          <w:rPr>
            <w:rFonts w:ascii="Arial" w:hAnsi="Arial" w:cs="Arial"/>
            <w:sz w:val="24"/>
            <w:szCs w:val="24"/>
          </w:rPr>
          <w:fldChar w:fldCharType="separate"/>
        </w:r>
        <w:r w:rsidRPr="008D3D96">
          <w:rPr>
            <w:rFonts w:ascii="Arial" w:hAnsi="Arial" w:cs="Arial"/>
            <w:noProof/>
            <w:sz w:val="24"/>
            <w:szCs w:val="24"/>
          </w:rPr>
          <w:t>2</w:t>
        </w:r>
        <w:r w:rsidRPr="008D3D96">
          <w:rPr>
            <w:rFonts w:ascii="Arial" w:hAnsi="Arial" w:cs="Arial"/>
            <w:noProof/>
            <w:sz w:val="24"/>
            <w:szCs w:val="24"/>
          </w:rPr>
          <w:fldChar w:fldCharType="end"/>
        </w:r>
      </w:p>
    </w:sdtContent>
  </w:sdt>
  <w:p w14:paraId="592D193C" w14:textId="77777777" w:rsidR="008D3D96" w:rsidRDefault="008D3D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74A29B" w14:textId="77777777" w:rsidR="00946A84" w:rsidRDefault="00946A84" w:rsidP="008D3D96">
      <w:pPr>
        <w:spacing w:after="0" w:line="240" w:lineRule="auto"/>
      </w:pPr>
      <w:r>
        <w:separator/>
      </w:r>
    </w:p>
  </w:footnote>
  <w:footnote w:type="continuationSeparator" w:id="0">
    <w:p w14:paraId="58ACC382" w14:textId="77777777" w:rsidR="00946A84" w:rsidRDefault="00946A84" w:rsidP="008D3D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028C8D" w14:textId="56F6A5BD" w:rsidR="008375E8" w:rsidRDefault="008375E8">
    <w:pPr>
      <w:pStyle w:val="Header"/>
    </w:pPr>
    <w:r>
      <w:rPr>
        <w:rFonts w:ascii="Arial" w:hAnsi="Arial" w:cs="Arial"/>
        <w:noProof/>
        <w:color w:val="000000"/>
        <w:bdr w:val="none" w:sz="0" w:space="0" w:color="auto" w:frame="1"/>
      </w:rPr>
      <w:drawing>
        <wp:anchor distT="0" distB="0" distL="114300" distR="114300" simplePos="0" relativeHeight="251658240" behindDoc="0" locked="0" layoutInCell="1" allowOverlap="1" wp14:anchorId="2E7BE2A6" wp14:editId="0417E65E">
          <wp:simplePos x="0" y="0"/>
          <wp:positionH relativeFrom="column">
            <wp:posOffset>-750627</wp:posOffset>
          </wp:positionH>
          <wp:positionV relativeFrom="paragraph">
            <wp:posOffset>-395150</wp:posOffset>
          </wp:positionV>
          <wp:extent cx="1815465" cy="723265"/>
          <wp:effectExtent l="0" t="0" r="0" b="0"/>
          <wp:wrapThrough wrapText="bothSides">
            <wp:wrapPolygon edited="0">
              <wp:start x="0" y="0"/>
              <wp:lineTo x="0" y="14223"/>
              <wp:lineTo x="2040" y="19343"/>
              <wp:lineTo x="2040" y="20481"/>
              <wp:lineTo x="17906" y="20481"/>
              <wp:lineTo x="17906" y="19343"/>
              <wp:lineTo x="21305" y="15361"/>
              <wp:lineTo x="21305" y="10241"/>
              <wp:lineTo x="19039" y="9672"/>
              <wp:lineTo x="19719" y="1138"/>
              <wp:lineTo x="15186" y="0"/>
              <wp:lineTo x="0" y="0"/>
            </wp:wrapPolygon>
          </wp:wrapThrough>
          <wp:docPr id="1363216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15465" cy="72326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E7DFC"/>
    <w:multiLevelType w:val="multilevel"/>
    <w:tmpl w:val="EC40E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344659"/>
    <w:multiLevelType w:val="multilevel"/>
    <w:tmpl w:val="F39AF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CA4E97"/>
    <w:multiLevelType w:val="hybridMultilevel"/>
    <w:tmpl w:val="78E2D2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A64E5F"/>
    <w:multiLevelType w:val="hybridMultilevel"/>
    <w:tmpl w:val="CA525E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0491088">
    <w:abstractNumId w:val="1"/>
  </w:num>
  <w:num w:numId="2" w16cid:durableId="860095513">
    <w:abstractNumId w:val="0"/>
  </w:num>
  <w:num w:numId="3" w16cid:durableId="139733790">
    <w:abstractNumId w:val="2"/>
  </w:num>
  <w:num w:numId="4" w16cid:durableId="50096682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B16"/>
    <w:rsid w:val="00030FD4"/>
    <w:rsid w:val="000A0EE9"/>
    <w:rsid w:val="000E4F3B"/>
    <w:rsid w:val="00120930"/>
    <w:rsid w:val="0013055D"/>
    <w:rsid w:val="00151B30"/>
    <w:rsid w:val="001F5D84"/>
    <w:rsid w:val="00243F7B"/>
    <w:rsid w:val="00267045"/>
    <w:rsid w:val="002D1529"/>
    <w:rsid w:val="003712F2"/>
    <w:rsid w:val="00397738"/>
    <w:rsid w:val="003E11DA"/>
    <w:rsid w:val="0041110B"/>
    <w:rsid w:val="00445CFD"/>
    <w:rsid w:val="00517FB7"/>
    <w:rsid w:val="00572E35"/>
    <w:rsid w:val="005B6B7C"/>
    <w:rsid w:val="005C41E3"/>
    <w:rsid w:val="00655822"/>
    <w:rsid w:val="00772D9C"/>
    <w:rsid w:val="007F3D1F"/>
    <w:rsid w:val="00800C58"/>
    <w:rsid w:val="008375E8"/>
    <w:rsid w:val="008509AF"/>
    <w:rsid w:val="008529F8"/>
    <w:rsid w:val="008906C8"/>
    <w:rsid w:val="008B0CE3"/>
    <w:rsid w:val="008B1B16"/>
    <w:rsid w:val="008D3D96"/>
    <w:rsid w:val="008D6701"/>
    <w:rsid w:val="009344E1"/>
    <w:rsid w:val="00946A84"/>
    <w:rsid w:val="009A1DF8"/>
    <w:rsid w:val="009C14A1"/>
    <w:rsid w:val="009C4D09"/>
    <w:rsid w:val="009D0801"/>
    <w:rsid w:val="00A42AB0"/>
    <w:rsid w:val="00A63BA2"/>
    <w:rsid w:val="00AD6648"/>
    <w:rsid w:val="00B55D89"/>
    <w:rsid w:val="00B96D4F"/>
    <w:rsid w:val="00BE22AF"/>
    <w:rsid w:val="00C156DB"/>
    <w:rsid w:val="00CC4378"/>
    <w:rsid w:val="00CC6DE6"/>
    <w:rsid w:val="00D93183"/>
    <w:rsid w:val="00D94F23"/>
    <w:rsid w:val="00DA3AD3"/>
    <w:rsid w:val="00DD599F"/>
    <w:rsid w:val="00E8457F"/>
    <w:rsid w:val="00E94BFF"/>
    <w:rsid w:val="00F22E3D"/>
    <w:rsid w:val="00F70994"/>
    <w:rsid w:val="00F87D29"/>
    <w:rsid w:val="00FA5D07"/>
    <w:rsid w:val="00FC0B1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45799"/>
  <w15:chartTrackingRefBased/>
  <w15:docId w15:val="{9B80CFDB-8628-47AD-AC01-AA846916D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B1B16"/>
    <w:pPr>
      <w:keepNext/>
      <w:keepLines/>
      <w:spacing w:before="360" w:after="80"/>
      <w:outlineLvl w:val="0"/>
    </w:pPr>
    <w:rPr>
      <w:rFonts w:ascii="Arial" w:eastAsiaTheme="majorEastAsia" w:hAnsi="Arial" w:cstheme="majorBidi"/>
      <w:b/>
      <w:color w:val="000000" w:themeColor="text1"/>
      <w:sz w:val="24"/>
      <w:szCs w:val="40"/>
    </w:rPr>
  </w:style>
  <w:style w:type="paragraph" w:styleId="Heading2">
    <w:name w:val="heading 2"/>
    <w:basedOn w:val="Normal"/>
    <w:next w:val="Normal"/>
    <w:link w:val="Heading2Char"/>
    <w:uiPriority w:val="9"/>
    <w:unhideWhenUsed/>
    <w:qFormat/>
    <w:rsid w:val="008B1B16"/>
    <w:pPr>
      <w:keepNext/>
      <w:keepLines/>
      <w:spacing w:before="160" w:after="80"/>
      <w:outlineLvl w:val="1"/>
    </w:pPr>
    <w:rPr>
      <w:rFonts w:ascii="Arial" w:eastAsiaTheme="majorEastAsia" w:hAnsi="Arial" w:cstheme="majorBidi"/>
      <w:b/>
      <w:color w:val="000000" w:themeColor="text1"/>
      <w:sz w:val="24"/>
      <w:szCs w:val="32"/>
    </w:rPr>
  </w:style>
  <w:style w:type="paragraph" w:styleId="Heading3">
    <w:name w:val="heading 3"/>
    <w:basedOn w:val="Normal"/>
    <w:next w:val="Normal"/>
    <w:link w:val="Heading3Char"/>
    <w:uiPriority w:val="9"/>
    <w:unhideWhenUsed/>
    <w:qFormat/>
    <w:rsid w:val="00F70994"/>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8B1B16"/>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8B1B16"/>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8B1B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1B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1B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1B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1B16"/>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8B1B16"/>
    <w:rPr>
      <w:rFonts w:ascii="Arial" w:eastAsiaTheme="majorEastAsia" w:hAnsi="Arial" w:cstheme="majorBidi"/>
      <w:b/>
      <w:color w:val="000000" w:themeColor="text1"/>
      <w:sz w:val="24"/>
      <w:szCs w:val="32"/>
    </w:rPr>
  </w:style>
  <w:style w:type="character" w:customStyle="1" w:styleId="Heading3Char">
    <w:name w:val="Heading 3 Char"/>
    <w:basedOn w:val="DefaultParagraphFont"/>
    <w:link w:val="Heading3"/>
    <w:uiPriority w:val="9"/>
    <w:rsid w:val="00F70994"/>
    <w:rPr>
      <w:rFonts w:ascii="Arial" w:eastAsiaTheme="majorEastAsia" w:hAnsi="Arial" w:cstheme="majorBidi"/>
      <w:b/>
      <w:color w:val="000000" w:themeColor="text1"/>
      <w:sz w:val="24"/>
      <w:szCs w:val="28"/>
    </w:rPr>
  </w:style>
  <w:style w:type="character" w:customStyle="1" w:styleId="Heading4Char">
    <w:name w:val="Heading 4 Char"/>
    <w:basedOn w:val="DefaultParagraphFont"/>
    <w:link w:val="Heading4"/>
    <w:uiPriority w:val="9"/>
    <w:semiHidden/>
    <w:rsid w:val="008B1B16"/>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8B1B16"/>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8B1B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1B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1B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1B16"/>
    <w:rPr>
      <w:rFonts w:eastAsiaTheme="majorEastAsia" w:cstheme="majorBidi"/>
      <w:color w:val="272727" w:themeColor="text1" w:themeTint="D8"/>
    </w:rPr>
  </w:style>
  <w:style w:type="paragraph" w:styleId="Title">
    <w:name w:val="Title"/>
    <w:basedOn w:val="Normal"/>
    <w:next w:val="Normal"/>
    <w:link w:val="TitleChar"/>
    <w:uiPriority w:val="10"/>
    <w:qFormat/>
    <w:rsid w:val="008B1B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1B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1B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1B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1B16"/>
    <w:pPr>
      <w:spacing w:before="160"/>
      <w:jc w:val="center"/>
    </w:pPr>
    <w:rPr>
      <w:i/>
      <w:iCs/>
      <w:color w:val="404040" w:themeColor="text1" w:themeTint="BF"/>
    </w:rPr>
  </w:style>
  <w:style w:type="character" w:customStyle="1" w:styleId="QuoteChar">
    <w:name w:val="Quote Char"/>
    <w:basedOn w:val="DefaultParagraphFont"/>
    <w:link w:val="Quote"/>
    <w:uiPriority w:val="29"/>
    <w:rsid w:val="008B1B16"/>
    <w:rPr>
      <w:i/>
      <w:iCs/>
      <w:color w:val="404040" w:themeColor="text1" w:themeTint="BF"/>
    </w:rPr>
  </w:style>
  <w:style w:type="paragraph" w:styleId="ListParagraph">
    <w:name w:val="List Paragraph"/>
    <w:basedOn w:val="Normal"/>
    <w:uiPriority w:val="34"/>
    <w:qFormat/>
    <w:rsid w:val="008B1B16"/>
    <w:pPr>
      <w:ind w:left="720"/>
      <w:contextualSpacing/>
    </w:pPr>
  </w:style>
  <w:style w:type="character" w:styleId="IntenseEmphasis">
    <w:name w:val="Intense Emphasis"/>
    <w:basedOn w:val="DefaultParagraphFont"/>
    <w:uiPriority w:val="21"/>
    <w:qFormat/>
    <w:rsid w:val="008B1B16"/>
    <w:rPr>
      <w:i/>
      <w:iCs/>
      <w:color w:val="2E74B5" w:themeColor="accent1" w:themeShade="BF"/>
    </w:rPr>
  </w:style>
  <w:style w:type="paragraph" w:styleId="IntenseQuote">
    <w:name w:val="Intense Quote"/>
    <w:basedOn w:val="Normal"/>
    <w:next w:val="Normal"/>
    <w:link w:val="IntenseQuoteChar"/>
    <w:uiPriority w:val="30"/>
    <w:qFormat/>
    <w:rsid w:val="008B1B16"/>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8B1B16"/>
    <w:rPr>
      <w:i/>
      <w:iCs/>
      <w:color w:val="2E74B5" w:themeColor="accent1" w:themeShade="BF"/>
    </w:rPr>
  </w:style>
  <w:style w:type="character" w:styleId="IntenseReference">
    <w:name w:val="Intense Reference"/>
    <w:basedOn w:val="DefaultParagraphFont"/>
    <w:uiPriority w:val="32"/>
    <w:qFormat/>
    <w:rsid w:val="008B1B16"/>
    <w:rPr>
      <w:b/>
      <w:bCs/>
      <w:smallCaps/>
      <w:color w:val="2E74B5" w:themeColor="accent1" w:themeShade="BF"/>
      <w:spacing w:val="5"/>
    </w:rPr>
  </w:style>
  <w:style w:type="character" w:styleId="Hyperlink">
    <w:name w:val="Hyperlink"/>
    <w:basedOn w:val="DefaultParagraphFont"/>
    <w:uiPriority w:val="99"/>
    <w:unhideWhenUsed/>
    <w:rsid w:val="009A1DF8"/>
    <w:rPr>
      <w:color w:val="0563C1" w:themeColor="hyperlink"/>
      <w:u w:val="single"/>
    </w:rPr>
  </w:style>
  <w:style w:type="character" w:styleId="UnresolvedMention">
    <w:name w:val="Unresolved Mention"/>
    <w:basedOn w:val="DefaultParagraphFont"/>
    <w:uiPriority w:val="99"/>
    <w:semiHidden/>
    <w:unhideWhenUsed/>
    <w:rsid w:val="009A1DF8"/>
    <w:rPr>
      <w:color w:val="605E5C"/>
      <w:shd w:val="clear" w:color="auto" w:fill="E1DFDD"/>
    </w:rPr>
  </w:style>
  <w:style w:type="paragraph" w:styleId="NormalWeb">
    <w:name w:val="Normal (Web)"/>
    <w:basedOn w:val="Normal"/>
    <w:uiPriority w:val="99"/>
    <w:semiHidden/>
    <w:unhideWhenUsed/>
    <w:rsid w:val="008509AF"/>
    <w:rPr>
      <w:rFonts w:ascii="Times New Roman" w:hAnsi="Times New Roman" w:cs="Times New Roman"/>
      <w:sz w:val="24"/>
      <w:szCs w:val="24"/>
    </w:rPr>
  </w:style>
  <w:style w:type="table" w:styleId="TableGrid">
    <w:name w:val="Table Grid"/>
    <w:basedOn w:val="TableNormal"/>
    <w:uiPriority w:val="39"/>
    <w:rsid w:val="00F87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D3D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D96"/>
    <w:rPr>
      <w:lang w:val="en-GB"/>
    </w:rPr>
  </w:style>
  <w:style w:type="paragraph" w:styleId="Footer">
    <w:name w:val="footer"/>
    <w:basedOn w:val="Normal"/>
    <w:link w:val="FooterChar"/>
    <w:uiPriority w:val="99"/>
    <w:unhideWhenUsed/>
    <w:rsid w:val="008D3D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D96"/>
    <w:rPr>
      <w:lang w:val="en-GB"/>
    </w:rPr>
  </w:style>
  <w:style w:type="paragraph" w:styleId="TOCHeading">
    <w:name w:val="TOC Heading"/>
    <w:basedOn w:val="Heading1"/>
    <w:next w:val="Normal"/>
    <w:uiPriority w:val="39"/>
    <w:unhideWhenUsed/>
    <w:qFormat/>
    <w:rsid w:val="008D3D96"/>
    <w:pPr>
      <w:spacing w:before="240" w:after="0"/>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8D3D96"/>
    <w:pPr>
      <w:spacing w:after="100"/>
    </w:pPr>
  </w:style>
  <w:style w:type="paragraph" w:styleId="TOC2">
    <w:name w:val="toc 2"/>
    <w:basedOn w:val="Normal"/>
    <w:next w:val="Normal"/>
    <w:autoRedefine/>
    <w:uiPriority w:val="39"/>
    <w:unhideWhenUsed/>
    <w:rsid w:val="008D3D96"/>
    <w:pPr>
      <w:spacing w:after="100"/>
      <w:ind w:left="220"/>
    </w:pPr>
  </w:style>
  <w:style w:type="paragraph" w:styleId="TOC3">
    <w:name w:val="toc 3"/>
    <w:basedOn w:val="Normal"/>
    <w:next w:val="Normal"/>
    <w:autoRedefine/>
    <w:uiPriority w:val="39"/>
    <w:unhideWhenUsed/>
    <w:rsid w:val="008D3D9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abacademies.org/articles/inclusive-communication-practices-building-stronger-connections-and-embracing-diversity-in-the-workplace.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sciencedirect.com/science/article/pii/S0738059323001797?utm_source=chatgpt.com" TargetMode="External"/><Relationship Id="rId2" Type="http://schemas.openxmlformats.org/officeDocument/2006/relationships/numbering" Target="numbering.xml"/><Relationship Id="rId16" Type="http://schemas.openxmlformats.org/officeDocument/2006/relationships/hyperlink" Target="https://www.sciencedirect.com/science/article/pii/S0738059323001797?utm_source=chatgpt.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ey.com/content/dam/ey-unified-site/ey-com/en-in/insights/workforce/documents/ey-tech-skills-transformation-navigating-the-future-of-work-in-2025-and-beyond.pdf?utm_source=chatgpt.com"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mployers.builtin.com/wp-content/uploads/2025/04/The-Built-In-2025-Talent-Trend-Report.pdf?utm_source=chatgpt.com"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06D5B3-EB24-4CFD-9DEA-529B613CE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26</Pages>
  <Words>4812</Words>
  <Characters>27433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mt360daysservice@gmail.com</dc:creator>
  <cp:keywords/>
  <dc:description/>
  <cp:lastModifiedBy>Prit Jenishbhai Jariwala (2503896)</cp:lastModifiedBy>
  <cp:revision>2</cp:revision>
  <dcterms:created xsi:type="dcterms:W3CDTF">2025-11-11T13:04:00Z</dcterms:created>
  <dcterms:modified xsi:type="dcterms:W3CDTF">2025-11-11T13:04:00Z</dcterms:modified>
</cp:coreProperties>
</file>