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F3E98A" w14:textId="0FE606D1" w:rsidR="00C00569" w:rsidRPr="00AB423F" w:rsidRDefault="00C00569" w:rsidP="00F6394A">
      <w:pPr>
        <w:spacing w:line="276" w:lineRule="auto"/>
        <w:rPr>
          <w:rFonts w:ascii="Calibri" w:hAnsi="Calibri" w:cs="Calibri"/>
          <w:i/>
          <w:iCs/>
          <w:color w:val="000000" w:themeColor="text1"/>
        </w:rPr>
      </w:pPr>
      <w:r w:rsidRPr="00AB423F">
        <w:rPr>
          <w:rFonts w:ascii="Calibri" w:hAnsi="Calibri" w:cs="Calibri"/>
          <w:i/>
          <w:iCs/>
          <w:color w:val="000000" w:themeColor="text1"/>
        </w:rPr>
        <w:t>What are the motivations that drive collectors of battlefield relic material? Critically assess the activities of one example.</w:t>
      </w:r>
    </w:p>
    <w:p w14:paraId="17C0E3A0" w14:textId="77777777" w:rsidR="00C00569" w:rsidRPr="00AB423F" w:rsidRDefault="00C00569" w:rsidP="00F6394A">
      <w:pPr>
        <w:spacing w:line="360" w:lineRule="auto"/>
        <w:rPr>
          <w:rFonts w:ascii="Calibri" w:hAnsi="Calibri" w:cs="Calibri"/>
          <w:b/>
          <w:bCs/>
          <w:i/>
          <w:iCs/>
          <w:color w:val="000000" w:themeColor="text1"/>
        </w:rPr>
      </w:pPr>
      <w:bookmarkStart w:id="0" w:name="OLE_LINK2"/>
    </w:p>
    <w:p w14:paraId="1FE25668" w14:textId="51275E53" w:rsidR="00674FA0" w:rsidRPr="00172FBB" w:rsidRDefault="00BA69FF" w:rsidP="00F6394A">
      <w:pPr>
        <w:spacing w:line="360" w:lineRule="auto"/>
        <w:rPr>
          <w:rFonts w:ascii="Calibri" w:hAnsi="Calibri" w:cs="Calibri"/>
          <w:color w:val="000000" w:themeColor="text1"/>
        </w:rPr>
      </w:pPr>
      <w:bookmarkStart w:id="1" w:name="OLE_LINK3"/>
      <w:r w:rsidRPr="00172FBB">
        <w:rPr>
          <w:rFonts w:ascii="Calibri" w:hAnsi="Calibri" w:cs="Calibri"/>
          <w:color w:val="000000" w:themeColor="text1"/>
        </w:rPr>
        <w:t xml:space="preserve">A collector is someone who intentionally gathers and keeps objects mainly for their symbolic or personal value, rather than for practical use or quick resale (McIntosh and Schmeichel, 2004). </w:t>
      </w:r>
      <w:r w:rsidR="00877323" w:rsidRPr="00172FBB">
        <w:rPr>
          <w:rFonts w:ascii="Calibri" w:hAnsi="Calibri" w:cs="Calibri"/>
          <w:color w:val="000000" w:themeColor="text1"/>
        </w:rPr>
        <w:t>Many well</w:t>
      </w:r>
      <w:r w:rsidR="00B220C3" w:rsidRPr="00172FBB">
        <w:rPr>
          <w:rFonts w:ascii="Calibri" w:hAnsi="Calibri" w:cs="Calibri"/>
          <w:color w:val="000000" w:themeColor="text1"/>
        </w:rPr>
        <w:t>-</w:t>
      </w:r>
      <w:r w:rsidR="00877323" w:rsidRPr="00172FBB">
        <w:rPr>
          <w:rFonts w:ascii="Calibri" w:hAnsi="Calibri" w:cs="Calibri"/>
          <w:color w:val="000000" w:themeColor="text1"/>
        </w:rPr>
        <w:t>known museum collections began with private collectors, as early expeditions and institutions acquired artefacts to expand their holdings (Thomas and Pitblado, 2020). While private collecting can help preserve historical material, it also carries risks, including uncertain provenance, potential links to illegal activities, and the dispersal of artefacts when heirs show little interest. Nevertheless, not all collectors act unethically, and broad accusations can unfairly target those who positively contribute to heritage preservation (Thomas and Pitblado, 2020).</w:t>
      </w:r>
      <w:bookmarkEnd w:id="0"/>
      <w:bookmarkEnd w:id="1"/>
      <w:r w:rsidR="00207631" w:rsidRPr="00172FBB">
        <w:rPr>
          <w:rFonts w:ascii="Calibri" w:hAnsi="Calibri" w:cs="Calibri"/>
          <w:color w:val="000000" w:themeColor="text1"/>
        </w:rPr>
        <w:t xml:space="preserve"> </w:t>
      </w:r>
      <w:r w:rsidR="000915B0" w:rsidRPr="00172FBB">
        <w:rPr>
          <w:rFonts w:ascii="Calibri" w:hAnsi="Calibri" w:cs="Calibri"/>
          <w:color w:val="000000" w:themeColor="text1"/>
        </w:rPr>
        <w:t xml:space="preserve">This essay </w:t>
      </w:r>
      <w:r w:rsidR="00763BE5" w:rsidRPr="00172FBB">
        <w:rPr>
          <w:rFonts w:ascii="Calibri" w:hAnsi="Calibri" w:cs="Calibri"/>
          <w:color w:val="000000" w:themeColor="text1"/>
        </w:rPr>
        <w:t>argues</w:t>
      </w:r>
      <w:r w:rsidR="000915B0" w:rsidRPr="00172FBB">
        <w:rPr>
          <w:rFonts w:ascii="Calibri" w:hAnsi="Calibri" w:cs="Calibri"/>
          <w:color w:val="000000" w:themeColor="text1"/>
        </w:rPr>
        <w:t xml:space="preserve"> that collectors of battlefield relics are motivated by personal, commemorative, social, and financial factors. </w:t>
      </w:r>
      <w:r w:rsidR="00E60C4C" w:rsidRPr="00172FBB">
        <w:rPr>
          <w:rFonts w:ascii="Calibri" w:hAnsi="Calibri" w:cs="Calibri"/>
        </w:rPr>
        <w:t xml:space="preserve">While private collecting can contribute to public heritage, it also </w:t>
      </w:r>
      <w:r w:rsidR="00345220">
        <w:rPr>
          <w:rFonts w:ascii="Calibri" w:hAnsi="Calibri" w:cs="Calibri"/>
        </w:rPr>
        <w:t xml:space="preserve">creates </w:t>
      </w:r>
      <w:r w:rsidR="00E60C4C" w:rsidRPr="00172FBB">
        <w:rPr>
          <w:rFonts w:ascii="Calibri" w:hAnsi="Calibri" w:cs="Calibri"/>
        </w:rPr>
        <w:t>ethical challenges concerning access, preservation, provenance, and historical interpretation.</w:t>
      </w:r>
      <w:r w:rsidR="000915B0" w:rsidRPr="00172FBB">
        <w:rPr>
          <w:rFonts w:ascii="Calibri" w:hAnsi="Calibri" w:cs="Calibri"/>
          <w:color w:val="000000" w:themeColor="text1"/>
        </w:rPr>
        <w:t xml:space="preserve"> Through a critical examination of Jean-Pierre Verney’s collecting practices, the essay demonstrates both the opportunities and the complexities involved in safeguarding historical artefacts within private collections</w:t>
      </w:r>
      <w:r w:rsidR="00C92437" w:rsidRPr="00172FBB">
        <w:rPr>
          <w:rFonts w:ascii="Calibri" w:hAnsi="Calibri" w:cs="Calibri"/>
          <w:color w:val="000000" w:themeColor="text1"/>
        </w:rPr>
        <w:t>.</w:t>
      </w:r>
    </w:p>
    <w:p w14:paraId="3D10A543" w14:textId="77777777" w:rsidR="007C2CBA" w:rsidRPr="00172FBB" w:rsidRDefault="007C2CBA" w:rsidP="00F6394A">
      <w:pPr>
        <w:spacing w:line="360" w:lineRule="auto"/>
        <w:rPr>
          <w:rFonts w:ascii="Calibri" w:hAnsi="Calibri" w:cs="Calibri"/>
          <w:color w:val="000000" w:themeColor="text1"/>
        </w:rPr>
      </w:pPr>
    </w:p>
    <w:p w14:paraId="7394E242" w14:textId="62E86316" w:rsidR="00C34D93" w:rsidRPr="00172FBB" w:rsidRDefault="007C2CBA" w:rsidP="00F6394A">
      <w:pPr>
        <w:spacing w:line="360" w:lineRule="auto"/>
        <w:rPr>
          <w:rFonts w:ascii="Calibri" w:hAnsi="Calibri" w:cs="Calibri"/>
          <w:color w:val="000000" w:themeColor="text1"/>
        </w:rPr>
      </w:pPr>
      <w:r w:rsidRPr="00172FBB">
        <w:rPr>
          <w:rFonts w:ascii="Calibri" w:hAnsi="Calibri" w:cs="Calibri"/>
          <w:color w:val="000000" w:themeColor="text1"/>
        </w:rPr>
        <w:t>Battlefield relic collecting encompasses both professional and amateur practices, including archaeology, museum curation, and private enthusiasts (</w:t>
      </w:r>
      <w:proofErr w:type="spellStart"/>
      <w:r w:rsidRPr="00172FBB">
        <w:rPr>
          <w:rFonts w:ascii="Calibri" w:hAnsi="Calibri" w:cs="Calibri"/>
          <w:color w:val="000000" w:themeColor="text1"/>
        </w:rPr>
        <w:t>Herva</w:t>
      </w:r>
      <w:proofErr w:type="spellEnd"/>
      <w:r w:rsidRPr="00172FBB">
        <w:rPr>
          <w:rFonts w:ascii="Calibri" w:hAnsi="Calibri" w:cs="Calibri"/>
          <w:color w:val="000000" w:themeColor="text1"/>
        </w:rPr>
        <w:t xml:space="preserve"> </w:t>
      </w:r>
      <w:r w:rsidRPr="00172FBB">
        <w:rPr>
          <w:rFonts w:ascii="Calibri" w:hAnsi="Calibri" w:cs="Calibri"/>
          <w:i/>
          <w:iCs/>
          <w:color w:val="000000" w:themeColor="text1"/>
        </w:rPr>
        <w:t>et al</w:t>
      </w:r>
      <w:r w:rsidRPr="00172FBB">
        <w:rPr>
          <w:rFonts w:ascii="Calibri" w:hAnsi="Calibri" w:cs="Calibri"/>
          <w:color w:val="000000" w:themeColor="text1"/>
        </w:rPr>
        <w:t>., 2016). Motivations often reflect a desire for direct, intimate engagement with the past through physical interaction with material remains. While heritage professionals typically prioritise preservation, historical knowledge, and public access, private collectors often place greater emphasis on personal experience, local significance, and the narratives embodied in objects (</w:t>
      </w:r>
      <w:proofErr w:type="spellStart"/>
      <w:r w:rsidRPr="00172FBB">
        <w:rPr>
          <w:rFonts w:ascii="Calibri" w:hAnsi="Calibri" w:cs="Calibri"/>
          <w:color w:val="000000" w:themeColor="text1"/>
        </w:rPr>
        <w:t>Herva</w:t>
      </w:r>
      <w:proofErr w:type="spellEnd"/>
      <w:r w:rsidRPr="00172FBB">
        <w:rPr>
          <w:rFonts w:ascii="Calibri" w:hAnsi="Calibri" w:cs="Calibri"/>
          <w:color w:val="000000" w:themeColor="text1"/>
        </w:rPr>
        <w:t xml:space="preserve"> </w:t>
      </w:r>
      <w:r w:rsidRPr="00172FBB">
        <w:rPr>
          <w:rFonts w:ascii="Calibri" w:hAnsi="Calibri" w:cs="Calibri"/>
          <w:i/>
          <w:iCs/>
          <w:color w:val="000000" w:themeColor="text1"/>
        </w:rPr>
        <w:t>et al</w:t>
      </w:r>
      <w:r w:rsidRPr="00172FBB">
        <w:rPr>
          <w:rFonts w:ascii="Calibri" w:hAnsi="Calibri" w:cs="Calibri"/>
          <w:color w:val="000000" w:themeColor="text1"/>
        </w:rPr>
        <w:t xml:space="preserve">., 2016). </w:t>
      </w:r>
      <w:r w:rsidR="00D4625B" w:rsidRPr="00172FBB">
        <w:rPr>
          <w:rFonts w:ascii="Calibri" w:hAnsi="Calibri" w:cs="Calibri"/>
        </w:rPr>
        <w:t>Personal interest, social connections, commemorative goals, and financial considerations often intersect in ways that can either support or challenge traditional heritage practices</w:t>
      </w:r>
      <w:r w:rsidRPr="00172FBB">
        <w:rPr>
          <w:rFonts w:ascii="Calibri" w:hAnsi="Calibri" w:cs="Calibri"/>
          <w:color w:val="000000" w:themeColor="text1"/>
        </w:rPr>
        <w:t>.</w:t>
      </w:r>
      <w:r w:rsidR="00207631" w:rsidRPr="00172FBB">
        <w:rPr>
          <w:rFonts w:ascii="Calibri" w:hAnsi="Calibri" w:cs="Calibri"/>
          <w:color w:val="000000" w:themeColor="text1"/>
        </w:rPr>
        <w:t xml:space="preserve"> </w:t>
      </w:r>
      <w:r w:rsidR="00877323" w:rsidRPr="00172FBB">
        <w:rPr>
          <w:rFonts w:ascii="Calibri" w:hAnsi="Calibri" w:cs="Calibri"/>
          <w:color w:val="000000" w:themeColor="text1"/>
        </w:rPr>
        <w:t xml:space="preserve">The concept of the relic holds multiple layers of significance (IWM, 2025). Historical, religious, and cultural traditions have elevated everyday objects into items of veneration. In warfare, objects recovered from battlefields gain similar importance. Often linked to violence, loss, and remembrance, they may act as proxies for those whose bodies were never recovered. Even ordinary items can carry deep emotional </w:t>
      </w:r>
      <w:r w:rsidR="00877323" w:rsidRPr="00172FBB">
        <w:rPr>
          <w:rFonts w:ascii="Calibri" w:hAnsi="Calibri" w:cs="Calibri"/>
          <w:color w:val="000000" w:themeColor="text1"/>
        </w:rPr>
        <w:lastRenderedPageBreak/>
        <w:t xml:space="preserve">and symbolic meaning. </w:t>
      </w:r>
      <w:r w:rsidR="000915B0" w:rsidRPr="00172FBB">
        <w:rPr>
          <w:rFonts w:ascii="Calibri" w:hAnsi="Calibri" w:cs="Calibri"/>
          <w:color w:val="000000" w:themeColor="text1"/>
        </w:rPr>
        <w:t>For example, recovered wreckage can provide a tangible connection between mourning relatives and lost sailors</w:t>
      </w:r>
      <w:r w:rsidR="008406FF" w:rsidRPr="00172FBB">
        <w:rPr>
          <w:rFonts w:ascii="Calibri" w:hAnsi="Calibri" w:cs="Calibri"/>
          <w:color w:val="000000" w:themeColor="text1"/>
        </w:rPr>
        <w:t>. At</w:t>
      </w:r>
      <w:r w:rsidR="000915B0" w:rsidRPr="00172FBB">
        <w:rPr>
          <w:rFonts w:ascii="Calibri" w:hAnsi="Calibri" w:cs="Calibri"/>
          <w:color w:val="000000" w:themeColor="text1"/>
        </w:rPr>
        <w:t xml:space="preserve"> </w:t>
      </w:r>
      <w:r w:rsidR="008406FF" w:rsidRPr="00172FBB">
        <w:rPr>
          <w:rFonts w:ascii="Calibri" w:hAnsi="Calibri" w:cs="Calibri"/>
          <w:color w:val="000000" w:themeColor="text1"/>
        </w:rPr>
        <w:t>the same time,</w:t>
      </w:r>
      <w:r w:rsidR="000915B0" w:rsidRPr="00172FBB">
        <w:rPr>
          <w:rFonts w:ascii="Calibri" w:hAnsi="Calibri" w:cs="Calibri"/>
          <w:color w:val="000000" w:themeColor="text1"/>
        </w:rPr>
        <w:t xml:space="preserve"> combatants may retain fragments of shrapnel as mnemonic objects shaped by personal experience and memory</w:t>
      </w:r>
      <w:r w:rsidR="00877323" w:rsidRPr="00172FBB">
        <w:rPr>
          <w:rFonts w:ascii="Calibri" w:hAnsi="Calibri" w:cs="Calibri"/>
          <w:color w:val="000000" w:themeColor="text1"/>
        </w:rPr>
        <w:t xml:space="preserve"> (IWM, 2025). Personal battlefield artefacts help museum visitors forge emotional connections with the realities of wartime service. Items associated with soldiers’ daily lives, such as letters, personal effects, or religious objects, can tell stories beyond formal or decorative purposes, offering insight into individual experiences (Conan, 2007). Battlefield relics may be regarded as sacred tokens, trophies of victory, or commemorative objects, but they consistently function as symbols linking people to the events and memories of war (Pollard, 2023). </w:t>
      </w:r>
    </w:p>
    <w:p w14:paraId="12763DEC" w14:textId="77777777" w:rsidR="00674FA0" w:rsidRPr="00172FBB" w:rsidRDefault="00674FA0" w:rsidP="00F6394A">
      <w:pPr>
        <w:spacing w:line="360" w:lineRule="auto"/>
        <w:rPr>
          <w:rFonts w:ascii="Calibri" w:hAnsi="Calibri" w:cs="Calibri"/>
          <w:color w:val="000000" w:themeColor="text1"/>
        </w:rPr>
      </w:pPr>
    </w:p>
    <w:p w14:paraId="7AB63587" w14:textId="117CEB8D" w:rsidR="002960A4" w:rsidRPr="00172FBB" w:rsidRDefault="00852556" w:rsidP="00D85E1D">
      <w:pPr>
        <w:spacing w:line="360" w:lineRule="auto"/>
        <w:rPr>
          <w:rFonts w:ascii="Calibri" w:hAnsi="Calibri" w:cs="Calibri"/>
          <w:color w:val="000000" w:themeColor="text1"/>
        </w:rPr>
      </w:pPr>
      <w:r w:rsidRPr="00172FBB">
        <w:rPr>
          <w:rFonts w:ascii="Calibri" w:hAnsi="Calibri" w:cs="Calibri"/>
          <w:color w:val="000000" w:themeColor="text1"/>
        </w:rPr>
        <w:t xml:space="preserve">The practice of collecting battlefield relics has </w:t>
      </w:r>
      <w:r w:rsidR="00C319FF" w:rsidRPr="00172FBB">
        <w:rPr>
          <w:rFonts w:ascii="Calibri" w:hAnsi="Calibri" w:cs="Calibri"/>
          <w:color w:val="000000" w:themeColor="text1"/>
        </w:rPr>
        <w:t>a</w:t>
      </w:r>
      <w:r w:rsidRPr="00172FBB">
        <w:rPr>
          <w:rFonts w:ascii="Calibri" w:hAnsi="Calibri" w:cs="Calibri"/>
          <w:color w:val="000000" w:themeColor="text1"/>
        </w:rPr>
        <w:t xml:space="preserve"> </w:t>
      </w:r>
      <w:r w:rsidR="00C319FF" w:rsidRPr="00172FBB">
        <w:rPr>
          <w:rFonts w:ascii="Calibri" w:hAnsi="Calibri" w:cs="Calibri"/>
          <w:color w:val="000000" w:themeColor="text1"/>
        </w:rPr>
        <w:t>long</w:t>
      </w:r>
      <w:r w:rsidRPr="00172FBB">
        <w:rPr>
          <w:rFonts w:ascii="Calibri" w:hAnsi="Calibri" w:cs="Calibri"/>
          <w:color w:val="000000" w:themeColor="text1"/>
        </w:rPr>
        <w:t xml:space="preserve"> </w:t>
      </w:r>
      <w:r w:rsidR="00C319FF" w:rsidRPr="00172FBB">
        <w:rPr>
          <w:rFonts w:ascii="Calibri" w:hAnsi="Calibri" w:cs="Calibri"/>
          <w:color w:val="000000" w:themeColor="text1"/>
        </w:rPr>
        <w:t>history</w:t>
      </w:r>
      <w:r w:rsidRPr="00172FBB">
        <w:rPr>
          <w:rFonts w:ascii="Calibri" w:hAnsi="Calibri" w:cs="Calibri"/>
          <w:color w:val="000000" w:themeColor="text1"/>
        </w:rPr>
        <w:t xml:space="preserve"> (Pollard, 2023).</w:t>
      </w:r>
      <w:r w:rsidR="00CA638D" w:rsidRPr="00172FBB">
        <w:rPr>
          <w:rFonts w:ascii="Calibri" w:hAnsi="Calibri" w:cs="Calibri"/>
          <w:color w:val="000000" w:themeColor="text1"/>
        </w:rPr>
        <w:t xml:space="preserve"> Early collectors and visitors combined commemoration with commerce, trading or exhibiting relics, trophies, and souvenirs, an activity that both preserved memory and provoked questions of ethical practice and legitimacy.</w:t>
      </w:r>
      <w:r w:rsidRPr="00172FBB">
        <w:rPr>
          <w:rFonts w:ascii="Calibri" w:hAnsi="Calibri" w:cs="Calibri"/>
          <w:color w:val="000000" w:themeColor="text1"/>
        </w:rPr>
        <w:t xml:space="preserve"> Early visitors to Waterloo, for instance, regarded this activity as a patriotic duty and a way to hono</w:t>
      </w:r>
      <w:r w:rsidR="00C319FF" w:rsidRPr="00172FBB">
        <w:rPr>
          <w:rFonts w:ascii="Calibri" w:hAnsi="Calibri" w:cs="Calibri"/>
          <w:color w:val="000000" w:themeColor="text1"/>
        </w:rPr>
        <w:t>u</w:t>
      </w:r>
      <w:r w:rsidRPr="00172FBB">
        <w:rPr>
          <w:rFonts w:ascii="Calibri" w:hAnsi="Calibri" w:cs="Calibri"/>
          <w:color w:val="000000" w:themeColor="text1"/>
        </w:rPr>
        <w:t xml:space="preserve">r the fallen. Thomas Ker, whose detailed letters have provided </w:t>
      </w:r>
      <w:r w:rsidR="00207631" w:rsidRPr="00172FBB">
        <w:rPr>
          <w:rFonts w:ascii="Calibri" w:hAnsi="Calibri" w:cs="Calibri"/>
          <w:color w:val="000000" w:themeColor="text1"/>
        </w:rPr>
        <w:t>historians</w:t>
      </w:r>
      <w:r w:rsidRPr="00172FBB">
        <w:rPr>
          <w:rFonts w:ascii="Calibri" w:hAnsi="Calibri" w:cs="Calibri"/>
          <w:color w:val="000000" w:themeColor="text1"/>
        </w:rPr>
        <w:t xml:space="preserve"> </w:t>
      </w:r>
      <w:r w:rsidR="00207631" w:rsidRPr="00172FBB">
        <w:rPr>
          <w:rFonts w:ascii="Calibri" w:hAnsi="Calibri" w:cs="Calibri"/>
          <w:color w:val="000000" w:themeColor="text1"/>
        </w:rPr>
        <w:t>with</w:t>
      </w:r>
      <w:r w:rsidRPr="00172FBB">
        <w:rPr>
          <w:rFonts w:ascii="Calibri" w:hAnsi="Calibri" w:cs="Calibri"/>
          <w:color w:val="000000" w:themeColor="text1"/>
        </w:rPr>
        <w:t xml:space="preserve"> </w:t>
      </w:r>
      <w:r w:rsidR="00345220">
        <w:rPr>
          <w:rFonts w:ascii="Calibri" w:hAnsi="Calibri" w:cs="Calibri"/>
          <w:color w:val="000000" w:themeColor="text1"/>
        </w:rPr>
        <w:t xml:space="preserve">useful </w:t>
      </w:r>
      <w:r w:rsidR="00207631" w:rsidRPr="00172FBB">
        <w:rPr>
          <w:rFonts w:ascii="Calibri" w:hAnsi="Calibri" w:cs="Calibri"/>
          <w:color w:val="000000" w:themeColor="text1"/>
        </w:rPr>
        <w:t>insight</w:t>
      </w:r>
      <w:r w:rsidRPr="00172FBB">
        <w:rPr>
          <w:rFonts w:ascii="Calibri" w:hAnsi="Calibri" w:cs="Calibri"/>
          <w:color w:val="000000" w:themeColor="text1"/>
        </w:rPr>
        <w:t>s into early relic collecting and memory at Waterloo, sent a cuirass and other items to his family in Scotland, emphasi</w:t>
      </w:r>
      <w:r w:rsidR="00C319FF" w:rsidRPr="00172FBB">
        <w:rPr>
          <w:rFonts w:ascii="Calibri" w:hAnsi="Calibri" w:cs="Calibri"/>
          <w:color w:val="000000" w:themeColor="text1"/>
        </w:rPr>
        <w:t>s</w:t>
      </w:r>
      <w:r w:rsidRPr="00172FBB">
        <w:rPr>
          <w:rFonts w:ascii="Calibri" w:hAnsi="Calibri" w:cs="Calibri"/>
          <w:color w:val="000000" w:themeColor="text1"/>
        </w:rPr>
        <w:t>ing the personal and commemorative importance of these art</w:t>
      </w:r>
      <w:r w:rsidR="00F643DF" w:rsidRPr="00172FBB">
        <w:rPr>
          <w:rFonts w:ascii="Calibri" w:hAnsi="Calibri" w:cs="Calibri"/>
          <w:color w:val="000000" w:themeColor="text1"/>
        </w:rPr>
        <w:t>e</w:t>
      </w:r>
      <w:r w:rsidRPr="00172FBB">
        <w:rPr>
          <w:rFonts w:ascii="Calibri" w:hAnsi="Calibri" w:cs="Calibri"/>
          <w:color w:val="000000" w:themeColor="text1"/>
        </w:rPr>
        <w:t>facts (Pollard, 2023). </w:t>
      </w:r>
    </w:p>
    <w:p w14:paraId="4D54F77B" w14:textId="77777777" w:rsidR="002960A4" w:rsidRPr="00172FBB" w:rsidRDefault="002960A4" w:rsidP="00D85E1D">
      <w:pPr>
        <w:spacing w:line="360" w:lineRule="auto"/>
        <w:rPr>
          <w:rFonts w:ascii="Calibri" w:hAnsi="Calibri" w:cs="Calibri"/>
          <w:color w:val="000000" w:themeColor="text1"/>
        </w:rPr>
      </w:pPr>
    </w:p>
    <w:p w14:paraId="4B5800D1" w14:textId="7F419523" w:rsidR="00D85E1D" w:rsidRPr="00172FBB" w:rsidRDefault="0098130A" w:rsidP="00D85E1D">
      <w:pPr>
        <w:spacing w:line="360" w:lineRule="auto"/>
        <w:rPr>
          <w:rFonts w:ascii="Calibri" w:hAnsi="Calibri" w:cs="Calibri"/>
          <w:color w:val="000000" w:themeColor="text1"/>
        </w:rPr>
      </w:pPr>
      <w:r w:rsidRPr="00172FBB">
        <w:rPr>
          <w:rFonts w:ascii="Calibri" w:hAnsi="Calibri" w:cs="Calibri"/>
          <w:noProof/>
          <w:color w:val="000000" w:themeColor="text1"/>
          <w14:ligatures w14:val="standardContextual"/>
        </w:rPr>
        <w:drawing>
          <wp:anchor distT="0" distB="0" distL="114300" distR="114300" simplePos="0" relativeHeight="251658240" behindDoc="1" locked="0" layoutInCell="1" allowOverlap="1" wp14:anchorId="357EC8EF" wp14:editId="2CF2EDA9">
            <wp:simplePos x="0" y="0"/>
            <wp:positionH relativeFrom="margin">
              <wp:align>right</wp:align>
            </wp:positionH>
            <wp:positionV relativeFrom="margin">
              <wp:align>bottom</wp:align>
            </wp:positionV>
            <wp:extent cx="1301115" cy="2117090"/>
            <wp:effectExtent l="12700" t="12700" r="6985" b="16510"/>
            <wp:wrapSquare wrapText="bothSides"/>
            <wp:docPr id="1093918122" name="Picture 1" descr="A person wearing a 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918122" name="Picture 1" descr="A person wearing a hat&#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1301115" cy="2117090"/>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r w:rsidR="002A2A0A" w:rsidRPr="00172FBB">
        <w:rPr>
          <w:rFonts w:ascii="Calibri" w:hAnsi="Calibri" w:cs="Calibri"/>
          <w:color w:val="000000" w:themeColor="text1"/>
        </w:rPr>
        <w:t xml:space="preserve">A unique </w:t>
      </w:r>
      <w:r w:rsidR="005728A4" w:rsidRPr="00172FBB">
        <w:rPr>
          <w:rFonts w:ascii="Calibri" w:hAnsi="Calibri" w:cs="Calibri"/>
          <w:color w:val="000000" w:themeColor="text1"/>
        </w:rPr>
        <w:t>form</w:t>
      </w:r>
      <w:r w:rsidR="002A2A0A" w:rsidRPr="00172FBB">
        <w:rPr>
          <w:rFonts w:ascii="Calibri" w:hAnsi="Calibri" w:cs="Calibri"/>
          <w:color w:val="000000" w:themeColor="text1"/>
        </w:rPr>
        <w:t xml:space="preserve"> of battlefield relic collecting is </w:t>
      </w:r>
      <w:r w:rsidR="005728A4" w:rsidRPr="00172FBB">
        <w:rPr>
          <w:rFonts w:ascii="Calibri" w:hAnsi="Calibri" w:cs="Calibri"/>
          <w:color w:val="000000" w:themeColor="text1"/>
        </w:rPr>
        <w:t>one in which</w:t>
      </w:r>
      <w:r w:rsidR="002A2A0A" w:rsidRPr="00172FBB">
        <w:rPr>
          <w:rFonts w:ascii="Calibri" w:hAnsi="Calibri" w:cs="Calibri"/>
          <w:color w:val="000000" w:themeColor="text1"/>
        </w:rPr>
        <w:t xml:space="preserve"> artefacts are gathered during conflict by those directly involved. Such practices have a long tradition</w:t>
      </w:r>
      <w:r w:rsidR="00C34D93" w:rsidRPr="00172FBB">
        <w:rPr>
          <w:rFonts w:ascii="Calibri" w:hAnsi="Calibri" w:cs="Calibri"/>
          <w:color w:val="000000" w:themeColor="text1"/>
        </w:rPr>
        <w:t xml:space="preserve"> (Donaldson </w:t>
      </w:r>
      <w:r w:rsidR="00C34D93" w:rsidRPr="00172FBB">
        <w:rPr>
          <w:rFonts w:ascii="Calibri" w:hAnsi="Calibri" w:cs="Calibri"/>
          <w:i/>
          <w:iCs/>
          <w:color w:val="000000" w:themeColor="text1"/>
        </w:rPr>
        <w:t>et al.</w:t>
      </w:r>
      <w:r w:rsidR="00C34D93" w:rsidRPr="00172FBB">
        <w:rPr>
          <w:rFonts w:ascii="Calibri" w:hAnsi="Calibri" w:cs="Calibri"/>
          <w:color w:val="000000" w:themeColor="text1"/>
        </w:rPr>
        <w:t>, 2024). Australian service personnel in the First World War, for example, acquired souvenirs and antiquities such as scarabs, coins, fragments of monuments, rosaries, and pieces of mosaics</w:t>
      </w:r>
      <w:r w:rsidR="00E2720A" w:rsidRPr="00172FBB">
        <w:rPr>
          <w:rFonts w:ascii="Calibri" w:hAnsi="Calibri" w:cs="Calibri"/>
          <w:color w:val="000000" w:themeColor="text1"/>
        </w:rPr>
        <w:t xml:space="preserve">, the pyramids or even </w:t>
      </w:r>
      <w:r w:rsidR="00C34D93" w:rsidRPr="00172FBB">
        <w:rPr>
          <w:rFonts w:ascii="Calibri" w:hAnsi="Calibri" w:cs="Calibri"/>
          <w:color w:val="000000" w:themeColor="text1"/>
        </w:rPr>
        <w:t xml:space="preserve">the Sphinx. Some, like Corporal Gontran de Tournouer (See Figure </w:t>
      </w:r>
      <w:r w:rsidR="00EA136D" w:rsidRPr="00172FBB">
        <w:rPr>
          <w:rFonts w:ascii="Calibri" w:hAnsi="Calibri" w:cs="Calibri"/>
          <w:color w:val="000000" w:themeColor="text1"/>
        </w:rPr>
        <w:t>1</w:t>
      </w:r>
      <w:r w:rsidR="00C34D93" w:rsidRPr="00172FBB">
        <w:rPr>
          <w:rFonts w:ascii="Calibri" w:hAnsi="Calibri" w:cs="Calibri"/>
          <w:color w:val="000000" w:themeColor="text1"/>
        </w:rPr>
        <w:t xml:space="preserve">), explicitly intended to contribute items to museums, while others amassed </w:t>
      </w:r>
      <w:r w:rsidR="00E2720A" w:rsidRPr="00172FBB">
        <w:rPr>
          <w:rFonts w:ascii="Calibri" w:hAnsi="Calibri" w:cs="Calibri"/>
          <w:color w:val="000000" w:themeColor="text1"/>
        </w:rPr>
        <w:t xml:space="preserve">as </w:t>
      </w:r>
      <w:r w:rsidR="00C34D93" w:rsidRPr="00172FBB">
        <w:rPr>
          <w:rFonts w:ascii="Calibri" w:hAnsi="Calibri" w:cs="Calibri"/>
          <w:color w:val="000000" w:themeColor="text1"/>
        </w:rPr>
        <w:t xml:space="preserve">personal keepsakes that </w:t>
      </w:r>
      <w:r w:rsidR="00703430" w:rsidRPr="00172FBB">
        <w:rPr>
          <w:rFonts w:ascii="Calibri" w:hAnsi="Calibri" w:cs="Calibri"/>
          <w:color w:val="000000" w:themeColor="text1"/>
        </w:rPr>
        <w:t>gathered</w:t>
      </w:r>
      <w:r w:rsidR="00C34D93" w:rsidRPr="00172FBB">
        <w:rPr>
          <w:rFonts w:ascii="Calibri" w:hAnsi="Calibri" w:cs="Calibri"/>
          <w:color w:val="000000" w:themeColor="text1"/>
        </w:rPr>
        <w:t xml:space="preserve"> layers of meaning over time. </w:t>
      </w:r>
      <w:r w:rsidRPr="00172FBB">
        <w:rPr>
          <w:rFonts w:ascii="Calibri" w:hAnsi="Calibri" w:cs="Calibri"/>
          <w:color w:val="000000" w:themeColor="text1"/>
        </w:rPr>
        <w:t xml:space="preserve">These artefacts often outlived their original status as wartime souvenirs and later entered private and public collections. In doing so, they functioned as personal memorials and historical evidence, while </w:t>
      </w:r>
      <w:r w:rsidRPr="00172FBB">
        <w:rPr>
          <w:rFonts w:ascii="Calibri" w:hAnsi="Calibri" w:cs="Calibri"/>
          <w:color w:val="000000" w:themeColor="text1"/>
        </w:rPr>
        <w:lastRenderedPageBreak/>
        <w:t xml:space="preserve">their acquisition histories continued to raise ethical questions </w:t>
      </w:r>
      <w:r w:rsidR="00C34D93" w:rsidRPr="00172FBB">
        <w:rPr>
          <w:rFonts w:ascii="Calibri" w:hAnsi="Calibri" w:cs="Calibri"/>
          <w:color w:val="000000" w:themeColor="text1"/>
        </w:rPr>
        <w:t xml:space="preserve">(Donaldson </w:t>
      </w:r>
      <w:r w:rsidR="00C34D93" w:rsidRPr="00172FBB">
        <w:rPr>
          <w:rFonts w:ascii="Calibri" w:hAnsi="Calibri" w:cs="Calibri"/>
          <w:i/>
          <w:iCs/>
          <w:color w:val="000000" w:themeColor="text1"/>
        </w:rPr>
        <w:t>et al</w:t>
      </w:r>
      <w:r w:rsidR="00C34D93" w:rsidRPr="00172FBB">
        <w:rPr>
          <w:rFonts w:ascii="Calibri" w:hAnsi="Calibri" w:cs="Calibri"/>
          <w:color w:val="000000" w:themeColor="text1"/>
        </w:rPr>
        <w:t xml:space="preserve">., 2024). </w:t>
      </w:r>
      <w:r w:rsidR="00D85E1D" w:rsidRPr="00172FBB">
        <w:rPr>
          <w:rFonts w:ascii="Calibri" w:hAnsi="Calibri" w:cs="Calibri"/>
          <w:color w:val="000000" w:themeColor="text1"/>
        </w:rPr>
        <w:t xml:space="preserve">These examples show that battlefield relics are more than objects. They embody personal memories, commemorate those who served, and </w:t>
      </w:r>
      <w:r w:rsidR="00345220">
        <w:rPr>
          <w:rFonts w:ascii="Calibri" w:hAnsi="Calibri" w:cs="Calibri"/>
          <w:color w:val="000000" w:themeColor="text1"/>
        </w:rPr>
        <w:t>give</w:t>
      </w:r>
      <w:r w:rsidR="00D85E1D" w:rsidRPr="00172FBB">
        <w:rPr>
          <w:rFonts w:ascii="Calibri" w:hAnsi="Calibri" w:cs="Calibri"/>
          <w:color w:val="000000" w:themeColor="text1"/>
        </w:rPr>
        <w:t xml:space="preserve"> insights into collective history, revealing the complex motivations behind collecting.</w:t>
      </w:r>
    </w:p>
    <w:p w14:paraId="76865911" w14:textId="77777777" w:rsidR="00E45C38" w:rsidRPr="00172FBB" w:rsidRDefault="00E45C38" w:rsidP="00D85E1D">
      <w:pPr>
        <w:spacing w:line="360" w:lineRule="auto"/>
        <w:rPr>
          <w:rFonts w:ascii="Calibri" w:hAnsi="Calibri" w:cs="Calibri"/>
          <w:color w:val="000000" w:themeColor="text1"/>
        </w:rPr>
      </w:pPr>
    </w:p>
    <w:p w14:paraId="46AD897D" w14:textId="0BE0032B" w:rsidR="002F3DFF" w:rsidRPr="00172FBB" w:rsidRDefault="002F3DFF" w:rsidP="00F6394A">
      <w:pPr>
        <w:spacing w:line="360" w:lineRule="auto"/>
        <w:rPr>
          <w:rFonts w:ascii="Calibri" w:hAnsi="Calibri" w:cs="Calibri"/>
        </w:rPr>
      </w:pPr>
      <w:r w:rsidRPr="00172FBB">
        <w:rPr>
          <w:rFonts w:ascii="Calibri" w:hAnsi="Calibri" w:cs="Calibri"/>
          <w:noProof/>
          <w:color w:val="000000" w:themeColor="text1"/>
        </w:rPr>
        <w:drawing>
          <wp:anchor distT="0" distB="0" distL="114300" distR="114300" simplePos="0" relativeHeight="251679744" behindDoc="1" locked="0" layoutInCell="1" allowOverlap="1" wp14:anchorId="010230F8" wp14:editId="3D9FC956">
            <wp:simplePos x="0" y="0"/>
            <wp:positionH relativeFrom="margin">
              <wp:posOffset>12700</wp:posOffset>
            </wp:positionH>
            <wp:positionV relativeFrom="margin">
              <wp:posOffset>6458544</wp:posOffset>
            </wp:positionV>
            <wp:extent cx="1405890" cy="1696720"/>
            <wp:effectExtent l="12700" t="12700" r="16510" b="17780"/>
            <wp:wrapSquare wrapText="bothSides"/>
            <wp:docPr id="1579801158" name="Picture 9" descr="A group of medals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801158" name="Picture 9" descr="A group of medals on a table&#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1405890" cy="1696720"/>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r w:rsidRPr="00172FBB">
        <w:rPr>
          <w:rFonts w:ascii="Calibri" w:hAnsi="Calibri" w:cs="Calibri"/>
          <w:noProof/>
          <w:color w:val="000000" w:themeColor="text1"/>
        </w:rPr>
        <w:drawing>
          <wp:anchor distT="0" distB="0" distL="114300" distR="114300" simplePos="0" relativeHeight="251678720" behindDoc="1" locked="0" layoutInCell="1" allowOverlap="1" wp14:anchorId="19418238" wp14:editId="3B7E23E8">
            <wp:simplePos x="0" y="0"/>
            <wp:positionH relativeFrom="margin">
              <wp:posOffset>4004310</wp:posOffset>
            </wp:positionH>
            <wp:positionV relativeFrom="margin">
              <wp:posOffset>5373802</wp:posOffset>
            </wp:positionV>
            <wp:extent cx="1718310" cy="1311910"/>
            <wp:effectExtent l="12700" t="12700" r="8890" b="8890"/>
            <wp:wrapSquare wrapText="bothSides"/>
            <wp:docPr id="227503854" name="Picture 8" descr="A group of patches and a fla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703707" name="Picture 8" descr="A group of patches and a flag&#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1718310" cy="1311910"/>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r w:rsidRPr="00172FBB">
        <w:rPr>
          <w:rFonts w:ascii="Calibri" w:hAnsi="Calibri" w:cs="Calibri"/>
          <w:noProof/>
          <w:color w:val="000000" w:themeColor="text1"/>
          <w14:ligatures w14:val="standardContextual"/>
        </w:rPr>
        <w:drawing>
          <wp:anchor distT="0" distB="0" distL="114300" distR="114300" simplePos="0" relativeHeight="251680768" behindDoc="0" locked="0" layoutInCell="1" allowOverlap="1" wp14:anchorId="1A316543" wp14:editId="00EFC7A3">
            <wp:simplePos x="0" y="0"/>
            <wp:positionH relativeFrom="margin">
              <wp:posOffset>-17145</wp:posOffset>
            </wp:positionH>
            <wp:positionV relativeFrom="margin">
              <wp:posOffset>2493010</wp:posOffset>
            </wp:positionV>
            <wp:extent cx="816610" cy="1455420"/>
            <wp:effectExtent l="12700" t="12700" r="8890" b="17780"/>
            <wp:wrapSquare wrapText="bothSides"/>
            <wp:docPr id="316797633" name="Picture 2" descr="A group of medals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996994" name="Picture 2" descr="A group of medals on a table&#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816610" cy="1455420"/>
                    </a:xfrm>
                    <a:prstGeom prst="rect">
                      <a:avLst/>
                    </a:prstGeom>
                    <a:ln>
                      <a:solidFill>
                        <a:schemeClr val="accent1"/>
                      </a:solidFill>
                    </a:ln>
                  </pic:spPr>
                </pic:pic>
              </a:graphicData>
            </a:graphic>
            <wp14:sizeRelH relativeFrom="margin">
              <wp14:pctWidth>0</wp14:pctWidth>
            </wp14:sizeRelH>
            <wp14:sizeRelV relativeFrom="margin">
              <wp14:pctHeight>0</wp14:pctHeight>
            </wp14:sizeRelV>
          </wp:anchor>
        </w:drawing>
      </w:r>
      <w:r w:rsidR="00CA449D" w:rsidRPr="00172FBB">
        <w:rPr>
          <w:rFonts w:ascii="Calibri" w:hAnsi="Calibri" w:cs="Calibri"/>
          <w:noProof/>
          <w:color w:val="000000" w:themeColor="text1"/>
          <w14:ligatures w14:val="standardContextual"/>
        </w:rPr>
        <w:drawing>
          <wp:anchor distT="0" distB="0" distL="114300" distR="114300" simplePos="0" relativeHeight="251675648" behindDoc="1" locked="0" layoutInCell="1" allowOverlap="1" wp14:anchorId="37CA4319" wp14:editId="1000822D">
            <wp:simplePos x="0" y="0"/>
            <wp:positionH relativeFrom="column">
              <wp:posOffset>848995</wp:posOffset>
            </wp:positionH>
            <wp:positionV relativeFrom="paragraph">
              <wp:posOffset>1187882</wp:posOffset>
            </wp:positionV>
            <wp:extent cx="1779270" cy="1367155"/>
            <wp:effectExtent l="12700" t="12700" r="11430" b="17145"/>
            <wp:wrapTight wrapText="bothSides">
              <wp:wrapPolygon edited="0">
                <wp:start x="-154" y="-201"/>
                <wp:lineTo x="-154" y="21670"/>
                <wp:lineTo x="21585" y="21670"/>
                <wp:lineTo x="21585" y="-201"/>
                <wp:lineTo x="-154" y="-201"/>
              </wp:wrapPolygon>
            </wp:wrapTight>
            <wp:docPr id="540206843" name="Picture 3" descr="A patch and a patch of a military pat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203973" name="Picture 3" descr="A patch and a patch of a military patch&#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779270" cy="1367155"/>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r w:rsidR="00E9223B" w:rsidRPr="00172FBB">
        <w:rPr>
          <w:rFonts w:ascii="Calibri" w:hAnsi="Calibri" w:cs="Calibri"/>
          <w:noProof/>
          <w:color w:val="000000" w:themeColor="text1"/>
          <w14:ligatures w14:val="standardContextual"/>
        </w:rPr>
        <w:drawing>
          <wp:anchor distT="0" distB="0" distL="114300" distR="114300" simplePos="0" relativeHeight="251676672" behindDoc="1" locked="0" layoutInCell="1" allowOverlap="1" wp14:anchorId="67416B45" wp14:editId="4CF7B36B">
            <wp:simplePos x="0" y="0"/>
            <wp:positionH relativeFrom="margin">
              <wp:posOffset>2677322</wp:posOffset>
            </wp:positionH>
            <wp:positionV relativeFrom="margin">
              <wp:posOffset>2491105</wp:posOffset>
            </wp:positionV>
            <wp:extent cx="1049020" cy="1456055"/>
            <wp:effectExtent l="12700" t="12700" r="17780" b="17145"/>
            <wp:wrapSquare wrapText="bothSides"/>
            <wp:docPr id="841805648" name="Picture 4" descr="A paper with symbol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897318" name="Picture 4" descr="A paper with symbols on it&#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049020" cy="1456055"/>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r w:rsidR="00E9223B" w:rsidRPr="00172FBB">
        <w:rPr>
          <w:rFonts w:ascii="Calibri" w:hAnsi="Calibri" w:cs="Calibri"/>
          <w:noProof/>
          <w:color w:val="000000" w:themeColor="text1"/>
          <w14:ligatures w14:val="standardContextual"/>
        </w:rPr>
        <w:drawing>
          <wp:anchor distT="0" distB="0" distL="114300" distR="114300" simplePos="0" relativeHeight="251677696" behindDoc="1" locked="0" layoutInCell="1" allowOverlap="1" wp14:anchorId="425763CD" wp14:editId="79D26B2F">
            <wp:simplePos x="0" y="0"/>
            <wp:positionH relativeFrom="margin">
              <wp:posOffset>3768090</wp:posOffset>
            </wp:positionH>
            <wp:positionV relativeFrom="margin">
              <wp:posOffset>2565400</wp:posOffset>
            </wp:positionV>
            <wp:extent cx="1910080" cy="1383030"/>
            <wp:effectExtent l="12700" t="12700" r="7620" b="13970"/>
            <wp:wrapSquare wrapText="bothSides"/>
            <wp:docPr id="541318210" name="Picture 7" descr="A framed certificate and a photo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183085" name="Picture 7" descr="A framed certificate and a photo of a person&#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910080" cy="1383030"/>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r w:rsidR="0068534B" w:rsidRPr="00172FBB">
        <w:rPr>
          <w:rFonts w:ascii="Calibri" w:hAnsi="Calibri" w:cs="Calibri"/>
          <w:color w:val="000000" w:themeColor="text1"/>
        </w:rPr>
        <w:t xml:space="preserve">Wartime artefacts often acquire complex ‘afterlives’, transforming from simple souvenirs into objects that carry layered meanings within family histories, personal narratives, and </w:t>
      </w:r>
      <w:r w:rsidR="008406FF" w:rsidRPr="00172FBB">
        <w:rPr>
          <w:rFonts w:ascii="Calibri" w:hAnsi="Calibri" w:cs="Calibri"/>
          <w:color w:val="000000" w:themeColor="text1"/>
        </w:rPr>
        <w:t>broa</w:t>
      </w:r>
      <w:r w:rsidR="0068534B" w:rsidRPr="00172FBB">
        <w:rPr>
          <w:rFonts w:ascii="Calibri" w:hAnsi="Calibri" w:cs="Calibri"/>
          <w:color w:val="000000" w:themeColor="text1"/>
        </w:rPr>
        <w:t xml:space="preserve">der public memory </w:t>
      </w:r>
      <w:r w:rsidR="00E45C38" w:rsidRPr="00172FBB">
        <w:rPr>
          <w:rFonts w:ascii="Calibri" w:hAnsi="Calibri" w:cs="Calibri"/>
          <w:color w:val="000000" w:themeColor="text1"/>
        </w:rPr>
        <w:t xml:space="preserve">(Donaldson </w:t>
      </w:r>
      <w:r w:rsidR="00E45C38" w:rsidRPr="00172FBB">
        <w:rPr>
          <w:rFonts w:ascii="Calibri" w:hAnsi="Calibri" w:cs="Calibri"/>
          <w:i/>
          <w:iCs/>
          <w:color w:val="000000" w:themeColor="text1"/>
        </w:rPr>
        <w:t>et al</w:t>
      </w:r>
      <w:r w:rsidR="00E45C38" w:rsidRPr="00172FBB">
        <w:rPr>
          <w:rFonts w:ascii="Calibri" w:hAnsi="Calibri" w:cs="Calibri"/>
          <w:color w:val="000000" w:themeColor="text1"/>
        </w:rPr>
        <w:t xml:space="preserve">., 2024). </w:t>
      </w:r>
      <w:r w:rsidR="0068534B" w:rsidRPr="00172FBB">
        <w:rPr>
          <w:rFonts w:ascii="Calibri" w:hAnsi="Calibri" w:cs="Calibri"/>
          <w:color w:val="000000" w:themeColor="text1"/>
        </w:rPr>
        <w:t>Tension arises when families wish to keep emotionally significant objects as private memorials</w:t>
      </w:r>
      <w:r w:rsidR="008406FF" w:rsidRPr="00172FBB">
        <w:rPr>
          <w:rFonts w:ascii="Calibri" w:hAnsi="Calibri" w:cs="Calibri"/>
          <w:color w:val="000000" w:themeColor="text1"/>
        </w:rPr>
        <w:t>. At</w:t>
      </w:r>
      <w:r w:rsidR="0068534B" w:rsidRPr="00172FBB">
        <w:rPr>
          <w:rFonts w:ascii="Calibri" w:hAnsi="Calibri" w:cs="Calibri"/>
          <w:color w:val="000000" w:themeColor="text1"/>
        </w:rPr>
        <w:t xml:space="preserve"> </w:t>
      </w:r>
      <w:r w:rsidR="008406FF" w:rsidRPr="00172FBB">
        <w:rPr>
          <w:rFonts w:ascii="Calibri" w:hAnsi="Calibri" w:cs="Calibri"/>
          <w:color w:val="000000" w:themeColor="text1"/>
        </w:rPr>
        <w:t>the same time,</w:t>
      </w:r>
      <w:r w:rsidR="0068534B" w:rsidRPr="00172FBB">
        <w:rPr>
          <w:rFonts w:ascii="Calibri" w:hAnsi="Calibri" w:cs="Calibri"/>
          <w:color w:val="000000" w:themeColor="text1"/>
        </w:rPr>
        <w:t xml:space="preserve"> heritage institutions seek to preserve, interpret, and provide public access, leading to contested questions of ownership, commemoration, and display </w:t>
      </w:r>
      <w:r w:rsidR="00E45C38" w:rsidRPr="00172FBB">
        <w:rPr>
          <w:rFonts w:ascii="Calibri" w:hAnsi="Calibri" w:cs="Calibri"/>
          <w:color w:val="000000" w:themeColor="text1"/>
        </w:rPr>
        <w:t xml:space="preserve">(Donaldson </w:t>
      </w:r>
      <w:r w:rsidR="00E45C38" w:rsidRPr="00172FBB">
        <w:rPr>
          <w:rFonts w:ascii="Calibri" w:hAnsi="Calibri" w:cs="Calibri"/>
          <w:i/>
          <w:iCs/>
          <w:color w:val="000000" w:themeColor="text1"/>
        </w:rPr>
        <w:t>et al</w:t>
      </w:r>
      <w:r w:rsidR="00E45C38" w:rsidRPr="00172FBB">
        <w:rPr>
          <w:rFonts w:ascii="Calibri" w:hAnsi="Calibri" w:cs="Calibri"/>
          <w:color w:val="000000" w:themeColor="text1"/>
        </w:rPr>
        <w:t xml:space="preserve">., 2024). </w:t>
      </w:r>
      <w:r w:rsidRPr="00172FBB">
        <w:rPr>
          <w:rFonts w:ascii="Calibri" w:hAnsi="Calibri" w:cs="Calibri"/>
        </w:rPr>
        <w:t>The transition from battlefield souvenir to inherited artefact can be observed not only in historical scholarship but also in contemporary private collections.</w:t>
      </w:r>
      <w:r w:rsidRPr="00172FBB">
        <w:rPr>
          <w:rFonts w:ascii="Calibri" w:hAnsi="Calibri" w:cs="Calibri"/>
          <w:color w:val="000000" w:themeColor="text1"/>
        </w:rPr>
        <w:t xml:space="preserve"> </w:t>
      </w:r>
      <w:r w:rsidRPr="00172FBB">
        <w:rPr>
          <w:rFonts w:ascii="Calibri" w:hAnsi="Calibri" w:cs="Calibri"/>
        </w:rPr>
        <w:t>The author’s family-held collection provides a reflexive example of this dynamic</w:t>
      </w:r>
      <w:r w:rsidR="00E45C38" w:rsidRPr="00172FBB">
        <w:rPr>
          <w:rFonts w:ascii="Calibri" w:hAnsi="Calibri" w:cs="Calibri"/>
          <w:color w:val="000000" w:themeColor="text1"/>
        </w:rPr>
        <w:t xml:space="preserve">. Centred on material relating to his grandfather’s Second World War service, it includes service records, personal keepsakes, and a Certificate of Commendation signed by Field Marshal Bernard Montgomery (See Figures 2-5). Additional items, </w:t>
      </w:r>
      <w:r w:rsidRPr="00172FBB">
        <w:rPr>
          <w:rFonts w:ascii="Calibri" w:hAnsi="Calibri" w:cs="Calibri"/>
          <w:color w:val="000000" w:themeColor="text1"/>
        </w:rPr>
        <w:t>including</w:t>
      </w:r>
      <w:r w:rsidR="00E45C38" w:rsidRPr="00172FBB">
        <w:rPr>
          <w:rFonts w:ascii="Calibri" w:hAnsi="Calibri" w:cs="Calibri"/>
          <w:color w:val="000000" w:themeColor="text1"/>
        </w:rPr>
        <w:t xml:space="preserve"> German Army insignia and a</w:t>
      </w:r>
      <w:r w:rsidR="00666C48" w:rsidRPr="00172FBB">
        <w:rPr>
          <w:rFonts w:ascii="Calibri" w:hAnsi="Calibri" w:cs="Calibri"/>
        </w:rPr>
        <w:t xml:space="preserve"> </w:t>
      </w:r>
      <w:r w:rsidR="00666C48" w:rsidRPr="00172FBB">
        <w:rPr>
          <w:rFonts w:ascii="Calibri" w:hAnsi="Calibri" w:cs="Calibri"/>
        </w:rPr>
        <w:t>National Socialist German Workers’ Party</w:t>
      </w:r>
      <w:r w:rsidR="00E45C38" w:rsidRPr="00172FBB">
        <w:rPr>
          <w:rFonts w:ascii="Calibri" w:hAnsi="Calibri" w:cs="Calibri"/>
          <w:color w:val="000000" w:themeColor="text1"/>
        </w:rPr>
        <w:t xml:space="preserve"> armband (See Figure 6), </w:t>
      </w:r>
      <w:r w:rsidR="00B220C3" w:rsidRPr="00172FBB">
        <w:rPr>
          <w:rFonts w:ascii="Calibri" w:hAnsi="Calibri" w:cs="Calibri"/>
        </w:rPr>
        <w:t>were retained as wartime souvenirs rather than ideological symbols</w:t>
      </w:r>
      <w:r w:rsidR="00E45C38" w:rsidRPr="00172FBB">
        <w:rPr>
          <w:rFonts w:ascii="Calibri" w:hAnsi="Calibri" w:cs="Calibri"/>
          <w:color w:val="000000" w:themeColor="text1"/>
        </w:rPr>
        <w:t xml:space="preserve">. </w:t>
      </w:r>
      <w:r w:rsidRPr="00172FBB">
        <w:rPr>
          <w:rFonts w:ascii="Calibri" w:hAnsi="Calibri" w:cs="Calibri"/>
          <w:color w:val="000000" w:themeColor="text1"/>
        </w:rPr>
        <w:t>T</w:t>
      </w:r>
      <w:r w:rsidR="00E45C38" w:rsidRPr="00172FBB">
        <w:rPr>
          <w:rFonts w:ascii="Calibri" w:hAnsi="Calibri" w:cs="Calibri"/>
          <w:color w:val="000000" w:themeColor="text1"/>
        </w:rPr>
        <w:t xml:space="preserve">he collection also contains items originally belonging to the author’s great-grandfather, such as his picture and service medals (See Figure 7), which have been passed down through generations. </w:t>
      </w:r>
      <w:r w:rsidRPr="00172FBB">
        <w:rPr>
          <w:rFonts w:ascii="Calibri" w:hAnsi="Calibri" w:cs="Calibri"/>
          <w:color w:val="000000" w:themeColor="text1"/>
        </w:rPr>
        <w:t>T</w:t>
      </w:r>
      <w:r w:rsidRPr="00172FBB">
        <w:rPr>
          <w:rFonts w:ascii="Calibri" w:hAnsi="Calibri" w:cs="Calibri"/>
        </w:rPr>
        <w:t>ogether, these inherited objects illustrate how battlefield relics move from personal keepsakes to intergenerational carriers of memory, while raising questions about private stewardship and access.</w:t>
      </w:r>
      <w:r w:rsidR="00CC320A" w:rsidRPr="00172FBB">
        <w:rPr>
          <w:rFonts w:ascii="Calibri" w:hAnsi="Calibri" w:cs="Calibri"/>
        </w:rPr>
        <w:t xml:space="preserve"> In this respect, the </w:t>
      </w:r>
      <w:r w:rsidR="00CC320A" w:rsidRPr="00172FBB">
        <w:rPr>
          <w:rFonts w:ascii="Calibri" w:hAnsi="Calibri" w:cs="Calibri"/>
        </w:rPr>
        <w:lastRenderedPageBreak/>
        <w:t>collection embodies both the strengths and the constraints of private collecting, preserving memory while limiting its integration into wider historical discourse.</w:t>
      </w:r>
    </w:p>
    <w:p w14:paraId="76A3C409" w14:textId="77777777" w:rsidR="00CC320A" w:rsidRPr="00172FBB" w:rsidRDefault="00CC320A" w:rsidP="00F6394A">
      <w:pPr>
        <w:spacing w:line="360" w:lineRule="auto"/>
        <w:rPr>
          <w:rFonts w:ascii="Calibri" w:hAnsi="Calibri" w:cs="Calibri"/>
          <w:color w:val="000000" w:themeColor="text1"/>
        </w:rPr>
      </w:pPr>
    </w:p>
    <w:p w14:paraId="14F4929F" w14:textId="0DA9D06C" w:rsidR="00C319FF" w:rsidRPr="00172FBB" w:rsidRDefault="00BA202A" w:rsidP="00F6394A">
      <w:pPr>
        <w:spacing w:line="360" w:lineRule="auto"/>
        <w:rPr>
          <w:rFonts w:ascii="Calibri" w:hAnsi="Calibri" w:cs="Calibri"/>
          <w:color w:val="000000" w:themeColor="text1"/>
        </w:rPr>
      </w:pPr>
      <w:r w:rsidRPr="00172FBB">
        <w:rPr>
          <w:rFonts w:ascii="Calibri" w:hAnsi="Calibri" w:cs="Calibri"/>
          <w:color w:val="000000" w:themeColor="text1"/>
        </w:rPr>
        <w:t xml:space="preserve">Collectors of battlefield relics are motivated by </w:t>
      </w:r>
      <w:r w:rsidR="00013CAE" w:rsidRPr="00172FBB">
        <w:rPr>
          <w:rFonts w:ascii="Calibri" w:hAnsi="Calibri" w:cs="Calibri"/>
          <w:color w:val="000000" w:themeColor="text1"/>
        </w:rPr>
        <w:t xml:space="preserve">a range of </w:t>
      </w:r>
      <w:r w:rsidRPr="00172FBB">
        <w:rPr>
          <w:rFonts w:ascii="Calibri" w:hAnsi="Calibri" w:cs="Calibri"/>
          <w:color w:val="000000" w:themeColor="text1"/>
        </w:rPr>
        <w:t>factors extending beyond material or financial interests</w:t>
      </w:r>
      <w:r w:rsidR="001941BE" w:rsidRPr="00172FBB">
        <w:rPr>
          <w:rFonts w:ascii="Calibri" w:hAnsi="Calibri" w:cs="Calibri"/>
          <w:color w:val="000000" w:themeColor="text1"/>
        </w:rPr>
        <w:t xml:space="preserve"> (</w:t>
      </w:r>
      <w:proofErr w:type="spellStart"/>
      <w:r w:rsidR="001941BE" w:rsidRPr="00172FBB">
        <w:rPr>
          <w:rFonts w:ascii="Calibri" w:hAnsi="Calibri" w:cs="Calibri"/>
          <w:color w:val="000000" w:themeColor="text1"/>
        </w:rPr>
        <w:t>Herva</w:t>
      </w:r>
      <w:proofErr w:type="spellEnd"/>
      <w:r w:rsidR="001941BE" w:rsidRPr="00172FBB">
        <w:rPr>
          <w:rFonts w:ascii="Calibri" w:hAnsi="Calibri" w:cs="Calibri"/>
          <w:color w:val="000000" w:themeColor="text1"/>
        </w:rPr>
        <w:t xml:space="preserve"> </w:t>
      </w:r>
      <w:r w:rsidR="001941BE" w:rsidRPr="00172FBB">
        <w:rPr>
          <w:rFonts w:ascii="Calibri" w:hAnsi="Calibri" w:cs="Calibri"/>
          <w:i/>
          <w:iCs/>
          <w:color w:val="000000" w:themeColor="text1"/>
        </w:rPr>
        <w:t>et al.,</w:t>
      </w:r>
      <w:r w:rsidR="001941BE" w:rsidRPr="00172FBB">
        <w:rPr>
          <w:rFonts w:ascii="Calibri" w:hAnsi="Calibri" w:cs="Calibri"/>
          <w:color w:val="000000" w:themeColor="text1"/>
        </w:rPr>
        <w:t xml:space="preserve"> 2016)</w:t>
      </w:r>
      <w:r w:rsidRPr="00172FBB">
        <w:rPr>
          <w:rFonts w:ascii="Calibri" w:hAnsi="Calibri" w:cs="Calibri"/>
          <w:color w:val="000000" w:themeColor="text1"/>
        </w:rPr>
        <w:t xml:space="preserve">. </w:t>
      </w:r>
      <w:r w:rsidR="00A92028" w:rsidRPr="00172FBB">
        <w:rPr>
          <w:rFonts w:ascii="Calibri" w:hAnsi="Calibri" w:cs="Calibri"/>
          <w:color w:val="000000" w:themeColor="text1"/>
        </w:rPr>
        <w:t xml:space="preserve">Many </w:t>
      </w:r>
      <w:r w:rsidR="00B40035" w:rsidRPr="00172FBB">
        <w:rPr>
          <w:rFonts w:ascii="Calibri" w:hAnsi="Calibri" w:cs="Calibri"/>
          <w:color w:val="000000" w:themeColor="text1"/>
        </w:rPr>
        <w:t>seek</w:t>
      </w:r>
      <w:r w:rsidR="00A92028" w:rsidRPr="00172FBB">
        <w:rPr>
          <w:rFonts w:ascii="Calibri" w:hAnsi="Calibri" w:cs="Calibri"/>
          <w:color w:val="000000" w:themeColor="text1"/>
        </w:rPr>
        <w:t xml:space="preserve"> a close, personal engagement with the past, as the handling and discovery of artefacts creates a sense of </w:t>
      </w:r>
      <w:r w:rsidR="00B40035" w:rsidRPr="00172FBB">
        <w:rPr>
          <w:rFonts w:ascii="Calibri" w:hAnsi="Calibri" w:cs="Calibri"/>
          <w:color w:val="000000" w:themeColor="text1"/>
        </w:rPr>
        <w:t>intimacy</w:t>
      </w:r>
      <w:r w:rsidR="00A92028" w:rsidRPr="00172FBB">
        <w:rPr>
          <w:rFonts w:ascii="Calibri" w:hAnsi="Calibri" w:cs="Calibri"/>
          <w:color w:val="000000" w:themeColor="text1"/>
        </w:rPr>
        <w:t xml:space="preserve"> often absent from conventional museum encounters.</w:t>
      </w:r>
      <w:r w:rsidRPr="00172FBB">
        <w:rPr>
          <w:rFonts w:ascii="Calibri" w:hAnsi="Calibri" w:cs="Calibri"/>
          <w:color w:val="000000" w:themeColor="text1"/>
        </w:rPr>
        <w:t xml:space="preserve"> </w:t>
      </w:r>
      <w:r w:rsidR="00D74C2D" w:rsidRPr="00172FBB">
        <w:rPr>
          <w:rFonts w:ascii="Calibri" w:hAnsi="Calibri" w:cs="Calibri"/>
          <w:color w:val="000000" w:themeColor="text1"/>
        </w:rPr>
        <w:t xml:space="preserve">Objects tied to local or regional histories reinforce communal identities, while </w:t>
      </w:r>
      <w:r w:rsidR="0038217E" w:rsidRPr="00172FBB">
        <w:rPr>
          <w:rFonts w:ascii="Calibri" w:hAnsi="Calibri" w:cs="Calibri"/>
          <w:color w:val="000000" w:themeColor="text1"/>
        </w:rPr>
        <w:t xml:space="preserve">battlefield relics are valued primarily for the stories and emotional </w:t>
      </w:r>
      <w:proofErr w:type="gramStart"/>
      <w:r w:rsidR="00DA4A10" w:rsidRPr="00172FBB">
        <w:rPr>
          <w:rFonts w:ascii="Calibri" w:hAnsi="Calibri" w:cs="Calibri"/>
          <w:color w:val="000000" w:themeColor="text1"/>
        </w:rPr>
        <w:t>resonance</w:t>
      </w:r>
      <w:proofErr w:type="gramEnd"/>
      <w:r w:rsidR="0038217E" w:rsidRPr="00172FBB">
        <w:rPr>
          <w:rFonts w:ascii="Calibri" w:hAnsi="Calibri" w:cs="Calibri"/>
          <w:color w:val="000000" w:themeColor="text1"/>
        </w:rPr>
        <w:t xml:space="preserve"> they embody rather than for monetary worth. </w:t>
      </w:r>
      <w:r w:rsidR="00D74C2D" w:rsidRPr="00172FBB">
        <w:rPr>
          <w:rFonts w:ascii="Calibri" w:hAnsi="Calibri" w:cs="Calibri"/>
          <w:color w:val="000000" w:themeColor="text1"/>
        </w:rPr>
        <w:t>Collecting can also be seen as a form of stewardship, with individuals acting as preservers of historical traces for future generations</w:t>
      </w:r>
      <w:r w:rsidR="00532732" w:rsidRPr="00172FBB">
        <w:rPr>
          <w:rFonts w:ascii="Calibri" w:hAnsi="Calibri" w:cs="Calibri"/>
          <w:color w:val="000000" w:themeColor="text1"/>
        </w:rPr>
        <w:t>. These overlapping motivations, from hobbyist curiosity to acts of remembrance, highlight the complex ethical and interpretive questions surrounding the care, exhibition, and circulation of artefacts</w:t>
      </w:r>
      <w:r w:rsidR="00D74C2D" w:rsidRPr="00172FBB">
        <w:rPr>
          <w:rFonts w:ascii="Calibri" w:hAnsi="Calibri" w:cs="Calibri"/>
          <w:color w:val="000000" w:themeColor="text1"/>
        </w:rPr>
        <w:t xml:space="preserve">. </w:t>
      </w:r>
      <w:r w:rsidR="00532732" w:rsidRPr="00172FBB">
        <w:rPr>
          <w:rFonts w:ascii="Calibri" w:hAnsi="Calibri" w:cs="Calibri"/>
          <w:color w:val="000000" w:themeColor="text1"/>
        </w:rPr>
        <w:t xml:space="preserve">Heritage professionals focus on preservation and public access, whereas private collectors emphasise hands-on engagement and local significance. Together, these differing priorities shape the management and interpretation of historical objects </w:t>
      </w:r>
      <w:r w:rsidR="00A92028" w:rsidRPr="00172FBB">
        <w:rPr>
          <w:rFonts w:ascii="Calibri" w:hAnsi="Calibri" w:cs="Calibri"/>
          <w:color w:val="000000" w:themeColor="text1"/>
        </w:rPr>
        <w:t>(</w:t>
      </w:r>
      <w:proofErr w:type="spellStart"/>
      <w:r w:rsidR="00A92028" w:rsidRPr="00172FBB">
        <w:rPr>
          <w:rFonts w:ascii="Calibri" w:hAnsi="Calibri" w:cs="Calibri"/>
          <w:color w:val="000000" w:themeColor="text1"/>
        </w:rPr>
        <w:t>Herva</w:t>
      </w:r>
      <w:proofErr w:type="spellEnd"/>
      <w:r w:rsidR="00A92028" w:rsidRPr="00172FBB">
        <w:rPr>
          <w:rFonts w:ascii="Calibri" w:hAnsi="Calibri" w:cs="Calibri"/>
          <w:color w:val="000000" w:themeColor="text1"/>
        </w:rPr>
        <w:t xml:space="preserve"> </w:t>
      </w:r>
      <w:r w:rsidR="00A92028" w:rsidRPr="00172FBB">
        <w:rPr>
          <w:rFonts w:ascii="Calibri" w:hAnsi="Calibri" w:cs="Calibri"/>
          <w:i/>
          <w:iCs/>
          <w:color w:val="000000" w:themeColor="text1"/>
        </w:rPr>
        <w:t>et al.</w:t>
      </w:r>
      <w:r w:rsidR="00A92028" w:rsidRPr="00172FBB">
        <w:rPr>
          <w:rFonts w:ascii="Calibri" w:hAnsi="Calibri" w:cs="Calibri"/>
          <w:color w:val="000000" w:themeColor="text1"/>
        </w:rPr>
        <w:t>, 2016).</w:t>
      </w:r>
      <w:r w:rsidR="00131A35" w:rsidRPr="00172FBB">
        <w:rPr>
          <w:rFonts w:ascii="Calibri" w:hAnsi="Calibri" w:cs="Calibri"/>
          <w:color w:val="000000" w:themeColor="text1"/>
        </w:rPr>
        <w:t xml:space="preserve"> </w:t>
      </w:r>
      <w:r w:rsidR="00013CAE" w:rsidRPr="00172FBB">
        <w:rPr>
          <w:rFonts w:ascii="Calibri" w:hAnsi="Calibri" w:cs="Calibri"/>
          <w:color w:val="000000" w:themeColor="text1"/>
        </w:rPr>
        <w:t>In addition to personal and emotional factors, historical and commemorative considerations further shape collecting practices</w:t>
      </w:r>
      <w:r w:rsidR="00700D08" w:rsidRPr="00172FBB">
        <w:rPr>
          <w:rFonts w:ascii="Calibri" w:hAnsi="Calibri" w:cs="Calibri"/>
          <w:color w:val="000000" w:themeColor="text1"/>
        </w:rPr>
        <w:t xml:space="preserve"> (Donaldson </w:t>
      </w:r>
      <w:r w:rsidR="00700D08" w:rsidRPr="00172FBB">
        <w:rPr>
          <w:rFonts w:ascii="Calibri" w:hAnsi="Calibri" w:cs="Calibri"/>
          <w:i/>
          <w:iCs/>
          <w:color w:val="000000" w:themeColor="text1"/>
        </w:rPr>
        <w:t>et al</w:t>
      </w:r>
      <w:r w:rsidR="00700D08" w:rsidRPr="00172FBB">
        <w:rPr>
          <w:rFonts w:ascii="Calibri" w:hAnsi="Calibri" w:cs="Calibri"/>
          <w:color w:val="000000" w:themeColor="text1"/>
        </w:rPr>
        <w:t>., 2024)</w:t>
      </w:r>
      <w:r w:rsidR="00013CAE" w:rsidRPr="00172FBB">
        <w:rPr>
          <w:rFonts w:ascii="Calibri" w:hAnsi="Calibri" w:cs="Calibri"/>
          <w:color w:val="000000" w:themeColor="text1"/>
        </w:rPr>
        <w:t xml:space="preserve">. </w:t>
      </w:r>
      <w:r w:rsidR="00D74C2D" w:rsidRPr="00172FBB">
        <w:rPr>
          <w:rFonts w:ascii="Calibri" w:hAnsi="Calibri" w:cs="Calibri"/>
          <w:color w:val="000000" w:themeColor="text1"/>
        </w:rPr>
        <w:t xml:space="preserve">Veterans and their families often donate personal combat items to museums, valuing them for the stories they carry rather than for decoration or monetary worth. </w:t>
      </w:r>
      <w:r w:rsidR="0038217E" w:rsidRPr="00172FBB">
        <w:rPr>
          <w:rFonts w:ascii="Calibri" w:hAnsi="Calibri" w:cs="Calibri"/>
          <w:color w:val="000000" w:themeColor="text1"/>
        </w:rPr>
        <w:t>Objects such as combat boots stained with battlefield mu</w:t>
      </w:r>
      <w:r w:rsidR="000D65A4" w:rsidRPr="00172FBB">
        <w:rPr>
          <w:rFonts w:ascii="Calibri" w:hAnsi="Calibri" w:cs="Calibri"/>
          <w:color w:val="000000" w:themeColor="text1"/>
        </w:rPr>
        <w:t>d</w:t>
      </w:r>
      <w:r w:rsidR="0038217E" w:rsidRPr="00172FBB">
        <w:rPr>
          <w:rFonts w:ascii="Calibri" w:hAnsi="Calibri" w:cs="Calibri"/>
          <w:color w:val="000000" w:themeColor="text1"/>
        </w:rPr>
        <w:t xml:space="preserve"> support storytelling, memory, and intergenerational remembrance </w:t>
      </w:r>
      <w:r w:rsidR="00D74C2D" w:rsidRPr="00172FBB">
        <w:rPr>
          <w:rFonts w:ascii="Calibri" w:hAnsi="Calibri" w:cs="Calibri"/>
          <w:color w:val="000000" w:themeColor="text1"/>
        </w:rPr>
        <w:t>(</w:t>
      </w:r>
      <w:r w:rsidR="00F34BB2" w:rsidRPr="00172FBB">
        <w:rPr>
          <w:rFonts w:ascii="Calibri" w:hAnsi="Calibri" w:cs="Calibri"/>
          <w:color w:val="000000" w:themeColor="text1"/>
        </w:rPr>
        <w:t>Conan</w:t>
      </w:r>
      <w:r w:rsidR="00D74C2D" w:rsidRPr="00172FBB">
        <w:rPr>
          <w:rFonts w:ascii="Calibri" w:hAnsi="Calibri" w:cs="Calibri"/>
          <w:color w:val="000000" w:themeColor="text1"/>
        </w:rPr>
        <w:t>, 2007).</w:t>
      </w:r>
    </w:p>
    <w:p w14:paraId="5ED1DD89" w14:textId="77777777" w:rsidR="00532732" w:rsidRPr="00172FBB" w:rsidRDefault="00532732" w:rsidP="00F6394A">
      <w:pPr>
        <w:spacing w:line="360" w:lineRule="auto"/>
        <w:rPr>
          <w:rFonts w:ascii="Calibri" w:hAnsi="Calibri" w:cs="Calibri"/>
          <w:color w:val="000000" w:themeColor="text1"/>
        </w:rPr>
      </w:pPr>
    </w:p>
    <w:p w14:paraId="79F4AD32" w14:textId="1DA7969B" w:rsidR="00236EC7" w:rsidRPr="00172FBB" w:rsidRDefault="00E45C38" w:rsidP="00F6394A">
      <w:pPr>
        <w:spacing w:line="360" w:lineRule="auto"/>
        <w:rPr>
          <w:rFonts w:ascii="Calibri" w:hAnsi="Calibri" w:cs="Calibri"/>
          <w:color w:val="000000" w:themeColor="text1"/>
        </w:rPr>
      </w:pPr>
      <w:r w:rsidRPr="00172FBB">
        <w:rPr>
          <w:rFonts w:ascii="Calibri" w:hAnsi="Calibri" w:cs="Calibri"/>
          <w:color w:val="000000" w:themeColor="text1"/>
        </w:rPr>
        <w:t xml:space="preserve">Collecting is driven not only by ownership but also by psychological and social factors (McIntosh </w:t>
      </w:r>
      <w:r w:rsidR="00B220C3" w:rsidRPr="00172FBB">
        <w:rPr>
          <w:rFonts w:ascii="Calibri" w:hAnsi="Calibri" w:cs="Calibri"/>
          <w:color w:val="000000" w:themeColor="text1"/>
        </w:rPr>
        <w:t>and</w:t>
      </w:r>
      <w:r w:rsidRPr="00172FBB">
        <w:rPr>
          <w:rFonts w:ascii="Calibri" w:hAnsi="Calibri" w:cs="Calibri"/>
          <w:color w:val="000000" w:themeColor="text1"/>
        </w:rPr>
        <w:t xml:space="preserve"> Schmeichel, 2004). Collectors pursue personal goals such as developing expertise, achieving milestones, and affirming their identity. They set objectives, acquire and organise objects, and create displays, all of which provide a tangible sense of achievement and satisfaction. Collections often serve as extensions of the self, offering pleasure and a sense of control through care and organisation. Engagement in collecting communities further enhances a sense of belonging and expertise, while regular</w:t>
      </w:r>
      <w:r w:rsidR="00FE2F0B" w:rsidRPr="00172FBB">
        <w:rPr>
          <w:rFonts w:ascii="Calibri" w:hAnsi="Calibri" w:cs="Calibri"/>
          <w:color w:val="000000" w:themeColor="text1"/>
        </w:rPr>
        <w:t>ly</w:t>
      </w:r>
      <w:r w:rsidRPr="00172FBB">
        <w:rPr>
          <w:rFonts w:ascii="Calibri" w:hAnsi="Calibri" w:cs="Calibri"/>
          <w:color w:val="000000" w:themeColor="text1"/>
        </w:rPr>
        <w:t xml:space="preserve"> </w:t>
      </w:r>
      <w:r w:rsidR="00FE2F0B" w:rsidRPr="00172FBB">
        <w:rPr>
          <w:rFonts w:ascii="Calibri" w:hAnsi="Calibri" w:cs="Calibri"/>
          <w:color w:val="000000" w:themeColor="text1"/>
        </w:rPr>
        <w:t>reassessing</w:t>
      </w:r>
      <w:r w:rsidRPr="00172FBB">
        <w:rPr>
          <w:rFonts w:ascii="Calibri" w:hAnsi="Calibri" w:cs="Calibri"/>
          <w:color w:val="000000" w:themeColor="text1"/>
        </w:rPr>
        <w:t xml:space="preserve"> </w:t>
      </w:r>
      <w:r w:rsidR="00FE2F0B" w:rsidRPr="00172FBB">
        <w:rPr>
          <w:rFonts w:ascii="Calibri" w:hAnsi="Calibri" w:cs="Calibri"/>
          <w:color w:val="000000" w:themeColor="text1"/>
        </w:rPr>
        <w:t>goals</w:t>
      </w:r>
      <w:r w:rsidRPr="00172FBB">
        <w:rPr>
          <w:rFonts w:ascii="Calibri" w:hAnsi="Calibri" w:cs="Calibri"/>
          <w:color w:val="000000" w:themeColor="text1"/>
        </w:rPr>
        <w:t xml:space="preserve"> helps maintain motivation over time. Collecting is therefore a multifaceted social and psychological activity that fulfils needs across acquisition, management, and </w:t>
      </w:r>
      <w:r w:rsidRPr="00172FBB">
        <w:rPr>
          <w:rFonts w:ascii="Calibri" w:hAnsi="Calibri" w:cs="Calibri"/>
          <w:color w:val="000000" w:themeColor="text1"/>
        </w:rPr>
        <w:lastRenderedPageBreak/>
        <w:t xml:space="preserve">display (McIntosh </w:t>
      </w:r>
      <w:r w:rsidR="00B220C3" w:rsidRPr="00172FBB">
        <w:rPr>
          <w:rFonts w:ascii="Calibri" w:hAnsi="Calibri" w:cs="Calibri"/>
          <w:color w:val="000000" w:themeColor="text1"/>
        </w:rPr>
        <w:t>and</w:t>
      </w:r>
      <w:r w:rsidRPr="00172FBB">
        <w:rPr>
          <w:rFonts w:ascii="Calibri" w:hAnsi="Calibri" w:cs="Calibri"/>
          <w:color w:val="000000" w:themeColor="text1"/>
        </w:rPr>
        <w:t xml:space="preserve"> Schmeichel, 2004). The process of searching can be as rewarding as acquiring (Bocchi </w:t>
      </w:r>
      <w:r w:rsidRPr="00172FBB">
        <w:rPr>
          <w:rFonts w:ascii="Calibri" w:hAnsi="Calibri" w:cs="Calibri"/>
          <w:i/>
          <w:iCs/>
          <w:color w:val="000000" w:themeColor="text1"/>
        </w:rPr>
        <w:t>et al</w:t>
      </w:r>
      <w:r w:rsidRPr="00172FBB">
        <w:rPr>
          <w:rFonts w:ascii="Calibri" w:hAnsi="Calibri" w:cs="Calibri"/>
          <w:color w:val="000000" w:themeColor="text1"/>
        </w:rPr>
        <w:t>., 2022), and, as Ijams Spaid (2018) notes, collecting reinforces identity, empowers individuals, and creates a sense of legacy. Researching, hunting, trading, displaying, and sharing demonstrate that collecting is as much about experience and self-expression as it is about possession.</w:t>
      </w:r>
      <w:r w:rsidR="00207631" w:rsidRPr="00172FBB">
        <w:rPr>
          <w:rFonts w:ascii="Calibri" w:hAnsi="Calibri" w:cs="Calibri"/>
          <w:color w:val="000000" w:themeColor="text1"/>
        </w:rPr>
        <w:t xml:space="preserve"> </w:t>
      </w:r>
    </w:p>
    <w:p w14:paraId="7215D9EA" w14:textId="77777777" w:rsidR="00236EC7" w:rsidRPr="00172FBB" w:rsidRDefault="00236EC7" w:rsidP="00F6394A">
      <w:pPr>
        <w:spacing w:line="360" w:lineRule="auto"/>
        <w:rPr>
          <w:rFonts w:ascii="Calibri" w:hAnsi="Calibri" w:cs="Calibri"/>
          <w:color w:val="000000" w:themeColor="text1"/>
        </w:rPr>
      </w:pPr>
    </w:p>
    <w:p w14:paraId="47174EE7" w14:textId="3095E7CE" w:rsidR="005728A4" w:rsidRPr="00172FBB" w:rsidRDefault="00381244" w:rsidP="00F6394A">
      <w:pPr>
        <w:spacing w:line="360" w:lineRule="auto"/>
        <w:rPr>
          <w:rFonts w:ascii="Calibri" w:hAnsi="Calibri" w:cs="Calibri"/>
          <w:color w:val="000000" w:themeColor="text1"/>
        </w:rPr>
      </w:pPr>
      <w:r w:rsidRPr="00172FBB">
        <w:rPr>
          <w:rFonts w:ascii="Calibri" w:hAnsi="Calibri" w:cs="Calibri"/>
          <w:color w:val="000000" w:themeColor="text1"/>
        </w:rPr>
        <w:t xml:space="preserve">Financial motivation also plays a role for some collectors, particularly in markets for </w:t>
      </w:r>
      <w:r w:rsidR="00D85E1D" w:rsidRPr="00172FBB">
        <w:rPr>
          <w:rFonts w:ascii="Calibri" w:hAnsi="Calibri" w:cs="Calibri"/>
          <w:color w:val="000000" w:themeColor="text1"/>
        </w:rPr>
        <w:t xml:space="preserve">Second World War </w:t>
      </w:r>
      <w:r w:rsidRPr="00172FBB">
        <w:rPr>
          <w:rFonts w:ascii="Calibri" w:hAnsi="Calibri" w:cs="Calibri"/>
          <w:color w:val="000000" w:themeColor="text1"/>
        </w:rPr>
        <w:t xml:space="preserve">militaria. While rare, items in this context can increase in value, though authenticity, provenance, and condition remain crucial (Dawsons, 2022). </w:t>
      </w:r>
      <w:r w:rsidR="00EE07D2" w:rsidRPr="00172FBB">
        <w:rPr>
          <w:rFonts w:ascii="Calibri" w:hAnsi="Calibri" w:cs="Calibri"/>
          <w:color w:val="000000" w:themeColor="text1"/>
        </w:rPr>
        <w:t xml:space="preserve">For example, militaria dealer Craig Gottlieb has bought and sold Nazi artefacts, including Hitler’s personal belongings, with the aim of profit, </w:t>
      </w:r>
      <w:r w:rsidR="000D65A4" w:rsidRPr="00172FBB">
        <w:rPr>
          <w:rFonts w:ascii="Calibri" w:hAnsi="Calibri" w:cs="Calibri"/>
          <w:color w:val="000000" w:themeColor="text1"/>
        </w:rPr>
        <w:t xml:space="preserve">showing </w:t>
      </w:r>
      <w:r w:rsidR="00EE07D2" w:rsidRPr="00172FBB">
        <w:rPr>
          <w:rFonts w:ascii="Calibri" w:hAnsi="Calibri" w:cs="Calibri"/>
          <w:color w:val="000000" w:themeColor="text1"/>
        </w:rPr>
        <w:t xml:space="preserve">how financial considerations can drive collecting in this market (Stutman, 2019). </w:t>
      </w:r>
      <w:r w:rsidR="00703430" w:rsidRPr="00172FBB">
        <w:rPr>
          <w:rFonts w:ascii="Calibri" w:hAnsi="Calibri" w:cs="Calibri"/>
          <w:color w:val="000000" w:themeColor="text1"/>
        </w:rPr>
        <w:t xml:space="preserve">Beyond financial gain, collectors are motivated by passion, curiosity, and a desire to preserve, which guide how they select, interpret, and display objects </w:t>
      </w:r>
      <w:r w:rsidR="00D85E1D" w:rsidRPr="00172FBB">
        <w:rPr>
          <w:rFonts w:ascii="Calibri" w:hAnsi="Calibri" w:cs="Calibri"/>
          <w:color w:val="000000" w:themeColor="text1"/>
        </w:rPr>
        <w:t>(Brandt, 2016). These personal, social, and financial motivations help explain why some collectors, like Jean-Pierre Verney, dedicate</w:t>
      </w:r>
      <w:r w:rsidR="00E45C38" w:rsidRPr="00172FBB">
        <w:rPr>
          <w:rFonts w:ascii="Calibri" w:hAnsi="Calibri" w:cs="Calibri"/>
          <w:color w:val="000000" w:themeColor="text1"/>
        </w:rPr>
        <w:t>d</w:t>
      </w:r>
      <w:r w:rsidR="00D85E1D" w:rsidRPr="00172FBB">
        <w:rPr>
          <w:rFonts w:ascii="Calibri" w:hAnsi="Calibri" w:cs="Calibri"/>
          <w:color w:val="000000" w:themeColor="text1"/>
        </w:rPr>
        <w:t xml:space="preserve"> their lives to preserving relics for education, commemoration, and public heritage.</w:t>
      </w:r>
    </w:p>
    <w:p w14:paraId="72ED6CE7" w14:textId="59293DBC" w:rsidR="00801BC5" w:rsidRPr="00172FBB" w:rsidRDefault="00801BC5" w:rsidP="00F6394A">
      <w:pPr>
        <w:spacing w:line="360" w:lineRule="auto"/>
        <w:rPr>
          <w:rFonts w:ascii="Calibri" w:hAnsi="Calibri" w:cs="Calibri"/>
          <w:color w:val="000000" w:themeColor="text1"/>
        </w:rPr>
      </w:pPr>
    </w:p>
    <w:p w14:paraId="737F5304" w14:textId="77777777" w:rsidR="002C7516" w:rsidRPr="00172FBB" w:rsidRDefault="00EE6AE4" w:rsidP="005728A4">
      <w:pPr>
        <w:spacing w:line="360" w:lineRule="auto"/>
        <w:rPr>
          <w:rFonts w:ascii="Calibri" w:hAnsi="Calibri" w:cs="Calibri"/>
          <w:color w:val="000000" w:themeColor="text1"/>
        </w:rPr>
      </w:pPr>
      <w:r w:rsidRPr="00172FBB">
        <w:rPr>
          <w:rFonts w:ascii="Calibri" w:hAnsi="Calibri" w:cs="Calibri"/>
          <w:noProof/>
          <w:color w:val="000000" w:themeColor="text1"/>
          <w14:ligatures w14:val="standardContextual"/>
        </w:rPr>
        <w:drawing>
          <wp:anchor distT="0" distB="0" distL="114300" distR="114300" simplePos="0" relativeHeight="251682816" behindDoc="1" locked="0" layoutInCell="1" allowOverlap="1" wp14:anchorId="6DACB202" wp14:editId="3DA0D741">
            <wp:simplePos x="0" y="0"/>
            <wp:positionH relativeFrom="column">
              <wp:posOffset>29007</wp:posOffset>
            </wp:positionH>
            <wp:positionV relativeFrom="paragraph">
              <wp:posOffset>1403985</wp:posOffset>
            </wp:positionV>
            <wp:extent cx="1741170" cy="1386205"/>
            <wp:effectExtent l="12700" t="12700" r="11430" b="10795"/>
            <wp:wrapTight wrapText="bothSides">
              <wp:wrapPolygon edited="0">
                <wp:start x="-158" y="-198"/>
                <wp:lineTo x="-158" y="21570"/>
                <wp:lineTo x="21584" y="21570"/>
                <wp:lineTo x="21584" y="-198"/>
                <wp:lineTo x="-158" y="-198"/>
              </wp:wrapPolygon>
            </wp:wrapTight>
            <wp:docPr id="877298216" name="Picture 1" descr="A hand with a glov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298216" name="Picture 1" descr="A hand with a glove&#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741170" cy="138620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2960A4" w:rsidRPr="00172FBB">
        <w:rPr>
          <w:rFonts w:ascii="Calibri" w:hAnsi="Calibri" w:cs="Calibri"/>
          <w:noProof/>
          <w:color w:val="000000" w:themeColor="text1"/>
          <w14:ligatures w14:val="standardContextual"/>
        </w:rPr>
        <w:drawing>
          <wp:anchor distT="0" distB="0" distL="114300" distR="114300" simplePos="0" relativeHeight="251665408" behindDoc="1" locked="0" layoutInCell="1" allowOverlap="1" wp14:anchorId="2246E3A5" wp14:editId="216CB3A3">
            <wp:simplePos x="0" y="0"/>
            <wp:positionH relativeFrom="margin">
              <wp:posOffset>4267835</wp:posOffset>
            </wp:positionH>
            <wp:positionV relativeFrom="margin">
              <wp:posOffset>4245813</wp:posOffset>
            </wp:positionV>
            <wp:extent cx="1449070" cy="1964055"/>
            <wp:effectExtent l="12700" t="12700" r="11430" b="17145"/>
            <wp:wrapSquare wrapText="bothSides"/>
            <wp:docPr id="1769318462" name="Picture 10" descr="A person in a red shi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318462" name="Picture 10" descr="A person in a red shirt&#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449070" cy="1964055"/>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r w:rsidR="00207631" w:rsidRPr="00172FBB">
        <w:rPr>
          <w:rFonts w:ascii="Calibri" w:hAnsi="Calibri" w:cs="Calibri"/>
          <w:noProof/>
          <w:color w:val="000000" w:themeColor="text1"/>
          <w14:ligatures w14:val="standardContextual"/>
        </w:rPr>
        <w:drawing>
          <wp:anchor distT="0" distB="0" distL="114300" distR="114300" simplePos="0" relativeHeight="251667456" behindDoc="1" locked="0" layoutInCell="1" allowOverlap="1" wp14:anchorId="7C0A3F9E" wp14:editId="5F025C28">
            <wp:simplePos x="0" y="0"/>
            <wp:positionH relativeFrom="margin">
              <wp:align>right</wp:align>
            </wp:positionH>
            <wp:positionV relativeFrom="margin">
              <wp:align>bottom</wp:align>
            </wp:positionV>
            <wp:extent cx="1348740" cy="1763395"/>
            <wp:effectExtent l="12700" t="12700" r="10160" b="14605"/>
            <wp:wrapSquare wrapText="bothSides"/>
            <wp:docPr id="1571809969" name="Picture 12" descr="A mannequin wearing a uni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809969" name="Picture 12" descr="A mannequin wearing a uniform&#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348740" cy="1763395"/>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r w:rsidR="00801BC5" w:rsidRPr="00172FBB">
        <w:rPr>
          <w:rFonts w:ascii="Calibri" w:hAnsi="Calibri" w:cs="Calibri"/>
          <w:color w:val="000000" w:themeColor="text1"/>
        </w:rPr>
        <w:t>Jean-Pierre Verney (See Figure 8) vividly illustrates the motivations behind collecting battlefield relics. His lifelong passion for First World War history led him to amass a diverse collection of wartime artefacts (Lab, 2011). A self-taught historian and prize-winning photographer, he advised the French Ministry of Defence (</w:t>
      </w:r>
      <w:proofErr w:type="spellStart"/>
      <w:r w:rsidR="00801BC5" w:rsidRPr="00172FBB">
        <w:rPr>
          <w:rFonts w:ascii="Calibri" w:hAnsi="Calibri" w:cs="Calibri"/>
          <w:color w:val="000000" w:themeColor="text1"/>
        </w:rPr>
        <w:t>Voiset</w:t>
      </w:r>
      <w:proofErr w:type="spellEnd"/>
      <w:r w:rsidR="00801BC5" w:rsidRPr="00172FBB">
        <w:rPr>
          <w:rFonts w:ascii="Calibri" w:hAnsi="Calibri" w:cs="Calibri"/>
          <w:color w:val="000000" w:themeColor="text1"/>
        </w:rPr>
        <w:t>, 2025)</w:t>
      </w:r>
      <w:r w:rsidR="00E45C38" w:rsidRPr="00172FBB">
        <w:rPr>
          <w:rFonts w:ascii="Calibri" w:hAnsi="Calibri" w:cs="Calibri"/>
          <w:color w:val="000000" w:themeColor="text1"/>
        </w:rPr>
        <w:t xml:space="preserve">, </w:t>
      </w:r>
      <w:r w:rsidR="00801BC5" w:rsidRPr="00172FBB">
        <w:rPr>
          <w:rFonts w:ascii="Calibri" w:hAnsi="Calibri" w:cs="Calibri"/>
          <w:color w:val="000000" w:themeColor="text1"/>
        </w:rPr>
        <w:t xml:space="preserve">contributed to films and documentaries on the First World War, and authored works such as </w:t>
      </w:r>
      <w:r w:rsidR="00801BC5" w:rsidRPr="00172FBB">
        <w:rPr>
          <w:rStyle w:val="Emphasis"/>
          <w:rFonts w:ascii="Calibri" w:eastAsiaTheme="majorEastAsia" w:hAnsi="Calibri" w:cs="Calibri"/>
          <w:color w:val="000000" w:themeColor="text1"/>
        </w:rPr>
        <w:t>1914–1918 La Grande Guerre</w:t>
      </w:r>
      <w:r w:rsidR="00801BC5" w:rsidRPr="00172FBB">
        <w:rPr>
          <w:rFonts w:ascii="Calibri" w:hAnsi="Calibri" w:cs="Calibri"/>
          <w:color w:val="000000" w:themeColor="text1"/>
        </w:rPr>
        <w:t xml:space="preserve"> and </w:t>
      </w:r>
      <w:r w:rsidR="00801BC5" w:rsidRPr="00172FBB">
        <w:rPr>
          <w:rStyle w:val="Emphasis"/>
          <w:rFonts w:ascii="Calibri" w:eastAsiaTheme="majorEastAsia" w:hAnsi="Calibri" w:cs="Calibri"/>
          <w:color w:val="000000" w:themeColor="text1"/>
        </w:rPr>
        <w:t>Verdun 1916</w:t>
      </w:r>
      <w:r w:rsidR="00801BC5" w:rsidRPr="00172FBB">
        <w:rPr>
          <w:rFonts w:ascii="Calibri" w:hAnsi="Calibri" w:cs="Calibri"/>
          <w:color w:val="000000" w:themeColor="text1"/>
        </w:rPr>
        <w:t>.</w:t>
      </w:r>
      <w:r w:rsidR="0034556A" w:rsidRPr="00172FBB">
        <w:rPr>
          <w:rFonts w:ascii="Calibri" w:hAnsi="Calibri" w:cs="Calibri"/>
          <w:color w:val="000000" w:themeColor="text1"/>
        </w:rPr>
        <w:t xml:space="preserve"> He curated exhibitions in France and </w:t>
      </w:r>
      <w:r w:rsidR="00E45C38" w:rsidRPr="00172FBB">
        <w:rPr>
          <w:rFonts w:ascii="Calibri" w:hAnsi="Calibri" w:cs="Calibri"/>
          <w:color w:val="000000" w:themeColor="text1"/>
        </w:rPr>
        <w:t>internationally, and in 2015 was</w:t>
      </w:r>
      <w:r w:rsidR="00DA4A10" w:rsidRPr="00172FBB">
        <w:rPr>
          <w:rFonts w:ascii="Calibri" w:hAnsi="Calibri" w:cs="Calibri"/>
          <w:color w:val="000000" w:themeColor="text1"/>
        </w:rPr>
        <w:t xml:space="preserve"> </w:t>
      </w:r>
      <w:r w:rsidR="007F4C3E" w:rsidRPr="00172FBB">
        <w:rPr>
          <w:rFonts w:ascii="Calibri" w:hAnsi="Calibri" w:cs="Calibri"/>
          <w:color w:val="000000" w:themeColor="text1"/>
        </w:rPr>
        <w:t xml:space="preserve">honoured as a </w:t>
      </w:r>
      <w:r w:rsidR="0067252F" w:rsidRPr="00172FBB">
        <w:rPr>
          <w:rFonts w:ascii="Calibri" w:hAnsi="Calibri" w:cs="Calibri"/>
          <w:i/>
          <w:iCs/>
          <w:color w:val="000000" w:themeColor="text1"/>
        </w:rPr>
        <w:t>C</w:t>
      </w:r>
      <w:r w:rsidR="007F4C3E" w:rsidRPr="00172FBB">
        <w:rPr>
          <w:rFonts w:ascii="Calibri" w:hAnsi="Calibri" w:cs="Calibri"/>
          <w:i/>
          <w:iCs/>
          <w:color w:val="000000" w:themeColor="text1"/>
        </w:rPr>
        <w:t xml:space="preserve">hevalier of the Légion </w:t>
      </w:r>
      <w:proofErr w:type="spellStart"/>
      <w:r w:rsidR="007F4C3E" w:rsidRPr="00172FBB">
        <w:rPr>
          <w:rFonts w:ascii="Calibri" w:hAnsi="Calibri" w:cs="Calibri"/>
          <w:i/>
          <w:iCs/>
          <w:color w:val="000000" w:themeColor="text1"/>
        </w:rPr>
        <w:t>d’</w:t>
      </w:r>
      <w:r w:rsidR="0067252F" w:rsidRPr="00172FBB">
        <w:rPr>
          <w:rFonts w:ascii="Calibri" w:hAnsi="Calibri" w:cs="Calibri"/>
          <w:i/>
          <w:iCs/>
          <w:color w:val="000000" w:themeColor="text1"/>
        </w:rPr>
        <w:t>H</w:t>
      </w:r>
      <w:r w:rsidR="007F4C3E" w:rsidRPr="00172FBB">
        <w:rPr>
          <w:rFonts w:ascii="Calibri" w:hAnsi="Calibri" w:cs="Calibri"/>
          <w:i/>
          <w:iCs/>
          <w:color w:val="000000" w:themeColor="text1"/>
        </w:rPr>
        <w:t>onneur</w:t>
      </w:r>
      <w:proofErr w:type="spellEnd"/>
      <w:r w:rsidR="007F4C3E" w:rsidRPr="00172FBB">
        <w:rPr>
          <w:rFonts w:ascii="Calibri" w:hAnsi="Calibri" w:cs="Calibri"/>
          <w:i/>
          <w:iCs/>
          <w:color w:val="000000" w:themeColor="text1"/>
        </w:rPr>
        <w:t>.</w:t>
      </w:r>
      <w:r w:rsidR="007F4C3E" w:rsidRPr="00172FBB">
        <w:rPr>
          <w:rFonts w:ascii="Calibri" w:hAnsi="Calibri" w:cs="Calibri"/>
          <w:color w:val="000000" w:themeColor="text1"/>
        </w:rPr>
        <w:t xml:space="preserve"> Throughout his life, </w:t>
      </w:r>
      <w:r w:rsidR="0067252F" w:rsidRPr="00172FBB">
        <w:rPr>
          <w:rFonts w:ascii="Calibri" w:hAnsi="Calibri" w:cs="Calibri"/>
          <w:color w:val="000000" w:themeColor="text1"/>
        </w:rPr>
        <w:t>Verney</w:t>
      </w:r>
      <w:r w:rsidR="007F4C3E" w:rsidRPr="00172FBB">
        <w:rPr>
          <w:rFonts w:ascii="Calibri" w:hAnsi="Calibri" w:cs="Calibri"/>
          <w:color w:val="000000" w:themeColor="text1"/>
        </w:rPr>
        <w:t xml:space="preserve"> promoted public education and the human experience of the conflict, keeping his collection widely accessible. </w:t>
      </w:r>
      <w:r w:rsidR="0067252F" w:rsidRPr="00172FBB">
        <w:rPr>
          <w:rFonts w:ascii="Calibri" w:hAnsi="Calibri" w:cs="Calibri"/>
          <w:color w:val="000000" w:themeColor="text1"/>
        </w:rPr>
        <w:t xml:space="preserve">He </w:t>
      </w:r>
      <w:r w:rsidR="007F4C3E" w:rsidRPr="00172FBB">
        <w:rPr>
          <w:rFonts w:ascii="Calibri" w:hAnsi="Calibri" w:cs="Calibri"/>
          <w:color w:val="000000" w:themeColor="text1"/>
        </w:rPr>
        <w:t>died in December 2025 (</w:t>
      </w:r>
      <w:proofErr w:type="spellStart"/>
      <w:r w:rsidR="007F4C3E" w:rsidRPr="00172FBB">
        <w:rPr>
          <w:rFonts w:ascii="Calibri" w:hAnsi="Calibri" w:cs="Calibri"/>
          <w:color w:val="000000" w:themeColor="text1"/>
        </w:rPr>
        <w:t>Voiset</w:t>
      </w:r>
      <w:proofErr w:type="spellEnd"/>
      <w:r w:rsidR="007F4C3E" w:rsidRPr="00172FBB">
        <w:rPr>
          <w:rFonts w:ascii="Calibri" w:hAnsi="Calibri" w:cs="Calibri"/>
          <w:color w:val="000000" w:themeColor="text1"/>
        </w:rPr>
        <w:t>, 2025).</w:t>
      </w:r>
      <w:r w:rsidR="0067252F" w:rsidRPr="00172FBB">
        <w:rPr>
          <w:rFonts w:ascii="Calibri" w:hAnsi="Calibri" w:cs="Calibri"/>
          <w:color w:val="000000" w:themeColor="text1"/>
        </w:rPr>
        <w:t xml:space="preserve"> </w:t>
      </w:r>
    </w:p>
    <w:p w14:paraId="7BB03B52" w14:textId="6E7D47E8" w:rsidR="00B24C68" w:rsidRPr="00172FBB" w:rsidRDefault="00776112" w:rsidP="005728A4">
      <w:pPr>
        <w:spacing w:line="360" w:lineRule="auto"/>
        <w:rPr>
          <w:rFonts w:ascii="Calibri" w:hAnsi="Calibri" w:cs="Calibri"/>
          <w:color w:val="000000" w:themeColor="text1"/>
        </w:rPr>
      </w:pPr>
      <w:r w:rsidRPr="00172FBB">
        <w:rPr>
          <w:rFonts w:ascii="Calibri" w:hAnsi="Calibri" w:cs="Calibri"/>
          <w:noProof/>
          <w:color w:val="000000" w:themeColor="text1"/>
          <w14:ligatures w14:val="standardContextual"/>
        </w:rPr>
        <w:lastRenderedPageBreak/>
        <w:drawing>
          <wp:anchor distT="0" distB="0" distL="114300" distR="114300" simplePos="0" relativeHeight="251668480" behindDoc="1" locked="0" layoutInCell="1" allowOverlap="1" wp14:anchorId="390256D1" wp14:editId="1AB57289">
            <wp:simplePos x="0" y="0"/>
            <wp:positionH relativeFrom="margin">
              <wp:posOffset>12700</wp:posOffset>
            </wp:positionH>
            <wp:positionV relativeFrom="margin">
              <wp:posOffset>331875</wp:posOffset>
            </wp:positionV>
            <wp:extent cx="1670050" cy="2014220"/>
            <wp:effectExtent l="12700" t="12700" r="19050" b="17780"/>
            <wp:wrapSquare wrapText="bothSides"/>
            <wp:docPr id="636364322" name="Picture 13" descr="A drawing of men in trench coa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364322" name="Picture 13" descr="A drawing of men in trench coats&#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670050" cy="2014220"/>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r w:rsidR="007F4C3E" w:rsidRPr="00172FBB">
        <w:rPr>
          <w:rFonts w:ascii="Calibri" w:hAnsi="Calibri" w:cs="Calibri"/>
          <w:color w:val="000000" w:themeColor="text1"/>
        </w:rPr>
        <w:t>Verney began collecting in 1964 after an emotional encounter with forty veterans on a radio broadcast, inspiring a lifelong fascination with their stories (</w:t>
      </w:r>
      <w:proofErr w:type="spellStart"/>
      <w:r w:rsidR="007F4C3E" w:rsidRPr="00172FBB">
        <w:rPr>
          <w:rFonts w:ascii="Calibri" w:hAnsi="Calibri" w:cs="Calibri"/>
          <w:color w:val="000000" w:themeColor="text1"/>
        </w:rPr>
        <w:t>L’Est</w:t>
      </w:r>
      <w:proofErr w:type="spellEnd"/>
      <w:r w:rsidR="007F4C3E" w:rsidRPr="00172FBB">
        <w:rPr>
          <w:rFonts w:ascii="Calibri" w:hAnsi="Calibri" w:cs="Calibri"/>
          <w:color w:val="000000" w:themeColor="text1"/>
        </w:rPr>
        <w:t xml:space="preserve"> </w:t>
      </w:r>
      <w:proofErr w:type="spellStart"/>
      <w:r w:rsidR="007F4C3E" w:rsidRPr="00172FBB">
        <w:rPr>
          <w:rFonts w:ascii="Calibri" w:hAnsi="Calibri" w:cs="Calibri"/>
          <w:color w:val="000000" w:themeColor="text1"/>
        </w:rPr>
        <w:t>Républicain</w:t>
      </w:r>
      <w:proofErr w:type="spellEnd"/>
      <w:r w:rsidR="007F4C3E" w:rsidRPr="00172FBB">
        <w:rPr>
          <w:rFonts w:ascii="Calibri" w:hAnsi="Calibri" w:cs="Calibri"/>
          <w:color w:val="000000" w:themeColor="text1"/>
        </w:rPr>
        <w:t xml:space="preserve">, 2011). Over the following decades, he assembled roughly 50,000 items from flea markets, auctions, and other sources, including uniforms from over </w:t>
      </w:r>
      <w:r w:rsidR="0067252F" w:rsidRPr="00172FBB">
        <w:rPr>
          <w:rFonts w:ascii="Calibri" w:hAnsi="Calibri" w:cs="Calibri"/>
          <w:color w:val="000000" w:themeColor="text1"/>
        </w:rPr>
        <w:t>thirty</w:t>
      </w:r>
      <w:r w:rsidR="007F4C3E" w:rsidRPr="00172FBB">
        <w:rPr>
          <w:rFonts w:ascii="Calibri" w:hAnsi="Calibri" w:cs="Calibri"/>
          <w:color w:val="000000" w:themeColor="text1"/>
        </w:rPr>
        <w:t xml:space="preserve"> nations</w:t>
      </w:r>
      <w:r w:rsidR="00CE5D36" w:rsidRPr="00172FBB">
        <w:rPr>
          <w:rFonts w:ascii="Calibri" w:hAnsi="Calibri" w:cs="Calibri"/>
          <w:color w:val="000000" w:themeColor="text1"/>
        </w:rPr>
        <w:t xml:space="preserve">, </w:t>
      </w:r>
      <w:r w:rsidR="007F4C3E" w:rsidRPr="00172FBB">
        <w:rPr>
          <w:rFonts w:ascii="Calibri" w:hAnsi="Calibri" w:cs="Calibri"/>
          <w:color w:val="000000" w:themeColor="text1"/>
        </w:rPr>
        <w:t>weapons, prosthetics, soldiers’ art, warplanes, and vehicles</w:t>
      </w:r>
      <w:r w:rsidR="00CE5D36" w:rsidRPr="00172FBB">
        <w:rPr>
          <w:rFonts w:ascii="Calibri" w:hAnsi="Calibri" w:cs="Calibri"/>
          <w:color w:val="000000" w:themeColor="text1"/>
        </w:rPr>
        <w:t xml:space="preserve"> (See Figures </w:t>
      </w:r>
      <w:r w:rsidR="00CF13EC" w:rsidRPr="00172FBB">
        <w:rPr>
          <w:rFonts w:ascii="Calibri" w:hAnsi="Calibri" w:cs="Calibri"/>
          <w:color w:val="000000" w:themeColor="text1"/>
        </w:rPr>
        <w:t>9</w:t>
      </w:r>
      <w:r w:rsidR="00766B62" w:rsidRPr="00172FBB">
        <w:rPr>
          <w:rFonts w:ascii="Calibri" w:hAnsi="Calibri" w:cs="Calibri"/>
          <w:color w:val="000000" w:themeColor="text1"/>
        </w:rPr>
        <w:t>-</w:t>
      </w:r>
      <w:r w:rsidR="00CF13EC" w:rsidRPr="00172FBB">
        <w:rPr>
          <w:rFonts w:ascii="Calibri" w:hAnsi="Calibri" w:cs="Calibri"/>
          <w:color w:val="000000" w:themeColor="text1"/>
        </w:rPr>
        <w:t>11</w:t>
      </w:r>
      <w:r w:rsidR="00CE5D36" w:rsidRPr="00172FBB">
        <w:rPr>
          <w:rFonts w:ascii="Calibri" w:hAnsi="Calibri" w:cs="Calibri"/>
          <w:color w:val="000000" w:themeColor="text1"/>
        </w:rPr>
        <w:t xml:space="preserve">) </w:t>
      </w:r>
      <w:r w:rsidR="007F4C3E" w:rsidRPr="00172FBB">
        <w:rPr>
          <w:rFonts w:ascii="Calibri" w:hAnsi="Calibri" w:cs="Calibri"/>
          <w:color w:val="000000" w:themeColor="text1"/>
        </w:rPr>
        <w:t xml:space="preserve">(Erlanger, 2011). </w:t>
      </w:r>
      <w:r w:rsidR="00B36DB9" w:rsidRPr="00172FBB">
        <w:rPr>
          <w:rFonts w:ascii="Calibri" w:hAnsi="Calibri" w:cs="Calibri"/>
          <w:color w:val="000000" w:themeColor="text1"/>
        </w:rPr>
        <w:t>His motivations included preserving the human dimension of war, keeping the collection in France, and funding his passion, even by selling family possessions</w:t>
      </w:r>
      <w:r w:rsidR="007F4C3E" w:rsidRPr="00172FBB">
        <w:rPr>
          <w:rFonts w:ascii="Calibri" w:hAnsi="Calibri" w:cs="Calibri"/>
          <w:color w:val="000000" w:themeColor="text1"/>
        </w:rPr>
        <w:t xml:space="preserve"> (Erlanger, 2011).</w:t>
      </w:r>
      <w:r w:rsidR="00DD2B81" w:rsidRPr="00172FBB">
        <w:rPr>
          <w:rFonts w:ascii="Calibri" w:hAnsi="Calibri" w:cs="Calibri"/>
          <w:color w:val="000000" w:themeColor="text1"/>
        </w:rPr>
        <w:t xml:space="preserve"> In 2005, the Pays de Meaux local authority purchased Verney’s collection for approximately €600,000, forming the core of the </w:t>
      </w:r>
      <w:proofErr w:type="spellStart"/>
      <w:r w:rsidR="00DD2B81" w:rsidRPr="00172FBB">
        <w:rPr>
          <w:rFonts w:ascii="Calibri" w:hAnsi="Calibri" w:cs="Calibri"/>
          <w:color w:val="000000" w:themeColor="text1"/>
        </w:rPr>
        <w:t>Musée</w:t>
      </w:r>
      <w:proofErr w:type="spellEnd"/>
      <w:r w:rsidR="00DD2B81" w:rsidRPr="00172FBB">
        <w:rPr>
          <w:rFonts w:ascii="Calibri" w:hAnsi="Calibri" w:cs="Calibri"/>
          <w:color w:val="000000" w:themeColor="text1"/>
        </w:rPr>
        <w:t xml:space="preserve"> de la Grande Guerre du Pays de Meaux</w:t>
      </w:r>
      <w:r w:rsidR="001946E8" w:rsidRPr="00172FBB">
        <w:rPr>
          <w:rFonts w:ascii="Calibri" w:hAnsi="Calibri" w:cs="Calibri"/>
          <w:color w:val="000000" w:themeColor="text1"/>
        </w:rPr>
        <w:t xml:space="preserve"> (See Figure</w:t>
      </w:r>
      <w:r w:rsidR="00EA136D" w:rsidRPr="00172FBB">
        <w:rPr>
          <w:rFonts w:ascii="Calibri" w:hAnsi="Calibri" w:cs="Calibri"/>
          <w:color w:val="000000" w:themeColor="text1"/>
        </w:rPr>
        <w:t>s 12 and</w:t>
      </w:r>
      <w:r w:rsidR="001946E8" w:rsidRPr="00172FBB">
        <w:rPr>
          <w:rFonts w:ascii="Calibri" w:hAnsi="Calibri" w:cs="Calibri"/>
          <w:color w:val="000000" w:themeColor="text1"/>
        </w:rPr>
        <w:t xml:space="preserve"> </w:t>
      </w:r>
      <w:r w:rsidR="00CF13EC" w:rsidRPr="00172FBB">
        <w:rPr>
          <w:rFonts w:ascii="Calibri" w:hAnsi="Calibri" w:cs="Calibri"/>
          <w:color w:val="000000" w:themeColor="text1"/>
        </w:rPr>
        <w:t>13</w:t>
      </w:r>
      <w:r w:rsidR="001946E8" w:rsidRPr="00172FBB">
        <w:rPr>
          <w:rFonts w:ascii="Calibri" w:hAnsi="Calibri" w:cs="Calibri"/>
          <w:color w:val="000000" w:themeColor="text1"/>
        </w:rPr>
        <w:t>)</w:t>
      </w:r>
      <w:r w:rsidR="00DD2B81" w:rsidRPr="00172FBB">
        <w:rPr>
          <w:rFonts w:ascii="Calibri" w:hAnsi="Calibri" w:cs="Calibri"/>
          <w:color w:val="000000" w:themeColor="text1"/>
        </w:rPr>
        <w:t xml:space="preserve"> (Pineau, 2011). </w:t>
      </w:r>
      <w:r w:rsidR="007F4C3E" w:rsidRPr="00172FBB">
        <w:rPr>
          <w:rFonts w:ascii="Calibri" w:hAnsi="Calibri" w:cs="Calibri"/>
          <w:color w:val="000000" w:themeColor="text1"/>
        </w:rPr>
        <w:t xml:space="preserve">Although his collection laid the groundwork for the </w:t>
      </w:r>
      <w:proofErr w:type="spellStart"/>
      <w:r w:rsidR="007F4C3E" w:rsidRPr="00172FBB">
        <w:rPr>
          <w:rFonts w:ascii="Calibri" w:hAnsi="Calibri" w:cs="Calibri"/>
          <w:i/>
          <w:iCs/>
          <w:color w:val="000000" w:themeColor="text1"/>
        </w:rPr>
        <w:t>Musée</w:t>
      </w:r>
      <w:proofErr w:type="spellEnd"/>
      <w:r w:rsidR="007F4C3E" w:rsidRPr="00172FBB">
        <w:rPr>
          <w:rFonts w:ascii="Calibri" w:hAnsi="Calibri" w:cs="Calibri"/>
          <w:i/>
          <w:iCs/>
          <w:color w:val="000000" w:themeColor="text1"/>
        </w:rPr>
        <w:t xml:space="preserve"> de la Grande Guerre</w:t>
      </w:r>
      <w:r w:rsidR="007F4C3E" w:rsidRPr="00172FBB">
        <w:rPr>
          <w:rFonts w:ascii="Calibri" w:hAnsi="Calibri" w:cs="Calibri"/>
          <w:color w:val="000000" w:themeColor="text1"/>
        </w:rPr>
        <w:t xml:space="preserve"> and offered notable public benefit, some professional historians criticised it as ‘bric-a-brac’</w:t>
      </w:r>
      <w:r w:rsidR="00E45C38" w:rsidRPr="00172FBB">
        <w:rPr>
          <w:rFonts w:ascii="Calibri" w:hAnsi="Calibri" w:cs="Calibri"/>
          <w:color w:val="000000" w:themeColor="text1"/>
        </w:rPr>
        <w:t xml:space="preserve">. This criticism highlights the tension between commemorative goals and scholarly </w:t>
      </w:r>
      <w:r w:rsidR="00F3731F" w:rsidRPr="00172FBB">
        <w:rPr>
          <w:rFonts w:ascii="Calibri" w:hAnsi="Calibri" w:cs="Calibri"/>
          <w:color w:val="000000" w:themeColor="text1"/>
        </w:rPr>
        <w:t>rigour (</w:t>
      </w:r>
      <w:r w:rsidR="00E45C38" w:rsidRPr="00172FBB">
        <w:rPr>
          <w:rFonts w:ascii="Calibri" w:hAnsi="Calibri" w:cs="Calibri"/>
          <w:color w:val="000000" w:themeColor="text1"/>
        </w:rPr>
        <w:t>Erlanger, 2011)</w:t>
      </w:r>
      <w:r w:rsidR="007F4C3E" w:rsidRPr="00172FBB">
        <w:rPr>
          <w:rFonts w:ascii="Calibri" w:hAnsi="Calibri" w:cs="Calibri"/>
          <w:color w:val="000000" w:themeColor="text1"/>
        </w:rPr>
        <w:t xml:space="preserve">. </w:t>
      </w:r>
      <w:r w:rsidR="00441FE1" w:rsidRPr="00172FBB">
        <w:rPr>
          <w:rFonts w:ascii="Calibri" w:hAnsi="Calibri" w:cs="Calibri"/>
          <w:color w:val="000000" w:themeColor="text1"/>
        </w:rPr>
        <w:t xml:space="preserve">While Verney’s collection provides a comprehensive and authentic record of the First World War, some critics have questioned the museum’s presentation (Gordon, 2019). They argue that its immersive </w:t>
      </w:r>
      <w:r w:rsidR="00207631" w:rsidRPr="00172FBB">
        <w:rPr>
          <w:rFonts w:ascii="Calibri" w:hAnsi="Calibri" w:cs="Calibri"/>
          <w:noProof/>
          <w:color w:val="000000" w:themeColor="text1"/>
          <w14:ligatures w14:val="standardContextual"/>
        </w:rPr>
        <w:drawing>
          <wp:anchor distT="0" distB="0" distL="114300" distR="114300" simplePos="0" relativeHeight="251681792" behindDoc="1" locked="0" layoutInCell="1" allowOverlap="1" wp14:anchorId="4CCB6F79" wp14:editId="5C98BD75">
            <wp:simplePos x="0" y="0"/>
            <wp:positionH relativeFrom="margin">
              <wp:posOffset>3400425</wp:posOffset>
            </wp:positionH>
            <wp:positionV relativeFrom="margin">
              <wp:posOffset>3475990</wp:posOffset>
            </wp:positionV>
            <wp:extent cx="2313305" cy="1689100"/>
            <wp:effectExtent l="12700" t="12700" r="10795" b="12700"/>
            <wp:wrapSquare wrapText="bothSides"/>
            <wp:docPr id="1155701992" name="Picture 2" descr="A museum with a plane and military vehi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701992" name="Picture 2" descr="A museum with a plane and military vehicles&#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313305" cy="1689100"/>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r w:rsidR="00441FE1" w:rsidRPr="00172FBB">
        <w:rPr>
          <w:rFonts w:ascii="Calibri" w:hAnsi="Calibri" w:cs="Calibri"/>
          <w:color w:val="000000" w:themeColor="text1"/>
        </w:rPr>
        <w:t xml:space="preserve">displays and digital storytelling at times prioritise emotional engagement over historical accuracy, risking the transformation of industrial warfare into spectacle. The </w:t>
      </w:r>
      <w:r w:rsidR="00441FE1" w:rsidRPr="00172FBB">
        <w:rPr>
          <w:rStyle w:val="Emphasis"/>
          <w:rFonts w:ascii="Calibri" w:eastAsiaTheme="majorEastAsia" w:hAnsi="Calibri" w:cs="Calibri"/>
          <w:i w:val="0"/>
          <w:iCs w:val="0"/>
          <w:color w:val="000000" w:themeColor="text1"/>
        </w:rPr>
        <w:t>museum</w:t>
      </w:r>
      <w:r w:rsidR="00441FE1" w:rsidRPr="00172FBB">
        <w:rPr>
          <w:rFonts w:ascii="Calibri" w:hAnsi="Calibri" w:cs="Calibri"/>
          <w:i/>
          <w:iCs/>
          <w:color w:val="000000" w:themeColor="text1"/>
        </w:rPr>
        <w:t xml:space="preserve"> </w:t>
      </w:r>
      <w:r w:rsidR="00441FE1" w:rsidRPr="00172FBB">
        <w:rPr>
          <w:rFonts w:ascii="Calibri" w:hAnsi="Calibri" w:cs="Calibri"/>
          <w:color w:val="000000" w:themeColor="text1"/>
        </w:rPr>
        <w:t xml:space="preserve">features reconstructed trenches, battlefield dioramas, and multimedia installations, all designed to convey the human experience of war and engage visitors. Digital initiatives, such as the fictional </w:t>
      </w:r>
      <w:r w:rsidR="00441FE1" w:rsidRPr="00172FBB">
        <w:rPr>
          <w:rFonts w:ascii="Calibri" w:hAnsi="Calibri" w:cs="Calibri"/>
          <w:i/>
          <w:iCs/>
          <w:color w:val="000000" w:themeColor="text1"/>
        </w:rPr>
        <w:t>Louis Vivien</w:t>
      </w:r>
      <w:r w:rsidR="00441FE1" w:rsidRPr="00172FBB">
        <w:rPr>
          <w:rFonts w:ascii="Calibri" w:hAnsi="Calibri" w:cs="Calibri"/>
          <w:color w:val="000000" w:themeColor="text1"/>
        </w:rPr>
        <w:t xml:space="preserve"> Facebook page, further </w:t>
      </w:r>
      <w:r w:rsidR="00EE6AE4" w:rsidRPr="00172FBB">
        <w:rPr>
          <w:rFonts w:ascii="Calibri" w:hAnsi="Calibri" w:cs="Calibri"/>
          <w:noProof/>
          <w:color w:val="000000" w:themeColor="text1"/>
          <w14:ligatures w14:val="standardContextual"/>
        </w:rPr>
        <w:drawing>
          <wp:anchor distT="0" distB="0" distL="114300" distR="114300" simplePos="0" relativeHeight="251673600" behindDoc="1" locked="0" layoutInCell="1" allowOverlap="1" wp14:anchorId="3393A85A" wp14:editId="7FF41C84">
            <wp:simplePos x="0" y="0"/>
            <wp:positionH relativeFrom="margin">
              <wp:posOffset>12700</wp:posOffset>
            </wp:positionH>
            <wp:positionV relativeFrom="margin">
              <wp:posOffset>6925743</wp:posOffset>
            </wp:positionV>
            <wp:extent cx="3054350" cy="1407160"/>
            <wp:effectExtent l="12700" t="12700" r="19050" b="15240"/>
            <wp:wrapSquare wrapText="bothSides"/>
            <wp:docPr id="134615891" name="Picture 1" descr="A building with a large roo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15891" name="Picture 1" descr="A building with a large roof&#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054350" cy="1407160"/>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r w:rsidR="00441FE1" w:rsidRPr="00172FBB">
        <w:rPr>
          <w:rFonts w:ascii="Calibri" w:hAnsi="Calibri" w:cs="Calibri"/>
          <w:color w:val="000000" w:themeColor="text1"/>
        </w:rPr>
        <w:t>extended the reach of Verney’s collection. Developed by the museum in collaboration with Verney, the page presented the life of a French First World War soldier, linking authentic photographs and documents to a fictional narrative. While the narrative is fictional, the project aims to educate twenty-first-</w:t>
      </w:r>
      <w:r w:rsidR="00441FE1" w:rsidRPr="00172FBB">
        <w:rPr>
          <w:rFonts w:ascii="Calibri" w:hAnsi="Calibri" w:cs="Calibri"/>
          <w:color w:val="000000" w:themeColor="text1"/>
        </w:rPr>
        <w:lastRenderedPageBreak/>
        <w:t xml:space="preserve">century audiences, particularly schoolchildren, by dramatising the human dimension of war. This example illustrates how collectors and museums can leverage modern media to enhance pedagogy and engagement. At the same time, it highlights </w:t>
      </w:r>
      <w:r w:rsidR="00345220">
        <w:rPr>
          <w:rFonts w:ascii="Calibri" w:hAnsi="Calibri" w:cs="Calibri"/>
          <w:color w:val="000000" w:themeColor="text1"/>
        </w:rPr>
        <w:t>continuing</w:t>
      </w:r>
      <w:r w:rsidR="00441FE1" w:rsidRPr="00172FBB">
        <w:rPr>
          <w:rFonts w:ascii="Calibri" w:hAnsi="Calibri" w:cs="Calibri"/>
          <w:color w:val="000000" w:themeColor="text1"/>
        </w:rPr>
        <w:t xml:space="preserve"> debates about authenticity, representation, and curators' ethical responsibilities in balancing emotional impact with historical rigour (Gordon, 2019).</w:t>
      </w:r>
    </w:p>
    <w:p w14:paraId="4F746AD3" w14:textId="77777777" w:rsidR="00CA449D" w:rsidRPr="00172FBB" w:rsidRDefault="00CA449D" w:rsidP="005728A4">
      <w:pPr>
        <w:spacing w:line="360" w:lineRule="auto"/>
        <w:rPr>
          <w:rFonts w:ascii="Calibri" w:hAnsi="Calibri" w:cs="Calibri"/>
          <w:color w:val="000000" w:themeColor="text1"/>
        </w:rPr>
      </w:pPr>
    </w:p>
    <w:p w14:paraId="42D80407" w14:textId="3A304065" w:rsidR="00D832CA" w:rsidRPr="00172FBB" w:rsidRDefault="007F4C3E" w:rsidP="005728A4">
      <w:pPr>
        <w:spacing w:line="360" w:lineRule="auto"/>
        <w:rPr>
          <w:rFonts w:ascii="Calibri" w:hAnsi="Calibri" w:cs="Calibri"/>
          <w:color w:val="000000" w:themeColor="text1"/>
        </w:rPr>
      </w:pPr>
      <w:r w:rsidRPr="00172FBB">
        <w:rPr>
          <w:rFonts w:ascii="Calibri" w:hAnsi="Calibri" w:cs="Calibri"/>
          <w:color w:val="000000" w:themeColor="text1"/>
        </w:rPr>
        <w:t>Verney’s collecting followed a deliberate ethical approach. He sought to convey the human dimension of soldiers’ lives while maintaining an international perspective and avoiding nationalistic bias (</w:t>
      </w:r>
      <w:proofErr w:type="spellStart"/>
      <w:r w:rsidRPr="00172FBB">
        <w:rPr>
          <w:rFonts w:ascii="Calibri" w:hAnsi="Calibri" w:cs="Calibri"/>
          <w:color w:val="000000" w:themeColor="text1"/>
        </w:rPr>
        <w:t>L’Est</w:t>
      </w:r>
      <w:proofErr w:type="spellEnd"/>
      <w:r w:rsidRPr="00172FBB">
        <w:rPr>
          <w:rFonts w:ascii="Calibri" w:hAnsi="Calibri" w:cs="Calibri"/>
          <w:color w:val="000000" w:themeColor="text1"/>
        </w:rPr>
        <w:t xml:space="preserve"> </w:t>
      </w:r>
      <w:proofErr w:type="spellStart"/>
      <w:r w:rsidRPr="00172FBB">
        <w:rPr>
          <w:rFonts w:ascii="Calibri" w:hAnsi="Calibri" w:cs="Calibri"/>
          <w:color w:val="000000" w:themeColor="text1"/>
        </w:rPr>
        <w:t>Républicain</w:t>
      </w:r>
      <w:proofErr w:type="spellEnd"/>
      <w:r w:rsidRPr="00172FBB">
        <w:rPr>
          <w:rFonts w:ascii="Calibri" w:hAnsi="Calibri" w:cs="Calibri"/>
          <w:color w:val="000000" w:themeColor="text1"/>
        </w:rPr>
        <w:t xml:space="preserve">, 2011). He described his goal as </w:t>
      </w:r>
      <w:r w:rsidR="00EE78BE" w:rsidRPr="00172FBB">
        <w:rPr>
          <w:rFonts w:ascii="Calibri" w:hAnsi="Calibri" w:cs="Calibri"/>
          <w:color w:val="000000" w:themeColor="text1"/>
        </w:rPr>
        <w:t>‘</w:t>
      </w:r>
      <w:r w:rsidRPr="00172FBB">
        <w:rPr>
          <w:rFonts w:ascii="Calibri" w:hAnsi="Calibri" w:cs="Calibri"/>
          <w:color w:val="000000" w:themeColor="text1"/>
        </w:rPr>
        <w:t>to tell a story rather</w:t>
      </w:r>
    </w:p>
    <w:p w14:paraId="3C16674E" w14:textId="7773C518" w:rsidR="00E479AD" w:rsidRPr="00172FBB" w:rsidRDefault="00DA0D54" w:rsidP="005728A4">
      <w:pPr>
        <w:spacing w:line="360" w:lineRule="auto"/>
        <w:rPr>
          <w:rFonts w:ascii="Calibri" w:hAnsi="Calibri" w:cs="Calibri"/>
          <w:color w:val="000000" w:themeColor="text1"/>
        </w:rPr>
      </w:pPr>
      <w:r w:rsidRPr="00172FBB">
        <w:rPr>
          <w:rFonts w:ascii="Calibri" w:hAnsi="Calibri" w:cs="Calibri"/>
          <w:noProof/>
          <w:color w:val="000000" w:themeColor="text1"/>
          <w14:ligatures w14:val="standardContextual"/>
        </w:rPr>
        <w:drawing>
          <wp:anchor distT="0" distB="0" distL="114300" distR="114300" simplePos="0" relativeHeight="251671552" behindDoc="1" locked="0" layoutInCell="1" allowOverlap="1" wp14:anchorId="67DE68CE" wp14:editId="4A669617">
            <wp:simplePos x="0" y="0"/>
            <wp:positionH relativeFrom="margin">
              <wp:align>right</wp:align>
            </wp:positionH>
            <wp:positionV relativeFrom="margin">
              <wp:align>center</wp:align>
            </wp:positionV>
            <wp:extent cx="3009265" cy="1546225"/>
            <wp:effectExtent l="12700" t="12700" r="13335" b="15875"/>
            <wp:wrapSquare wrapText="bothSides"/>
            <wp:docPr id="608099122" name="Picture 16" descr="A tank in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099122" name="Picture 16" descr="A tank in a building&#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009265" cy="1546225"/>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r w:rsidR="007F4C3E" w:rsidRPr="00172FBB">
        <w:rPr>
          <w:rFonts w:ascii="Calibri" w:hAnsi="Calibri" w:cs="Calibri"/>
          <w:color w:val="000000" w:themeColor="text1"/>
        </w:rPr>
        <w:t>than create a collection</w:t>
      </w:r>
      <w:r w:rsidR="00EE78BE" w:rsidRPr="00172FBB">
        <w:rPr>
          <w:rFonts w:ascii="Calibri" w:hAnsi="Calibri" w:cs="Calibri"/>
          <w:color w:val="000000" w:themeColor="text1"/>
        </w:rPr>
        <w:t>,</w:t>
      </w:r>
      <w:r w:rsidR="007F4C3E" w:rsidRPr="00172FBB">
        <w:rPr>
          <w:rFonts w:ascii="Calibri" w:hAnsi="Calibri" w:cs="Calibri"/>
          <w:color w:val="000000" w:themeColor="text1"/>
        </w:rPr>
        <w:t xml:space="preserve"> prioritising interpretation, education, and social value over private accumulation. </w:t>
      </w:r>
      <w:r w:rsidR="00EE78BE" w:rsidRPr="00172FBB">
        <w:rPr>
          <w:rFonts w:ascii="Calibri" w:hAnsi="Calibri" w:cs="Calibri"/>
          <w:color w:val="000000" w:themeColor="text1"/>
        </w:rPr>
        <w:t>Creating a museum ensured the artefacts supported public education, research, and commemoration, complementing institutions such as the Verdun Memorial</w:t>
      </w:r>
      <w:r w:rsidR="007F4C3E" w:rsidRPr="00172FBB">
        <w:rPr>
          <w:rFonts w:ascii="Calibri" w:hAnsi="Calibri" w:cs="Calibri"/>
          <w:color w:val="000000" w:themeColor="text1"/>
        </w:rPr>
        <w:t xml:space="preserve"> (</w:t>
      </w:r>
      <w:proofErr w:type="spellStart"/>
      <w:r w:rsidR="007F4C3E" w:rsidRPr="00172FBB">
        <w:rPr>
          <w:rFonts w:ascii="Calibri" w:hAnsi="Calibri" w:cs="Calibri"/>
          <w:color w:val="000000" w:themeColor="text1"/>
        </w:rPr>
        <w:t>L’Est</w:t>
      </w:r>
      <w:proofErr w:type="spellEnd"/>
      <w:r w:rsidR="007F4C3E" w:rsidRPr="00172FBB">
        <w:rPr>
          <w:rFonts w:ascii="Calibri" w:hAnsi="Calibri" w:cs="Calibri"/>
          <w:color w:val="000000" w:themeColor="text1"/>
        </w:rPr>
        <w:t xml:space="preserve"> </w:t>
      </w:r>
      <w:proofErr w:type="spellStart"/>
      <w:r w:rsidR="007F4C3E" w:rsidRPr="00172FBB">
        <w:rPr>
          <w:rFonts w:ascii="Calibri" w:hAnsi="Calibri" w:cs="Calibri"/>
          <w:color w:val="000000" w:themeColor="text1"/>
        </w:rPr>
        <w:t>Républicain</w:t>
      </w:r>
      <w:proofErr w:type="spellEnd"/>
      <w:r w:rsidR="007F4C3E" w:rsidRPr="00172FBB">
        <w:rPr>
          <w:rFonts w:ascii="Calibri" w:hAnsi="Calibri" w:cs="Calibri"/>
          <w:color w:val="000000" w:themeColor="text1"/>
        </w:rPr>
        <w:t>, 2011).</w:t>
      </w:r>
      <w:r w:rsidR="0067252F" w:rsidRPr="00172FBB">
        <w:rPr>
          <w:rFonts w:ascii="Calibri" w:hAnsi="Calibri" w:cs="Calibri"/>
          <w:color w:val="000000" w:themeColor="text1"/>
        </w:rPr>
        <w:t xml:space="preserve"> </w:t>
      </w:r>
      <w:r w:rsidR="00DD0957" w:rsidRPr="00172FBB">
        <w:rPr>
          <w:rFonts w:ascii="Calibri" w:hAnsi="Calibri" w:cs="Calibri"/>
          <w:color w:val="000000" w:themeColor="text1"/>
        </w:rPr>
        <w:t xml:space="preserve">In contrast, Jacques Littlefield’s Military Collection preserved hundreds of rare military vehicles that might otherwise have been lost to decay (Sotheby’s, 2014). His collection demonstrates how private collectors can amass artefacts on a scale and with a level of expertise that even many institutions cannot match. Through careful restoration and maintenance, Littlefield acted as a conservator, safeguarding objects that might otherwise have been lost. However, housed on private property and </w:t>
      </w:r>
      <w:r w:rsidR="00FE2F0B" w:rsidRPr="00172FBB">
        <w:rPr>
          <w:rFonts w:ascii="Calibri" w:hAnsi="Calibri" w:cs="Calibri"/>
          <w:color w:val="000000" w:themeColor="text1"/>
        </w:rPr>
        <w:t>broad</w:t>
      </w:r>
      <w:r w:rsidR="00DD0957" w:rsidRPr="00172FBB">
        <w:rPr>
          <w:rFonts w:ascii="Calibri" w:hAnsi="Calibri" w:cs="Calibri"/>
          <w:color w:val="000000" w:themeColor="text1"/>
        </w:rPr>
        <w:t>ly accessible only by appointment, the collection also illustrates the fragility of private heritage</w:t>
      </w:r>
      <w:r w:rsidR="00441FE1" w:rsidRPr="00172FBB">
        <w:rPr>
          <w:rFonts w:ascii="Calibri" w:hAnsi="Calibri" w:cs="Calibri"/>
          <w:color w:val="000000" w:themeColor="text1"/>
        </w:rPr>
        <w:t>.</w:t>
      </w:r>
      <w:r w:rsidR="00DD0957" w:rsidRPr="00172FBB">
        <w:rPr>
          <w:rFonts w:ascii="Calibri" w:hAnsi="Calibri" w:cs="Calibri"/>
          <w:color w:val="000000" w:themeColor="text1"/>
        </w:rPr>
        <w:t xml:space="preserve"> </w:t>
      </w:r>
      <w:r w:rsidR="00441FE1" w:rsidRPr="00172FBB">
        <w:rPr>
          <w:rFonts w:ascii="Calibri" w:hAnsi="Calibri" w:cs="Calibri"/>
          <w:color w:val="000000" w:themeColor="text1"/>
        </w:rPr>
        <w:t>I</w:t>
      </w:r>
      <w:r w:rsidR="00DD0957" w:rsidRPr="00172FBB">
        <w:rPr>
          <w:rFonts w:ascii="Calibri" w:hAnsi="Calibri" w:cs="Calibri"/>
          <w:color w:val="000000" w:themeColor="text1"/>
        </w:rPr>
        <w:t>ts survival and accessibility depended on the collector himself. After Littlefield d</w:t>
      </w:r>
      <w:r w:rsidR="00FE2F0B" w:rsidRPr="00172FBB">
        <w:rPr>
          <w:rFonts w:ascii="Calibri" w:hAnsi="Calibri" w:cs="Calibri"/>
          <w:color w:val="000000" w:themeColor="text1"/>
        </w:rPr>
        <w:t>ied</w:t>
      </w:r>
      <w:r w:rsidR="00DD0957" w:rsidRPr="00172FBB">
        <w:rPr>
          <w:rFonts w:ascii="Calibri" w:hAnsi="Calibri" w:cs="Calibri"/>
          <w:color w:val="000000" w:themeColor="text1"/>
        </w:rPr>
        <w:t xml:space="preserve"> in 2009, much of the collection was auctioned (See Figure 14), with some vehicles integrated into the Collings Foundation museum.</w:t>
      </w:r>
      <w:r w:rsidR="00455906" w:rsidRPr="00172FBB">
        <w:rPr>
          <w:rFonts w:ascii="Calibri" w:hAnsi="Calibri" w:cs="Calibri"/>
          <w:color w:val="000000" w:themeColor="text1"/>
        </w:rPr>
        <w:t xml:space="preserve"> (Sotheby’s, 2014). </w:t>
      </w:r>
      <w:r w:rsidR="00DD0957" w:rsidRPr="00172FBB">
        <w:rPr>
          <w:rFonts w:ascii="Calibri" w:hAnsi="Calibri" w:cs="Calibri"/>
          <w:color w:val="000000" w:themeColor="text1"/>
        </w:rPr>
        <w:t xml:space="preserve">This transition </w:t>
      </w:r>
      <w:r w:rsidR="00345220">
        <w:rPr>
          <w:rFonts w:ascii="Calibri" w:hAnsi="Calibri" w:cs="Calibri"/>
          <w:color w:val="000000" w:themeColor="text1"/>
        </w:rPr>
        <w:t>illustrates</w:t>
      </w:r>
      <w:r w:rsidR="00DD0957" w:rsidRPr="00172FBB">
        <w:rPr>
          <w:rFonts w:ascii="Calibri" w:hAnsi="Calibri" w:cs="Calibri"/>
          <w:color w:val="000000" w:themeColor="text1"/>
        </w:rPr>
        <w:t xml:space="preserve"> the tension between private stewardship and public access, raising questions about control, preservation, and legacy. It reflects both the ambitions and limits of private collecting. </w:t>
      </w:r>
      <w:r w:rsidR="008662BC" w:rsidRPr="00172FBB">
        <w:rPr>
          <w:rFonts w:ascii="Calibri" w:hAnsi="Calibri" w:cs="Calibri"/>
        </w:rPr>
        <w:t xml:space="preserve">Comparing Verney’s approach with Littlefield’s reveals the spectrum of private collecting. Where Verney’s legacy lies in public education and institutional partnership, Littlefield’s highlights the fragility of private stewardship, with access and interpretation contingent on the collector’s resources and intentions. </w:t>
      </w:r>
      <w:r w:rsidR="00510894" w:rsidRPr="00172FBB">
        <w:rPr>
          <w:rFonts w:ascii="Calibri" w:hAnsi="Calibri" w:cs="Calibri"/>
          <w:color w:val="000000" w:themeColor="text1"/>
        </w:rPr>
        <w:t xml:space="preserve">These </w:t>
      </w:r>
      <w:r w:rsidR="00510894" w:rsidRPr="00172FBB">
        <w:rPr>
          <w:rFonts w:ascii="Calibri" w:hAnsi="Calibri" w:cs="Calibri"/>
          <w:color w:val="000000" w:themeColor="text1"/>
        </w:rPr>
        <w:lastRenderedPageBreak/>
        <w:t>cases show that private collectors are key to preserving history, though their impact depends on how they balance access, interpretation, and care. Verney demonstrates this</w:t>
      </w:r>
      <w:r w:rsidR="008662BC" w:rsidRPr="00172FBB">
        <w:rPr>
          <w:rFonts w:ascii="Calibri" w:hAnsi="Calibri" w:cs="Calibri"/>
          <w:color w:val="000000" w:themeColor="text1"/>
        </w:rPr>
        <w:t xml:space="preserve"> by</w:t>
      </w:r>
      <w:r w:rsidR="00510894" w:rsidRPr="00172FBB">
        <w:rPr>
          <w:rFonts w:ascii="Calibri" w:hAnsi="Calibri" w:cs="Calibri"/>
          <w:color w:val="000000" w:themeColor="text1"/>
        </w:rPr>
        <w:t xml:space="preserve"> turning his passion and vision into immersive exhibits that </w:t>
      </w:r>
      <w:r w:rsidR="008662BC" w:rsidRPr="00172FBB">
        <w:rPr>
          <w:rFonts w:ascii="Calibri" w:hAnsi="Calibri" w:cs="Calibri"/>
          <w:color w:val="000000" w:themeColor="text1"/>
        </w:rPr>
        <w:t xml:space="preserve">vividly </w:t>
      </w:r>
      <w:r w:rsidR="00510894" w:rsidRPr="00172FBB">
        <w:rPr>
          <w:rFonts w:ascii="Calibri" w:hAnsi="Calibri" w:cs="Calibri"/>
          <w:color w:val="000000" w:themeColor="text1"/>
        </w:rPr>
        <w:t>bring the human experience of war to life.</w:t>
      </w:r>
      <w:r w:rsidR="001F05F6" w:rsidRPr="00172FBB">
        <w:rPr>
          <w:rFonts w:ascii="Calibri" w:hAnsi="Calibri" w:cs="Calibri"/>
          <w:color w:val="000000" w:themeColor="text1"/>
        </w:rPr>
        <w:t xml:space="preserve"> </w:t>
      </w:r>
    </w:p>
    <w:p w14:paraId="3AB27D8E" w14:textId="40C4CDAF" w:rsidR="00D22688" w:rsidRPr="00172FBB" w:rsidRDefault="0040690A" w:rsidP="0040690A">
      <w:pPr>
        <w:pStyle w:val="NormalWeb"/>
        <w:spacing w:line="360" w:lineRule="auto"/>
        <w:rPr>
          <w:rFonts w:ascii="Calibri" w:hAnsi="Calibri" w:cs="Calibri"/>
          <w:color w:val="000000" w:themeColor="text1"/>
        </w:rPr>
      </w:pPr>
      <w:r w:rsidRPr="00172FBB">
        <w:rPr>
          <w:rFonts w:ascii="Calibri" w:hAnsi="Calibri" w:cs="Calibri"/>
          <w:color w:val="000000" w:themeColor="text1"/>
        </w:rPr>
        <w:t>The private collection of battlefield relics raises significant ethical and practical concerns for archaeology and heritage management (</w:t>
      </w:r>
      <w:proofErr w:type="spellStart"/>
      <w:r w:rsidRPr="00172FBB">
        <w:rPr>
          <w:rFonts w:ascii="Calibri" w:hAnsi="Calibri" w:cs="Calibri"/>
          <w:color w:val="000000" w:themeColor="text1"/>
        </w:rPr>
        <w:t>Herva</w:t>
      </w:r>
      <w:proofErr w:type="spellEnd"/>
      <w:r w:rsidRPr="00172FBB">
        <w:rPr>
          <w:rFonts w:ascii="Calibri" w:hAnsi="Calibri" w:cs="Calibri"/>
          <w:color w:val="000000" w:themeColor="text1"/>
        </w:rPr>
        <w:t xml:space="preserve"> </w:t>
      </w:r>
      <w:r w:rsidRPr="00172FBB">
        <w:rPr>
          <w:rFonts w:ascii="Calibri" w:hAnsi="Calibri" w:cs="Calibri"/>
          <w:i/>
          <w:iCs/>
          <w:color w:val="000000" w:themeColor="text1"/>
        </w:rPr>
        <w:t>et al.</w:t>
      </w:r>
      <w:r w:rsidRPr="00172FBB">
        <w:rPr>
          <w:rFonts w:ascii="Calibri" w:hAnsi="Calibri" w:cs="Calibri"/>
          <w:color w:val="000000" w:themeColor="text1"/>
        </w:rPr>
        <w:t>, 2016). Amateur collecting, especially through metal detecting, often removes artefacts from their original context, reducing opportunities for proper documentation and academic research (Dixon, 2024). While many collectors are motivated by a genuine passion for history, unregulated relic hunting can destroy context and hinder interpretation. Responsible collecting requires adherence to legal and ethical guidelines to ensure that personal interests do not come at the expense of collective heritage (Dixon, 2024). Such practices may conflict with the objectives of professional archaeologists, who emphasise proper documentation, preservation, and contextual understanding (</w:t>
      </w:r>
      <w:proofErr w:type="spellStart"/>
      <w:r w:rsidRPr="00172FBB">
        <w:rPr>
          <w:rFonts w:ascii="Calibri" w:hAnsi="Calibri" w:cs="Calibri"/>
          <w:color w:val="000000" w:themeColor="text1"/>
        </w:rPr>
        <w:t>Herva</w:t>
      </w:r>
      <w:proofErr w:type="spellEnd"/>
      <w:r w:rsidRPr="00172FBB">
        <w:rPr>
          <w:rFonts w:ascii="Calibri" w:hAnsi="Calibri" w:cs="Calibri"/>
          <w:color w:val="000000" w:themeColor="text1"/>
        </w:rPr>
        <w:t xml:space="preserve"> </w:t>
      </w:r>
      <w:r w:rsidRPr="00172FBB">
        <w:rPr>
          <w:rFonts w:ascii="Calibri" w:hAnsi="Calibri" w:cs="Calibri"/>
          <w:i/>
          <w:iCs/>
          <w:color w:val="000000" w:themeColor="text1"/>
        </w:rPr>
        <w:t>et al.</w:t>
      </w:r>
      <w:r w:rsidRPr="00172FBB">
        <w:rPr>
          <w:rFonts w:ascii="Calibri" w:hAnsi="Calibri" w:cs="Calibri"/>
          <w:color w:val="000000" w:themeColor="text1"/>
        </w:rPr>
        <w:t xml:space="preserve">, 2016). However, not all amateur collecting is destructive. Dixon (2024) highlights examples of hobbyists who carefully document finds, use </w:t>
      </w:r>
      <w:r w:rsidR="00441FE1" w:rsidRPr="00172FBB">
        <w:rPr>
          <w:rFonts w:ascii="Calibri" w:hAnsi="Calibri" w:cs="Calibri"/>
          <w:color w:val="000000" w:themeColor="text1"/>
        </w:rPr>
        <w:t>Global Positioning System</w:t>
      </w:r>
      <w:r w:rsidRPr="00172FBB">
        <w:rPr>
          <w:rFonts w:ascii="Calibri" w:hAnsi="Calibri" w:cs="Calibri"/>
          <w:color w:val="000000" w:themeColor="text1"/>
        </w:rPr>
        <w:t xml:space="preserve"> to record provenance, and even participate in ‘rescue archaeology’ on threatened sites, such as the Montpelier Foundation program in Virginia. These collaborations demonstrate that collectors can contribute positively to historical knowledge when their activities are guided by professional oversight (Dixon, 2024). Collectors</w:t>
      </w:r>
      <w:r w:rsidR="001E753A">
        <w:rPr>
          <w:rFonts w:ascii="Calibri" w:hAnsi="Calibri" w:cs="Calibri"/>
          <w:color w:val="000000" w:themeColor="text1"/>
        </w:rPr>
        <w:t>’</w:t>
      </w:r>
      <w:r w:rsidRPr="00172FBB">
        <w:rPr>
          <w:rFonts w:ascii="Calibri" w:hAnsi="Calibri" w:cs="Calibri"/>
          <w:color w:val="000000" w:themeColor="text1"/>
        </w:rPr>
        <w:t xml:space="preserve"> motivations are complex, often combining personal interest, emotional connection, and a desire to preserve historically significant items</w:t>
      </w:r>
      <w:r w:rsidR="00441FE1" w:rsidRPr="00172FBB">
        <w:rPr>
          <w:rFonts w:ascii="Calibri" w:hAnsi="Calibri" w:cs="Calibri"/>
          <w:color w:val="000000" w:themeColor="text1"/>
        </w:rPr>
        <w:t>.</w:t>
      </w:r>
    </w:p>
    <w:p w14:paraId="5B9F0E46" w14:textId="3D1E7FF8" w:rsidR="00877323" w:rsidRPr="00172FBB" w:rsidRDefault="005B7FAA" w:rsidP="00F6394A">
      <w:pPr>
        <w:spacing w:line="360" w:lineRule="auto"/>
        <w:rPr>
          <w:rFonts w:ascii="Calibri" w:hAnsi="Calibri" w:cs="Calibri"/>
          <w:color w:val="000000" w:themeColor="text1"/>
        </w:rPr>
      </w:pPr>
      <w:r w:rsidRPr="00172FBB">
        <w:rPr>
          <w:rFonts w:ascii="Calibri" w:hAnsi="Calibri" w:cs="Calibri"/>
          <w:color w:val="000000" w:themeColor="text1"/>
        </w:rPr>
        <w:t>The acquisition of Second World War battlefield relics often occupies a murky ‘grey area’ where hobbyist collecting can breach legal or social norms, potentially disrupting the historical context of objects (Bowman, 2008). In Russia, hobbyist metal detecting of Second World War artefacts sometimes violates legal restrictions. These activities are often motivated by historical interest, commemoration, and the desire to engage with objects from the past (</w:t>
      </w:r>
      <w:proofErr w:type="spellStart"/>
      <w:r w:rsidRPr="00172FBB">
        <w:rPr>
          <w:rFonts w:ascii="Calibri" w:hAnsi="Calibri" w:cs="Calibri"/>
          <w:color w:val="000000" w:themeColor="text1"/>
        </w:rPr>
        <w:t>Berziņa</w:t>
      </w:r>
      <w:proofErr w:type="spellEnd"/>
      <w:r w:rsidRPr="00172FBB">
        <w:rPr>
          <w:rFonts w:ascii="Calibri" w:hAnsi="Calibri" w:cs="Calibri"/>
          <w:color w:val="000000" w:themeColor="text1"/>
        </w:rPr>
        <w:t xml:space="preserve">, 2024). Similarly, Polish relic hunters pursue Second World War discoveries out of personal interest and the thrill of uncovering historical artefacts. Some risk arrest and face criticism from archaeologists concerned about damage to the historical record (Losh, 2017). These cases show that battlefield collecting is rarely straightforward. It </w:t>
      </w:r>
      <w:r w:rsidRPr="00172FBB">
        <w:rPr>
          <w:rFonts w:ascii="Calibri" w:hAnsi="Calibri" w:cs="Calibri"/>
          <w:color w:val="000000" w:themeColor="text1"/>
        </w:rPr>
        <w:lastRenderedPageBreak/>
        <w:t>often involves tensions among personal passion, historical preservation, and stewardship responsibilities. Relics carry an emotional and symbolic ‘charge’ that shapes how they are valued and engaged with. This can occur through acts of commemoration or commodification for private or commercial purposes (</w:t>
      </w:r>
      <w:proofErr w:type="spellStart"/>
      <w:r w:rsidRPr="00172FBB">
        <w:rPr>
          <w:rFonts w:ascii="Calibri" w:hAnsi="Calibri" w:cs="Calibri"/>
          <w:color w:val="000000" w:themeColor="text1"/>
        </w:rPr>
        <w:t>Berziņa</w:t>
      </w:r>
      <w:proofErr w:type="spellEnd"/>
      <w:r w:rsidRPr="00172FBB">
        <w:rPr>
          <w:rFonts w:ascii="Calibri" w:hAnsi="Calibri" w:cs="Calibri"/>
          <w:color w:val="000000" w:themeColor="text1"/>
        </w:rPr>
        <w:t>, 2024). These social, legal, and ethical contexts influence both how and why collectors pursue Second World War objects.</w:t>
      </w:r>
    </w:p>
    <w:p w14:paraId="058D3BC6" w14:textId="77777777" w:rsidR="005B7FAA" w:rsidRPr="00172FBB" w:rsidRDefault="005B7FAA" w:rsidP="00F6394A">
      <w:pPr>
        <w:spacing w:line="360" w:lineRule="auto"/>
        <w:rPr>
          <w:rFonts w:ascii="Calibri" w:hAnsi="Calibri" w:cs="Calibri"/>
          <w:color w:val="000000" w:themeColor="text1"/>
        </w:rPr>
      </w:pPr>
    </w:p>
    <w:p w14:paraId="2E8E6B4C" w14:textId="24B6499A" w:rsidR="002F2F43" w:rsidRPr="00172FBB" w:rsidRDefault="00DA4A10" w:rsidP="00F6394A">
      <w:pPr>
        <w:spacing w:line="360" w:lineRule="auto"/>
        <w:rPr>
          <w:rFonts w:ascii="Calibri" w:hAnsi="Calibri" w:cs="Calibri"/>
          <w:color w:val="000000" w:themeColor="text1"/>
        </w:rPr>
      </w:pPr>
      <w:r w:rsidRPr="00172FBB">
        <w:rPr>
          <w:rFonts w:ascii="Calibri" w:hAnsi="Calibri" w:cs="Calibri"/>
          <w:color w:val="000000" w:themeColor="text1"/>
        </w:rPr>
        <w:t>Despite the legal and ethical challenges of battlefield relic collecting, private collectors have often played a vital role in preserving historical material. For example, Holzer (2014) notes that collectors have saved many Civil War relics, emphasising that without their efforts, much of the material history might have been lost</w:t>
      </w:r>
      <w:r w:rsidR="00761094" w:rsidRPr="00172FBB">
        <w:rPr>
          <w:rFonts w:ascii="Calibri" w:hAnsi="Calibri" w:cs="Calibri"/>
          <w:color w:val="000000" w:themeColor="text1"/>
        </w:rPr>
        <w:t>. He highlights ethical boundaries, critiquing the attempted auction of a Civil War soldier’s skull in June 2014 as disrespectful, while commending the Gettysburg Battlefield Foundation for ensuring the remains were reburied</w:t>
      </w:r>
      <w:r w:rsidR="00FE2F0B" w:rsidRPr="00172FBB">
        <w:rPr>
          <w:rFonts w:ascii="Calibri" w:hAnsi="Calibri" w:cs="Calibri"/>
          <w:color w:val="000000" w:themeColor="text1"/>
        </w:rPr>
        <w:t xml:space="preserve"> correctly</w:t>
      </w:r>
      <w:r w:rsidR="00761094" w:rsidRPr="00172FBB">
        <w:rPr>
          <w:rFonts w:ascii="Calibri" w:hAnsi="Calibri" w:cs="Calibri"/>
          <w:color w:val="000000" w:themeColor="text1"/>
        </w:rPr>
        <w:t>. Holzer contrasts this episode with responsible collectors who acquire artefacts with the intention of donating them to public institutions. He argues that collecting</w:t>
      </w:r>
      <w:r w:rsidR="00FE2F0B" w:rsidRPr="00172FBB">
        <w:rPr>
          <w:rFonts w:ascii="Calibri" w:hAnsi="Calibri" w:cs="Calibri"/>
          <w:color w:val="000000" w:themeColor="text1"/>
        </w:rPr>
        <w:t>,</w:t>
      </w:r>
      <w:r w:rsidR="00761094" w:rsidRPr="00172FBB">
        <w:rPr>
          <w:rFonts w:ascii="Calibri" w:hAnsi="Calibri" w:cs="Calibri"/>
          <w:color w:val="000000" w:themeColor="text1"/>
        </w:rPr>
        <w:t xml:space="preserve"> driven by public spirit and respect for the past</w:t>
      </w:r>
      <w:r w:rsidR="00FE2F0B" w:rsidRPr="00172FBB">
        <w:rPr>
          <w:rFonts w:ascii="Calibri" w:hAnsi="Calibri" w:cs="Calibri"/>
          <w:color w:val="000000" w:themeColor="text1"/>
        </w:rPr>
        <w:t>,</w:t>
      </w:r>
      <w:r w:rsidR="00761094" w:rsidRPr="00172FBB">
        <w:rPr>
          <w:rFonts w:ascii="Calibri" w:hAnsi="Calibri" w:cs="Calibri"/>
          <w:color w:val="000000" w:themeColor="text1"/>
        </w:rPr>
        <w:t xml:space="preserve"> </w:t>
      </w:r>
      <w:r w:rsidR="00FE2F0B" w:rsidRPr="00172FBB">
        <w:rPr>
          <w:rFonts w:ascii="Calibri" w:hAnsi="Calibri" w:cs="Calibri"/>
          <w:color w:val="000000" w:themeColor="text1"/>
        </w:rPr>
        <w:t>promotes</w:t>
      </w:r>
      <w:r w:rsidR="00761094" w:rsidRPr="00172FBB">
        <w:rPr>
          <w:rFonts w:ascii="Calibri" w:hAnsi="Calibri" w:cs="Calibri"/>
          <w:color w:val="000000" w:themeColor="text1"/>
        </w:rPr>
        <w:t xml:space="preserve"> commemoration and education rather than generating profit. Similarly, </w:t>
      </w:r>
      <w:proofErr w:type="spellStart"/>
      <w:r w:rsidR="00761094" w:rsidRPr="00172FBB">
        <w:rPr>
          <w:rFonts w:ascii="Calibri" w:hAnsi="Calibri" w:cs="Calibri"/>
          <w:color w:val="000000" w:themeColor="text1"/>
        </w:rPr>
        <w:t>Toporoff</w:t>
      </w:r>
      <w:proofErr w:type="spellEnd"/>
      <w:r w:rsidR="00761094" w:rsidRPr="00172FBB">
        <w:rPr>
          <w:rFonts w:ascii="Calibri" w:hAnsi="Calibri" w:cs="Calibri"/>
          <w:color w:val="000000" w:themeColor="text1"/>
        </w:rPr>
        <w:t xml:space="preserve"> (2021) argues that serious collectors can benefit the public by preserving collections, supporting scholarship, and making works accessible through loans or donations. </w:t>
      </w:r>
      <w:proofErr w:type="spellStart"/>
      <w:r w:rsidR="00761094" w:rsidRPr="00172FBB">
        <w:rPr>
          <w:rFonts w:ascii="Calibri" w:hAnsi="Calibri" w:cs="Calibri"/>
          <w:color w:val="000000" w:themeColor="text1"/>
        </w:rPr>
        <w:t>Scarre</w:t>
      </w:r>
      <w:proofErr w:type="spellEnd"/>
      <w:r w:rsidR="00761094" w:rsidRPr="00172FBB">
        <w:rPr>
          <w:rFonts w:ascii="Calibri" w:hAnsi="Calibri" w:cs="Calibri"/>
          <w:color w:val="000000" w:themeColor="text1"/>
        </w:rPr>
        <w:t xml:space="preserve"> (2023) reinforces this view, highlighting collectors’ ethical responsibilities to document, conserve, and, where possible, share their collections. Together, these perspectives show that collectors’ motivations are rarely purely self-serving and often include historical fascination, respect for the past, and a commitment to public education.</w:t>
      </w:r>
    </w:p>
    <w:p w14:paraId="3338C456" w14:textId="77777777" w:rsidR="00761094" w:rsidRPr="00172FBB" w:rsidRDefault="00761094" w:rsidP="00F6394A">
      <w:pPr>
        <w:spacing w:line="360" w:lineRule="auto"/>
        <w:rPr>
          <w:rFonts w:ascii="Calibri" w:hAnsi="Calibri" w:cs="Calibri"/>
          <w:color w:val="000000" w:themeColor="text1"/>
        </w:rPr>
      </w:pPr>
    </w:p>
    <w:p w14:paraId="4DCA18E9" w14:textId="1738CD28" w:rsidR="002C7516" w:rsidRPr="00172FBB" w:rsidRDefault="00144C7F" w:rsidP="00DE7832">
      <w:pPr>
        <w:spacing w:line="360" w:lineRule="auto"/>
        <w:rPr>
          <w:rFonts w:ascii="Calibri" w:hAnsi="Calibri" w:cs="Calibri"/>
        </w:rPr>
      </w:pPr>
      <w:r w:rsidRPr="00172FBB">
        <w:rPr>
          <w:rFonts w:ascii="Calibri" w:hAnsi="Calibri" w:cs="Calibri"/>
          <w:color w:val="000000" w:themeColor="text1"/>
        </w:rPr>
        <w:t xml:space="preserve">Collaboration between archaeologists and private collectors presents ethical challenges, particularly because expert involvement can unintentionally increase the market value of artefacts (Thomas </w:t>
      </w:r>
      <w:r w:rsidR="003B63B2" w:rsidRPr="00172FBB">
        <w:rPr>
          <w:rFonts w:ascii="Calibri" w:hAnsi="Calibri" w:cs="Calibri"/>
          <w:color w:val="000000" w:themeColor="text1"/>
        </w:rPr>
        <w:t>and</w:t>
      </w:r>
      <w:r w:rsidRPr="00172FBB">
        <w:rPr>
          <w:rFonts w:ascii="Calibri" w:hAnsi="Calibri" w:cs="Calibri"/>
          <w:color w:val="000000" w:themeColor="text1"/>
        </w:rPr>
        <w:t xml:space="preserve"> Pitblado, 2020). When archaeologists study, authenticate, or publish information about privately held objects, their professional endorsement can make these items more attractive and valuable to buyers. This can encourage further collecting and even looting, as artefacts with archaeological backing are seen as more legitimate. To address these concerns, some academic journals have introduced policies prohibiting the publication of research based on artefacts without clear legal provenance, aiming to </w:t>
      </w:r>
      <w:r w:rsidRPr="00172FBB">
        <w:rPr>
          <w:rFonts w:ascii="Calibri" w:hAnsi="Calibri" w:cs="Calibri"/>
          <w:color w:val="000000" w:themeColor="text1"/>
        </w:rPr>
        <w:lastRenderedPageBreak/>
        <w:t xml:space="preserve">discourage practices that might fuel the illicit trade in cultural heritage (Thomas </w:t>
      </w:r>
      <w:r w:rsidR="003B63B2" w:rsidRPr="00172FBB">
        <w:rPr>
          <w:rFonts w:ascii="Calibri" w:hAnsi="Calibri" w:cs="Calibri"/>
          <w:color w:val="000000" w:themeColor="text1"/>
        </w:rPr>
        <w:t>and</w:t>
      </w:r>
      <w:r w:rsidRPr="00172FBB">
        <w:rPr>
          <w:rFonts w:ascii="Calibri" w:hAnsi="Calibri" w:cs="Calibri"/>
          <w:color w:val="000000" w:themeColor="text1"/>
        </w:rPr>
        <w:t xml:space="preserve"> Pitblado, 2020). </w:t>
      </w:r>
      <w:r w:rsidR="004B0116" w:rsidRPr="00172FBB">
        <w:rPr>
          <w:rFonts w:ascii="Calibri" w:hAnsi="Calibri" w:cs="Calibri"/>
          <w:color w:val="000000" w:themeColor="text1"/>
        </w:rPr>
        <w:t xml:space="preserve">Collecting relics from battlefields raises complex ethical questions, particularly regarding the treatment of human remains and contested interpretations of history. </w:t>
      </w:r>
      <w:proofErr w:type="spellStart"/>
      <w:r w:rsidR="004B0116" w:rsidRPr="00172FBB">
        <w:rPr>
          <w:rFonts w:ascii="Calibri" w:hAnsi="Calibri" w:cs="Calibri"/>
          <w:color w:val="000000" w:themeColor="text1"/>
        </w:rPr>
        <w:t>Moshenska</w:t>
      </w:r>
      <w:proofErr w:type="spellEnd"/>
      <w:r w:rsidR="004B0116" w:rsidRPr="00172FBB">
        <w:rPr>
          <w:rFonts w:ascii="Calibri" w:hAnsi="Calibri" w:cs="Calibri"/>
          <w:color w:val="000000" w:themeColor="text1"/>
        </w:rPr>
        <w:t xml:space="preserve"> (2008) emphasises that interventions in conflict archaeology can have very different consequences for different stakeholders. What is redemptive for some may be transgressive for others. </w:t>
      </w:r>
      <w:r w:rsidR="003B63B2" w:rsidRPr="00172FBB">
        <w:rPr>
          <w:rFonts w:ascii="Calibri" w:hAnsi="Calibri" w:cs="Calibri"/>
          <w:color w:val="000000" w:themeColor="text1"/>
        </w:rPr>
        <w:t>This underscores the need for collectors and archaeologists to adopt a self</w:t>
      </w:r>
      <w:r w:rsidR="00FE2F0B" w:rsidRPr="00172FBB">
        <w:rPr>
          <w:rFonts w:ascii="Calibri" w:hAnsi="Calibri" w:cs="Calibri"/>
          <w:color w:val="000000" w:themeColor="text1"/>
        </w:rPr>
        <w:t>-</w:t>
      </w:r>
      <w:r w:rsidR="003B63B2" w:rsidRPr="00172FBB">
        <w:rPr>
          <w:rFonts w:ascii="Calibri" w:hAnsi="Calibri" w:cs="Calibri"/>
          <w:color w:val="000000" w:themeColor="text1"/>
        </w:rPr>
        <w:t>aware</w:t>
      </w:r>
      <w:r w:rsidR="00FE2F0B" w:rsidRPr="00172FBB">
        <w:rPr>
          <w:rFonts w:ascii="Calibri" w:hAnsi="Calibri" w:cs="Calibri"/>
          <w:color w:val="000000" w:themeColor="text1"/>
        </w:rPr>
        <w:t>,</w:t>
      </w:r>
      <w:r w:rsidR="003B63B2" w:rsidRPr="00172FBB">
        <w:rPr>
          <w:rFonts w:ascii="Calibri" w:hAnsi="Calibri" w:cs="Calibri"/>
          <w:color w:val="000000" w:themeColor="text1"/>
        </w:rPr>
        <w:t xml:space="preserve"> ethical approach that considers the </w:t>
      </w:r>
      <w:r w:rsidR="00FE2F0B" w:rsidRPr="00172FBB">
        <w:rPr>
          <w:rFonts w:ascii="Calibri" w:hAnsi="Calibri" w:cs="Calibri"/>
          <w:color w:val="000000" w:themeColor="text1"/>
        </w:rPr>
        <w:t>broa</w:t>
      </w:r>
      <w:r w:rsidR="003B63B2" w:rsidRPr="00172FBB">
        <w:rPr>
          <w:rFonts w:ascii="Calibri" w:hAnsi="Calibri" w:cs="Calibri"/>
          <w:color w:val="000000" w:themeColor="text1"/>
        </w:rPr>
        <w:t>der social, historical, and political implications of their work (</w:t>
      </w:r>
      <w:proofErr w:type="spellStart"/>
      <w:r w:rsidR="004B0116" w:rsidRPr="00172FBB">
        <w:rPr>
          <w:rFonts w:ascii="Calibri" w:hAnsi="Calibri" w:cs="Calibri"/>
          <w:color w:val="000000" w:themeColor="text1"/>
        </w:rPr>
        <w:t>Moshenska</w:t>
      </w:r>
      <w:proofErr w:type="spellEnd"/>
      <w:r w:rsidR="004B0116" w:rsidRPr="00172FBB">
        <w:rPr>
          <w:rFonts w:ascii="Calibri" w:hAnsi="Calibri" w:cs="Calibri"/>
          <w:color w:val="000000" w:themeColor="text1"/>
        </w:rPr>
        <w:t>, 2008).</w:t>
      </w:r>
      <w:r w:rsidR="001A0CF8" w:rsidRPr="00172FBB">
        <w:rPr>
          <w:rFonts w:ascii="Calibri" w:hAnsi="Calibri" w:cs="Calibri"/>
          <w:color w:val="000000" w:themeColor="text1"/>
        </w:rPr>
        <w:t xml:space="preserve"> </w:t>
      </w:r>
      <w:r w:rsidR="00E9223B" w:rsidRPr="00172FBB">
        <w:rPr>
          <w:rFonts w:ascii="Calibri" w:hAnsi="Calibri" w:cs="Calibri"/>
          <w:color w:val="000000" w:themeColor="text1"/>
        </w:rPr>
        <w:t xml:space="preserve">Ultimately, the motivations and </w:t>
      </w:r>
      <w:r w:rsidR="00FE2F0B" w:rsidRPr="00172FBB">
        <w:rPr>
          <w:rFonts w:ascii="Calibri" w:hAnsi="Calibri" w:cs="Calibri"/>
          <w:color w:val="000000" w:themeColor="text1"/>
        </w:rPr>
        <w:t>mor</w:t>
      </w:r>
      <w:r w:rsidR="00E9223B" w:rsidRPr="00172FBB">
        <w:rPr>
          <w:rFonts w:ascii="Calibri" w:hAnsi="Calibri" w:cs="Calibri"/>
          <w:color w:val="000000" w:themeColor="text1"/>
        </w:rPr>
        <w:t xml:space="preserve">al dilemmas associated with collecting battlefield relics can be informed by broader debates in heritage management. </w:t>
      </w:r>
      <w:r w:rsidR="00D4625B" w:rsidRPr="00172FBB">
        <w:rPr>
          <w:rFonts w:ascii="Calibri" w:hAnsi="Calibri" w:cs="Calibri"/>
        </w:rPr>
        <w:t>Newson and Young (2022) note that post-conflict archaeology is shaped by power and narrative, with some actions helping certain groups while disadvantaging others</w:t>
      </w:r>
      <w:r w:rsidR="002C7516" w:rsidRPr="00172FBB">
        <w:rPr>
          <w:rFonts w:ascii="Calibri" w:hAnsi="Calibri" w:cs="Calibri"/>
        </w:rPr>
        <w:t xml:space="preserve">. </w:t>
      </w:r>
      <w:r w:rsidR="008A7B7C" w:rsidRPr="00172FBB">
        <w:rPr>
          <w:rFonts w:ascii="Calibri" w:hAnsi="Calibri" w:cs="Calibri"/>
        </w:rPr>
        <w:t xml:space="preserve">Curators and heritage professionals actively shape public understanding of material culture, determining which histories are foregrounded and which are overlooked. </w:t>
      </w:r>
      <w:r w:rsidR="00D4625B" w:rsidRPr="00172FBB">
        <w:rPr>
          <w:rFonts w:ascii="Calibri" w:hAnsi="Calibri" w:cs="Calibri"/>
        </w:rPr>
        <w:t xml:space="preserve">Similarly, private collectors should reflect on their practices, </w:t>
      </w:r>
      <w:r w:rsidR="00D4625B" w:rsidRPr="00172FBB">
        <w:rPr>
          <w:rFonts w:ascii="Calibri" w:hAnsi="Calibri" w:cs="Calibri"/>
        </w:rPr>
        <w:t>ensuring</w:t>
      </w:r>
      <w:r w:rsidR="00D4625B" w:rsidRPr="00172FBB">
        <w:rPr>
          <w:rFonts w:ascii="Calibri" w:hAnsi="Calibri" w:cs="Calibri"/>
        </w:rPr>
        <w:t xml:space="preserve"> that their care of relics benefits not just themselves but also the broader public</w:t>
      </w:r>
      <w:r w:rsidR="008A7B7C" w:rsidRPr="00172FBB">
        <w:rPr>
          <w:rFonts w:ascii="Calibri" w:hAnsi="Calibri" w:cs="Calibri"/>
        </w:rPr>
        <w:t>. This perspective underscores the importance of ongoing dialogue, transparency, and ethical reflection in the preservation and interpretation of material traces of conflict.</w:t>
      </w:r>
    </w:p>
    <w:p w14:paraId="1E1EF09E" w14:textId="77777777" w:rsidR="008A7B7C" w:rsidRPr="00172FBB" w:rsidRDefault="008A7B7C" w:rsidP="00DE7832">
      <w:pPr>
        <w:spacing w:line="360" w:lineRule="auto"/>
        <w:rPr>
          <w:rFonts w:ascii="Calibri" w:hAnsi="Calibri" w:cs="Calibri"/>
          <w:color w:val="000000" w:themeColor="text1"/>
        </w:rPr>
      </w:pPr>
    </w:p>
    <w:p w14:paraId="455F2CEC" w14:textId="5252A4C8" w:rsidR="002960A4" w:rsidRPr="00172FBB" w:rsidRDefault="00D4625B" w:rsidP="00F6394A">
      <w:pPr>
        <w:tabs>
          <w:tab w:val="left" w:pos="1134"/>
        </w:tabs>
        <w:spacing w:line="360" w:lineRule="auto"/>
        <w:rPr>
          <w:rFonts w:ascii="Calibri" w:hAnsi="Calibri" w:cs="Calibri"/>
          <w:b/>
          <w:bCs/>
          <w:color w:val="000000" w:themeColor="text1"/>
        </w:rPr>
      </w:pPr>
      <w:r w:rsidRPr="00172FBB">
        <w:rPr>
          <w:rFonts w:ascii="Calibri" w:hAnsi="Calibri" w:cs="Calibri"/>
        </w:rPr>
        <w:t xml:space="preserve">Collectors </w:t>
      </w:r>
      <w:r w:rsidR="008C2134">
        <w:rPr>
          <w:rFonts w:ascii="Calibri" w:hAnsi="Calibri" w:cs="Calibri"/>
        </w:rPr>
        <w:t>are driven by</w:t>
      </w:r>
      <w:r w:rsidRPr="00172FBB">
        <w:rPr>
          <w:rFonts w:ascii="Calibri" w:hAnsi="Calibri" w:cs="Calibri"/>
        </w:rPr>
        <w:t xml:space="preserve"> many motivations </w:t>
      </w:r>
      <w:r w:rsidR="008C2134">
        <w:rPr>
          <w:rFonts w:ascii="Calibri" w:hAnsi="Calibri" w:cs="Calibri"/>
        </w:rPr>
        <w:t>that</w:t>
      </w:r>
      <w:r w:rsidRPr="00172FBB">
        <w:rPr>
          <w:rFonts w:ascii="Calibri" w:hAnsi="Calibri" w:cs="Calibri"/>
        </w:rPr>
        <w:t xml:space="preserve"> shape how relics are cared for, understood, and shared with others</w:t>
      </w:r>
      <w:r w:rsidR="00012908" w:rsidRPr="00172FBB">
        <w:rPr>
          <w:rFonts w:ascii="Calibri" w:hAnsi="Calibri" w:cs="Calibri"/>
        </w:rPr>
        <w:t xml:space="preserve">. The contrasting approaches of Verney and Littlefield demonstrate both the promise and the risks of private stewardship. While Verney’s institutional partnerships secured long-term preservation and public engagement, Littlefield’s privately centred model exposed the vulnerability of collections dependent on individual resources and legacy planning. These cases reveal that collecting is not a neutral act of preservation but an active process that influences historical narrative and public memory. The ethical value of relic collecting, therefore, lies not simply in </w:t>
      </w:r>
      <w:r w:rsidRPr="00172FBB">
        <w:rPr>
          <w:rFonts w:ascii="Calibri" w:hAnsi="Calibri" w:cs="Calibri"/>
        </w:rPr>
        <w:t>preserving</w:t>
      </w:r>
      <w:r w:rsidR="00012908" w:rsidRPr="00172FBB">
        <w:rPr>
          <w:rFonts w:ascii="Calibri" w:hAnsi="Calibri" w:cs="Calibri"/>
        </w:rPr>
        <w:t xml:space="preserve"> objects but in ensuring transparency, documentation, and collaboration with heritage professionals. When collectors move beyond personal ownership toward shared custodianship, battlefield artefacts can serve not as trophies of conflict but as critical tools for reflection and understanding. Ultimately, collectors do more than preserve fragments of war</w:t>
      </w:r>
      <w:r w:rsidR="006D2673" w:rsidRPr="00172FBB">
        <w:rPr>
          <w:rFonts w:ascii="Calibri" w:hAnsi="Calibri" w:cs="Calibri"/>
        </w:rPr>
        <w:t>.</w:t>
      </w:r>
      <w:r w:rsidR="00012908" w:rsidRPr="00172FBB">
        <w:rPr>
          <w:rFonts w:ascii="Calibri" w:hAnsi="Calibri" w:cs="Calibri"/>
        </w:rPr>
        <w:t xml:space="preserve"> </w:t>
      </w:r>
      <w:r w:rsidR="006D2673" w:rsidRPr="00172FBB">
        <w:rPr>
          <w:rFonts w:ascii="Calibri" w:hAnsi="Calibri" w:cs="Calibri"/>
        </w:rPr>
        <w:t>T</w:t>
      </w:r>
      <w:r w:rsidR="00012908" w:rsidRPr="00172FBB">
        <w:rPr>
          <w:rFonts w:ascii="Calibri" w:hAnsi="Calibri" w:cs="Calibri"/>
        </w:rPr>
        <w:t xml:space="preserve">hey </w:t>
      </w:r>
      <w:r w:rsidR="00172FBB" w:rsidRPr="00172FBB">
        <w:rPr>
          <w:rFonts w:ascii="Calibri" w:hAnsi="Calibri" w:cs="Calibri"/>
        </w:rPr>
        <w:t xml:space="preserve">help </w:t>
      </w:r>
      <w:r w:rsidR="00172FBB" w:rsidRPr="00172FBB">
        <w:rPr>
          <w:rFonts w:ascii="Calibri" w:hAnsi="Calibri" w:cs="Calibri"/>
        </w:rPr>
        <w:lastRenderedPageBreak/>
        <w:t>shape how it is understood</w:t>
      </w:r>
      <w:r w:rsidR="00012908" w:rsidRPr="00172FBB">
        <w:rPr>
          <w:rFonts w:ascii="Calibri" w:hAnsi="Calibri" w:cs="Calibri"/>
        </w:rPr>
        <w:t xml:space="preserve">. Whether relics become </w:t>
      </w:r>
      <w:r w:rsidR="00172FBB" w:rsidRPr="00172FBB">
        <w:rPr>
          <w:rFonts w:ascii="Calibri" w:hAnsi="Calibri" w:cs="Calibri"/>
        </w:rPr>
        <w:t>sentimental souvenirs or meaningful tools for reflection</w:t>
      </w:r>
      <w:r w:rsidR="00012908" w:rsidRPr="00172FBB">
        <w:rPr>
          <w:rFonts w:ascii="Calibri" w:hAnsi="Calibri" w:cs="Calibri"/>
        </w:rPr>
        <w:t xml:space="preserve"> depends on how responsibly that power is exercised.</w:t>
      </w:r>
    </w:p>
    <w:p w14:paraId="3567C4A8" w14:textId="77777777" w:rsidR="002960A4" w:rsidRDefault="002960A4" w:rsidP="00F6394A">
      <w:pPr>
        <w:tabs>
          <w:tab w:val="left" w:pos="1134"/>
        </w:tabs>
        <w:spacing w:line="360" w:lineRule="auto"/>
        <w:rPr>
          <w:rFonts w:ascii="Calibri" w:hAnsi="Calibri" w:cs="Calibri"/>
          <w:b/>
          <w:bCs/>
          <w:color w:val="000000" w:themeColor="text1"/>
        </w:rPr>
      </w:pPr>
    </w:p>
    <w:p w14:paraId="644B8075" w14:textId="77777777" w:rsidR="002960A4" w:rsidRDefault="002960A4" w:rsidP="00F6394A">
      <w:pPr>
        <w:tabs>
          <w:tab w:val="left" w:pos="1134"/>
        </w:tabs>
        <w:spacing w:line="360" w:lineRule="auto"/>
        <w:rPr>
          <w:rFonts w:ascii="Calibri" w:hAnsi="Calibri" w:cs="Calibri"/>
          <w:b/>
          <w:bCs/>
          <w:color w:val="000000" w:themeColor="text1"/>
        </w:rPr>
      </w:pPr>
    </w:p>
    <w:p w14:paraId="75741042" w14:textId="77777777" w:rsidR="002960A4" w:rsidRDefault="002960A4" w:rsidP="00F6394A">
      <w:pPr>
        <w:tabs>
          <w:tab w:val="left" w:pos="1134"/>
        </w:tabs>
        <w:spacing w:line="360" w:lineRule="auto"/>
        <w:rPr>
          <w:rFonts w:ascii="Calibri" w:hAnsi="Calibri" w:cs="Calibri"/>
          <w:b/>
          <w:bCs/>
          <w:color w:val="000000" w:themeColor="text1"/>
        </w:rPr>
      </w:pPr>
    </w:p>
    <w:p w14:paraId="2D80F93D" w14:textId="77777777" w:rsidR="002960A4" w:rsidRDefault="002960A4" w:rsidP="00F6394A">
      <w:pPr>
        <w:tabs>
          <w:tab w:val="left" w:pos="1134"/>
        </w:tabs>
        <w:spacing w:line="360" w:lineRule="auto"/>
        <w:rPr>
          <w:rFonts w:ascii="Calibri" w:hAnsi="Calibri" w:cs="Calibri"/>
          <w:b/>
          <w:bCs/>
          <w:color w:val="000000" w:themeColor="text1"/>
        </w:rPr>
      </w:pPr>
    </w:p>
    <w:p w14:paraId="6D5295A1" w14:textId="77777777" w:rsidR="002960A4" w:rsidRDefault="002960A4" w:rsidP="00F6394A">
      <w:pPr>
        <w:tabs>
          <w:tab w:val="left" w:pos="1134"/>
        </w:tabs>
        <w:spacing w:line="360" w:lineRule="auto"/>
        <w:rPr>
          <w:rFonts w:ascii="Calibri" w:hAnsi="Calibri" w:cs="Calibri"/>
          <w:b/>
          <w:bCs/>
          <w:color w:val="000000" w:themeColor="text1"/>
        </w:rPr>
      </w:pPr>
    </w:p>
    <w:p w14:paraId="72811D60" w14:textId="77777777" w:rsidR="002960A4" w:rsidRDefault="002960A4" w:rsidP="00F6394A">
      <w:pPr>
        <w:tabs>
          <w:tab w:val="left" w:pos="1134"/>
        </w:tabs>
        <w:spacing w:line="360" w:lineRule="auto"/>
        <w:rPr>
          <w:rFonts w:ascii="Calibri" w:hAnsi="Calibri" w:cs="Calibri"/>
          <w:b/>
          <w:bCs/>
          <w:color w:val="000000" w:themeColor="text1"/>
        </w:rPr>
      </w:pPr>
    </w:p>
    <w:p w14:paraId="61526EE0" w14:textId="77777777" w:rsidR="002960A4" w:rsidRDefault="002960A4" w:rsidP="00F6394A">
      <w:pPr>
        <w:tabs>
          <w:tab w:val="left" w:pos="1134"/>
        </w:tabs>
        <w:spacing w:line="360" w:lineRule="auto"/>
        <w:rPr>
          <w:rFonts w:ascii="Calibri" w:hAnsi="Calibri" w:cs="Calibri"/>
          <w:b/>
          <w:bCs/>
          <w:color w:val="000000" w:themeColor="text1"/>
        </w:rPr>
      </w:pPr>
    </w:p>
    <w:p w14:paraId="3934C4F3" w14:textId="77777777" w:rsidR="002960A4" w:rsidRDefault="002960A4" w:rsidP="00F6394A">
      <w:pPr>
        <w:tabs>
          <w:tab w:val="left" w:pos="1134"/>
        </w:tabs>
        <w:spacing w:line="360" w:lineRule="auto"/>
        <w:rPr>
          <w:rFonts w:ascii="Calibri" w:hAnsi="Calibri" w:cs="Calibri"/>
          <w:b/>
          <w:bCs/>
          <w:color w:val="000000" w:themeColor="text1"/>
        </w:rPr>
      </w:pPr>
    </w:p>
    <w:p w14:paraId="673F47EC" w14:textId="77777777" w:rsidR="002960A4" w:rsidRDefault="002960A4" w:rsidP="00F6394A">
      <w:pPr>
        <w:tabs>
          <w:tab w:val="left" w:pos="1134"/>
        </w:tabs>
        <w:spacing w:line="360" w:lineRule="auto"/>
        <w:rPr>
          <w:rFonts w:ascii="Calibri" w:hAnsi="Calibri" w:cs="Calibri"/>
          <w:b/>
          <w:bCs/>
          <w:color w:val="000000" w:themeColor="text1"/>
        </w:rPr>
      </w:pPr>
    </w:p>
    <w:p w14:paraId="67829533" w14:textId="77777777" w:rsidR="002960A4" w:rsidRDefault="002960A4" w:rsidP="00F6394A">
      <w:pPr>
        <w:tabs>
          <w:tab w:val="left" w:pos="1134"/>
        </w:tabs>
        <w:spacing w:line="360" w:lineRule="auto"/>
        <w:rPr>
          <w:rFonts w:ascii="Calibri" w:hAnsi="Calibri" w:cs="Calibri"/>
          <w:b/>
          <w:bCs/>
          <w:color w:val="000000" w:themeColor="text1"/>
        </w:rPr>
      </w:pPr>
    </w:p>
    <w:p w14:paraId="55C89650" w14:textId="77777777" w:rsidR="002960A4" w:rsidRDefault="002960A4" w:rsidP="00F6394A">
      <w:pPr>
        <w:tabs>
          <w:tab w:val="left" w:pos="1134"/>
        </w:tabs>
        <w:spacing w:line="360" w:lineRule="auto"/>
        <w:rPr>
          <w:rFonts w:ascii="Calibri" w:hAnsi="Calibri" w:cs="Calibri"/>
          <w:b/>
          <w:bCs/>
          <w:color w:val="000000" w:themeColor="text1"/>
        </w:rPr>
      </w:pPr>
    </w:p>
    <w:p w14:paraId="7F4EA6EA" w14:textId="77777777" w:rsidR="002960A4" w:rsidRDefault="002960A4" w:rsidP="00F6394A">
      <w:pPr>
        <w:tabs>
          <w:tab w:val="left" w:pos="1134"/>
        </w:tabs>
        <w:spacing w:line="360" w:lineRule="auto"/>
        <w:rPr>
          <w:rFonts w:ascii="Calibri" w:hAnsi="Calibri" w:cs="Calibri"/>
          <w:b/>
          <w:bCs/>
          <w:color w:val="000000" w:themeColor="text1"/>
        </w:rPr>
      </w:pPr>
    </w:p>
    <w:p w14:paraId="7A46100E" w14:textId="77777777" w:rsidR="002960A4" w:rsidRDefault="002960A4" w:rsidP="00F6394A">
      <w:pPr>
        <w:tabs>
          <w:tab w:val="left" w:pos="1134"/>
        </w:tabs>
        <w:spacing w:line="360" w:lineRule="auto"/>
        <w:rPr>
          <w:rFonts w:ascii="Calibri" w:hAnsi="Calibri" w:cs="Calibri"/>
          <w:b/>
          <w:bCs/>
          <w:color w:val="000000" w:themeColor="text1"/>
        </w:rPr>
      </w:pPr>
    </w:p>
    <w:p w14:paraId="57113995" w14:textId="77777777" w:rsidR="002960A4" w:rsidRDefault="002960A4" w:rsidP="00F6394A">
      <w:pPr>
        <w:tabs>
          <w:tab w:val="left" w:pos="1134"/>
        </w:tabs>
        <w:spacing w:line="360" w:lineRule="auto"/>
        <w:rPr>
          <w:rFonts w:ascii="Calibri" w:hAnsi="Calibri" w:cs="Calibri"/>
          <w:b/>
          <w:bCs/>
          <w:color w:val="000000" w:themeColor="text1"/>
        </w:rPr>
      </w:pPr>
    </w:p>
    <w:p w14:paraId="4A25570F" w14:textId="77777777" w:rsidR="002960A4" w:rsidRDefault="002960A4" w:rsidP="00F6394A">
      <w:pPr>
        <w:tabs>
          <w:tab w:val="left" w:pos="1134"/>
        </w:tabs>
        <w:spacing w:line="360" w:lineRule="auto"/>
        <w:rPr>
          <w:rFonts w:ascii="Calibri" w:hAnsi="Calibri" w:cs="Calibri"/>
          <w:b/>
          <w:bCs/>
          <w:color w:val="000000" w:themeColor="text1"/>
        </w:rPr>
      </w:pPr>
    </w:p>
    <w:p w14:paraId="5F32486A" w14:textId="77777777" w:rsidR="002960A4" w:rsidRDefault="002960A4" w:rsidP="00F6394A">
      <w:pPr>
        <w:tabs>
          <w:tab w:val="left" w:pos="1134"/>
        </w:tabs>
        <w:spacing w:line="360" w:lineRule="auto"/>
        <w:rPr>
          <w:rFonts w:ascii="Calibri" w:hAnsi="Calibri" w:cs="Calibri"/>
          <w:b/>
          <w:bCs/>
          <w:color w:val="000000" w:themeColor="text1"/>
        </w:rPr>
      </w:pPr>
    </w:p>
    <w:p w14:paraId="513F9789" w14:textId="77777777" w:rsidR="002960A4" w:rsidRDefault="002960A4" w:rsidP="00F6394A">
      <w:pPr>
        <w:tabs>
          <w:tab w:val="left" w:pos="1134"/>
        </w:tabs>
        <w:spacing w:line="360" w:lineRule="auto"/>
        <w:rPr>
          <w:rFonts w:ascii="Calibri" w:hAnsi="Calibri" w:cs="Calibri"/>
          <w:b/>
          <w:bCs/>
          <w:color w:val="000000" w:themeColor="text1"/>
        </w:rPr>
      </w:pPr>
    </w:p>
    <w:p w14:paraId="4F529285" w14:textId="77777777" w:rsidR="002960A4" w:rsidRDefault="002960A4" w:rsidP="00F6394A">
      <w:pPr>
        <w:tabs>
          <w:tab w:val="left" w:pos="1134"/>
        </w:tabs>
        <w:spacing w:line="360" w:lineRule="auto"/>
        <w:rPr>
          <w:rFonts w:ascii="Calibri" w:hAnsi="Calibri" w:cs="Calibri"/>
          <w:b/>
          <w:bCs/>
          <w:color w:val="000000" w:themeColor="text1"/>
        </w:rPr>
      </w:pPr>
    </w:p>
    <w:p w14:paraId="7DD46B03" w14:textId="77777777" w:rsidR="002960A4" w:rsidRDefault="002960A4" w:rsidP="00F6394A">
      <w:pPr>
        <w:tabs>
          <w:tab w:val="left" w:pos="1134"/>
        </w:tabs>
        <w:spacing w:line="360" w:lineRule="auto"/>
        <w:rPr>
          <w:rFonts w:ascii="Calibri" w:hAnsi="Calibri" w:cs="Calibri"/>
          <w:b/>
          <w:bCs/>
          <w:color w:val="000000" w:themeColor="text1"/>
        </w:rPr>
      </w:pPr>
    </w:p>
    <w:p w14:paraId="618EDC18" w14:textId="77777777" w:rsidR="002960A4" w:rsidRDefault="002960A4" w:rsidP="00F6394A">
      <w:pPr>
        <w:tabs>
          <w:tab w:val="left" w:pos="1134"/>
        </w:tabs>
        <w:spacing w:line="360" w:lineRule="auto"/>
        <w:rPr>
          <w:rFonts w:ascii="Calibri" w:hAnsi="Calibri" w:cs="Calibri"/>
          <w:b/>
          <w:bCs/>
          <w:color w:val="000000" w:themeColor="text1"/>
        </w:rPr>
      </w:pPr>
    </w:p>
    <w:p w14:paraId="1AEB5418" w14:textId="77777777" w:rsidR="002960A4" w:rsidRDefault="002960A4" w:rsidP="00F6394A">
      <w:pPr>
        <w:tabs>
          <w:tab w:val="left" w:pos="1134"/>
        </w:tabs>
        <w:spacing w:line="360" w:lineRule="auto"/>
        <w:rPr>
          <w:rFonts w:ascii="Calibri" w:hAnsi="Calibri" w:cs="Calibri"/>
          <w:b/>
          <w:bCs/>
          <w:color w:val="000000" w:themeColor="text1"/>
        </w:rPr>
      </w:pPr>
    </w:p>
    <w:p w14:paraId="4D678C41" w14:textId="77777777" w:rsidR="008662BC" w:rsidRDefault="008662BC" w:rsidP="00F6394A">
      <w:pPr>
        <w:tabs>
          <w:tab w:val="left" w:pos="1134"/>
        </w:tabs>
        <w:spacing w:line="360" w:lineRule="auto"/>
        <w:rPr>
          <w:rFonts w:ascii="Calibri" w:hAnsi="Calibri" w:cs="Calibri"/>
          <w:b/>
          <w:bCs/>
          <w:color w:val="000000" w:themeColor="text1"/>
        </w:rPr>
      </w:pPr>
    </w:p>
    <w:p w14:paraId="7B65A3CA" w14:textId="77777777" w:rsidR="008662BC" w:rsidRDefault="008662BC" w:rsidP="00F6394A">
      <w:pPr>
        <w:tabs>
          <w:tab w:val="left" w:pos="1134"/>
        </w:tabs>
        <w:spacing w:line="360" w:lineRule="auto"/>
        <w:rPr>
          <w:rFonts w:ascii="Calibri" w:hAnsi="Calibri" w:cs="Calibri"/>
          <w:b/>
          <w:bCs/>
          <w:color w:val="000000" w:themeColor="text1"/>
        </w:rPr>
      </w:pPr>
    </w:p>
    <w:p w14:paraId="6E79E108" w14:textId="77777777" w:rsidR="008662BC" w:rsidRDefault="008662BC" w:rsidP="00F6394A">
      <w:pPr>
        <w:tabs>
          <w:tab w:val="left" w:pos="1134"/>
        </w:tabs>
        <w:spacing w:line="360" w:lineRule="auto"/>
        <w:rPr>
          <w:rFonts w:ascii="Calibri" w:hAnsi="Calibri" w:cs="Calibri"/>
          <w:b/>
          <w:bCs/>
          <w:color w:val="000000" w:themeColor="text1"/>
        </w:rPr>
      </w:pPr>
    </w:p>
    <w:p w14:paraId="1F94F6A2" w14:textId="77777777" w:rsidR="008662BC" w:rsidRDefault="008662BC" w:rsidP="00F6394A">
      <w:pPr>
        <w:tabs>
          <w:tab w:val="left" w:pos="1134"/>
        </w:tabs>
        <w:spacing w:line="360" w:lineRule="auto"/>
        <w:rPr>
          <w:rFonts w:ascii="Calibri" w:hAnsi="Calibri" w:cs="Calibri"/>
          <w:b/>
          <w:bCs/>
          <w:color w:val="000000" w:themeColor="text1"/>
        </w:rPr>
      </w:pPr>
    </w:p>
    <w:p w14:paraId="79ABE4AB" w14:textId="77777777" w:rsidR="00EE6AE4" w:rsidRDefault="00EE6AE4" w:rsidP="00F6394A">
      <w:pPr>
        <w:tabs>
          <w:tab w:val="left" w:pos="1134"/>
        </w:tabs>
        <w:spacing w:line="360" w:lineRule="auto"/>
        <w:rPr>
          <w:rFonts w:ascii="Calibri" w:hAnsi="Calibri" w:cs="Calibri"/>
          <w:b/>
          <w:bCs/>
          <w:color w:val="000000" w:themeColor="text1"/>
        </w:rPr>
      </w:pPr>
    </w:p>
    <w:p w14:paraId="1A197B77" w14:textId="77777777" w:rsidR="00012908" w:rsidRDefault="00012908" w:rsidP="00F6394A">
      <w:pPr>
        <w:tabs>
          <w:tab w:val="left" w:pos="1134"/>
        </w:tabs>
        <w:spacing w:line="360" w:lineRule="auto"/>
        <w:rPr>
          <w:rFonts w:ascii="Calibri" w:hAnsi="Calibri" w:cs="Calibri"/>
          <w:b/>
          <w:bCs/>
          <w:color w:val="000000" w:themeColor="text1"/>
        </w:rPr>
      </w:pPr>
    </w:p>
    <w:p w14:paraId="263C5A31" w14:textId="77777777" w:rsidR="006D2673" w:rsidRDefault="006D2673" w:rsidP="00F6394A">
      <w:pPr>
        <w:tabs>
          <w:tab w:val="left" w:pos="1134"/>
        </w:tabs>
        <w:spacing w:line="360" w:lineRule="auto"/>
        <w:rPr>
          <w:rFonts w:ascii="Calibri" w:hAnsi="Calibri" w:cs="Calibri"/>
          <w:b/>
          <w:bCs/>
          <w:color w:val="000000" w:themeColor="text1"/>
        </w:rPr>
      </w:pPr>
    </w:p>
    <w:p w14:paraId="7E94376E" w14:textId="77777777" w:rsidR="00172FBB" w:rsidRDefault="00172FBB" w:rsidP="00F6394A">
      <w:pPr>
        <w:tabs>
          <w:tab w:val="left" w:pos="1134"/>
        </w:tabs>
        <w:spacing w:line="360" w:lineRule="auto"/>
        <w:rPr>
          <w:rFonts w:ascii="Calibri" w:hAnsi="Calibri" w:cs="Calibri"/>
          <w:b/>
          <w:bCs/>
          <w:color w:val="000000" w:themeColor="text1"/>
        </w:rPr>
      </w:pPr>
    </w:p>
    <w:p w14:paraId="6ABE7183" w14:textId="7589101F" w:rsidR="00C00569" w:rsidRPr="00AB423F" w:rsidRDefault="00C00569" w:rsidP="00F6394A">
      <w:pPr>
        <w:tabs>
          <w:tab w:val="left" w:pos="1134"/>
        </w:tabs>
        <w:spacing w:line="360" w:lineRule="auto"/>
        <w:rPr>
          <w:rFonts w:ascii="Calibri" w:hAnsi="Calibri" w:cs="Calibri"/>
          <w:b/>
          <w:bCs/>
          <w:i/>
          <w:iCs/>
          <w:color w:val="000000" w:themeColor="text1"/>
        </w:rPr>
      </w:pPr>
      <w:r w:rsidRPr="00AB423F">
        <w:rPr>
          <w:rFonts w:ascii="Calibri" w:hAnsi="Calibri" w:cs="Calibri"/>
          <w:b/>
          <w:bCs/>
          <w:color w:val="000000" w:themeColor="text1"/>
        </w:rPr>
        <w:lastRenderedPageBreak/>
        <w:t>BIBLIOGRAPHY</w:t>
      </w:r>
    </w:p>
    <w:p w14:paraId="648CF8A9" w14:textId="734D1E38" w:rsidR="00577B6F" w:rsidRPr="00AB423F" w:rsidRDefault="00577B6F" w:rsidP="00F6394A">
      <w:pPr>
        <w:spacing w:line="276" w:lineRule="auto"/>
        <w:rPr>
          <w:rFonts w:ascii="Calibri" w:hAnsi="Calibri" w:cs="Calibri"/>
          <w:color w:val="000000" w:themeColor="text1"/>
        </w:rPr>
      </w:pPr>
      <w:r w:rsidRPr="00AB423F">
        <w:rPr>
          <w:rFonts w:ascii="Calibri" w:hAnsi="Calibri" w:cs="Calibri"/>
          <w:color w:val="000000" w:themeColor="text1"/>
        </w:rPr>
        <w:t>Bakewell, R. (2026)</w:t>
      </w:r>
      <w:r w:rsidRPr="00AB423F">
        <w:rPr>
          <w:rFonts w:ascii="Calibri" w:hAnsi="Calibri" w:cs="Calibri"/>
          <w:i/>
          <w:iCs/>
          <w:color w:val="000000" w:themeColor="text1"/>
        </w:rPr>
        <w:t xml:space="preserve"> Military service items belonging to maternal grandfather and great-grandfather</w:t>
      </w:r>
      <w:r w:rsidR="005E02F0">
        <w:rPr>
          <w:rFonts w:ascii="Calibri" w:hAnsi="Calibri" w:cs="Calibri"/>
          <w:i/>
          <w:iCs/>
          <w:color w:val="000000" w:themeColor="text1"/>
        </w:rPr>
        <w:t xml:space="preserve">. </w:t>
      </w:r>
      <w:r w:rsidR="005E02F0">
        <w:rPr>
          <w:rFonts w:ascii="Calibri" w:hAnsi="Calibri" w:cs="Calibri"/>
          <w:color w:val="000000" w:themeColor="text1"/>
        </w:rPr>
        <w:t>P</w:t>
      </w:r>
      <w:r w:rsidRPr="00AB423F">
        <w:rPr>
          <w:rFonts w:ascii="Calibri" w:hAnsi="Calibri" w:cs="Calibri"/>
          <w:color w:val="000000" w:themeColor="text1"/>
        </w:rPr>
        <w:t xml:space="preserve">ersonal collection. </w:t>
      </w:r>
    </w:p>
    <w:p w14:paraId="0DFE68C9" w14:textId="77777777" w:rsidR="00577B6F" w:rsidRPr="00AB423F" w:rsidRDefault="00577B6F" w:rsidP="00F6394A">
      <w:pPr>
        <w:spacing w:line="276" w:lineRule="auto"/>
        <w:rPr>
          <w:rFonts w:ascii="Calibri" w:hAnsi="Calibri" w:cs="Calibri"/>
          <w:color w:val="000000" w:themeColor="text1"/>
        </w:rPr>
      </w:pPr>
    </w:p>
    <w:p w14:paraId="7CE3CFBB" w14:textId="235460B6" w:rsidR="00357D02" w:rsidRPr="00AB423F" w:rsidRDefault="00357D02" w:rsidP="00F6394A">
      <w:pPr>
        <w:spacing w:line="276" w:lineRule="auto"/>
        <w:rPr>
          <w:rFonts w:ascii="Calibri" w:hAnsi="Calibri" w:cs="Calibri"/>
          <w:color w:val="000000" w:themeColor="text1"/>
        </w:rPr>
      </w:pPr>
      <w:proofErr w:type="spellStart"/>
      <w:r w:rsidRPr="00AB423F">
        <w:rPr>
          <w:rFonts w:ascii="Calibri" w:hAnsi="Calibri" w:cs="Calibri"/>
          <w:color w:val="000000" w:themeColor="text1"/>
          <w:shd w:val="clear" w:color="auto" w:fill="FFFFFF"/>
        </w:rPr>
        <w:t>B</w:t>
      </w:r>
      <w:r w:rsidR="00737809">
        <w:rPr>
          <w:rFonts w:ascii="Calibri" w:hAnsi="Calibri" w:cs="Calibri"/>
          <w:color w:val="000000" w:themeColor="text1"/>
          <w:shd w:val="clear" w:color="auto" w:fill="FFFFFF"/>
        </w:rPr>
        <w:t>e</w:t>
      </w:r>
      <w:r w:rsidRPr="00AB423F">
        <w:rPr>
          <w:rFonts w:ascii="Calibri" w:hAnsi="Calibri" w:cs="Calibri"/>
          <w:color w:val="000000" w:themeColor="text1"/>
          <w:shd w:val="clear" w:color="auto" w:fill="FFFFFF"/>
        </w:rPr>
        <w:t>rziņa</w:t>
      </w:r>
      <w:proofErr w:type="spellEnd"/>
      <w:r w:rsidRPr="00AB423F">
        <w:rPr>
          <w:rFonts w:ascii="Calibri" w:hAnsi="Calibri" w:cs="Calibri"/>
          <w:color w:val="000000" w:themeColor="text1"/>
          <w:shd w:val="clear" w:color="auto" w:fill="FFFFFF"/>
        </w:rPr>
        <w:t xml:space="preserve">, D. (2024) </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Between Crime and Commemoration: Human–Object Relationships in the Treasure Hunting for World War II Objects</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 </w:t>
      </w:r>
      <w:r w:rsidRPr="00AB423F">
        <w:rPr>
          <w:rFonts w:ascii="Calibri" w:hAnsi="Calibri" w:cs="Calibri"/>
          <w:i/>
          <w:iCs/>
          <w:color w:val="000000" w:themeColor="text1"/>
          <w:shd w:val="clear" w:color="auto" w:fill="FFFFFF"/>
        </w:rPr>
        <w:t>Critical Criminology</w:t>
      </w:r>
      <w:r w:rsidRPr="00AB423F">
        <w:rPr>
          <w:rFonts w:ascii="Calibri" w:hAnsi="Calibri" w:cs="Calibri"/>
          <w:color w:val="000000" w:themeColor="text1"/>
          <w:shd w:val="clear" w:color="auto" w:fill="FFFFFF"/>
        </w:rPr>
        <w:t xml:space="preserve">, 32(1), pp. 139–153. Available at: </w:t>
      </w:r>
      <w:hyperlink r:id="rId21" w:history="1">
        <w:r w:rsidRPr="00AB423F">
          <w:rPr>
            <w:rStyle w:val="Hyperlink"/>
            <w:rFonts w:ascii="Calibri" w:hAnsi="Calibri" w:cs="Calibri"/>
            <w:color w:val="000000" w:themeColor="text1"/>
            <w:shd w:val="clear" w:color="auto" w:fill="FFFFFF"/>
          </w:rPr>
          <w:t>https://doi.org/10.1007/s10612-023-09738-0</w:t>
        </w:r>
      </w:hyperlink>
    </w:p>
    <w:p w14:paraId="28CCC364" w14:textId="77777777" w:rsidR="00357D02" w:rsidRPr="00AB423F" w:rsidRDefault="00357D02" w:rsidP="00F6394A">
      <w:pPr>
        <w:spacing w:line="276" w:lineRule="auto"/>
        <w:rPr>
          <w:rFonts w:ascii="Calibri" w:hAnsi="Calibri" w:cs="Calibri"/>
          <w:color w:val="000000" w:themeColor="text1"/>
          <w:shd w:val="clear" w:color="auto" w:fill="FFFFFF"/>
        </w:rPr>
      </w:pPr>
    </w:p>
    <w:p w14:paraId="4AA53DEE" w14:textId="535C944B" w:rsidR="00357D02" w:rsidRPr="00AB423F" w:rsidRDefault="00357D02" w:rsidP="00F6394A">
      <w:pPr>
        <w:spacing w:line="276" w:lineRule="auto"/>
        <w:rPr>
          <w:rFonts w:ascii="Calibri" w:hAnsi="Calibri" w:cs="Calibri"/>
          <w:color w:val="000000" w:themeColor="text1"/>
          <w:shd w:val="clear" w:color="auto" w:fill="FFFFFF"/>
        </w:rPr>
      </w:pPr>
      <w:r w:rsidRPr="00AB423F">
        <w:rPr>
          <w:rFonts w:ascii="Calibri" w:hAnsi="Calibri" w:cs="Calibri"/>
          <w:color w:val="000000" w:themeColor="text1"/>
          <w:shd w:val="clear" w:color="auto" w:fill="FFFFFF"/>
        </w:rPr>
        <w:t xml:space="preserve">Bocchi, E., Greenberg, A.E. and Estes, Z. (2022) </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On the Hunt: Search Enjoyment Motivates Collecting Behaviour</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 xml:space="preserve"> in </w:t>
      </w:r>
      <w:r w:rsidRPr="00AB423F">
        <w:rPr>
          <w:rFonts w:ascii="Calibri" w:hAnsi="Calibri" w:cs="Calibri"/>
          <w:i/>
          <w:iCs/>
          <w:color w:val="000000" w:themeColor="text1"/>
          <w:shd w:val="clear" w:color="auto" w:fill="FFFFFF"/>
        </w:rPr>
        <w:t>Advances in Consumer Research</w:t>
      </w:r>
      <w:r w:rsidRPr="00AB423F">
        <w:rPr>
          <w:rFonts w:ascii="Calibri" w:hAnsi="Calibri" w:cs="Calibri"/>
          <w:color w:val="000000" w:themeColor="text1"/>
          <w:shd w:val="clear" w:color="auto" w:fill="FFFFFF"/>
        </w:rPr>
        <w:t xml:space="preserve">, pp. 303–303. Available at: </w:t>
      </w:r>
      <w:hyperlink r:id="rId22" w:history="1">
        <w:r w:rsidRPr="00AB423F">
          <w:rPr>
            <w:rStyle w:val="Hyperlink"/>
            <w:rFonts w:ascii="Calibri" w:hAnsi="Calibri" w:cs="Calibri"/>
            <w:color w:val="000000" w:themeColor="text1"/>
            <w:shd w:val="clear" w:color="auto" w:fill="FFFFFF"/>
          </w:rPr>
          <w:t>https://www.proquest.com/docview/3090690614?accountid=130472&amp;parentSessionId=UYiOTZ1L%2FKeVhFB4l0dILVIf1Uc%2Bl3cHppE3YwtD%2B4Y%3D&amp;pq-origsite=primo&amp;sourcetype=Conference%20Papers%20&amp;%20Proceedings</w:t>
        </w:r>
      </w:hyperlink>
      <w:r w:rsidRPr="00AB423F">
        <w:rPr>
          <w:rFonts w:ascii="Calibri" w:hAnsi="Calibri" w:cs="Calibri"/>
          <w:color w:val="000000" w:themeColor="text1"/>
          <w:shd w:val="clear" w:color="auto" w:fill="FFFFFF"/>
        </w:rPr>
        <w:t xml:space="preserve"> (Accessed: 15 January 2026).</w:t>
      </w:r>
    </w:p>
    <w:p w14:paraId="43AB0A97" w14:textId="77777777" w:rsidR="00357D02" w:rsidRPr="00AB423F" w:rsidRDefault="00357D02" w:rsidP="00F6394A">
      <w:pPr>
        <w:spacing w:line="276" w:lineRule="auto"/>
        <w:rPr>
          <w:rFonts w:ascii="Calibri" w:hAnsi="Calibri" w:cs="Calibri"/>
          <w:color w:val="000000" w:themeColor="text1"/>
          <w:shd w:val="clear" w:color="auto" w:fill="FFFFFF"/>
        </w:rPr>
      </w:pPr>
    </w:p>
    <w:p w14:paraId="4045BD2F" w14:textId="1AB11DEA" w:rsidR="00357D02" w:rsidRPr="00AB423F" w:rsidRDefault="00357D02" w:rsidP="00F6394A">
      <w:pPr>
        <w:spacing w:line="276" w:lineRule="auto"/>
        <w:rPr>
          <w:rFonts w:ascii="Calibri" w:hAnsi="Calibri" w:cs="Calibri"/>
          <w:color w:val="000000" w:themeColor="text1"/>
        </w:rPr>
      </w:pPr>
      <w:r w:rsidRPr="00AB423F">
        <w:rPr>
          <w:rFonts w:ascii="Calibri" w:hAnsi="Calibri" w:cs="Calibri"/>
          <w:color w:val="000000" w:themeColor="text1"/>
          <w:shd w:val="clear" w:color="auto" w:fill="FFFFFF"/>
        </w:rPr>
        <w:t xml:space="preserve">Bowman, B.A. (2008) </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Transnational Crimes Against Culture: Looting at Archaeological Sites and the ‘Grey’ Market in Antiquities</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 </w:t>
      </w:r>
      <w:r w:rsidRPr="00AB423F">
        <w:rPr>
          <w:rFonts w:ascii="Calibri" w:hAnsi="Calibri" w:cs="Calibri"/>
          <w:i/>
          <w:iCs/>
          <w:color w:val="000000" w:themeColor="text1"/>
          <w:shd w:val="clear" w:color="auto" w:fill="FFFFFF"/>
        </w:rPr>
        <w:t>Journal of Contemporary Criminal Justice</w:t>
      </w:r>
      <w:r w:rsidRPr="00AB423F">
        <w:rPr>
          <w:rFonts w:ascii="Calibri" w:hAnsi="Calibri" w:cs="Calibri"/>
          <w:color w:val="000000" w:themeColor="text1"/>
          <w:shd w:val="clear" w:color="auto" w:fill="FFFFFF"/>
        </w:rPr>
        <w:t xml:space="preserve">, 24(3), pp. 225–242. Available at: </w:t>
      </w:r>
      <w:hyperlink r:id="rId23" w:history="1">
        <w:r w:rsidRPr="00AB423F">
          <w:rPr>
            <w:rStyle w:val="Hyperlink"/>
            <w:rFonts w:ascii="Calibri" w:hAnsi="Calibri" w:cs="Calibri"/>
            <w:color w:val="000000" w:themeColor="text1"/>
            <w:shd w:val="clear" w:color="auto" w:fill="FFFFFF"/>
          </w:rPr>
          <w:t>https://doi.org/10.1177/1043986208318210</w:t>
        </w:r>
      </w:hyperlink>
    </w:p>
    <w:p w14:paraId="663558EC" w14:textId="77777777" w:rsidR="00FE41E5" w:rsidRPr="00AB423F" w:rsidRDefault="00FE41E5" w:rsidP="00F6394A">
      <w:pPr>
        <w:spacing w:line="276" w:lineRule="auto"/>
        <w:rPr>
          <w:rFonts w:ascii="Calibri" w:hAnsi="Calibri" w:cs="Calibri"/>
          <w:color w:val="000000" w:themeColor="text1"/>
        </w:rPr>
      </w:pPr>
    </w:p>
    <w:p w14:paraId="4E77993A" w14:textId="77777777" w:rsidR="00357D02" w:rsidRPr="00AB423F" w:rsidRDefault="00357D02" w:rsidP="00F6394A">
      <w:pPr>
        <w:spacing w:line="276" w:lineRule="auto"/>
        <w:rPr>
          <w:rFonts w:ascii="Calibri" w:hAnsi="Calibri" w:cs="Calibri"/>
          <w:color w:val="000000" w:themeColor="text1"/>
        </w:rPr>
      </w:pPr>
      <w:r w:rsidRPr="00AB423F">
        <w:rPr>
          <w:rFonts w:ascii="Calibri" w:hAnsi="Calibri" w:cs="Calibri"/>
          <w:color w:val="000000" w:themeColor="text1"/>
        </w:rPr>
        <w:t xml:space="preserve">Brandt, S. (2016) </w:t>
      </w:r>
      <w:r w:rsidRPr="00AB423F">
        <w:rPr>
          <w:rFonts w:ascii="Calibri" w:hAnsi="Calibri" w:cs="Calibri"/>
          <w:i/>
          <w:iCs/>
          <w:color w:val="000000" w:themeColor="text1"/>
        </w:rPr>
        <w:t>Memory of the War: Popular Memory 1918-1945, 1945 to the Present.</w:t>
      </w:r>
      <w:r w:rsidRPr="00AB423F">
        <w:rPr>
          <w:rFonts w:ascii="Calibri" w:hAnsi="Calibri" w:cs="Calibri"/>
          <w:color w:val="000000" w:themeColor="text1"/>
        </w:rPr>
        <w:t xml:space="preserve"> Available at: </w:t>
      </w:r>
      <w:hyperlink r:id="rId24" w:history="1">
        <w:r w:rsidRPr="00AB423F">
          <w:rPr>
            <w:rStyle w:val="Hyperlink"/>
            <w:rFonts w:ascii="Calibri" w:hAnsi="Calibri" w:cs="Calibri"/>
            <w:color w:val="000000" w:themeColor="text1"/>
          </w:rPr>
          <w:t>https://encyclopedia.1914-1918-online.net/article/memory-of-the-war-popular-memory-1918-1945-1945-to-the-present-1-1/</w:t>
        </w:r>
      </w:hyperlink>
      <w:r w:rsidRPr="00AB423F">
        <w:rPr>
          <w:rFonts w:ascii="Calibri" w:hAnsi="Calibri" w:cs="Calibri"/>
          <w:color w:val="000000" w:themeColor="text1"/>
        </w:rPr>
        <w:t xml:space="preserve"> (Accessed: 22 January 2026).</w:t>
      </w:r>
    </w:p>
    <w:p w14:paraId="725C7603" w14:textId="77777777" w:rsidR="00FE41E5" w:rsidRPr="00AB423F" w:rsidRDefault="00FE41E5" w:rsidP="00F6394A">
      <w:pPr>
        <w:spacing w:line="276" w:lineRule="auto"/>
        <w:rPr>
          <w:rFonts w:ascii="Calibri" w:hAnsi="Calibri" w:cs="Calibri"/>
          <w:color w:val="000000" w:themeColor="text1"/>
        </w:rPr>
      </w:pPr>
    </w:p>
    <w:p w14:paraId="5D3E2826" w14:textId="77777777" w:rsidR="00357D02" w:rsidRPr="00AB423F" w:rsidRDefault="00357D02" w:rsidP="00F6394A">
      <w:pPr>
        <w:spacing w:line="276" w:lineRule="auto"/>
        <w:rPr>
          <w:rFonts w:ascii="Calibri" w:hAnsi="Calibri" w:cs="Calibri"/>
          <w:color w:val="000000" w:themeColor="text1"/>
        </w:rPr>
      </w:pPr>
      <w:r w:rsidRPr="00AB423F">
        <w:rPr>
          <w:rFonts w:ascii="Calibri" w:hAnsi="Calibri" w:cs="Calibri"/>
          <w:color w:val="000000" w:themeColor="text1"/>
        </w:rPr>
        <w:t xml:space="preserve">Conan, N. (2007) </w:t>
      </w:r>
      <w:r w:rsidRPr="00AB423F">
        <w:rPr>
          <w:rFonts w:ascii="Calibri" w:hAnsi="Calibri" w:cs="Calibri"/>
          <w:i/>
          <w:iCs/>
          <w:color w:val="000000" w:themeColor="text1"/>
        </w:rPr>
        <w:t>Museum Exhibits Veterans’ Battlefield Memorabilia.</w:t>
      </w:r>
      <w:r w:rsidRPr="00AB423F">
        <w:rPr>
          <w:rFonts w:ascii="Calibri" w:hAnsi="Calibri" w:cs="Calibri"/>
          <w:color w:val="000000" w:themeColor="text1"/>
        </w:rPr>
        <w:t xml:space="preserve"> Available at: </w:t>
      </w:r>
      <w:hyperlink r:id="rId25" w:history="1">
        <w:r w:rsidRPr="00AB423F">
          <w:rPr>
            <w:rStyle w:val="Hyperlink"/>
            <w:rFonts w:ascii="Calibri" w:hAnsi="Calibri" w:cs="Calibri"/>
            <w:color w:val="000000" w:themeColor="text1"/>
          </w:rPr>
          <w:t>https://www.proquest.com/docview/190775576?accountid=130472&amp;parentSessionId=UUk5q1p5O2dE0g3kUPmQvQgRkVRQm8WIp39jewk8X0w%3D&amp;pq-origsite=primo&amp;sourcetype=Other%20Sources</w:t>
        </w:r>
      </w:hyperlink>
      <w:r w:rsidRPr="00AB423F">
        <w:rPr>
          <w:rFonts w:ascii="Calibri" w:hAnsi="Calibri" w:cs="Calibri"/>
          <w:color w:val="000000" w:themeColor="text1"/>
        </w:rPr>
        <w:t xml:space="preserve"> (Accessed: 15 January 2026).</w:t>
      </w:r>
    </w:p>
    <w:p w14:paraId="0641F64E" w14:textId="77777777" w:rsidR="00FE41E5" w:rsidRPr="00AB423F" w:rsidRDefault="00FE41E5" w:rsidP="00F6394A">
      <w:pPr>
        <w:spacing w:line="276" w:lineRule="auto"/>
        <w:rPr>
          <w:rFonts w:ascii="Calibri" w:hAnsi="Calibri" w:cs="Calibri"/>
          <w:color w:val="000000" w:themeColor="text1"/>
        </w:rPr>
      </w:pPr>
    </w:p>
    <w:p w14:paraId="34973117" w14:textId="77777777" w:rsidR="00357D02" w:rsidRPr="00AB423F" w:rsidRDefault="00357D02" w:rsidP="00F6394A">
      <w:pPr>
        <w:spacing w:line="276" w:lineRule="auto"/>
        <w:rPr>
          <w:rFonts w:ascii="Calibri" w:hAnsi="Calibri" w:cs="Calibri"/>
          <w:color w:val="000000" w:themeColor="text1"/>
        </w:rPr>
      </w:pPr>
      <w:r w:rsidRPr="00AB423F">
        <w:rPr>
          <w:rFonts w:ascii="Calibri" w:hAnsi="Calibri" w:cs="Calibri"/>
          <w:color w:val="000000" w:themeColor="text1"/>
        </w:rPr>
        <w:t xml:space="preserve">Dawsons (2022) </w:t>
      </w:r>
      <w:r w:rsidRPr="00AB423F">
        <w:rPr>
          <w:rFonts w:ascii="Calibri" w:hAnsi="Calibri" w:cs="Calibri"/>
          <w:i/>
          <w:iCs/>
          <w:color w:val="000000" w:themeColor="text1"/>
        </w:rPr>
        <w:t>Is Militaria a good investment?</w:t>
      </w:r>
      <w:r w:rsidRPr="00AB423F">
        <w:rPr>
          <w:rFonts w:ascii="Calibri" w:hAnsi="Calibri" w:cs="Calibri"/>
          <w:color w:val="000000" w:themeColor="text1"/>
        </w:rPr>
        <w:t xml:space="preserve"> Available at: </w:t>
      </w:r>
      <w:hyperlink r:id="rId26" w:anchor=":~:text=This%20is%20because%20WWII%20militaria,return%20might%20not%20be%20unrealistic" w:history="1">
        <w:r w:rsidRPr="00AB423F">
          <w:rPr>
            <w:rStyle w:val="Hyperlink"/>
            <w:rFonts w:ascii="Calibri" w:hAnsi="Calibri" w:cs="Calibri"/>
            <w:color w:val="000000" w:themeColor="text1"/>
          </w:rPr>
          <w:t>https://www.dawsonsauctions.co.uk/news-item/is-militaria-a-good-investment/#:~:text=This%20is%20because%20WWII%20militaria,return%20might%20not%20be%20unrealistic</w:t>
        </w:r>
      </w:hyperlink>
      <w:r w:rsidRPr="00AB423F">
        <w:rPr>
          <w:rFonts w:ascii="Calibri" w:hAnsi="Calibri" w:cs="Calibri"/>
          <w:color w:val="000000" w:themeColor="text1"/>
        </w:rPr>
        <w:t xml:space="preserve"> (Accessed: 22 January 2026).</w:t>
      </w:r>
    </w:p>
    <w:p w14:paraId="3AAE9CE1" w14:textId="77777777" w:rsidR="00FE41E5" w:rsidRPr="00AB423F" w:rsidRDefault="00FE41E5" w:rsidP="00F6394A">
      <w:pPr>
        <w:spacing w:line="276" w:lineRule="auto"/>
        <w:rPr>
          <w:rFonts w:ascii="Calibri" w:hAnsi="Calibri" w:cs="Calibri"/>
          <w:color w:val="000000" w:themeColor="text1"/>
        </w:rPr>
      </w:pPr>
    </w:p>
    <w:p w14:paraId="27431FCA" w14:textId="77777777" w:rsidR="00357D02" w:rsidRPr="00AB423F" w:rsidRDefault="00357D02" w:rsidP="00F6394A">
      <w:pPr>
        <w:spacing w:line="276" w:lineRule="auto"/>
        <w:rPr>
          <w:rFonts w:ascii="Calibri" w:hAnsi="Calibri" w:cs="Calibri"/>
          <w:color w:val="000000" w:themeColor="text1"/>
          <w:shd w:val="clear" w:color="auto" w:fill="FFFFFF"/>
        </w:rPr>
      </w:pPr>
      <w:r w:rsidRPr="00AB423F">
        <w:rPr>
          <w:rFonts w:ascii="Calibri" w:hAnsi="Calibri" w:cs="Calibri"/>
          <w:color w:val="000000" w:themeColor="text1"/>
          <w:shd w:val="clear" w:color="auto" w:fill="FFFFFF"/>
        </w:rPr>
        <w:t xml:space="preserve">Dixon, D. (2024) </w:t>
      </w:r>
      <w:r w:rsidRPr="00AB423F">
        <w:rPr>
          <w:rFonts w:ascii="Calibri" w:hAnsi="Calibri" w:cs="Calibri"/>
          <w:i/>
          <w:iCs/>
          <w:color w:val="000000" w:themeColor="text1"/>
          <w:shd w:val="clear" w:color="auto" w:fill="FFFFFF"/>
        </w:rPr>
        <w:t>Civil War relic hunting: Destroying American History.</w:t>
      </w:r>
      <w:r w:rsidRPr="00AB423F">
        <w:rPr>
          <w:rFonts w:ascii="Calibri" w:hAnsi="Calibri" w:cs="Calibri"/>
          <w:color w:val="000000" w:themeColor="text1"/>
          <w:shd w:val="clear" w:color="auto" w:fill="FFFFFF"/>
        </w:rPr>
        <w:t xml:space="preserve"> Available at: </w:t>
      </w:r>
      <w:hyperlink r:id="rId27" w:history="1">
        <w:r w:rsidRPr="00AB423F">
          <w:rPr>
            <w:rStyle w:val="Hyperlink"/>
            <w:rFonts w:ascii="Calibri" w:hAnsi="Calibri" w:cs="Calibri"/>
            <w:color w:val="000000" w:themeColor="text1"/>
            <w:shd w:val="clear" w:color="auto" w:fill="FFFFFF"/>
          </w:rPr>
          <w:t>https://emergingcivilwar.com/2024/03/22/civil-war-relic-hunting-destroying-american-history/</w:t>
        </w:r>
      </w:hyperlink>
      <w:r w:rsidRPr="00AB423F">
        <w:rPr>
          <w:rFonts w:ascii="Calibri" w:hAnsi="Calibri" w:cs="Calibri"/>
          <w:color w:val="000000" w:themeColor="text1"/>
          <w:shd w:val="clear" w:color="auto" w:fill="FFFFFF"/>
        </w:rPr>
        <w:t xml:space="preserve"> (Accessed: 22 January 2026).</w:t>
      </w:r>
    </w:p>
    <w:p w14:paraId="4290A2B1" w14:textId="77777777" w:rsidR="00FE41E5" w:rsidRPr="00AB423F" w:rsidRDefault="00FE41E5" w:rsidP="00F6394A">
      <w:pPr>
        <w:spacing w:line="276" w:lineRule="auto"/>
        <w:rPr>
          <w:rFonts w:ascii="Calibri" w:hAnsi="Calibri" w:cs="Calibri"/>
          <w:color w:val="000000" w:themeColor="text1"/>
          <w:shd w:val="clear" w:color="auto" w:fill="FFFFFF"/>
        </w:rPr>
      </w:pPr>
    </w:p>
    <w:p w14:paraId="55275974" w14:textId="55E86575" w:rsidR="00357D02" w:rsidRPr="00AB423F" w:rsidRDefault="00357D02" w:rsidP="00F6394A">
      <w:pPr>
        <w:spacing w:line="276" w:lineRule="auto"/>
        <w:rPr>
          <w:rFonts w:ascii="Calibri" w:hAnsi="Calibri" w:cs="Calibri"/>
          <w:color w:val="000000" w:themeColor="text1"/>
        </w:rPr>
      </w:pPr>
      <w:r w:rsidRPr="00AB423F">
        <w:rPr>
          <w:rFonts w:ascii="Calibri" w:hAnsi="Calibri" w:cs="Calibri"/>
          <w:color w:val="000000" w:themeColor="text1"/>
          <w:shd w:val="clear" w:color="auto" w:fill="FFFFFF"/>
        </w:rPr>
        <w:t>Donaldson, J. </w:t>
      </w:r>
      <w:r w:rsidRPr="00AB423F">
        <w:rPr>
          <w:rFonts w:ascii="Calibri" w:hAnsi="Calibri" w:cs="Calibri"/>
          <w:i/>
          <w:iCs/>
          <w:color w:val="000000" w:themeColor="text1"/>
          <w:shd w:val="clear" w:color="auto" w:fill="FFFFFF"/>
        </w:rPr>
        <w:t>et al.</w:t>
      </w:r>
      <w:r w:rsidRPr="00AB423F">
        <w:rPr>
          <w:rFonts w:ascii="Calibri" w:hAnsi="Calibri" w:cs="Calibri"/>
          <w:color w:val="000000" w:themeColor="text1"/>
          <w:shd w:val="clear" w:color="auto" w:fill="FFFFFF"/>
        </w:rPr>
        <w:t xml:space="preserve"> (2024) </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Collecting antiquities in wartime</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 </w:t>
      </w:r>
      <w:r w:rsidRPr="00AB423F">
        <w:rPr>
          <w:rFonts w:ascii="Calibri" w:hAnsi="Calibri" w:cs="Calibri"/>
          <w:i/>
          <w:iCs/>
          <w:color w:val="000000" w:themeColor="text1"/>
          <w:shd w:val="clear" w:color="auto" w:fill="FFFFFF"/>
        </w:rPr>
        <w:t>Journal of the History of Collections</w:t>
      </w:r>
      <w:r w:rsidRPr="00AB423F">
        <w:rPr>
          <w:rFonts w:ascii="Calibri" w:hAnsi="Calibri" w:cs="Calibri"/>
          <w:color w:val="000000" w:themeColor="text1"/>
          <w:shd w:val="clear" w:color="auto" w:fill="FFFFFF"/>
        </w:rPr>
        <w:t xml:space="preserve">, 36(1), pp. 149–166. Available at: </w:t>
      </w:r>
      <w:hyperlink r:id="rId28" w:history="1">
        <w:r w:rsidRPr="00AB423F">
          <w:rPr>
            <w:rStyle w:val="Hyperlink"/>
            <w:rFonts w:ascii="Calibri" w:hAnsi="Calibri" w:cs="Calibri"/>
            <w:color w:val="000000" w:themeColor="text1"/>
            <w:shd w:val="clear" w:color="auto" w:fill="FFFFFF"/>
          </w:rPr>
          <w:t>https://doi.org/10.1093/jhc/fhad034</w:t>
        </w:r>
      </w:hyperlink>
    </w:p>
    <w:p w14:paraId="389B7654" w14:textId="77777777" w:rsidR="00FE41E5" w:rsidRPr="00AB423F" w:rsidRDefault="00FE41E5" w:rsidP="00F6394A">
      <w:pPr>
        <w:spacing w:line="276" w:lineRule="auto"/>
        <w:rPr>
          <w:rFonts w:ascii="Calibri" w:hAnsi="Calibri" w:cs="Calibri"/>
          <w:color w:val="000000" w:themeColor="text1"/>
          <w:shd w:val="clear" w:color="auto" w:fill="FFFFFF"/>
        </w:rPr>
      </w:pPr>
    </w:p>
    <w:p w14:paraId="619FA582" w14:textId="7B199782" w:rsidR="00357D02" w:rsidRPr="00AB423F" w:rsidRDefault="00357D02" w:rsidP="00F6394A">
      <w:pPr>
        <w:spacing w:line="276" w:lineRule="auto"/>
        <w:rPr>
          <w:rFonts w:ascii="Calibri" w:hAnsi="Calibri" w:cs="Calibri"/>
          <w:color w:val="000000" w:themeColor="text1"/>
        </w:rPr>
      </w:pPr>
      <w:r w:rsidRPr="00AB423F">
        <w:rPr>
          <w:rFonts w:ascii="Calibri" w:hAnsi="Calibri" w:cs="Calibri"/>
          <w:color w:val="000000" w:themeColor="text1"/>
          <w:shd w:val="clear" w:color="auto" w:fill="FFFFFF"/>
        </w:rPr>
        <w:lastRenderedPageBreak/>
        <w:t xml:space="preserve">Elia, R.J. (1997) </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Looting, collecting, and the destruction of archaeological resources</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 </w:t>
      </w:r>
      <w:r w:rsidRPr="00AB423F">
        <w:rPr>
          <w:rFonts w:ascii="Calibri" w:hAnsi="Calibri" w:cs="Calibri"/>
          <w:i/>
          <w:iCs/>
          <w:color w:val="000000" w:themeColor="text1"/>
          <w:shd w:val="clear" w:color="auto" w:fill="FFFFFF"/>
        </w:rPr>
        <w:t>Natural Resources Research</w:t>
      </w:r>
      <w:r w:rsidRPr="00AB423F">
        <w:rPr>
          <w:rFonts w:ascii="Calibri" w:hAnsi="Calibri" w:cs="Calibri"/>
          <w:color w:val="000000" w:themeColor="text1"/>
          <w:shd w:val="clear" w:color="auto" w:fill="FFFFFF"/>
        </w:rPr>
        <w:t xml:space="preserve">, 6(2), pp. 85–98. Available at: </w:t>
      </w:r>
      <w:hyperlink r:id="rId29" w:history="1">
        <w:r w:rsidRPr="00AB423F">
          <w:rPr>
            <w:rStyle w:val="Hyperlink"/>
            <w:rFonts w:ascii="Calibri" w:hAnsi="Calibri" w:cs="Calibri"/>
            <w:color w:val="000000" w:themeColor="text1"/>
            <w:shd w:val="clear" w:color="auto" w:fill="FFFFFF"/>
          </w:rPr>
          <w:t>https://doi.org/10.1007/BF02803807</w:t>
        </w:r>
      </w:hyperlink>
    </w:p>
    <w:p w14:paraId="7DAF9902" w14:textId="77777777" w:rsidR="00FE41E5" w:rsidRPr="00AB423F" w:rsidRDefault="00FE41E5" w:rsidP="00F6394A">
      <w:pPr>
        <w:spacing w:line="276" w:lineRule="auto"/>
        <w:rPr>
          <w:rFonts w:ascii="Calibri" w:hAnsi="Calibri" w:cs="Calibri"/>
          <w:color w:val="000000" w:themeColor="text1"/>
          <w:shd w:val="clear" w:color="auto" w:fill="FFFFFF"/>
        </w:rPr>
      </w:pPr>
    </w:p>
    <w:p w14:paraId="449D5B6C" w14:textId="77777777" w:rsidR="00357D02" w:rsidRPr="00AB423F" w:rsidRDefault="00357D02" w:rsidP="00F6394A">
      <w:pPr>
        <w:spacing w:line="276" w:lineRule="auto"/>
        <w:rPr>
          <w:rFonts w:ascii="Calibri" w:hAnsi="Calibri" w:cs="Calibri"/>
          <w:color w:val="000000" w:themeColor="text1"/>
        </w:rPr>
      </w:pPr>
      <w:r w:rsidRPr="00AB423F">
        <w:rPr>
          <w:rFonts w:ascii="Calibri" w:hAnsi="Calibri" w:cs="Calibri"/>
          <w:color w:val="000000" w:themeColor="text1"/>
        </w:rPr>
        <w:t xml:space="preserve">Erlanger, S. (2011) </w:t>
      </w:r>
      <w:r w:rsidRPr="00AB423F">
        <w:rPr>
          <w:rFonts w:ascii="Calibri" w:hAnsi="Calibri" w:cs="Calibri"/>
          <w:i/>
          <w:iCs/>
          <w:color w:val="000000" w:themeColor="text1"/>
        </w:rPr>
        <w:t>War resonates Anew on Hallowed French Ground.</w:t>
      </w:r>
      <w:r w:rsidRPr="00AB423F">
        <w:rPr>
          <w:rFonts w:ascii="Calibri" w:hAnsi="Calibri" w:cs="Calibri"/>
          <w:color w:val="000000" w:themeColor="text1"/>
        </w:rPr>
        <w:t xml:space="preserve"> Available at: </w:t>
      </w:r>
      <w:hyperlink r:id="rId30" w:history="1">
        <w:r w:rsidRPr="00AB423F">
          <w:rPr>
            <w:rStyle w:val="Hyperlink"/>
            <w:rFonts w:ascii="Calibri" w:hAnsi="Calibri" w:cs="Calibri"/>
            <w:color w:val="000000" w:themeColor="text1"/>
          </w:rPr>
          <w:t>https://www.nytimes.com/2011/11/11/world/europe/in-france-sacrifices-of-world-war-i-resonate-anew.html</w:t>
        </w:r>
      </w:hyperlink>
      <w:r w:rsidRPr="00AB423F">
        <w:rPr>
          <w:rFonts w:ascii="Calibri" w:hAnsi="Calibri" w:cs="Calibri"/>
          <w:color w:val="000000" w:themeColor="text1"/>
        </w:rPr>
        <w:t xml:space="preserve"> (Accessed: 22 January 2026).</w:t>
      </w:r>
    </w:p>
    <w:p w14:paraId="63B0C728" w14:textId="77777777" w:rsidR="00FE41E5" w:rsidRPr="00AB423F" w:rsidRDefault="00FE41E5" w:rsidP="00F6394A">
      <w:pPr>
        <w:spacing w:line="276" w:lineRule="auto"/>
        <w:rPr>
          <w:rFonts w:ascii="Calibri" w:hAnsi="Calibri" w:cs="Calibri"/>
          <w:color w:val="000000" w:themeColor="text1"/>
        </w:rPr>
      </w:pPr>
    </w:p>
    <w:p w14:paraId="63C906FD" w14:textId="4B86C05A" w:rsidR="00357D02" w:rsidRPr="00AB423F" w:rsidRDefault="00357D02" w:rsidP="00F6394A">
      <w:pPr>
        <w:spacing w:line="276" w:lineRule="auto"/>
        <w:rPr>
          <w:rFonts w:ascii="Calibri" w:hAnsi="Calibri" w:cs="Calibri"/>
          <w:color w:val="000000" w:themeColor="text1"/>
        </w:rPr>
      </w:pPr>
      <w:r w:rsidRPr="00AB423F">
        <w:rPr>
          <w:rFonts w:ascii="Calibri" w:hAnsi="Calibri" w:cs="Calibri"/>
          <w:color w:val="000000" w:themeColor="text1"/>
          <w:shd w:val="clear" w:color="auto" w:fill="FFFFFF"/>
        </w:rPr>
        <w:t xml:space="preserve">Gordon, B.M. (2019) </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 xml:space="preserve">The </w:t>
      </w:r>
      <w:proofErr w:type="spellStart"/>
      <w:r w:rsidRPr="00AB423F">
        <w:rPr>
          <w:rFonts w:ascii="Calibri" w:hAnsi="Calibri" w:cs="Calibri"/>
          <w:color w:val="000000" w:themeColor="text1"/>
          <w:shd w:val="clear" w:color="auto" w:fill="FFFFFF"/>
        </w:rPr>
        <w:t>Musée</w:t>
      </w:r>
      <w:proofErr w:type="spellEnd"/>
      <w:r w:rsidRPr="00AB423F">
        <w:rPr>
          <w:rFonts w:ascii="Calibri" w:hAnsi="Calibri" w:cs="Calibri"/>
          <w:color w:val="000000" w:themeColor="text1"/>
          <w:shd w:val="clear" w:color="auto" w:fill="FFFFFF"/>
        </w:rPr>
        <w:t xml:space="preserve"> de la Grande Guerre du Pays de Meaux - a simulacrum of the 1914-1918 war?</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 </w:t>
      </w:r>
      <w:r w:rsidRPr="00AB423F">
        <w:rPr>
          <w:rFonts w:ascii="Calibri" w:hAnsi="Calibri" w:cs="Calibri"/>
          <w:i/>
          <w:iCs/>
          <w:color w:val="000000" w:themeColor="text1"/>
          <w:shd w:val="clear" w:color="auto" w:fill="FFFFFF"/>
        </w:rPr>
        <w:t>Journal of Tourism and Cultural Change</w:t>
      </w:r>
      <w:r w:rsidRPr="00AB423F">
        <w:rPr>
          <w:rFonts w:ascii="Calibri" w:hAnsi="Calibri" w:cs="Calibri"/>
          <w:color w:val="000000" w:themeColor="text1"/>
          <w:shd w:val="clear" w:color="auto" w:fill="FFFFFF"/>
        </w:rPr>
        <w:t xml:space="preserve">, 17(1), pp. 85–99. Available at: </w:t>
      </w:r>
      <w:hyperlink r:id="rId31" w:history="1">
        <w:r w:rsidRPr="00AB423F">
          <w:rPr>
            <w:rStyle w:val="Hyperlink"/>
            <w:rFonts w:ascii="Calibri" w:hAnsi="Calibri" w:cs="Calibri"/>
            <w:color w:val="000000" w:themeColor="text1"/>
            <w:shd w:val="clear" w:color="auto" w:fill="FFFFFF"/>
          </w:rPr>
          <w:t>https://doi.org/10.1080/14766825.2019.1560914</w:t>
        </w:r>
      </w:hyperlink>
    </w:p>
    <w:p w14:paraId="7F0E216E" w14:textId="77777777" w:rsidR="00FE41E5" w:rsidRPr="00AB423F" w:rsidRDefault="00FE41E5" w:rsidP="00F6394A">
      <w:pPr>
        <w:spacing w:line="276" w:lineRule="auto"/>
        <w:rPr>
          <w:rFonts w:ascii="Calibri" w:hAnsi="Calibri" w:cs="Calibri"/>
          <w:color w:val="000000" w:themeColor="text1"/>
          <w:shd w:val="clear" w:color="auto" w:fill="FFFFFF"/>
        </w:rPr>
      </w:pPr>
    </w:p>
    <w:p w14:paraId="321E0010" w14:textId="573E6D57" w:rsidR="00357D02" w:rsidRPr="00AB423F" w:rsidRDefault="00357D02" w:rsidP="00F6394A">
      <w:pPr>
        <w:spacing w:line="276" w:lineRule="auto"/>
        <w:rPr>
          <w:rFonts w:ascii="Calibri" w:hAnsi="Calibri" w:cs="Calibri"/>
          <w:color w:val="000000" w:themeColor="text1"/>
        </w:rPr>
      </w:pPr>
      <w:proofErr w:type="spellStart"/>
      <w:r w:rsidRPr="00AB423F">
        <w:rPr>
          <w:rFonts w:ascii="Calibri" w:hAnsi="Calibri" w:cs="Calibri"/>
          <w:color w:val="000000" w:themeColor="text1"/>
          <w:shd w:val="clear" w:color="auto" w:fill="FFFFFF"/>
        </w:rPr>
        <w:t>Herva</w:t>
      </w:r>
      <w:proofErr w:type="spellEnd"/>
      <w:r w:rsidRPr="00AB423F">
        <w:rPr>
          <w:rFonts w:ascii="Calibri" w:hAnsi="Calibri" w:cs="Calibri"/>
          <w:color w:val="000000" w:themeColor="text1"/>
          <w:shd w:val="clear" w:color="auto" w:fill="FFFFFF"/>
        </w:rPr>
        <w:t>, V.-P. </w:t>
      </w:r>
      <w:r w:rsidRPr="00AB423F">
        <w:rPr>
          <w:rFonts w:ascii="Calibri" w:hAnsi="Calibri" w:cs="Calibri"/>
          <w:i/>
          <w:iCs/>
          <w:color w:val="000000" w:themeColor="text1"/>
          <w:shd w:val="clear" w:color="auto" w:fill="FFFFFF"/>
        </w:rPr>
        <w:t>et al.</w:t>
      </w:r>
      <w:r w:rsidRPr="00AB423F">
        <w:rPr>
          <w:rFonts w:ascii="Calibri" w:hAnsi="Calibri" w:cs="Calibri"/>
          <w:color w:val="000000" w:themeColor="text1"/>
          <w:shd w:val="clear" w:color="auto" w:fill="FFFFFF"/>
        </w:rPr>
        <w:t xml:space="preserve"> (2016) </w:t>
      </w:r>
      <w:proofErr w:type="gramStart"/>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I</w:t>
      </w:r>
      <w:proofErr w:type="gramEnd"/>
      <w:r w:rsidRPr="00AB423F">
        <w:rPr>
          <w:rFonts w:ascii="Calibri" w:hAnsi="Calibri" w:cs="Calibri"/>
          <w:color w:val="000000" w:themeColor="text1"/>
          <w:shd w:val="clear" w:color="auto" w:fill="FFFFFF"/>
        </w:rPr>
        <w:t xml:space="preserve"> have better stuff at home</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 treasure hunting and private collecting of World War II artefacts in Finnish Lapland</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 </w:t>
      </w:r>
      <w:r w:rsidRPr="00AB423F">
        <w:rPr>
          <w:rFonts w:ascii="Calibri" w:hAnsi="Calibri" w:cs="Calibri"/>
          <w:i/>
          <w:iCs/>
          <w:color w:val="000000" w:themeColor="text1"/>
          <w:shd w:val="clear" w:color="auto" w:fill="FFFFFF"/>
        </w:rPr>
        <w:t>World Archaeology</w:t>
      </w:r>
      <w:r w:rsidRPr="00AB423F">
        <w:rPr>
          <w:rFonts w:ascii="Calibri" w:hAnsi="Calibri" w:cs="Calibri"/>
          <w:color w:val="000000" w:themeColor="text1"/>
          <w:shd w:val="clear" w:color="auto" w:fill="FFFFFF"/>
        </w:rPr>
        <w:t xml:space="preserve">, 48(2), pp. 267–281. Available at: </w:t>
      </w:r>
      <w:hyperlink r:id="rId32" w:history="1">
        <w:r w:rsidRPr="00AB423F">
          <w:rPr>
            <w:rStyle w:val="Hyperlink"/>
            <w:rFonts w:ascii="Calibri" w:hAnsi="Calibri" w:cs="Calibri"/>
            <w:color w:val="000000" w:themeColor="text1"/>
            <w:shd w:val="clear" w:color="auto" w:fill="FFFFFF"/>
          </w:rPr>
          <w:t>https://doi.org/10.1080/00438243.2016.1184586</w:t>
        </w:r>
      </w:hyperlink>
    </w:p>
    <w:p w14:paraId="23EB3A56" w14:textId="77777777" w:rsidR="00FE41E5" w:rsidRPr="00AB423F" w:rsidRDefault="00FE41E5" w:rsidP="00F6394A">
      <w:pPr>
        <w:spacing w:line="276" w:lineRule="auto"/>
        <w:rPr>
          <w:rFonts w:ascii="Calibri" w:hAnsi="Calibri" w:cs="Calibri"/>
          <w:color w:val="000000" w:themeColor="text1"/>
          <w:shd w:val="clear" w:color="auto" w:fill="FFFFFF"/>
        </w:rPr>
      </w:pPr>
    </w:p>
    <w:p w14:paraId="43F52BB8" w14:textId="1D1CCF10" w:rsidR="00357D02" w:rsidRPr="00AB423F" w:rsidRDefault="00357D02" w:rsidP="00F6394A">
      <w:pPr>
        <w:spacing w:line="276" w:lineRule="auto"/>
        <w:rPr>
          <w:rFonts w:ascii="Calibri" w:hAnsi="Calibri" w:cs="Calibri"/>
          <w:color w:val="000000" w:themeColor="text1"/>
          <w:shd w:val="clear" w:color="auto" w:fill="FFFFFF"/>
        </w:rPr>
      </w:pPr>
      <w:r w:rsidRPr="00AB423F">
        <w:rPr>
          <w:rFonts w:ascii="Calibri" w:hAnsi="Calibri" w:cs="Calibri"/>
          <w:color w:val="000000" w:themeColor="text1"/>
          <w:shd w:val="clear" w:color="auto" w:fill="FFFFFF"/>
        </w:rPr>
        <w:t xml:space="preserve">Holzer, H. (2014) </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Respect the relics</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 </w:t>
      </w:r>
      <w:r w:rsidRPr="00AB423F">
        <w:rPr>
          <w:rFonts w:ascii="Calibri" w:hAnsi="Calibri" w:cs="Calibri"/>
          <w:i/>
          <w:iCs/>
          <w:color w:val="000000" w:themeColor="text1"/>
          <w:shd w:val="clear" w:color="auto" w:fill="FFFFFF"/>
        </w:rPr>
        <w:t>America’s Civil War</w:t>
      </w:r>
      <w:r w:rsidRPr="00AB423F">
        <w:rPr>
          <w:rFonts w:ascii="Calibri" w:hAnsi="Calibri" w:cs="Calibri"/>
          <w:color w:val="000000" w:themeColor="text1"/>
          <w:shd w:val="clear" w:color="auto" w:fill="FFFFFF"/>
        </w:rPr>
        <w:t xml:space="preserve">, p. 22. Available at: </w:t>
      </w:r>
      <w:hyperlink r:id="rId33" w:history="1">
        <w:r w:rsidRPr="00AB423F">
          <w:rPr>
            <w:rStyle w:val="Hyperlink"/>
            <w:rFonts w:ascii="Calibri" w:hAnsi="Calibri" w:cs="Calibri"/>
            <w:color w:val="000000" w:themeColor="text1"/>
            <w:shd w:val="clear" w:color="auto" w:fill="FFFFFF"/>
          </w:rPr>
          <w:t>https://www.proquest.com/doc</w:t>
        </w:r>
        <w:r w:rsidRPr="00AB423F">
          <w:rPr>
            <w:rStyle w:val="Hyperlink"/>
            <w:rFonts w:ascii="Calibri" w:hAnsi="Calibri" w:cs="Calibri"/>
            <w:color w:val="000000" w:themeColor="text1"/>
            <w:shd w:val="clear" w:color="auto" w:fill="FFFFFF"/>
          </w:rPr>
          <w:t>v</w:t>
        </w:r>
        <w:r w:rsidRPr="00AB423F">
          <w:rPr>
            <w:rStyle w:val="Hyperlink"/>
            <w:rFonts w:ascii="Calibri" w:hAnsi="Calibri" w:cs="Calibri"/>
            <w:color w:val="000000" w:themeColor="text1"/>
            <w:shd w:val="clear" w:color="auto" w:fill="FFFFFF"/>
          </w:rPr>
          <w:t>iew/1560371965/fulltext/A61D6A853E174B48PQ/1?accountid=130472&amp;sourcetype=Magazines</w:t>
        </w:r>
      </w:hyperlink>
      <w:r w:rsidRPr="00AB423F">
        <w:rPr>
          <w:rFonts w:ascii="Calibri" w:hAnsi="Calibri" w:cs="Calibri"/>
          <w:color w:val="000000" w:themeColor="text1"/>
          <w:shd w:val="clear" w:color="auto" w:fill="FFFFFF"/>
        </w:rPr>
        <w:t xml:space="preserve"> (Accessed: 15 January 2026).</w:t>
      </w:r>
    </w:p>
    <w:p w14:paraId="68CF0C3D" w14:textId="77777777" w:rsidR="00FE41E5" w:rsidRPr="00AB423F" w:rsidRDefault="00FE41E5" w:rsidP="00F6394A">
      <w:pPr>
        <w:spacing w:line="276" w:lineRule="auto"/>
        <w:rPr>
          <w:rFonts w:ascii="Calibri" w:hAnsi="Calibri" w:cs="Calibri"/>
          <w:color w:val="000000" w:themeColor="text1"/>
          <w:shd w:val="clear" w:color="auto" w:fill="FFFFFF"/>
        </w:rPr>
      </w:pPr>
    </w:p>
    <w:p w14:paraId="2F9B1DBE" w14:textId="4CC5F752" w:rsidR="00357D02" w:rsidRPr="00AB423F" w:rsidRDefault="00357D02" w:rsidP="00F6394A">
      <w:pPr>
        <w:spacing w:line="276" w:lineRule="auto"/>
        <w:rPr>
          <w:rFonts w:ascii="Calibri" w:hAnsi="Calibri" w:cs="Calibri"/>
          <w:color w:val="000000" w:themeColor="text1"/>
        </w:rPr>
      </w:pPr>
      <w:r w:rsidRPr="00AB423F">
        <w:rPr>
          <w:rFonts w:ascii="Calibri" w:hAnsi="Calibri" w:cs="Calibri"/>
          <w:color w:val="000000" w:themeColor="text1"/>
          <w:shd w:val="clear" w:color="auto" w:fill="FFFFFF"/>
        </w:rPr>
        <w:t xml:space="preserve">Ijams Spaid, B. (2018) </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Exploring consumer collecting behaviour: a conceptual model and research agenda</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 </w:t>
      </w:r>
      <w:r w:rsidRPr="00AB423F">
        <w:rPr>
          <w:rFonts w:ascii="Calibri" w:hAnsi="Calibri" w:cs="Calibri"/>
          <w:i/>
          <w:iCs/>
          <w:color w:val="000000" w:themeColor="text1"/>
          <w:shd w:val="clear" w:color="auto" w:fill="FFFFFF"/>
        </w:rPr>
        <w:t>The Journal of Consumer Marketing</w:t>
      </w:r>
      <w:r w:rsidRPr="00AB423F">
        <w:rPr>
          <w:rFonts w:ascii="Calibri" w:hAnsi="Calibri" w:cs="Calibri"/>
          <w:color w:val="000000" w:themeColor="text1"/>
          <w:shd w:val="clear" w:color="auto" w:fill="FFFFFF"/>
        </w:rPr>
        <w:t xml:space="preserve">, 35(6), pp. 653–662. Available at: </w:t>
      </w:r>
      <w:hyperlink r:id="rId34" w:history="1">
        <w:r w:rsidRPr="00AB423F">
          <w:rPr>
            <w:rStyle w:val="Hyperlink"/>
            <w:rFonts w:ascii="Calibri" w:hAnsi="Calibri" w:cs="Calibri"/>
            <w:color w:val="000000" w:themeColor="text1"/>
            <w:shd w:val="clear" w:color="auto" w:fill="FFFFFF"/>
          </w:rPr>
          <w:t>https://doi.org/10.1108/JCM-05-2017-2224</w:t>
        </w:r>
      </w:hyperlink>
    </w:p>
    <w:p w14:paraId="539CFBF8" w14:textId="77777777" w:rsidR="00FE41E5" w:rsidRPr="00AB423F" w:rsidRDefault="00FE41E5" w:rsidP="00F6394A">
      <w:pPr>
        <w:spacing w:line="276" w:lineRule="auto"/>
        <w:rPr>
          <w:rFonts w:ascii="Calibri" w:hAnsi="Calibri" w:cs="Calibri"/>
          <w:color w:val="000000" w:themeColor="text1"/>
          <w:shd w:val="clear" w:color="auto" w:fill="FFFFFF"/>
        </w:rPr>
      </w:pPr>
    </w:p>
    <w:p w14:paraId="6CD0CB13" w14:textId="7CF1DB29" w:rsidR="00357D02" w:rsidRPr="00AB423F" w:rsidRDefault="00357D02" w:rsidP="00F6394A">
      <w:pPr>
        <w:spacing w:line="276" w:lineRule="auto"/>
        <w:rPr>
          <w:rFonts w:ascii="Calibri" w:hAnsi="Calibri" w:cs="Calibri"/>
          <w:color w:val="000000" w:themeColor="text1"/>
        </w:rPr>
      </w:pPr>
      <w:r w:rsidRPr="00AB423F">
        <w:rPr>
          <w:rFonts w:ascii="Calibri" w:hAnsi="Calibri" w:cs="Calibri"/>
          <w:color w:val="000000" w:themeColor="text1"/>
        </w:rPr>
        <w:t xml:space="preserve">IWM (2025) </w:t>
      </w:r>
      <w:r w:rsidRPr="00AB423F">
        <w:rPr>
          <w:rFonts w:ascii="Calibri" w:hAnsi="Calibri" w:cs="Calibri"/>
          <w:i/>
          <w:iCs/>
          <w:color w:val="000000" w:themeColor="text1"/>
        </w:rPr>
        <w:t xml:space="preserve">Recovering the Relics of War: Exploring ways in which the material culture recovered from sites of conflict can be used in affective storytelling. </w:t>
      </w:r>
      <w:r w:rsidRPr="00AB423F">
        <w:rPr>
          <w:rFonts w:ascii="Calibri" w:hAnsi="Calibri" w:cs="Calibri"/>
          <w:color w:val="000000" w:themeColor="text1"/>
        </w:rPr>
        <w:t xml:space="preserve">Available at: </w:t>
      </w:r>
      <w:hyperlink r:id="rId35" w:history="1">
        <w:r w:rsidRPr="00AB423F">
          <w:rPr>
            <w:rStyle w:val="Hyperlink"/>
            <w:rFonts w:ascii="Calibri" w:hAnsi="Calibri" w:cs="Calibri"/>
            <w:color w:val="000000" w:themeColor="text1"/>
          </w:rPr>
          <w:t>https://www.iwm.org.uk/sites/default/files/files/2025-10/Recovering%20the%20Relics%20of%20War%20CDP%20Advert_FINAL.pdf</w:t>
        </w:r>
      </w:hyperlink>
      <w:r w:rsidRPr="00AB423F">
        <w:rPr>
          <w:rFonts w:ascii="Calibri" w:hAnsi="Calibri" w:cs="Calibri"/>
          <w:color w:val="000000" w:themeColor="text1"/>
        </w:rPr>
        <w:t xml:space="preserve"> (Accessed: 19 January 202</w:t>
      </w:r>
      <w:r w:rsidR="002D3F00" w:rsidRPr="00AB423F">
        <w:rPr>
          <w:rFonts w:ascii="Calibri" w:hAnsi="Calibri" w:cs="Calibri"/>
          <w:color w:val="000000" w:themeColor="text1"/>
        </w:rPr>
        <w:t>6</w:t>
      </w:r>
      <w:r w:rsidRPr="00AB423F">
        <w:rPr>
          <w:rFonts w:ascii="Calibri" w:hAnsi="Calibri" w:cs="Calibri"/>
          <w:color w:val="000000" w:themeColor="text1"/>
        </w:rPr>
        <w:t>).</w:t>
      </w:r>
    </w:p>
    <w:p w14:paraId="396C2BDA" w14:textId="77777777" w:rsidR="00FE41E5" w:rsidRPr="00AB423F" w:rsidRDefault="00FE41E5" w:rsidP="00F6394A">
      <w:pPr>
        <w:spacing w:line="276" w:lineRule="auto"/>
        <w:rPr>
          <w:rFonts w:ascii="Calibri" w:hAnsi="Calibri" w:cs="Calibri"/>
          <w:color w:val="000000" w:themeColor="text1"/>
        </w:rPr>
      </w:pPr>
    </w:p>
    <w:p w14:paraId="210B9BEE" w14:textId="77777777" w:rsidR="00357D02" w:rsidRPr="00AB423F" w:rsidRDefault="00357D02" w:rsidP="00F6394A">
      <w:pPr>
        <w:spacing w:line="276" w:lineRule="auto"/>
        <w:rPr>
          <w:rFonts w:ascii="Calibri" w:hAnsi="Calibri" w:cs="Calibri"/>
          <w:color w:val="000000" w:themeColor="text1"/>
        </w:rPr>
      </w:pPr>
      <w:proofErr w:type="spellStart"/>
      <w:r w:rsidRPr="00AB423F">
        <w:rPr>
          <w:rFonts w:ascii="Calibri" w:hAnsi="Calibri" w:cs="Calibri"/>
          <w:color w:val="000000" w:themeColor="text1"/>
        </w:rPr>
        <w:t>L’Est</w:t>
      </w:r>
      <w:proofErr w:type="spellEnd"/>
      <w:r w:rsidRPr="00AB423F">
        <w:rPr>
          <w:rFonts w:ascii="Calibri" w:hAnsi="Calibri" w:cs="Calibri"/>
          <w:color w:val="000000" w:themeColor="text1"/>
        </w:rPr>
        <w:t xml:space="preserve"> </w:t>
      </w:r>
      <w:proofErr w:type="spellStart"/>
      <w:r w:rsidRPr="00AB423F">
        <w:rPr>
          <w:rFonts w:ascii="Calibri" w:hAnsi="Calibri" w:cs="Calibri"/>
          <w:color w:val="000000" w:themeColor="text1"/>
        </w:rPr>
        <w:t>Républicain</w:t>
      </w:r>
      <w:proofErr w:type="spellEnd"/>
      <w:r w:rsidRPr="00AB423F">
        <w:rPr>
          <w:rFonts w:ascii="Calibri" w:hAnsi="Calibri" w:cs="Calibri"/>
          <w:color w:val="000000" w:themeColor="text1"/>
        </w:rPr>
        <w:t xml:space="preserve"> (2011) </w:t>
      </w:r>
      <w:r w:rsidRPr="00AB423F">
        <w:rPr>
          <w:rFonts w:ascii="Calibri" w:hAnsi="Calibri" w:cs="Calibri"/>
          <w:i/>
          <w:iCs/>
          <w:color w:val="000000" w:themeColor="text1"/>
        </w:rPr>
        <w:t>Jean-Pierre Verney.</w:t>
      </w:r>
      <w:r w:rsidRPr="00AB423F">
        <w:rPr>
          <w:rFonts w:ascii="Calibri" w:hAnsi="Calibri" w:cs="Calibri"/>
          <w:color w:val="000000" w:themeColor="text1"/>
        </w:rPr>
        <w:t xml:space="preserve"> Available at: </w:t>
      </w:r>
      <w:hyperlink r:id="rId36" w:history="1">
        <w:r w:rsidRPr="00AB423F">
          <w:rPr>
            <w:rStyle w:val="Hyperlink"/>
            <w:rFonts w:ascii="Calibri" w:hAnsi="Calibri" w:cs="Calibri"/>
            <w:color w:val="000000" w:themeColor="text1"/>
          </w:rPr>
          <w:t>https://www.estrepublicain.fr/actualite/2011/11/12/jean-pierre-verney?utm</w:t>
        </w:r>
      </w:hyperlink>
      <w:r w:rsidRPr="00AB423F">
        <w:rPr>
          <w:rFonts w:ascii="Calibri" w:hAnsi="Calibri" w:cs="Calibri"/>
          <w:color w:val="000000" w:themeColor="text1"/>
        </w:rPr>
        <w:t xml:space="preserve"> (Accessed: 23 January 2026).</w:t>
      </w:r>
    </w:p>
    <w:p w14:paraId="3FDA8348" w14:textId="77777777" w:rsidR="00FE41E5" w:rsidRPr="00AB423F" w:rsidRDefault="00FE41E5" w:rsidP="00F6394A">
      <w:pPr>
        <w:spacing w:line="276" w:lineRule="auto"/>
        <w:rPr>
          <w:rFonts w:ascii="Calibri" w:hAnsi="Calibri" w:cs="Calibri"/>
          <w:color w:val="000000" w:themeColor="text1"/>
        </w:rPr>
      </w:pPr>
    </w:p>
    <w:p w14:paraId="5569AEE2" w14:textId="77777777" w:rsidR="00357D02" w:rsidRPr="00AB423F" w:rsidRDefault="00357D02" w:rsidP="00F6394A">
      <w:pPr>
        <w:spacing w:line="276" w:lineRule="auto"/>
        <w:rPr>
          <w:rFonts w:ascii="Calibri" w:hAnsi="Calibri" w:cs="Calibri"/>
          <w:color w:val="000000" w:themeColor="text1"/>
          <w:shd w:val="clear" w:color="auto" w:fill="FFFFFF"/>
        </w:rPr>
      </w:pPr>
      <w:r w:rsidRPr="00AB423F">
        <w:rPr>
          <w:rFonts w:ascii="Calibri" w:hAnsi="Calibri" w:cs="Calibri"/>
          <w:color w:val="000000" w:themeColor="text1"/>
          <w:shd w:val="clear" w:color="auto" w:fill="FFFFFF"/>
        </w:rPr>
        <w:t xml:space="preserve">Lab, C. (2011) </w:t>
      </w:r>
      <w:r w:rsidRPr="00AB423F">
        <w:rPr>
          <w:rFonts w:ascii="Calibri" w:hAnsi="Calibri" w:cs="Calibri"/>
          <w:i/>
          <w:iCs/>
          <w:color w:val="000000" w:themeColor="text1"/>
          <w:shd w:val="clear" w:color="auto" w:fill="FFFFFF"/>
        </w:rPr>
        <w:t>Musee de la Grande Guerre.</w:t>
      </w:r>
      <w:r w:rsidRPr="00AB423F">
        <w:rPr>
          <w:rFonts w:ascii="Calibri" w:hAnsi="Calibri" w:cs="Calibri"/>
          <w:color w:val="000000" w:themeColor="text1"/>
          <w:shd w:val="clear" w:color="auto" w:fill="FFFFFF"/>
        </w:rPr>
        <w:t xml:space="preserve"> Available at: </w:t>
      </w:r>
      <w:hyperlink r:id="rId37" w:history="1">
        <w:r w:rsidRPr="00AB423F">
          <w:rPr>
            <w:rStyle w:val="Hyperlink"/>
            <w:rFonts w:ascii="Calibri" w:hAnsi="Calibri" w:cs="Calibri"/>
            <w:color w:val="000000" w:themeColor="text1"/>
            <w:shd w:val="clear" w:color="auto" w:fill="FFFFFF"/>
          </w:rPr>
          <w:t>https://www.archilovers.com/projects/45274/musee-de-la-grande-guerre.html</w:t>
        </w:r>
      </w:hyperlink>
      <w:r w:rsidRPr="00AB423F">
        <w:rPr>
          <w:rFonts w:ascii="Calibri" w:hAnsi="Calibri" w:cs="Calibri"/>
          <w:color w:val="000000" w:themeColor="text1"/>
          <w:shd w:val="clear" w:color="auto" w:fill="FFFFFF"/>
        </w:rPr>
        <w:t xml:space="preserve"> (Accessed: 15 January 2026).</w:t>
      </w:r>
    </w:p>
    <w:p w14:paraId="2842EECD" w14:textId="77777777" w:rsidR="00FE41E5" w:rsidRPr="00AB423F" w:rsidRDefault="00FE41E5" w:rsidP="00F6394A">
      <w:pPr>
        <w:spacing w:line="276" w:lineRule="auto"/>
        <w:rPr>
          <w:rFonts w:ascii="Calibri" w:hAnsi="Calibri" w:cs="Calibri"/>
          <w:color w:val="000000" w:themeColor="text1"/>
          <w:shd w:val="clear" w:color="auto" w:fill="FFFFFF"/>
        </w:rPr>
      </w:pPr>
    </w:p>
    <w:p w14:paraId="5267017F" w14:textId="77777777" w:rsidR="00357D02" w:rsidRPr="00AB423F" w:rsidRDefault="00357D02" w:rsidP="00F6394A">
      <w:pPr>
        <w:spacing w:line="276" w:lineRule="auto"/>
        <w:rPr>
          <w:rFonts w:ascii="Calibri" w:hAnsi="Calibri" w:cs="Calibri"/>
          <w:color w:val="000000" w:themeColor="text1"/>
        </w:rPr>
      </w:pPr>
      <w:r w:rsidRPr="00AB423F">
        <w:rPr>
          <w:rFonts w:ascii="Calibri" w:hAnsi="Calibri" w:cs="Calibri"/>
          <w:color w:val="000000" w:themeColor="text1"/>
        </w:rPr>
        <w:t xml:space="preserve">Losh, J. (2017). </w:t>
      </w:r>
      <w:r w:rsidRPr="00AB423F">
        <w:rPr>
          <w:rFonts w:ascii="Calibri" w:hAnsi="Calibri" w:cs="Calibri"/>
          <w:i/>
          <w:iCs/>
          <w:color w:val="000000" w:themeColor="text1"/>
        </w:rPr>
        <w:t>Battlefield bounty hunters: the detectorists of Eastern Europe.</w:t>
      </w:r>
      <w:r w:rsidRPr="00AB423F">
        <w:rPr>
          <w:rFonts w:ascii="Calibri" w:hAnsi="Calibri" w:cs="Calibri"/>
          <w:color w:val="000000" w:themeColor="text1"/>
        </w:rPr>
        <w:t xml:space="preserve"> Available at: </w:t>
      </w:r>
      <w:hyperlink r:id="rId38" w:history="1">
        <w:r w:rsidRPr="00AB423F">
          <w:rPr>
            <w:rStyle w:val="Hyperlink"/>
            <w:rFonts w:ascii="Calibri" w:hAnsi="Calibri" w:cs="Calibri"/>
            <w:color w:val="000000" w:themeColor="text1"/>
          </w:rPr>
          <w:t>https://www.theguardian.com/global/2017/sep/17/battlefield-bounty-hunters-in-polish-ww2-battlefields</w:t>
        </w:r>
      </w:hyperlink>
      <w:r w:rsidRPr="00AB423F">
        <w:rPr>
          <w:rFonts w:ascii="Calibri" w:hAnsi="Calibri" w:cs="Calibri"/>
          <w:color w:val="000000" w:themeColor="text1"/>
        </w:rPr>
        <w:t xml:space="preserve"> (Accessed: 22 January 2026).</w:t>
      </w:r>
    </w:p>
    <w:p w14:paraId="06917CA1" w14:textId="77777777" w:rsidR="00FE41E5" w:rsidRPr="00AB423F" w:rsidRDefault="00FE41E5" w:rsidP="00F6394A">
      <w:pPr>
        <w:spacing w:line="276" w:lineRule="auto"/>
        <w:rPr>
          <w:rFonts w:ascii="Calibri" w:hAnsi="Calibri" w:cs="Calibri"/>
          <w:color w:val="000000" w:themeColor="text1"/>
        </w:rPr>
      </w:pPr>
    </w:p>
    <w:p w14:paraId="54B14678" w14:textId="15116779" w:rsidR="00357D02" w:rsidRPr="00AB423F" w:rsidRDefault="00357D02" w:rsidP="00F6394A">
      <w:pPr>
        <w:spacing w:line="276" w:lineRule="auto"/>
        <w:rPr>
          <w:rFonts w:ascii="Calibri" w:hAnsi="Calibri" w:cs="Calibri"/>
          <w:color w:val="000000" w:themeColor="text1"/>
          <w:shd w:val="clear" w:color="auto" w:fill="FFFFFF"/>
        </w:rPr>
      </w:pPr>
      <w:r w:rsidRPr="00AB423F">
        <w:rPr>
          <w:rFonts w:ascii="Calibri" w:hAnsi="Calibri" w:cs="Calibri"/>
          <w:color w:val="000000" w:themeColor="text1"/>
          <w:shd w:val="clear" w:color="auto" w:fill="FFFFFF"/>
        </w:rPr>
        <w:t xml:space="preserve">Manek, R. (1991) </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Why They Collect: Collectors Reveal Their Motivations</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 </w:t>
      </w:r>
      <w:r w:rsidRPr="00AB423F">
        <w:rPr>
          <w:rFonts w:ascii="Calibri" w:hAnsi="Calibri" w:cs="Calibri"/>
          <w:i/>
          <w:iCs/>
          <w:color w:val="000000" w:themeColor="text1"/>
          <w:shd w:val="clear" w:color="auto" w:fill="FFFFFF"/>
        </w:rPr>
        <w:t>Journal of Social Behaviour and Personality</w:t>
      </w:r>
      <w:r w:rsidRPr="00AB423F">
        <w:rPr>
          <w:rFonts w:ascii="Calibri" w:hAnsi="Calibri" w:cs="Calibri"/>
          <w:color w:val="000000" w:themeColor="text1"/>
          <w:shd w:val="clear" w:color="auto" w:fill="FFFFFF"/>
        </w:rPr>
        <w:t xml:space="preserve">, 6(6), pp. 275–286. Available at: </w:t>
      </w:r>
      <w:hyperlink r:id="rId39" w:history="1">
        <w:r w:rsidRPr="00AB423F">
          <w:rPr>
            <w:rStyle w:val="Hyperlink"/>
            <w:rFonts w:ascii="Calibri" w:hAnsi="Calibri" w:cs="Calibri"/>
            <w:color w:val="000000" w:themeColor="text1"/>
            <w:shd w:val="clear" w:color="auto" w:fill="FFFFFF"/>
          </w:rPr>
          <w:t>https://www.proquest.com/openview/db49ec3dac9c7716c7965ca5fb3a1851/1?pq-origsite=gscholar&amp;cbl=1819046</w:t>
        </w:r>
      </w:hyperlink>
      <w:r w:rsidRPr="00AB423F">
        <w:rPr>
          <w:rFonts w:ascii="Calibri" w:hAnsi="Calibri" w:cs="Calibri"/>
          <w:color w:val="000000" w:themeColor="text1"/>
          <w:shd w:val="clear" w:color="auto" w:fill="FFFFFF"/>
        </w:rPr>
        <w:t xml:space="preserve"> (Accessed: 15 January 2026).</w:t>
      </w:r>
    </w:p>
    <w:p w14:paraId="065419C2" w14:textId="77777777" w:rsidR="00FE41E5" w:rsidRPr="00AB423F" w:rsidRDefault="00FE41E5" w:rsidP="00F6394A">
      <w:pPr>
        <w:spacing w:line="276" w:lineRule="auto"/>
        <w:rPr>
          <w:rFonts w:ascii="Calibri" w:hAnsi="Calibri" w:cs="Calibri"/>
          <w:color w:val="000000" w:themeColor="text1"/>
          <w:shd w:val="clear" w:color="auto" w:fill="FFFFFF"/>
        </w:rPr>
      </w:pPr>
    </w:p>
    <w:p w14:paraId="2FE94190" w14:textId="48BEA87E" w:rsidR="00357D02" w:rsidRPr="00AB423F" w:rsidRDefault="00357D02" w:rsidP="00F6394A">
      <w:pPr>
        <w:spacing w:line="276" w:lineRule="auto"/>
        <w:rPr>
          <w:rFonts w:ascii="Calibri" w:hAnsi="Calibri" w:cs="Calibri"/>
          <w:color w:val="000000" w:themeColor="text1"/>
          <w:shd w:val="clear" w:color="auto" w:fill="FFFFFF"/>
        </w:rPr>
      </w:pPr>
      <w:r w:rsidRPr="00AB423F">
        <w:rPr>
          <w:rFonts w:ascii="Calibri" w:hAnsi="Calibri" w:cs="Calibri"/>
          <w:color w:val="000000" w:themeColor="text1"/>
          <w:shd w:val="clear" w:color="auto" w:fill="FFFFFF"/>
        </w:rPr>
        <w:t xml:space="preserve">Manley, B. (2012) </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France opens Museum of the Great War on battlefields of the Marne</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 </w:t>
      </w:r>
      <w:r w:rsidRPr="00AB423F">
        <w:rPr>
          <w:rFonts w:ascii="Calibri" w:hAnsi="Calibri" w:cs="Calibri"/>
          <w:i/>
          <w:iCs/>
          <w:color w:val="000000" w:themeColor="text1"/>
          <w:shd w:val="clear" w:color="auto" w:fill="FFFFFF"/>
        </w:rPr>
        <w:t xml:space="preserve">Military </w:t>
      </w:r>
      <w:r w:rsidR="00A95B46" w:rsidRPr="00AB423F">
        <w:rPr>
          <w:rFonts w:ascii="Calibri" w:hAnsi="Calibri" w:cs="Calibri"/>
          <w:i/>
          <w:iCs/>
          <w:color w:val="000000" w:themeColor="text1"/>
          <w:shd w:val="clear" w:color="auto" w:fill="FFFFFF"/>
        </w:rPr>
        <w:t>H</w:t>
      </w:r>
      <w:r w:rsidRPr="00AB423F">
        <w:rPr>
          <w:rFonts w:ascii="Calibri" w:hAnsi="Calibri" w:cs="Calibri"/>
          <w:i/>
          <w:iCs/>
          <w:color w:val="000000" w:themeColor="text1"/>
          <w:shd w:val="clear" w:color="auto" w:fill="FFFFFF"/>
        </w:rPr>
        <w:t>istory</w:t>
      </w:r>
      <w:r w:rsidRPr="00AB423F">
        <w:rPr>
          <w:rFonts w:ascii="Calibri" w:hAnsi="Calibri" w:cs="Calibri"/>
          <w:color w:val="000000" w:themeColor="text1"/>
          <w:shd w:val="clear" w:color="auto" w:fill="FFFFFF"/>
        </w:rPr>
        <w:t xml:space="preserve">, p. 8. Available at: </w:t>
      </w:r>
      <w:hyperlink r:id="rId40" w:history="1">
        <w:r w:rsidRPr="00AB423F">
          <w:rPr>
            <w:rStyle w:val="Hyperlink"/>
            <w:rFonts w:ascii="Calibri" w:hAnsi="Calibri" w:cs="Calibri"/>
            <w:color w:val="000000" w:themeColor="text1"/>
            <w:shd w:val="clear" w:color="auto" w:fill="FFFFFF"/>
          </w:rPr>
          <w:t>https://www.proquest.com/docview/1011003790?accountid=130472&amp;parentSessionId=XtPujK%2B8AIPynMPl7MYGg760WSxVGsJhHCwaKMCM0Kw%3D&amp;pq-origsite=primo&amp;sourcetype=Magazines</w:t>
        </w:r>
      </w:hyperlink>
      <w:r w:rsidRPr="00AB423F">
        <w:rPr>
          <w:rFonts w:ascii="Calibri" w:hAnsi="Calibri" w:cs="Calibri"/>
          <w:color w:val="000000" w:themeColor="text1"/>
          <w:shd w:val="clear" w:color="auto" w:fill="FFFFFF"/>
        </w:rPr>
        <w:t xml:space="preserve"> (Accessed: 15 January 2026).</w:t>
      </w:r>
    </w:p>
    <w:p w14:paraId="5F63D37A" w14:textId="77777777" w:rsidR="00FE41E5" w:rsidRPr="00AB423F" w:rsidRDefault="00FE41E5" w:rsidP="00F6394A">
      <w:pPr>
        <w:spacing w:line="276" w:lineRule="auto"/>
        <w:rPr>
          <w:rFonts w:ascii="Calibri" w:hAnsi="Calibri" w:cs="Calibri"/>
          <w:color w:val="000000" w:themeColor="text1"/>
          <w:shd w:val="clear" w:color="auto" w:fill="FFFFFF"/>
        </w:rPr>
      </w:pPr>
    </w:p>
    <w:p w14:paraId="2284EE3B" w14:textId="7A989BEE" w:rsidR="00357D02" w:rsidRPr="00AB423F" w:rsidRDefault="00357D02" w:rsidP="00F6394A">
      <w:pPr>
        <w:spacing w:line="276" w:lineRule="auto"/>
        <w:rPr>
          <w:rFonts w:ascii="Calibri" w:hAnsi="Calibri" w:cs="Calibri"/>
          <w:color w:val="000000" w:themeColor="text1"/>
        </w:rPr>
      </w:pPr>
      <w:r w:rsidRPr="00AB423F">
        <w:rPr>
          <w:rFonts w:ascii="Calibri" w:hAnsi="Calibri" w:cs="Calibri"/>
          <w:color w:val="000000" w:themeColor="text1"/>
          <w:shd w:val="clear" w:color="auto" w:fill="FFFFFF"/>
        </w:rPr>
        <w:t>Mc</w:t>
      </w:r>
      <w:r w:rsidR="002D3F00" w:rsidRPr="00AB423F">
        <w:rPr>
          <w:rFonts w:ascii="Calibri" w:hAnsi="Calibri" w:cs="Calibri"/>
          <w:color w:val="000000" w:themeColor="text1"/>
          <w:shd w:val="clear" w:color="auto" w:fill="FFFFFF"/>
        </w:rPr>
        <w:t>I</w:t>
      </w:r>
      <w:r w:rsidRPr="00AB423F">
        <w:rPr>
          <w:rFonts w:ascii="Calibri" w:hAnsi="Calibri" w:cs="Calibri"/>
          <w:color w:val="000000" w:themeColor="text1"/>
          <w:shd w:val="clear" w:color="auto" w:fill="FFFFFF"/>
        </w:rPr>
        <w:t xml:space="preserve">ntosh, W.D. and Schmeichel, B. (2004) </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Collectors and Collecting: A Social Psychological Perspective</w:t>
      </w:r>
      <w:r w:rsidR="00A95B46" w:rsidRPr="00AB423F">
        <w:rPr>
          <w:rFonts w:ascii="Calibri" w:hAnsi="Calibri" w:cs="Calibri"/>
          <w:color w:val="000000" w:themeColor="text1"/>
          <w:shd w:val="clear" w:color="auto" w:fill="FFFFFF"/>
        </w:rPr>
        <w:t xml:space="preserve">’, </w:t>
      </w:r>
      <w:r w:rsidRPr="00AB423F">
        <w:rPr>
          <w:rFonts w:ascii="Calibri" w:hAnsi="Calibri" w:cs="Calibri"/>
          <w:i/>
          <w:iCs/>
          <w:color w:val="000000" w:themeColor="text1"/>
          <w:shd w:val="clear" w:color="auto" w:fill="FFFFFF"/>
        </w:rPr>
        <w:t>Leisure Sciences</w:t>
      </w:r>
      <w:r w:rsidRPr="00AB423F">
        <w:rPr>
          <w:rFonts w:ascii="Calibri" w:hAnsi="Calibri" w:cs="Calibri"/>
          <w:color w:val="000000" w:themeColor="text1"/>
          <w:shd w:val="clear" w:color="auto" w:fill="FFFFFF"/>
        </w:rPr>
        <w:t xml:space="preserve">, 26(1), pp. 85–97. Available at: </w:t>
      </w:r>
      <w:hyperlink r:id="rId41" w:history="1">
        <w:r w:rsidRPr="00AB423F">
          <w:rPr>
            <w:rStyle w:val="Hyperlink"/>
            <w:rFonts w:ascii="Calibri" w:hAnsi="Calibri" w:cs="Calibri"/>
            <w:color w:val="000000" w:themeColor="text1"/>
            <w:shd w:val="clear" w:color="auto" w:fill="FFFFFF"/>
          </w:rPr>
          <w:t>https://doi.org/10.1080/01490400490272639</w:t>
        </w:r>
      </w:hyperlink>
    </w:p>
    <w:p w14:paraId="1EA0A180" w14:textId="77777777" w:rsidR="00FE41E5" w:rsidRPr="00AB423F" w:rsidRDefault="00FE41E5" w:rsidP="00F6394A">
      <w:pPr>
        <w:spacing w:line="276" w:lineRule="auto"/>
        <w:rPr>
          <w:rFonts w:ascii="Calibri" w:hAnsi="Calibri" w:cs="Calibri"/>
          <w:color w:val="000000" w:themeColor="text1"/>
        </w:rPr>
      </w:pPr>
    </w:p>
    <w:p w14:paraId="60B41AC2" w14:textId="58213DEB" w:rsidR="00357D02" w:rsidRPr="00AB423F" w:rsidRDefault="00357D02" w:rsidP="00F6394A">
      <w:pPr>
        <w:spacing w:line="276" w:lineRule="auto"/>
        <w:rPr>
          <w:rFonts w:ascii="Calibri" w:hAnsi="Calibri" w:cs="Calibri"/>
          <w:color w:val="000000" w:themeColor="text1"/>
        </w:rPr>
      </w:pPr>
      <w:proofErr w:type="spellStart"/>
      <w:r w:rsidRPr="00AB423F">
        <w:rPr>
          <w:rFonts w:ascii="Calibri" w:hAnsi="Calibri" w:cs="Calibri"/>
          <w:color w:val="000000" w:themeColor="text1"/>
        </w:rPr>
        <w:t>Moshenska</w:t>
      </w:r>
      <w:proofErr w:type="spellEnd"/>
      <w:r w:rsidRPr="00AB423F">
        <w:rPr>
          <w:rFonts w:ascii="Calibri" w:hAnsi="Calibri" w:cs="Calibri"/>
          <w:color w:val="000000" w:themeColor="text1"/>
        </w:rPr>
        <w:t>, G. (2008) ‘Ethics and Ethical Critique in the Archaeology of Modern Conflict</w:t>
      </w:r>
      <w:r w:rsidR="00A95B46" w:rsidRPr="00AB423F">
        <w:rPr>
          <w:rFonts w:ascii="Calibri" w:hAnsi="Calibri" w:cs="Calibri"/>
          <w:color w:val="000000" w:themeColor="text1"/>
        </w:rPr>
        <w:t>’,</w:t>
      </w:r>
      <w:r w:rsidRPr="00AB423F">
        <w:rPr>
          <w:rFonts w:ascii="Calibri" w:hAnsi="Calibri" w:cs="Calibri"/>
          <w:color w:val="000000" w:themeColor="text1"/>
        </w:rPr>
        <w:t xml:space="preserve"> </w:t>
      </w:r>
      <w:r w:rsidRPr="00AB423F">
        <w:rPr>
          <w:rStyle w:val="Emphasis"/>
          <w:rFonts w:ascii="Calibri" w:eastAsiaTheme="majorEastAsia" w:hAnsi="Calibri" w:cs="Calibri"/>
          <w:color w:val="000000" w:themeColor="text1"/>
        </w:rPr>
        <w:t>Norwegian Archaeological Review</w:t>
      </w:r>
      <w:r w:rsidRPr="00AB423F">
        <w:rPr>
          <w:rFonts w:ascii="Calibri" w:hAnsi="Calibri" w:cs="Calibri"/>
          <w:color w:val="000000" w:themeColor="text1"/>
        </w:rPr>
        <w:t xml:space="preserve">, 41(2), pp. 159–175. Available at: </w:t>
      </w:r>
      <w:hyperlink r:id="rId42" w:history="1">
        <w:r w:rsidRPr="00AB423F">
          <w:rPr>
            <w:rStyle w:val="Hyperlink"/>
            <w:rFonts w:ascii="Calibri" w:hAnsi="Calibri" w:cs="Calibri"/>
            <w:color w:val="000000" w:themeColor="text1"/>
          </w:rPr>
          <w:t>https://doi.org/10.1080/00293650802522662</w:t>
        </w:r>
      </w:hyperlink>
    </w:p>
    <w:p w14:paraId="7780DC71" w14:textId="77777777" w:rsidR="00FE41E5" w:rsidRPr="00AB423F" w:rsidRDefault="00FE41E5" w:rsidP="00F6394A">
      <w:pPr>
        <w:spacing w:line="276" w:lineRule="auto"/>
        <w:rPr>
          <w:rFonts w:ascii="Calibri" w:hAnsi="Calibri" w:cs="Calibri"/>
          <w:color w:val="000000" w:themeColor="text1"/>
        </w:rPr>
      </w:pPr>
    </w:p>
    <w:p w14:paraId="78736FB2" w14:textId="77777777" w:rsidR="00357D02" w:rsidRPr="00AB423F" w:rsidRDefault="00357D02" w:rsidP="00F6394A">
      <w:pPr>
        <w:spacing w:line="276" w:lineRule="auto"/>
        <w:rPr>
          <w:rFonts w:ascii="Calibri" w:hAnsi="Calibri" w:cs="Calibri"/>
          <w:color w:val="000000" w:themeColor="text1"/>
          <w:shd w:val="clear" w:color="auto" w:fill="FFFFFF"/>
        </w:rPr>
      </w:pPr>
      <w:r w:rsidRPr="00AB423F">
        <w:rPr>
          <w:rFonts w:ascii="Calibri" w:hAnsi="Calibri" w:cs="Calibri"/>
          <w:color w:val="000000" w:themeColor="text1"/>
          <w:shd w:val="clear" w:color="auto" w:fill="FFFFFF"/>
        </w:rPr>
        <w:t>Musee de la Grande Guerre</w:t>
      </w:r>
      <w:r w:rsidRPr="00AB423F">
        <w:rPr>
          <w:rFonts w:ascii="Calibri" w:hAnsi="Calibri" w:cs="Calibri"/>
          <w:i/>
          <w:iCs/>
          <w:color w:val="000000" w:themeColor="text1"/>
          <w:shd w:val="clear" w:color="auto" w:fill="FFFFFF"/>
        </w:rPr>
        <w:t xml:space="preserve"> </w:t>
      </w:r>
      <w:r w:rsidRPr="00AB423F">
        <w:rPr>
          <w:rFonts w:ascii="Calibri" w:hAnsi="Calibri" w:cs="Calibri"/>
          <w:color w:val="000000" w:themeColor="text1"/>
          <w:shd w:val="clear" w:color="auto" w:fill="FFFFFF"/>
        </w:rPr>
        <w:t>(2026)</w:t>
      </w:r>
      <w:r w:rsidRPr="00AB423F">
        <w:rPr>
          <w:rFonts w:ascii="Calibri" w:hAnsi="Calibri" w:cs="Calibri"/>
          <w:i/>
          <w:iCs/>
          <w:color w:val="000000" w:themeColor="text1"/>
          <w:shd w:val="clear" w:color="auto" w:fill="FFFFFF"/>
        </w:rPr>
        <w:t xml:space="preserve"> Europe’s largest museum dedicated to 1914-1918. </w:t>
      </w:r>
      <w:r w:rsidRPr="00AB423F">
        <w:rPr>
          <w:rFonts w:ascii="Calibri" w:hAnsi="Calibri" w:cs="Calibri"/>
          <w:color w:val="000000" w:themeColor="text1"/>
          <w:shd w:val="clear" w:color="auto" w:fill="FFFFFF"/>
        </w:rPr>
        <w:t>Available at:</w:t>
      </w:r>
      <w:r w:rsidRPr="00AB423F">
        <w:rPr>
          <w:rFonts w:ascii="Calibri" w:hAnsi="Calibri" w:cs="Calibri"/>
          <w:i/>
          <w:iCs/>
          <w:color w:val="000000" w:themeColor="text1"/>
          <w:shd w:val="clear" w:color="auto" w:fill="FFFFFF"/>
        </w:rPr>
        <w:t xml:space="preserve"> </w:t>
      </w:r>
      <w:hyperlink r:id="rId43" w:history="1">
        <w:r w:rsidRPr="00AB423F">
          <w:rPr>
            <w:rStyle w:val="Hyperlink"/>
            <w:rFonts w:ascii="Calibri" w:hAnsi="Calibri" w:cs="Calibri"/>
            <w:color w:val="000000" w:themeColor="text1"/>
            <w:shd w:val="clear" w:color="auto" w:fill="FFFFFF"/>
          </w:rPr>
          <w:t>https://www.museedelagrandeguerre.com/</w:t>
        </w:r>
      </w:hyperlink>
      <w:r w:rsidRPr="00AB423F">
        <w:rPr>
          <w:rFonts w:ascii="Calibri" w:hAnsi="Calibri" w:cs="Calibri"/>
          <w:color w:val="000000" w:themeColor="text1"/>
          <w:shd w:val="clear" w:color="auto" w:fill="FFFFFF"/>
        </w:rPr>
        <w:t xml:space="preserve"> (Accessed: 15 January 2026).</w:t>
      </w:r>
    </w:p>
    <w:p w14:paraId="69583647" w14:textId="77777777" w:rsidR="006E12AF" w:rsidRPr="00AB423F" w:rsidRDefault="006E12AF" w:rsidP="00F6394A">
      <w:pPr>
        <w:spacing w:line="276" w:lineRule="auto"/>
        <w:rPr>
          <w:rFonts w:ascii="Calibri" w:hAnsi="Calibri" w:cs="Calibri"/>
          <w:color w:val="000000" w:themeColor="text1"/>
          <w:shd w:val="clear" w:color="auto" w:fill="FFFFFF"/>
        </w:rPr>
      </w:pPr>
    </w:p>
    <w:p w14:paraId="61467355" w14:textId="2D71C9DB" w:rsidR="006E12AF" w:rsidRPr="00AB423F" w:rsidRDefault="006E12AF" w:rsidP="00F6394A">
      <w:pPr>
        <w:spacing w:line="276" w:lineRule="auto"/>
        <w:rPr>
          <w:rFonts w:ascii="Calibri" w:hAnsi="Calibri" w:cs="Calibri"/>
          <w:color w:val="000000" w:themeColor="text1"/>
          <w:lang w:eastAsia="en-GB"/>
        </w:rPr>
      </w:pPr>
      <w:r w:rsidRPr="00AB423F">
        <w:rPr>
          <w:rFonts w:ascii="Calibri" w:hAnsi="Calibri" w:cs="Calibri"/>
          <w:color w:val="000000" w:themeColor="text1"/>
        </w:rPr>
        <w:t xml:space="preserve">Musee de la Grande Guerre (2026) </w:t>
      </w:r>
      <w:r w:rsidRPr="00AB423F">
        <w:rPr>
          <w:rFonts w:ascii="Calibri" w:hAnsi="Calibri" w:cs="Calibri"/>
          <w:i/>
          <w:iCs/>
          <w:color w:val="000000" w:themeColor="text1"/>
          <w:lang w:eastAsia="en-GB"/>
        </w:rPr>
        <w:t xml:space="preserve">Infantryman in the King’s Royal Rifle Corps, United Kingdom, 1914. </w:t>
      </w:r>
      <w:r w:rsidRPr="00AB423F">
        <w:rPr>
          <w:rFonts w:ascii="Calibri" w:hAnsi="Calibri" w:cs="Calibri"/>
          <w:color w:val="000000" w:themeColor="text1"/>
          <w:lang w:eastAsia="en-GB"/>
        </w:rPr>
        <w:t xml:space="preserve">Available at: </w:t>
      </w:r>
      <w:hyperlink r:id="rId44" w:history="1">
        <w:r w:rsidRPr="00AB423F">
          <w:rPr>
            <w:rStyle w:val="Hyperlink"/>
            <w:rFonts w:ascii="Calibri" w:hAnsi="Calibri" w:cs="Calibri"/>
            <w:color w:val="000000" w:themeColor="text1"/>
            <w:lang w:eastAsia="en-GB"/>
          </w:rPr>
          <w:t>https://www.museedelagrandeguerre.com/en/collections/infantryman-in-the-kings-royal-rifle-corps/</w:t>
        </w:r>
      </w:hyperlink>
      <w:r w:rsidRPr="00AB423F">
        <w:rPr>
          <w:rFonts w:ascii="Calibri" w:hAnsi="Calibri" w:cs="Calibri"/>
          <w:color w:val="000000" w:themeColor="text1"/>
          <w:lang w:eastAsia="en-GB"/>
        </w:rPr>
        <w:t xml:space="preserve"> (Accessed: </w:t>
      </w:r>
      <w:r w:rsidR="003B2ED2" w:rsidRPr="00AB423F">
        <w:rPr>
          <w:rFonts w:ascii="Calibri" w:hAnsi="Calibri" w:cs="Calibri"/>
          <w:color w:val="000000" w:themeColor="text1"/>
          <w:lang w:eastAsia="en-GB"/>
        </w:rPr>
        <w:t>25 January 2026).</w:t>
      </w:r>
    </w:p>
    <w:p w14:paraId="579D6391" w14:textId="77777777" w:rsidR="00863309" w:rsidRPr="00AB423F" w:rsidRDefault="00863309" w:rsidP="00F6394A">
      <w:pPr>
        <w:spacing w:line="276" w:lineRule="auto"/>
        <w:rPr>
          <w:rFonts w:ascii="Calibri" w:hAnsi="Calibri" w:cs="Calibri"/>
          <w:color w:val="000000" w:themeColor="text1"/>
          <w:shd w:val="clear" w:color="auto" w:fill="FFFFFF"/>
        </w:rPr>
      </w:pPr>
    </w:p>
    <w:p w14:paraId="1A93D803" w14:textId="6E18D6B4" w:rsidR="00863309" w:rsidRPr="00AB423F" w:rsidRDefault="00863309" w:rsidP="00F6394A">
      <w:pPr>
        <w:spacing w:line="276" w:lineRule="auto"/>
        <w:rPr>
          <w:rFonts w:ascii="Calibri" w:hAnsi="Calibri" w:cs="Calibri"/>
          <w:color w:val="000000" w:themeColor="text1"/>
          <w:lang w:eastAsia="en-GB"/>
        </w:rPr>
      </w:pPr>
      <w:r w:rsidRPr="00AB423F">
        <w:rPr>
          <w:rFonts w:ascii="Calibri" w:hAnsi="Calibri" w:cs="Calibri"/>
          <w:color w:val="000000" w:themeColor="text1"/>
        </w:rPr>
        <w:t xml:space="preserve">Musee de la Grande Guerre (2026) </w:t>
      </w:r>
      <w:r w:rsidRPr="00AB423F">
        <w:rPr>
          <w:rFonts w:ascii="Calibri" w:hAnsi="Calibri" w:cs="Calibri"/>
          <w:i/>
          <w:iCs/>
          <w:color w:val="000000" w:themeColor="text1"/>
          <w:lang w:eastAsia="en-GB"/>
        </w:rPr>
        <w:t xml:space="preserve">Left forearm prosthesis with articulated hand, also known as an American prosthesis. </w:t>
      </w:r>
      <w:r w:rsidRPr="00AB423F">
        <w:rPr>
          <w:rFonts w:ascii="Calibri" w:hAnsi="Calibri" w:cs="Calibri"/>
          <w:color w:val="000000" w:themeColor="text1"/>
          <w:lang w:eastAsia="en-GB"/>
        </w:rPr>
        <w:t xml:space="preserve">Available at: </w:t>
      </w:r>
      <w:hyperlink r:id="rId45" w:history="1">
        <w:r w:rsidRPr="00AB423F">
          <w:rPr>
            <w:rStyle w:val="Hyperlink"/>
            <w:rFonts w:ascii="Calibri" w:hAnsi="Calibri" w:cs="Calibri"/>
            <w:color w:val="000000" w:themeColor="text1"/>
            <w:lang w:eastAsia="en-GB"/>
          </w:rPr>
          <w:t>https://www.museedelagrandeguerre.com/collections/prothese/</w:t>
        </w:r>
      </w:hyperlink>
      <w:r w:rsidRPr="00AB423F">
        <w:rPr>
          <w:rFonts w:ascii="Calibri" w:hAnsi="Calibri" w:cs="Calibri"/>
          <w:color w:val="000000" w:themeColor="text1"/>
          <w:lang w:eastAsia="en-GB"/>
        </w:rPr>
        <w:t xml:space="preserve"> (Accessed: 25 January 2026).</w:t>
      </w:r>
    </w:p>
    <w:p w14:paraId="4D2357DC" w14:textId="77777777" w:rsidR="003B2ED2" w:rsidRPr="00AB423F" w:rsidRDefault="003B2ED2" w:rsidP="00F6394A">
      <w:pPr>
        <w:spacing w:line="276" w:lineRule="auto"/>
        <w:rPr>
          <w:rFonts w:ascii="Calibri" w:hAnsi="Calibri" w:cs="Calibri"/>
          <w:color w:val="000000" w:themeColor="text1"/>
          <w:lang w:eastAsia="en-GB"/>
        </w:rPr>
      </w:pPr>
    </w:p>
    <w:p w14:paraId="579314BD" w14:textId="59C6AC42" w:rsidR="003B2ED2" w:rsidRPr="00AB423F" w:rsidRDefault="003B2ED2" w:rsidP="00F6394A">
      <w:pPr>
        <w:spacing w:line="276" w:lineRule="auto"/>
        <w:rPr>
          <w:rFonts w:ascii="Calibri" w:hAnsi="Calibri" w:cs="Calibri"/>
          <w:color w:val="000000" w:themeColor="text1"/>
          <w:lang w:eastAsia="en-GB"/>
        </w:rPr>
      </w:pPr>
      <w:r w:rsidRPr="00AB423F">
        <w:rPr>
          <w:rFonts w:ascii="Calibri" w:hAnsi="Calibri" w:cs="Calibri"/>
          <w:color w:val="000000" w:themeColor="text1"/>
        </w:rPr>
        <w:t xml:space="preserve">Musee de la Grande Guerre (2026) </w:t>
      </w:r>
      <w:r w:rsidRPr="00AB423F">
        <w:rPr>
          <w:rFonts w:ascii="Calibri" w:hAnsi="Calibri" w:cs="Calibri"/>
          <w:i/>
          <w:iCs/>
          <w:color w:val="000000" w:themeColor="text1"/>
        </w:rPr>
        <w:t>Georges Bruyer’s monochrome etching of two French soldiers carrying a wounded or dead comrade through a devastated battlefield</w:t>
      </w:r>
      <w:r w:rsidRPr="00AB423F">
        <w:rPr>
          <w:rFonts w:ascii="Calibri" w:hAnsi="Calibri" w:cs="Calibri"/>
          <w:color w:val="000000" w:themeColor="text1"/>
        </w:rPr>
        <w:t xml:space="preserve">. Available at: </w:t>
      </w:r>
      <w:hyperlink r:id="rId46" w:history="1">
        <w:r w:rsidRPr="00AB423F">
          <w:rPr>
            <w:rStyle w:val="Hyperlink"/>
            <w:rFonts w:ascii="Calibri" w:hAnsi="Calibri" w:cs="Calibri"/>
            <w:color w:val="000000" w:themeColor="text1"/>
          </w:rPr>
          <w:t>https://www.museedelagrandeguerre.com/en/collections/georges-bruyer/</w:t>
        </w:r>
      </w:hyperlink>
      <w:r w:rsidRPr="00AB423F">
        <w:rPr>
          <w:rFonts w:ascii="Calibri" w:hAnsi="Calibri" w:cs="Calibri"/>
          <w:color w:val="000000" w:themeColor="text1"/>
        </w:rPr>
        <w:t xml:space="preserve"> (Accessed: 25 January 2026).</w:t>
      </w:r>
    </w:p>
    <w:p w14:paraId="7DADA4F3" w14:textId="77777777" w:rsidR="00FE41E5" w:rsidRPr="00AB423F" w:rsidRDefault="00FE41E5" w:rsidP="00F6394A">
      <w:pPr>
        <w:spacing w:line="276" w:lineRule="auto"/>
        <w:rPr>
          <w:rFonts w:ascii="Calibri" w:hAnsi="Calibri" w:cs="Calibri"/>
          <w:color w:val="000000" w:themeColor="text1"/>
          <w:shd w:val="clear" w:color="auto" w:fill="FFFFFF"/>
        </w:rPr>
      </w:pPr>
    </w:p>
    <w:p w14:paraId="7F90FD17" w14:textId="4231BD28" w:rsidR="00357D02" w:rsidRPr="00AB423F" w:rsidRDefault="00357D02" w:rsidP="00F6394A">
      <w:pPr>
        <w:spacing w:line="276" w:lineRule="auto"/>
        <w:rPr>
          <w:rFonts w:ascii="Calibri" w:hAnsi="Calibri" w:cs="Calibri"/>
          <w:color w:val="000000" w:themeColor="text1"/>
          <w:shd w:val="clear" w:color="auto" w:fill="FFFFFF"/>
        </w:rPr>
      </w:pPr>
      <w:r w:rsidRPr="00AB423F">
        <w:rPr>
          <w:rFonts w:ascii="Calibri" w:hAnsi="Calibri" w:cs="Calibri"/>
          <w:color w:val="000000" w:themeColor="text1"/>
          <w:shd w:val="clear" w:color="auto" w:fill="FFFFFF"/>
        </w:rPr>
        <w:t xml:space="preserve">Newson, P. and Young, R. (2022) </w:t>
      </w:r>
      <w:r w:rsidR="00A95B46" w:rsidRPr="00AB423F">
        <w:rPr>
          <w:rFonts w:ascii="Calibri" w:hAnsi="Calibri" w:cs="Calibri"/>
          <w:color w:val="000000" w:themeColor="text1"/>
          <w:shd w:val="clear" w:color="auto" w:fill="FFFFFF"/>
        </w:rPr>
        <w:t>‘</w:t>
      </w:r>
      <w:proofErr w:type="gramStart"/>
      <w:r w:rsidRPr="00AB423F">
        <w:rPr>
          <w:rFonts w:ascii="Calibri" w:hAnsi="Calibri" w:cs="Calibri"/>
          <w:color w:val="000000" w:themeColor="text1"/>
          <w:shd w:val="clear" w:color="auto" w:fill="FFFFFF"/>
        </w:rPr>
        <w:t>Post-conflict</w:t>
      </w:r>
      <w:proofErr w:type="gramEnd"/>
      <w:r w:rsidRPr="00AB423F">
        <w:rPr>
          <w:rFonts w:ascii="Calibri" w:hAnsi="Calibri" w:cs="Calibri"/>
          <w:color w:val="000000" w:themeColor="text1"/>
          <w:shd w:val="clear" w:color="auto" w:fill="FFFFFF"/>
        </w:rPr>
        <w:t xml:space="preserve"> ethics, archaeology and archaeological heritage: a call for discussion</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 </w:t>
      </w:r>
      <w:r w:rsidRPr="00AB423F">
        <w:rPr>
          <w:rFonts w:ascii="Calibri" w:hAnsi="Calibri" w:cs="Calibri"/>
          <w:i/>
          <w:iCs/>
          <w:color w:val="000000" w:themeColor="text1"/>
          <w:shd w:val="clear" w:color="auto" w:fill="FFFFFF"/>
        </w:rPr>
        <w:t xml:space="preserve">Archaeological </w:t>
      </w:r>
      <w:r w:rsidR="00FE41E5" w:rsidRPr="00AB423F">
        <w:rPr>
          <w:rFonts w:ascii="Calibri" w:hAnsi="Calibri" w:cs="Calibri"/>
          <w:i/>
          <w:iCs/>
          <w:color w:val="000000" w:themeColor="text1"/>
          <w:shd w:val="clear" w:color="auto" w:fill="FFFFFF"/>
        </w:rPr>
        <w:t>D</w:t>
      </w:r>
      <w:r w:rsidRPr="00AB423F">
        <w:rPr>
          <w:rFonts w:ascii="Calibri" w:hAnsi="Calibri" w:cs="Calibri"/>
          <w:i/>
          <w:iCs/>
          <w:color w:val="000000" w:themeColor="text1"/>
          <w:shd w:val="clear" w:color="auto" w:fill="FFFFFF"/>
        </w:rPr>
        <w:t>ialogues</w:t>
      </w:r>
      <w:r w:rsidRPr="00AB423F">
        <w:rPr>
          <w:rFonts w:ascii="Calibri" w:hAnsi="Calibri" w:cs="Calibri"/>
          <w:color w:val="000000" w:themeColor="text1"/>
          <w:shd w:val="clear" w:color="auto" w:fill="FFFFFF"/>
        </w:rPr>
        <w:t xml:space="preserve">, 29(2), pp. 155–171. Available at: </w:t>
      </w:r>
      <w:hyperlink r:id="rId47" w:history="1">
        <w:r w:rsidRPr="00AB423F">
          <w:rPr>
            <w:rStyle w:val="Hyperlink"/>
            <w:rFonts w:ascii="Calibri" w:hAnsi="Calibri" w:cs="Calibri"/>
            <w:color w:val="000000" w:themeColor="text1"/>
            <w:shd w:val="clear" w:color="auto" w:fill="FFFFFF"/>
          </w:rPr>
          <w:t>https://doi.org/10.1017/S1380203822000253</w:t>
        </w:r>
      </w:hyperlink>
    </w:p>
    <w:p w14:paraId="2DD98728" w14:textId="77777777" w:rsidR="00FE41E5" w:rsidRPr="00AB423F" w:rsidRDefault="00FE41E5" w:rsidP="00F6394A">
      <w:pPr>
        <w:spacing w:line="276" w:lineRule="auto"/>
        <w:rPr>
          <w:rFonts w:ascii="Calibri" w:hAnsi="Calibri" w:cs="Calibri"/>
          <w:color w:val="000000" w:themeColor="text1"/>
          <w:shd w:val="clear" w:color="auto" w:fill="FFFFFF"/>
        </w:rPr>
      </w:pPr>
    </w:p>
    <w:p w14:paraId="784A5E1A" w14:textId="27157892" w:rsidR="00357D02" w:rsidRPr="00AB423F" w:rsidRDefault="00357D02" w:rsidP="00F6394A">
      <w:pPr>
        <w:spacing w:line="276" w:lineRule="auto"/>
        <w:rPr>
          <w:rFonts w:ascii="Calibri" w:hAnsi="Calibri" w:cs="Calibri"/>
          <w:color w:val="000000" w:themeColor="text1"/>
          <w:shd w:val="clear" w:color="auto" w:fill="FFFFFF"/>
        </w:rPr>
      </w:pPr>
      <w:r w:rsidRPr="00AB423F">
        <w:rPr>
          <w:rFonts w:ascii="Calibri" w:hAnsi="Calibri" w:cs="Calibri"/>
          <w:color w:val="000000" w:themeColor="text1"/>
          <w:shd w:val="clear" w:color="auto" w:fill="FFFFFF"/>
        </w:rPr>
        <w:t xml:space="preserve">Payton, S. (2009) </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No retreat for medal winners: the markets for militaria and wartime ephemera offer enthusiasts a relatively safe haven</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 </w:t>
      </w:r>
      <w:r w:rsidRPr="00AB423F">
        <w:rPr>
          <w:rFonts w:ascii="Calibri" w:hAnsi="Calibri" w:cs="Calibri"/>
          <w:i/>
          <w:iCs/>
          <w:color w:val="000000" w:themeColor="text1"/>
          <w:shd w:val="clear" w:color="auto" w:fill="FFFFFF"/>
        </w:rPr>
        <w:t>The Spectator</w:t>
      </w:r>
      <w:r w:rsidRPr="00AB423F">
        <w:rPr>
          <w:rFonts w:ascii="Calibri" w:hAnsi="Calibri" w:cs="Calibri"/>
          <w:color w:val="000000" w:themeColor="text1"/>
          <w:shd w:val="clear" w:color="auto" w:fill="FFFFFF"/>
        </w:rPr>
        <w:t xml:space="preserve">, p. 34. Available at: </w:t>
      </w:r>
      <w:hyperlink r:id="rId48" w:history="1">
        <w:r w:rsidRPr="00AB423F">
          <w:rPr>
            <w:rStyle w:val="Hyperlink"/>
            <w:rFonts w:ascii="Calibri" w:hAnsi="Calibri" w:cs="Calibri"/>
            <w:color w:val="000000" w:themeColor="text1"/>
            <w:shd w:val="clear" w:color="auto" w:fill="FFFFFF"/>
          </w:rPr>
          <w:t>https://www.proquest.com/docview/201294020/5C44067BAF164EF0PQ/9?accountid=130472&amp;sourcetype=Magazines</w:t>
        </w:r>
      </w:hyperlink>
      <w:r w:rsidRPr="00AB423F">
        <w:rPr>
          <w:rFonts w:ascii="Calibri" w:hAnsi="Calibri" w:cs="Calibri"/>
          <w:color w:val="000000" w:themeColor="text1"/>
          <w:shd w:val="clear" w:color="auto" w:fill="FFFFFF"/>
        </w:rPr>
        <w:t xml:space="preserve"> (Accessed: 19 January 2026).</w:t>
      </w:r>
    </w:p>
    <w:p w14:paraId="0C18209B" w14:textId="77777777" w:rsidR="00FE41E5" w:rsidRPr="00AB423F" w:rsidRDefault="00FE41E5" w:rsidP="00F6394A">
      <w:pPr>
        <w:spacing w:line="276" w:lineRule="auto"/>
        <w:rPr>
          <w:rFonts w:ascii="Calibri" w:hAnsi="Calibri" w:cs="Calibri"/>
          <w:color w:val="000000" w:themeColor="text1"/>
        </w:rPr>
      </w:pPr>
    </w:p>
    <w:p w14:paraId="58090A4C" w14:textId="77777777" w:rsidR="00357D02" w:rsidRPr="00AB423F" w:rsidRDefault="00357D02" w:rsidP="00F6394A">
      <w:pPr>
        <w:spacing w:line="276" w:lineRule="auto"/>
        <w:rPr>
          <w:rFonts w:ascii="Calibri" w:hAnsi="Calibri" w:cs="Calibri"/>
          <w:color w:val="000000" w:themeColor="text1"/>
        </w:rPr>
      </w:pPr>
      <w:r w:rsidRPr="00AB423F">
        <w:rPr>
          <w:rFonts w:ascii="Calibri" w:hAnsi="Calibri" w:cs="Calibri"/>
          <w:color w:val="000000" w:themeColor="text1"/>
        </w:rPr>
        <w:t xml:space="preserve">Pineau, E. (2011) </w:t>
      </w:r>
      <w:r w:rsidRPr="00AB423F">
        <w:rPr>
          <w:rFonts w:ascii="Calibri" w:hAnsi="Calibri" w:cs="Calibri"/>
          <w:i/>
          <w:iCs/>
          <w:color w:val="000000" w:themeColor="text1"/>
        </w:rPr>
        <w:t xml:space="preserve">The Great War Museum in Meaux, a memorial to a tragedy. </w:t>
      </w:r>
      <w:r w:rsidRPr="00AB423F">
        <w:rPr>
          <w:rFonts w:ascii="Calibri" w:hAnsi="Calibri" w:cs="Calibri"/>
          <w:color w:val="000000" w:themeColor="text1"/>
        </w:rPr>
        <w:t xml:space="preserve">Available at: </w:t>
      </w:r>
      <w:hyperlink r:id="rId49" w:history="1">
        <w:r w:rsidRPr="00AB423F">
          <w:rPr>
            <w:rStyle w:val="Hyperlink"/>
            <w:rFonts w:ascii="Calibri" w:hAnsi="Calibri" w:cs="Calibri"/>
            <w:color w:val="000000" w:themeColor="text1"/>
          </w:rPr>
          <w:t>https://www.bfmtv.com/societe/le-musee-de-la-grande-guerre-de-meaux-memoire-d-une-tragedie_AN-201111110009.html</w:t>
        </w:r>
      </w:hyperlink>
      <w:r w:rsidRPr="00AB423F">
        <w:rPr>
          <w:rFonts w:ascii="Calibri" w:hAnsi="Calibri" w:cs="Calibri"/>
          <w:color w:val="000000" w:themeColor="text1"/>
        </w:rPr>
        <w:t xml:space="preserve"> (Accessed: 23 January 2026).</w:t>
      </w:r>
    </w:p>
    <w:p w14:paraId="79987977" w14:textId="77777777" w:rsidR="00FE41E5" w:rsidRPr="00AB423F" w:rsidRDefault="00FE41E5" w:rsidP="00F6394A">
      <w:pPr>
        <w:spacing w:line="276" w:lineRule="auto"/>
        <w:rPr>
          <w:rFonts w:ascii="Calibri" w:hAnsi="Calibri" w:cs="Calibri"/>
          <w:color w:val="000000" w:themeColor="text1"/>
        </w:rPr>
      </w:pPr>
    </w:p>
    <w:p w14:paraId="6DDCF360" w14:textId="0D137B76" w:rsidR="00357D02" w:rsidRPr="00AB423F" w:rsidRDefault="00357D02" w:rsidP="00F6394A">
      <w:pPr>
        <w:spacing w:line="276" w:lineRule="auto"/>
        <w:rPr>
          <w:rFonts w:ascii="Calibri" w:hAnsi="Calibri" w:cs="Calibri"/>
          <w:color w:val="000000" w:themeColor="text1"/>
        </w:rPr>
      </w:pPr>
      <w:r w:rsidRPr="00AB423F">
        <w:rPr>
          <w:rFonts w:ascii="Calibri" w:hAnsi="Calibri" w:cs="Calibri"/>
          <w:color w:val="000000" w:themeColor="text1"/>
          <w:shd w:val="clear" w:color="auto" w:fill="FFFFFF"/>
        </w:rPr>
        <w:t xml:space="preserve">Pollard, T. (2023) </w:t>
      </w:r>
      <w:proofErr w:type="gramStart"/>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I</w:t>
      </w:r>
      <w:proofErr w:type="gramEnd"/>
      <w:r w:rsidRPr="00AB423F">
        <w:rPr>
          <w:rFonts w:ascii="Calibri" w:hAnsi="Calibri" w:cs="Calibri"/>
          <w:color w:val="000000" w:themeColor="text1"/>
          <w:shd w:val="clear" w:color="auto" w:fill="FFFFFF"/>
        </w:rPr>
        <w:t xml:space="preserve"> have been Eighteen times since that awful day</w:t>
      </w:r>
      <w:r w:rsidR="00A95B46" w:rsidRPr="00AB423F">
        <w:rPr>
          <w:rFonts w:ascii="Calibri" w:hAnsi="Calibri" w:cs="Calibri"/>
          <w:color w:val="000000" w:themeColor="text1"/>
          <w:shd w:val="clear" w:color="auto" w:fill="FFFFFF"/>
        </w:rPr>
        <w:t>”’,</w:t>
      </w:r>
      <w:r w:rsidR="00FE41E5" w:rsidRPr="00AB423F">
        <w:rPr>
          <w:rFonts w:ascii="Calibri" w:hAnsi="Calibri" w:cs="Calibri"/>
          <w:i/>
          <w:iCs/>
          <w:color w:val="000000" w:themeColor="text1"/>
          <w:shd w:val="clear" w:color="auto" w:fill="FFFFFF"/>
        </w:rPr>
        <w:t xml:space="preserve"> </w:t>
      </w:r>
      <w:r w:rsidRPr="00AB423F">
        <w:rPr>
          <w:rFonts w:ascii="Calibri" w:hAnsi="Calibri" w:cs="Calibri"/>
          <w:i/>
          <w:iCs/>
          <w:color w:val="000000" w:themeColor="text1"/>
          <w:shd w:val="clear" w:color="auto" w:fill="FFFFFF"/>
        </w:rPr>
        <w:t xml:space="preserve">Journal of </w:t>
      </w:r>
      <w:r w:rsidR="00FE41E5" w:rsidRPr="00AB423F">
        <w:rPr>
          <w:rFonts w:ascii="Calibri" w:hAnsi="Calibri" w:cs="Calibri"/>
          <w:i/>
          <w:iCs/>
          <w:color w:val="000000" w:themeColor="text1"/>
          <w:shd w:val="clear" w:color="auto" w:fill="FFFFFF"/>
        </w:rPr>
        <w:t>C</w:t>
      </w:r>
      <w:r w:rsidRPr="00AB423F">
        <w:rPr>
          <w:rFonts w:ascii="Calibri" w:hAnsi="Calibri" w:cs="Calibri"/>
          <w:i/>
          <w:iCs/>
          <w:color w:val="000000" w:themeColor="text1"/>
          <w:shd w:val="clear" w:color="auto" w:fill="FFFFFF"/>
        </w:rPr>
        <w:t xml:space="preserve">onflict </w:t>
      </w:r>
      <w:r w:rsidR="00FE41E5" w:rsidRPr="00AB423F">
        <w:rPr>
          <w:rFonts w:ascii="Calibri" w:hAnsi="Calibri" w:cs="Calibri"/>
          <w:i/>
          <w:iCs/>
          <w:color w:val="000000" w:themeColor="text1"/>
          <w:shd w:val="clear" w:color="auto" w:fill="FFFFFF"/>
        </w:rPr>
        <w:t>A</w:t>
      </w:r>
      <w:r w:rsidRPr="00AB423F">
        <w:rPr>
          <w:rFonts w:ascii="Calibri" w:hAnsi="Calibri" w:cs="Calibri"/>
          <w:i/>
          <w:iCs/>
          <w:color w:val="000000" w:themeColor="text1"/>
          <w:shd w:val="clear" w:color="auto" w:fill="FFFFFF"/>
        </w:rPr>
        <w:t>rchaeology</w:t>
      </w:r>
      <w:r w:rsidRPr="00AB423F">
        <w:rPr>
          <w:rFonts w:ascii="Calibri" w:hAnsi="Calibri" w:cs="Calibri"/>
          <w:color w:val="000000" w:themeColor="text1"/>
          <w:shd w:val="clear" w:color="auto" w:fill="FFFFFF"/>
        </w:rPr>
        <w:t xml:space="preserve">, pp. 1–34. Available at: </w:t>
      </w:r>
      <w:hyperlink r:id="rId50" w:history="1">
        <w:r w:rsidRPr="00AB423F">
          <w:rPr>
            <w:rStyle w:val="Hyperlink"/>
            <w:rFonts w:ascii="Calibri" w:hAnsi="Calibri" w:cs="Calibri"/>
            <w:color w:val="000000" w:themeColor="text1"/>
            <w:shd w:val="clear" w:color="auto" w:fill="FFFFFF"/>
          </w:rPr>
          <w:t>https://doi.org/10.1080/15740773.2023.2207997</w:t>
        </w:r>
      </w:hyperlink>
    </w:p>
    <w:p w14:paraId="76034C08" w14:textId="77777777" w:rsidR="000636E8" w:rsidRPr="00AB423F" w:rsidRDefault="000636E8" w:rsidP="00F6394A">
      <w:pPr>
        <w:spacing w:line="276" w:lineRule="auto"/>
        <w:rPr>
          <w:rFonts w:ascii="Calibri" w:hAnsi="Calibri" w:cs="Calibri"/>
          <w:color w:val="000000" w:themeColor="text1"/>
        </w:rPr>
      </w:pPr>
    </w:p>
    <w:p w14:paraId="57DFC6EF" w14:textId="7E9DAA87" w:rsidR="000636E8" w:rsidRPr="00AB423F" w:rsidRDefault="000636E8" w:rsidP="00F6394A">
      <w:pPr>
        <w:spacing w:line="276" w:lineRule="auto"/>
        <w:rPr>
          <w:rFonts w:ascii="Calibri" w:hAnsi="Calibri" w:cs="Calibri"/>
          <w:color w:val="000000" w:themeColor="text1"/>
        </w:rPr>
      </w:pPr>
      <w:r w:rsidRPr="00AB423F">
        <w:rPr>
          <w:rFonts w:ascii="Calibri" w:hAnsi="Calibri" w:cs="Calibri"/>
          <w:color w:val="000000" w:themeColor="text1"/>
        </w:rPr>
        <w:t xml:space="preserve">Queenslander (1914) </w:t>
      </w:r>
      <w:r w:rsidRPr="00AB423F">
        <w:rPr>
          <w:rFonts w:ascii="Calibri" w:hAnsi="Calibri" w:cs="Calibri"/>
          <w:i/>
          <w:iCs/>
          <w:color w:val="000000" w:themeColor="text1"/>
        </w:rPr>
        <w:t>Gontran de Tournouer.</w:t>
      </w:r>
      <w:r w:rsidRPr="00AB423F">
        <w:rPr>
          <w:rFonts w:ascii="Calibri" w:hAnsi="Calibri" w:cs="Calibri"/>
          <w:color w:val="000000" w:themeColor="text1"/>
        </w:rPr>
        <w:t xml:space="preserve"> Available at: </w:t>
      </w:r>
      <w:hyperlink r:id="rId51" w:history="1">
        <w:r w:rsidRPr="00AB423F">
          <w:rPr>
            <w:rStyle w:val="Hyperlink"/>
            <w:rFonts w:ascii="Calibri" w:hAnsi="Calibri" w:cs="Calibri"/>
            <w:color w:val="000000" w:themeColor="text1"/>
          </w:rPr>
          <w:t>https://vwma.org.au/explore/people/149414</w:t>
        </w:r>
      </w:hyperlink>
      <w:r w:rsidRPr="00AB423F">
        <w:rPr>
          <w:rFonts w:ascii="Calibri" w:hAnsi="Calibri" w:cs="Calibri"/>
          <w:color w:val="000000" w:themeColor="text1"/>
        </w:rPr>
        <w:t xml:space="preserve"> (Accessed: 2 February 2026).</w:t>
      </w:r>
    </w:p>
    <w:p w14:paraId="3E23614F" w14:textId="77777777" w:rsidR="00FE41E5" w:rsidRPr="00AB423F" w:rsidRDefault="00FE41E5" w:rsidP="00F6394A">
      <w:pPr>
        <w:spacing w:line="276" w:lineRule="auto"/>
        <w:rPr>
          <w:rFonts w:ascii="Calibri" w:hAnsi="Calibri" w:cs="Calibri"/>
          <w:color w:val="000000" w:themeColor="text1"/>
          <w:shd w:val="clear" w:color="auto" w:fill="FFFFFF"/>
        </w:rPr>
      </w:pPr>
    </w:p>
    <w:p w14:paraId="5071AE0C" w14:textId="7EF8CFCA" w:rsidR="00357D02" w:rsidRPr="00AB423F" w:rsidRDefault="00357D02" w:rsidP="00F6394A">
      <w:pPr>
        <w:spacing w:line="276" w:lineRule="auto"/>
        <w:rPr>
          <w:rFonts w:ascii="Calibri" w:hAnsi="Calibri" w:cs="Calibri"/>
          <w:color w:val="000000" w:themeColor="text1"/>
        </w:rPr>
      </w:pPr>
      <w:proofErr w:type="spellStart"/>
      <w:r w:rsidRPr="00AB423F">
        <w:rPr>
          <w:rFonts w:ascii="Calibri" w:hAnsi="Calibri" w:cs="Calibri"/>
          <w:color w:val="000000" w:themeColor="text1"/>
          <w:shd w:val="clear" w:color="auto" w:fill="FFFFFF"/>
        </w:rPr>
        <w:t>Quemin</w:t>
      </w:r>
      <w:proofErr w:type="spellEnd"/>
      <w:r w:rsidRPr="00AB423F">
        <w:rPr>
          <w:rFonts w:ascii="Calibri" w:hAnsi="Calibri" w:cs="Calibri"/>
          <w:color w:val="000000" w:themeColor="text1"/>
          <w:shd w:val="clear" w:color="auto" w:fill="FFFFFF"/>
        </w:rPr>
        <w:t xml:space="preserve">, A. (2020) </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The market and museums: the increasing power of collectors and private galleries in the contemporary art world</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 </w:t>
      </w:r>
      <w:r w:rsidRPr="00AB423F">
        <w:rPr>
          <w:rFonts w:ascii="Calibri" w:hAnsi="Calibri" w:cs="Calibri"/>
          <w:i/>
          <w:iCs/>
          <w:color w:val="000000" w:themeColor="text1"/>
          <w:shd w:val="clear" w:color="auto" w:fill="FFFFFF"/>
        </w:rPr>
        <w:t>Journal of Visual Art Practice</w:t>
      </w:r>
      <w:r w:rsidRPr="00AB423F">
        <w:rPr>
          <w:rFonts w:ascii="Calibri" w:hAnsi="Calibri" w:cs="Calibri"/>
          <w:color w:val="000000" w:themeColor="text1"/>
          <w:shd w:val="clear" w:color="auto" w:fill="FFFFFF"/>
        </w:rPr>
        <w:t xml:space="preserve">, 19(3), pp. 211–224. Available at: </w:t>
      </w:r>
      <w:hyperlink r:id="rId52" w:history="1">
        <w:r w:rsidRPr="00AB423F">
          <w:rPr>
            <w:rStyle w:val="Hyperlink"/>
            <w:rFonts w:ascii="Calibri" w:hAnsi="Calibri" w:cs="Calibri"/>
            <w:color w:val="000000" w:themeColor="text1"/>
            <w:shd w:val="clear" w:color="auto" w:fill="FFFFFF"/>
          </w:rPr>
          <w:t>https://doi.org/10.1080/14702029.2020.1804705</w:t>
        </w:r>
      </w:hyperlink>
    </w:p>
    <w:p w14:paraId="7D74961A" w14:textId="77777777" w:rsidR="00FE41E5" w:rsidRPr="00AB423F" w:rsidRDefault="00FE41E5" w:rsidP="00F6394A">
      <w:pPr>
        <w:spacing w:line="276" w:lineRule="auto"/>
        <w:rPr>
          <w:rFonts w:ascii="Calibri" w:hAnsi="Calibri" w:cs="Calibri"/>
          <w:color w:val="000000" w:themeColor="text1"/>
          <w:shd w:val="clear" w:color="auto" w:fill="FFFFFF"/>
        </w:rPr>
      </w:pPr>
    </w:p>
    <w:p w14:paraId="342EEC16" w14:textId="46BEB610" w:rsidR="00357D02" w:rsidRPr="00AB423F" w:rsidRDefault="00357D02" w:rsidP="00F6394A">
      <w:pPr>
        <w:spacing w:line="276" w:lineRule="auto"/>
        <w:rPr>
          <w:rFonts w:ascii="Calibri" w:hAnsi="Calibri" w:cs="Calibri"/>
          <w:color w:val="000000" w:themeColor="text1"/>
        </w:rPr>
      </w:pPr>
      <w:proofErr w:type="spellStart"/>
      <w:r w:rsidRPr="00AB423F">
        <w:rPr>
          <w:rFonts w:ascii="Calibri" w:hAnsi="Calibri" w:cs="Calibri"/>
          <w:color w:val="000000" w:themeColor="text1"/>
          <w:shd w:val="clear" w:color="auto" w:fill="FFFFFF"/>
        </w:rPr>
        <w:t>Scarre</w:t>
      </w:r>
      <w:proofErr w:type="spellEnd"/>
      <w:r w:rsidRPr="00AB423F">
        <w:rPr>
          <w:rFonts w:ascii="Calibri" w:hAnsi="Calibri" w:cs="Calibri"/>
          <w:color w:val="000000" w:themeColor="text1"/>
          <w:shd w:val="clear" w:color="auto" w:fill="FFFFFF"/>
        </w:rPr>
        <w:t xml:space="preserve">, G. (2023) </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How to Be a ‘Good’ Collector: Some Ethical Reflections on the Private Collecting of Cultural Heritage</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 </w:t>
      </w:r>
      <w:r w:rsidRPr="00AB423F">
        <w:rPr>
          <w:rFonts w:ascii="Calibri" w:hAnsi="Calibri" w:cs="Calibri"/>
          <w:i/>
          <w:iCs/>
          <w:color w:val="000000" w:themeColor="text1"/>
          <w:shd w:val="clear" w:color="auto" w:fill="FFFFFF"/>
        </w:rPr>
        <w:t>International Journal of Cultural Property</w:t>
      </w:r>
      <w:r w:rsidRPr="00AB423F">
        <w:rPr>
          <w:rFonts w:ascii="Calibri" w:hAnsi="Calibri" w:cs="Calibri"/>
          <w:color w:val="000000" w:themeColor="text1"/>
          <w:shd w:val="clear" w:color="auto" w:fill="FFFFFF"/>
        </w:rPr>
        <w:t xml:space="preserve">, 30(4), pp. 379–395. Available at: </w:t>
      </w:r>
      <w:hyperlink r:id="rId53" w:history="1">
        <w:r w:rsidRPr="00AB423F">
          <w:rPr>
            <w:rStyle w:val="Hyperlink"/>
            <w:rFonts w:ascii="Calibri" w:hAnsi="Calibri" w:cs="Calibri"/>
            <w:color w:val="000000" w:themeColor="text1"/>
            <w:shd w:val="clear" w:color="auto" w:fill="FFFFFF"/>
          </w:rPr>
          <w:t>https://doi.org/10.1017/S0940739124000079</w:t>
        </w:r>
      </w:hyperlink>
    </w:p>
    <w:p w14:paraId="70EF3556" w14:textId="77777777" w:rsidR="000847C0" w:rsidRPr="00AB423F" w:rsidRDefault="000847C0" w:rsidP="00F6394A">
      <w:pPr>
        <w:spacing w:line="276" w:lineRule="auto"/>
        <w:rPr>
          <w:rFonts w:ascii="Calibri" w:hAnsi="Calibri" w:cs="Calibri"/>
          <w:color w:val="000000" w:themeColor="text1"/>
        </w:rPr>
      </w:pPr>
    </w:p>
    <w:p w14:paraId="77FB1CEF" w14:textId="01DE6DF1" w:rsidR="000847C0" w:rsidRPr="00AB423F" w:rsidRDefault="000847C0" w:rsidP="00F6394A">
      <w:pPr>
        <w:spacing w:line="276" w:lineRule="auto"/>
        <w:rPr>
          <w:rFonts w:ascii="Calibri" w:hAnsi="Calibri" w:cs="Calibri"/>
          <w:color w:val="000000" w:themeColor="text1"/>
          <w:lang w:eastAsia="en-GB"/>
        </w:rPr>
      </w:pPr>
      <w:r w:rsidRPr="00AB423F">
        <w:rPr>
          <w:rFonts w:ascii="Calibri" w:hAnsi="Calibri" w:cs="Calibri"/>
          <w:color w:val="000000" w:themeColor="text1"/>
        </w:rPr>
        <w:t xml:space="preserve">Sotheby’s (2014) </w:t>
      </w:r>
      <w:r w:rsidRPr="00AB423F">
        <w:rPr>
          <w:rFonts w:ascii="Calibri" w:hAnsi="Calibri" w:cs="Calibri"/>
          <w:i/>
          <w:iCs/>
          <w:color w:val="000000" w:themeColor="text1"/>
          <w:lang w:eastAsia="en-GB"/>
        </w:rPr>
        <w:t xml:space="preserve">Global Interest and Spirited Bidding Drive $10.24 Million in Sales at Historic Littlefield Military Collection Auction. </w:t>
      </w:r>
      <w:r w:rsidRPr="00AB423F">
        <w:rPr>
          <w:rFonts w:ascii="Calibri" w:hAnsi="Calibri" w:cs="Calibri"/>
          <w:color w:val="000000" w:themeColor="text1"/>
          <w:lang w:eastAsia="en-GB"/>
        </w:rPr>
        <w:t xml:space="preserve">Available at: </w:t>
      </w:r>
      <w:hyperlink r:id="rId54" w:history="1">
        <w:r w:rsidRPr="00AB423F">
          <w:rPr>
            <w:rStyle w:val="Hyperlink"/>
            <w:rFonts w:ascii="Calibri" w:hAnsi="Calibri" w:cs="Calibri"/>
            <w:color w:val="000000" w:themeColor="text1"/>
            <w:lang w:eastAsia="en-GB"/>
          </w:rPr>
          <w:t>https://rmsothebys.com/media-center/press-releases/global-interest-and-spirited-bidding-drive-1024-million-in-sales-at-historic-littlefield-military-collection-auction/</w:t>
        </w:r>
      </w:hyperlink>
      <w:r w:rsidRPr="00AB423F">
        <w:rPr>
          <w:rFonts w:ascii="Calibri" w:hAnsi="Calibri" w:cs="Calibri"/>
          <w:color w:val="000000" w:themeColor="text1"/>
          <w:lang w:eastAsia="en-GB"/>
        </w:rPr>
        <w:t xml:space="preserve"> (Accessed: 1 February 2026).</w:t>
      </w:r>
    </w:p>
    <w:p w14:paraId="24C14F81" w14:textId="77777777" w:rsidR="00835401" w:rsidRPr="00AB423F" w:rsidRDefault="00835401" w:rsidP="00F6394A">
      <w:pPr>
        <w:spacing w:line="276" w:lineRule="auto"/>
        <w:rPr>
          <w:rFonts w:ascii="Calibri" w:hAnsi="Calibri" w:cs="Calibri"/>
          <w:color w:val="000000" w:themeColor="text1"/>
          <w:lang w:eastAsia="en-GB"/>
        </w:rPr>
      </w:pPr>
    </w:p>
    <w:p w14:paraId="130102C8" w14:textId="2D8B97E2" w:rsidR="00835401" w:rsidRPr="00AB423F" w:rsidRDefault="00835401" w:rsidP="00F6394A">
      <w:pPr>
        <w:spacing w:line="276" w:lineRule="auto"/>
        <w:rPr>
          <w:rFonts w:ascii="Calibri" w:hAnsi="Calibri" w:cs="Calibri"/>
          <w:color w:val="000000" w:themeColor="text1"/>
          <w:lang w:eastAsia="en-GB"/>
        </w:rPr>
      </w:pPr>
      <w:r w:rsidRPr="00AB423F">
        <w:rPr>
          <w:rFonts w:ascii="Calibri" w:hAnsi="Calibri" w:cs="Calibri"/>
          <w:color w:val="000000" w:themeColor="text1"/>
          <w:lang w:eastAsia="en-GB"/>
        </w:rPr>
        <w:t xml:space="preserve">Sotheby’s (2014a) </w:t>
      </w:r>
      <w:hyperlink r:id="rId55" w:history="1">
        <w:r w:rsidRPr="00AB423F">
          <w:rPr>
            <w:rStyle w:val="Hyperlink"/>
            <w:rFonts w:ascii="Calibri" w:hAnsi="Calibri" w:cs="Calibri"/>
            <w:i/>
            <w:iCs/>
            <w:color w:val="000000" w:themeColor="text1"/>
            <w:u w:val="none"/>
          </w:rPr>
          <w:t>The Littlefield Collection</w:t>
        </w:r>
      </w:hyperlink>
      <w:r w:rsidRPr="00AB423F">
        <w:rPr>
          <w:rFonts w:ascii="Calibri" w:hAnsi="Calibri" w:cs="Calibri"/>
          <w:i/>
          <w:iCs/>
          <w:color w:val="000000" w:themeColor="text1"/>
        </w:rPr>
        <w:t>, Lot 1032</w:t>
      </w:r>
      <w:r w:rsidRPr="00AB423F">
        <w:rPr>
          <w:rFonts w:ascii="Calibri" w:hAnsi="Calibri" w:cs="Calibri"/>
          <w:color w:val="000000" w:themeColor="text1"/>
          <w:lang w:eastAsia="en-GB"/>
        </w:rPr>
        <w:t xml:space="preserve">. Available at: </w:t>
      </w:r>
      <w:hyperlink r:id="rId56" w:history="1">
        <w:r w:rsidRPr="00AB423F">
          <w:rPr>
            <w:rStyle w:val="Hyperlink"/>
            <w:rFonts w:ascii="Calibri" w:hAnsi="Calibri" w:cs="Calibri"/>
            <w:color w:val="000000" w:themeColor="text1"/>
            <w:lang w:eastAsia="en-GB"/>
          </w:rPr>
          <w:t>https://rmsothebys.com/auctions/lc14/lots/r0029-m3a1-stuart/</w:t>
        </w:r>
      </w:hyperlink>
      <w:r w:rsidRPr="00AB423F">
        <w:rPr>
          <w:rFonts w:ascii="Calibri" w:hAnsi="Calibri" w:cs="Calibri"/>
          <w:color w:val="000000" w:themeColor="text1"/>
          <w:lang w:eastAsia="en-GB"/>
        </w:rPr>
        <w:t xml:space="preserve"> (Accessed: 1 February 2026).</w:t>
      </w:r>
    </w:p>
    <w:p w14:paraId="2613373B" w14:textId="77777777" w:rsidR="00EE07D2" w:rsidRPr="00AB423F" w:rsidRDefault="00EE07D2" w:rsidP="00F6394A">
      <w:pPr>
        <w:spacing w:line="276" w:lineRule="auto"/>
        <w:rPr>
          <w:rFonts w:ascii="Calibri" w:hAnsi="Calibri" w:cs="Calibri"/>
          <w:color w:val="000000" w:themeColor="text1"/>
          <w:lang w:eastAsia="en-GB"/>
        </w:rPr>
      </w:pPr>
    </w:p>
    <w:p w14:paraId="0680FD9C" w14:textId="0B30E4F8" w:rsidR="00EE07D2" w:rsidRPr="00AB423F" w:rsidRDefault="00EE07D2" w:rsidP="00F6394A">
      <w:pPr>
        <w:spacing w:line="276" w:lineRule="auto"/>
        <w:rPr>
          <w:rFonts w:ascii="Calibri" w:hAnsi="Calibri" w:cs="Calibri"/>
          <w:color w:val="000000" w:themeColor="text1"/>
          <w:lang w:eastAsia="en-GB"/>
        </w:rPr>
      </w:pPr>
      <w:r w:rsidRPr="00AB423F">
        <w:rPr>
          <w:rFonts w:ascii="Calibri" w:hAnsi="Calibri" w:cs="Calibri"/>
          <w:color w:val="000000" w:themeColor="text1"/>
          <w:lang w:eastAsia="en-GB"/>
        </w:rPr>
        <w:t xml:space="preserve">Stutman, G. (2019) </w:t>
      </w:r>
      <w:r w:rsidRPr="00AB423F">
        <w:rPr>
          <w:rFonts w:ascii="Calibri" w:hAnsi="Calibri" w:cs="Calibri"/>
          <w:i/>
          <w:iCs/>
          <w:color w:val="000000" w:themeColor="text1"/>
          <w:lang w:eastAsia="en-GB"/>
        </w:rPr>
        <w:t xml:space="preserve">The Jewish guy who wants to make millions from Nazi memorabilia. </w:t>
      </w:r>
      <w:r w:rsidRPr="00AB423F">
        <w:rPr>
          <w:rFonts w:ascii="Calibri" w:hAnsi="Calibri" w:cs="Calibri"/>
          <w:color w:val="000000" w:themeColor="text1"/>
          <w:lang w:eastAsia="en-GB"/>
        </w:rPr>
        <w:t xml:space="preserve">Available at: </w:t>
      </w:r>
      <w:hyperlink r:id="rId57" w:history="1">
        <w:r w:rsidRPr="00AB423F">
          <w:rPr>
            <w:rStyle w:val="Hyperlink"/>
            <w:rFonts w:ascii="Calibri" w:hAnsi="Calibri" w:cs="Calibri"/>
            <w:color w:val="000000" w:themeColor="text1"/>
            <w:lang w:eastAsia="en-GB"/>
          </w:rPr>
          <w:t>https://theoutline.com/post/8028/jew-selling-nazi-memorabilia</w:t>
        </w:r>
      </w:hyperlink>
      <w:r w:rsidRPr="00AB423F">
        <w:rPr>
          <w:rFonts w:ascii="Calibri" w:hAnsi="Calibri" w:cs="Calibri"/>
          <w:color w:val="000000" w:themeColor="text1"/>
          <w:lang w:eastAsia="en-GB"/>
        </w:rPr>
        <w:t xml:space="preserve"> (Accessed: 1 February 2026).</w:t>
      </w:r>
    </w:p>
    <w:p w14:paraId="299F3A6C" w14:textId="77777777" w:rsidR="000847C0" w:rsidRPr="00AB423F" w:rsidRDefault="000847C0" w:rsidP="00F6394A">
      <w:pPr>
        <w:spacing w:line="276" w:lineRule="auto"/>
        <w:rPr>
          <w:rFonts w:ascii="Calibri" w:hAnsi="Calibri" w:cs="Calibri"/>
          <w:color w:val="000000" w:themeColor="text1"/>
        </w:rPr>
      </w:pPr>
    </w:p>
    <w:p w14:paraId="0723C6C9" w14:textId="7713AA94" w:rsidR="00357D02" w:rsidRPr="00AB423F" w:rsidRDefault="00357D02" w:rsidP="00F6394A">
      <w:pPr>
        <w:spacing w:line="276" w:lineRule="auto"/>
        <w:rPr>
          <w:rFonts w:ascii="Calibri" w:hAnsi="Calibri" w:cs="Calibri"/>
          <w:color w:val="000000" w:themeColor="text1"/>
        </w:rPr>
      </w:pPr>
      <w:r w:rsidRPr="00AB423F">
        <w:rPr>
          <w:rFonts w:ascii="Calibri" w:hAnsi="Calibri" w:cs="Calibri"/>
          <w:color w:val="000000" w:themeColor="text1"/>
          <w:shd w:val="clear" w:color="auto" w:fill="FFFFFF"/>
        </w:rPr>
        <w:t xml:space="preserve">Thomas, S. and Pitblado, B.L. (2020) </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The dangers of conflating responsible and responsive artefact stewardship with illicit and illegal collecting</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 </w:t>
      </w:r>
      <w:r w:rsidRPr="00AB423F">
        <w:rPr>
          <w:rFonts w:ascii="Calibri" w:hAnsi="Calibri" w:cs="Calibri"/>
          <w:i/>
          <w:iCs/>
          <w:color w:val="000000" w:themeColor="text1"/>
          <w:shd w:val="clear" w:color="auto" w:fill="FFFFFF"/>
        </w:rPr>
        <w:t>Antiquity</w:t>
      </w:r>
      <w:r w:rsidRPr="00AB423F">
        <w:rPr>
          <w:rFonts w:ascii="Calibri" w:hAnsi="Calibri" w:cs="Calibri"/>
          <w:color w:val="000000" w:themeColor="text1"/>
          <w:shd w:val="clear" w:color="auto" w:fill="FFFFFF"/>
        </w:rPr>
        <w:t xml:space="preserve">, 94(376), pp. 1060–1067. Available at: </w:t>
      </w:r>
      <w:hyperlink r:id="rId58" w:history="1">
        <w:r w:rsidRPr="00AB423F">
          <w:rPr>
            <w:rStyle w:val="Hyperlink"/>
            <w:rFonts w:ascii="Calibri" w:hAnsi="Calibri" w:cs="Calibri"/>
            <w:color w:val="000000" w:themeColor="text1"/>
            <w:shd w:val="clear" w:color="auto" w:fill="FFFFFF"/>
          </w:rPr>
          <w:t>https://doi.org/10.15184/aqy.2019.201</w:t>
        </w:r>
      </w:hyperlink>
    </w:p>
    <w:p w14:paraId="53526BA9" w14:textId="77777777" w:rsidR="00FE41E5" w:rsidRPr="00AB423F" w:rsidRDefault="00FE41E5" w:rsidP="00F6394A">
      <w:pPr>
        <w:spacing w:line="276" w:lineRule="auto"/>
        <w:rPr>
          <w:rFonts w:ascii="Calibri" w:hAnsi="Calibri" w:cs="Calibri"/>
          <w:color w:val="000000" w:themeColor="text1"/>
          <w:shd w:val="clear" w:color="auto" w:fill="FFFFFF"/>
        </w:rPr>
      </w:pPr>
    </w:p>
    <w:p w14:paraId="028DC8BE" w14:textId="4A99446E" w:rsidR="00357D02" w:rsidRPr="00AB423F" w:rsidRDefault="00357D02" w:rsidP="00F6394A">
      <w:pPr>
        <w:spacing w:line="276" w:lineRule="auto"/>
        <w:rPr>
          <w:rFonts w:ascii="Calibri" w:hAnsi="Calibri" w:cs="Calibri"/>
          <w:color w:val="000000" w:themeColor="text1"/>
        </w:rPr>
      </w:pPr>
      <w:r w:rsidRPr="00AB423F">
        <w:rPr>
          <w:rFonts w:ascii="Calibri" w:hAnsi="Calibri" w:cs="Calibri"/>
          <w:color w:val="000000" w:themeColor="text1"/>
          <w:shd w:val="clear" w:color="auto" w:fill="FFFFFF"/>
        </w:rPr>
        <w:lastRenderedPageBreak/>
        <w:t xml:space="preserve">Toporoff, A. (2021) </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 xml:space="preserve">Accrediting Private Collections </w:t>
      </w:r>
      <w:r w:rsidR="00FE41E5" w:rsidRPr="00AB423F">
        <w:rPr>
          <w:rFonts w:ascii="Calibri" w:hAnsi="Calibri" w:cs="Calibri"/>
          <w:color w:val="000000" w:themeColor="text1"/>
          <w:shd w:val="clear" w:color="auto" w:fill="FFFFFF"/>
        </w:rPr>
        <w:t>to</w:t>
      </w:r>
      <w:r w:rsidRPr="00AB423F">
        <w:rPr>
          <w:rFonts w:ascii="Calibri" w:hAnsi="Calibri" w:cs="Calibri"/>
          <w:color w:val="000000" w:themeColor="text1"/>
          <w:shd w:val="clear" w:color="auto" w:fill="FFFFFF"/>
        </w:rPr>
        <w:t xml:space="preserve"> </w:t>
      </w:r>
      <w:r w:rsidR="00FE41E5" w:rsidRPr="00AB423F">
        <w:rPr>
          <w:rFonts w:ascii="Calibri" w:hAnsi="Calibri" w:cs="Calibri"/>
          <w:color w:val="000000" w:themeColor="text1"/>
          <w:shd w:val="clear" w:color="auto" w:fill="FFFFFF"/>
        </w:rPr>
        <w:t>s</w:t>
      </w:r>
      <w:r w:rsidRPr="00AB423F">
        <w:rPr>
          <w:rFonts w:ascii="Calibri" w:hAnsi="Calibri" w:cs="Calibri"/>
          <w:color w:val="000000" w:themeColor="text1"/>
          <w:shd w:val="clear" w:color="auto" w:fill="FFFFFF"/>
        </w:rPr>
        <w:t>erve the Public Interest in Art</w:t>
      </w:r>
      <w:r w:rsidR="00A95B46" w:rsidRPr="00AB423F">
        <w:rPr>
          <w:rFonts w:ascii="Calibri" w:hAnsi="Calibri" w:cs="Calibri"/>
          <w:color w:val="000000" w:themeColor="text1"/>
          <w:shd w:val="clear" w:color="auto" w:fill="FFFFFF"/>
        </w:rPr>
        <w:t>’,</w:t>
      </w:r>
      <w:r w:rsidRPr="00AB423F">
        <w:rPr>
          <w:rFonts w:ascii="Calibri" w:hAnsi="Calibri" w:cs="Calibri"/>
          <w:color w:val="000000" w:themeColor="text1"/>
          <w:shd w:val="clear" w:color="auto" w:fill="FFFFFF"/>
        </w:rPr>
        <w:t> </w:t>
      </w:r>
      <w:r w:rsidRPr="00AB423F">
        <w:rPr>
          <w:rFonts w:ascii="Calibri" w:hAnsi="Calibri" w:cs="Calibri"/>
          <w:i/>
          <w:iCs/>
          <w:color w:val="000000" w:themeColor="text1"/>
          <w:shd w:val="clear" w:color="auto" w:fill="FFFFFF"/>
        </w:rPr>
        <w:t>The Columbia Journal of Law and the Arts</w:t>
      </w:r>
      <w:r w:rsidRPr="00AB423F">
        <w:rPr>
          <w:rFonts w:ascii="Calibri" w:hAnsi="Calibri" w:cs="Calibri"/>
          <w:color w:val="000000" w:themeColor="text1"/>
          <w:shd w:val="clear" w:color="auto" w:fill="FFFFFF"/>
        </w:rPr>
        <w:t xml:space="preserve">, 44(4). Available at: </w:t>
      </w:r>
      <w:hyperlink r:id="rId59" w:history="1">
        <w:r w:rsidRPr="00AB423F">
          <w:rPr>
            <w:rStyle w:val="Hyperlink"/>
            <w:rFonts w:ascii="Calibri" w:hAnsi="Calibri" w:cs="Calibri"/>
            <w:color w:val="000000" w:themeColor="text1"/>
            <w:shd w:val="clear" w:color="auto" w:fill="FFFFFF"/>
          </w:rPr>
          <w:t>https://doi.org/10.52214/jla.v44i4.8197</w:t>
        </w:r>
      </w:hyperlink>
    </w:p>
    <w:p w14:paraId="7B94FAB0" w14:textId="77777777" w:rsidR="003866B3" w:rsidRPr="00AB423F" w:rsidRDefault="003866B3" w:rsidP="00F6394A">
      <w:pPr>
        <w:spacing w:line="276" w:lineRule="auto"/>
        <w:rPr>
          <w:rFonts w:ascii="Calibri" w:hAnsi="Calibri" w:cs="Calibri"/>
          <w:color w:val="000000" w:themeColor="text1"/>
        </w:rPr>
      </w:pPr>
    </w:p>
    <w:p w14:paraId="6C155F4B" w14:textId="28C0BC67" w:rsidR="003866B3" w:rsidRPr="00AB423F" w:rsidRDefault="003866B3" w:rsidP="00F6394A">
      <w:pPr>
        <w:spacing w:line="276" w:lineRule="auto"/>
        <w:rPr>
          <w:rFonts w:ascii="Calibri" w:hAnsi="Calibri" w:cs="Calibri"/>
          <w:color w:val="000000" w:themeColor="text1"/>
        </w:rPr>
      </w:pPr>
      <w:proofErr w:type="spellStart"/>
      <w:r w:rsidRPr="00AB423F">
        <w:rPr>
          <w:rFonts w:ascii="Calibri" w:hAnsi="Calibri" w:cs="Calibri"/>
          <w:color w:val="000000" w:themeColor="text1"/>
        </w:rPr>
        <w:t>Voiset</w:t>
      </w:r>
      <w:proofErr w:type="spellEnd"/>
      <w:r w:rsidRPr="00AB423F">
        <w:rPr>
          <w:rFonts w:ascii="Calibri" w:hAnsi="Calibri" w:cs="Calibri"/>
          <w:color w:val="000000" w:themeColor="text1"/>
        </w:rPr>
        <w:t xml:space="preserve">, A. (2025) </w:t>
      </w:r>
      <w:r w:rsidRPr="00AB423F">
        <w:rPr>
          <w:rFonts w:ascii="Calibri" w:hAnsi="Calibri" w:cs="Calibri"/>
          <w:i/>
          <w:iCs/>
          <w:color w:val="000000" w:themeColor="text1"/>
        </w:rPr>
        <w:t xml:space="preserve">2025: Jean-Pierre Verney has passed away. </w:t>
      </w:r>
      <w:r w:rsidRPr="00AB423F">
        <w:rPr>
          <w:rFonts w:ascii="Calibri" w:hAnsi="Calibri" w:cs="Calibri"/>
          <w:color w:val="000000" w:themeColor="text1"/>
        </w:rPr>
        <w:t xml:space="preserve">Available at: </w:t>
      </w:r>
      <w:hyperlink r:id="rId60" w:anchor=":~:text=2025%20:%20Jean%2DPierre%20Verney%20nous,archiduc%20Fran%C3%A7ois%2DFerdinand%20en%201914" w:history="1">
        <w:r w:rsidRPr="00AB423F">
          <w:rPr>
            <w:rStyle w:val="Hyperlink"/>
            <w:rFonts w:ascii="Calibri" w:hAnsi="Calibri" w:cs="Calibri"/>
            <w:color w:val="000000" w:themeColor="text1"/>
          </w:rPr>
          <w:t>https://www.armes-ufa.com/spip.php?article3905#:~:text=2025%20:%20Jean%2DPierre%20Verney%20nous,archiduc%20Fran%C3%A7ois%2DFerdinand%20en%201914</w:t>
        </w:r>
      </w:hyperlink>
      <w:r w:rsidRPr="00AB423F">
        <w:rPr>
          <w:rFonts w:ascii="Calibri" w:hAnsi="Calibri" w:cs="Calibri"/>
          <w:color w:val="000000" w:themeColor="text1"/>
        </w:rPr>
        <w:t xml:space="preserve"> (Accessed: 25 January 2026).</w:t>
      </w:r>
    </w:p>
    <w:p w14:paraId="15EB72E3" w14:textId="77777777" w:rsidR="00FE41E5" w:rsidRPr="00AB423F" w:rsidRDefault="00FE41E5" w:rsidP="00F6394A">
      <w:pPr>
        <w:spacing w:line="276" w:lineRule="auto"/>
        <w:rPr>
          <w:rFonts w:ascii="Calibri" w:hAnsi="Calibri" w:cs="Calibri"/>
          <w:color w:val="000000" w:themeColor="text1"/>
          <w:shd w:val="clear" w:color="auto" w:fill="FFFFFF"/>
        </w:rPr>
      </w:pPr>
    </w:p>
    <w:p w14:paraId="03AA1196" w14:textId="2E715593" w:rsidR="00FE41E5" w:rsidRPr="00AB423F" w:rsidRDefault="00357D02" w:rsidP="00F6394A">
      <w:pPr>
        <w:spacing w:line="276" w:lineRule="auto"/>
        <w:rPr>
          <w:rFonts w:ascii="Calibri" w:hAnsi="Calibri" w:cs="Calibri"/>
          <w:color w:val="000000" w:themeColor="text1"/>
        </w:rPr>
      </w:pPr>
      <w:r w:rsidRPr="00AB423F">
        <w:rPr>
          <w:rFonts w:ascii="Calibri" w:hAnsi="Calibri" w:cs="Calibri"/>
          <w:color w:val="000000" w:themeColor="text1"/>
          <w:shd w:val="clear" w:color="auto" w:fill="FFFFFF"/>
        </w:rPr>
        <w:t>Ward, A., 2013. </w:t>
      </w:r>
      <w:r w:rsidRPr="00AB423F">
        <w:rPr>
          <w:rFonts w:ascii="Calibri" w:hAnsi="Calibri" w:cs="Calibri"/>
          <w:i/>
          <w:iCs/>
          <w:color w:val="000000" w:themeColor="text1"/>
          <w:shd w:val="clear" w:color="auto" w:fill="FFFFFF"/>
        </w:rPr>
        <w:t>A Guide to Wartime Collectables</w:t>
      </w:r>
      <w:r w:rsidRPr="00AB423F">
        <w:rPr>
          <w:rFonts w:ascii="Calibri" w:hAnsi="Calibri" w:cs="Calibri"/>
          <w:color w:val="000000" w:themeColor="text1"/>
          <w:shd w:val="clear" w:color="auto" w:fill="FFFFFF"/>
        </w:rPr>
        <w:t>. Pen and Sword.</w:t>
      </w:r>
      <w:r w:rsidRPr="00AB423F">
        <w:rPr>
          <w:rFonts w:ascii="Calibri" w:hAnsi="Calibri" w:cs="Calibri"/>
          <w:color w:val="000000" w:themeColor="text1"/>
        </w:rPr>
        <w:t xml:space="preserve"> Available at: </w:t>
      </w:r>
      <w:hyperlink r:id="rId61" w:history="1">
        <w:r w:rsidRPr="00AB423F">
          <w:rPr>
            <w:rStyle w:val="Hyperlink"/>
            <w:rFonts w:ascii="Calibri" w:hAnsi="Calibri" w:cs="Calibri"/>
            <w:color w:val="000000" w:themeColor="text1"/>
          </w:rPr>
          <w:t>https://www.google.co.uk/books/edition/A_Guide_to_Wartime_Collectables/sOd7BAAAQBAJ?hl=en&amp;gbpv=0</w:t>
        </w:r>
      </w:hyperlink>
      <w:r w:rsidRPr="00AB423F">
        <w:rPr>
          <w:rFonts w:ascii="Calibri" w:hAnsi="Calibri" w:cs="Calibri"/>
          <w:color w:val="000000" w:themeColor="text1"/>
        </w:rPr>
        <w:t xml:space="preserve"> (Accessed: 15 January 2026).</w:t>
      </w:r>
    </w:p>
    <w:p w14:paraId="7215F375" w14:textId="77777777" w:rsidR="00F27C64" w:rsidRPr="00AB423F" w:rsidRDefault="00F27C64" w:rsidP="00FF2D6F">
      <w:pPr>
        <w:rPr>
          <w:rFonts w:ascii="Calibri" w:hAnsi="Calibri" w:cs="Calibri"/>
          <w:color w:val="000000" w:themeColor="text1"/>
        </w:rPr>
      </w:pPr>
    </w:p>
    <w:p w14:paraId="31BD9323" w14:textId="77777777" w:rsidR="00355D1D" w:rsidRPr="00AB423F" w:rsidRDefault="00355D1D" w:rsidP="00FF2D6F">
      <w:pPr>
        <w:rPr>
          <w:rFonts w:ascii="Calibri" w:hAnsi="Calibri" w:cs="Calibri"/>
          <w:color w:val="000000" w:themeColor="text1"/>
        </w:rPr>
      </w:pPr>
    </w:p>
    <w:p w14:paraId="51425525" w14:textId="77777777" w:rsidR="00355D1D" w:rsidRPr="00AB423F" w:rsidRDefault="00355D1D" w:rsidP="00FF2D6F">
      <w:pPr>
        <w:rPr>
          <w:rFonts w:ascii="Calibri" w:hAnsi="Calibri" w:cs="Calibri"/>
          <w:color w:val="000000" w:themeColor="text1"/>
        </w:rPr>
      </w:pPr>
    </w:p>
    <w:p w14:paraId="5D0FE486" w14:textId="77777777" w:rsidR="00355D1D" w:rsidRPr="00AB423F" w:rsidRDefault="00355D1D" w:rsidP="00FF2D6F">
      <w:pPr>
        <w:rPr>
          <w:rFonts w:ascii="Calibri" w:hAnsi="Calibri" w:cs="Calibri"/>
          <w:color w:val="000000" w:themeColor="text1"/>
        </w:rPr>
      </w:pPr>
    </w:p>
    <w:p w14:paraId="45979331" w14:textId="77777777" w:rsidR="00355D1D" w:rsidRPr="00AB423F" w:rsidRDefault="00355D1D" w:rsidP="00FF2D6F">
      <w:pPr>
        <w:rPr>
          <w:rFonts w:ascii="Calibri" w:hAnsi="Calibri" w:cs="Calibri"/>
          <w:color w:val="000000" w:themeColor="text1"/>
        </w:rPr>
      </w:pPr>
    </w:p>
    <w:p w14:paraId="2E3DE1D4" w14:textId="6698EC5D" w:rsidR="00835401" w:rsidRPr="00AB423F" w:rsidRDefault="00835401" w:rsidP="00835401">
      <w:pPr>
        <w:jc w:val="center"/>
        <w:rPr>
          <w:rFonts w:ascii="Calibri" w:hAnsi="Calibri" w:cs="Calibri"/>
          <w:color w:val="000000" w:themeColor="text1"/>
        </w:rPr>
      </w:pPr>
    </w:p>
    <w:sectPr w:rsidR="00835401" w:rsidRPr="00AB423F">
      <w:headerReference w:type="default" r:id="rId62"/>
      <w:footerReference w:type="even" r:id="rId63"/>
      <w:footerReference w:type="default" r:id="rId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B15BA9" w14:textId="77777777" w:rsidR="00612B13" w:rsidRDefault="00612B13" w:rsidP="00B4119C">
      <w:r>
        <w:separator/>
      </w:r>
    </w:p>
  </w:endnote>
  <w:endnote w:type="continuationSeparator" w:id="0">
    <w:p w14:paraId="69520931" w14:textId="77777777" w:rsidR="00612B13" w:rsidRDefault="00612B13" w:rsidP="00B411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9066040"/>
      <w:docPartObj>
        <w:docPartGallery w:val="Page Numbers (Bottom of Page)"/>
        <w:docPartUnique/>
      </w:docPartObj>
    </w:sdtPr>
    <w:sdtContent>
      <w:p w14:paraId="0E107BAE" w14:textId="33527EC4" w:rsidR="00B4119C" w:rsidRDefault="00B4119C" w:rsidP="00E9197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3BABDCE" w14:textId="77777777" w:rsidR="00B4119C" w:rsidRDefault="00B411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Fonts w:ascii="Calibri" w:hAnsi="Calibri" w:cs="Calibri"/>
        <w:sz w:val="20"/>
        <w:szCs w:val="20"/>
      </w:rPr>
      <w:id w:val="34239491"/>
      <w:docPartObj>
        <w:docPartGallery w:val="Page Numbers (Bottom of Page)"/>
        <w:docPartUnique/>
      </w:docPartObj>
    </w:sdtPr>
    <w:sdtContent>
      <w:p w14:paraId="592ED7C9" w14:textId="019F4A20" w:rsidR="00B4119C" w:rsidRPr="00B4119C" w:rsidRDefault="00B4119C" w:rsidP="00E9197B">
        <w:pPr>
          <w:pStyle w:val="Footer"/>
          <w:framePr w:wrap="none" w:vAnchor="text" w:hAnchor="margin" w:xAlign="center" w:y="1"/>
          <w:rPr>
            <w:rStyle w:val="PageNumber"/>
            <w:rFonts w:ascii="Calibri" w:hAnsi="Calibri" w:cs="Calibri"/>
            <w:sz w:val="20"/>
            <w:szCs w:val="20"/>
          </w:rPr>
        </w:pPr>
        <w:r w:rsidRPr="00B4119C">
          <w:rPr>
            <w:rStyle w:val="PageNumber"/>
            <w:rFonts w:ascii="Calibri" w:hAnsi="Calibri" w:cs="Calibri"/>
            <w:sz w:val="20"/>
            <w:szCs w:val="20"/>
          </w:rPr>
          <w:fldChar w:fldCharType="begin"/>
        </w:r>
        <w:r w:rsidRPr="00B4119C">
          <w:rPr>
            <w:rStyle w:val="PageNumber"/>
            <w:rFonts w:ascii="Calibri" w:hAnsi="Calibri" w:cs="Calibri"/>
            <w:sz w:val="20"/>
            <w:szCs w:val="20"/>
          </w:rPr>
          <w:instrText xml:space="preserve"> PAGE </w:instrText>
        </w:r>
        <w:r w:rsidRPr="00B4119C">
          <w:rPr>
            <w:rStyle w:val="PageNumber"/>
            <w:rFonts w:ascii="Calibri" w:hAnsi="Calibri" w:cs="Calibri"/>
            <w:sz w:val="20"/>
            <w:szCs w:val="20"/>
          </w:rPr>
          <w:fldChar w:fldCharType="separate"/>
        </w:r>
        <w:r w:rsidRPr="00B4119C">
          <w:rPr>
            <w:rStyle w:val="PageNumber"/>
            <w:rFonts w:ascii="Calibri" w:hAnsi="Calibri" w:cs="Calibri"/>
            <w:noProof/>
            <w:sz w:val="20"/>
            <w:szCs w:val="20"/>
          </w:rPr>
          <w:t>1</w:t>
        </w:r>
        <w:r w:rsidRPr="00B4119C">
          <w:rPr>
            <w:rStyle w:val="PageNumber"/>
            <w:rFonts w:ascii="Calibri" w:hAnsi="Calibri" w:cs="Calibri"/>
            <w:sz w:val="20"/>
            <w:szCs w:val="20"/>
          </w:rPr>
          <w:fldChar w:fldCharType="end"/>
        </w:r>
      </w:p>
    </w:sdtContent>
  </w:sdt>
  <w:p w14:paraId="4ACA97D0" w14:textId="77777777" w:rsidR="00B4119C" w:rsidRDefault="00B411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F89F1E" w14:textId="77777777" w:rsidR="00612B13" w:rsidRDefault="00612B13" w:rsidP="00B4119C">
      <w:r>
        <w:separator/>
      </w:r>
    </w:p>
  </w:footnote>
  <w:footnote w:type="continuationSeparator" w:id="0">
    <w:p w14:paraId="6FF89503" w14:textId="77777777" w:rsidR="00612B13" w:rsidRDefault="00612B13" w:rsidP="00B4119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D1DB6E" w14:textId="15157394" w:rsidR="00B4119C" w:rsidRPr="00B4119C" w:rsidRDefault="00B4119C" w:rsidP="00B4119C">
    <w:pPr>
      <w:rPr>
        <w:rFonts w:ascii="Calibri" w:hAnsi="Calibri" w:cs="Calibri"/>
        <w:sz w:val="21"/>
        <w:szCs w:val="21"/>
      </w:rPr>
    </w:pPr>
    <w:r w:rsidRPr="00B4119C">
      <w:rPr>
        <w:rFonts w:ascii="Calibri" w:hAnsi="Calibri" w:cs="Calibri"/>
        <w:sz w:val="21"/>
        <w:szCs w:val="21"/>
      </w:rPr>
      <w:t xml:space="preserve">R. Bakewell (2204367) </w:t>
    </w:r>
    <w:r>
      <w:rPr>
        <w:rFonts w:ascii="Calibri" w:hAnsi="Calibri" w:cs="Calibri"/>
        <w:sz w:val="21"/>
        <w:szCs w:val="21"/>
      </w:rPr>
      <w:t xml:space="preserve">                                                                                                               </w:t>
    </w:r>
    <w:r w:rsidRPr="00B4119C">
      <w:rPr>
        <w:rFonts w:ascii="Calibri" w:hAnsi="Calibri" w:cs="Calibri"/>
        <w:sz w:val="21"/>
        <w:szCs w:val="21"/>
      </w:rPr>
      <w:t>Module: HPHE6003</w:t>
    </w:r>
  </w:p>
  <w:p w14:paraId="45C4CA64" w14:textId="74DBC447" w:rsidR="00B4119C" w:rsidRDefault="00B4119C">
    <w:pPr>
      <w:pStyle w:val="Header"/>
    </w:pPr>
  </w:p>
  <w:p w14:paraId="2739C0A7" w14:textId="77777777" w:rsidR="00B4119C" w:rsidRDefault="00B411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AB5E85"/>
    <w:multiLevelType w:val="hybridMultilevel"/>
    <w:tmpl w:val="CBD2B574"/>
    <w:lvl w:ilvl="0" w:tplc="E27439E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CC150F"/>
    <w:multiLevelType w:val="hybridMultilevel"/>
    <w:tmpl w:val="20E8E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2677D9"/>
    <w:multiLevelType w:val="hybridMultilevel"/>
    <w:tmpl w:val="9A80B21E"/>
    <w:lvl w:ilvl="0" w:tplc="F81A99B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17288587">
    <w:abstractNumId w:val="1"/>
  </w:num>
  <w:num w:numId="2" w16cid:durableId="1423452919">
    <w:abstractNumId w:val="0"/>
  </w:num>
  <w:num w:numId="3" w16cid:durableId="6956208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0569"/>
    <w:rsid w:val="0000579C"/>
    <w:rsid w:val="00007679"/>
    <w:rsid w:val="00012908"/>
    <w:rsid w:val="00013CAE"/>
    <w:rsid w:val="000532AE"/>
    <w:rsid w:val="000541A7"/>
    <w:rsid w:val="000636E8"/>
    <w:rsid w:val="000847C0"/>
    <w:rsid w:val="00086230"/>
    <w:rsid w:val="000915B0"/>
    <w:rsid w:val="000A7605"/>
    <w:rsid w:val="000B5B74"/>
    <w:rsid w:val="000B6EC0"/>
    <w:rsid w:val="000C061C"/>
    <w:rsid w:val="000D5504"/>
    <w:rsid w:val="000D65A4"/>
    <w:rsid w:val="000F0E3C"/>
    <w:rsid w:val="000F6810"/>
    <w:rsid w:val="001002F8"/>
    <w:rsid w:val="00101416"/>
    <w:rsid w:val="001017CD"/>
    <w:rsid w:val="00131A35"/>
    <w:rsid w:val="00144C7F"/>
    <w:rsid w:val="0015317F"/>
    <w:rsid w:val="00156F46"/>
    <w:rsid w:val="0016742F"/>
    <w:rsid w:val="00172FBB"/>
    <w:rsid w:val="00176369"/>
    <w:rsid w:val="00182163"/>
    <w:rsid w:val="00187ED3"/>
    <w:rsid w:val="001941BE"/>
    <w:rsid w:val="001946E8"/>
    <w:rsid w:val="00197822"/>
    <w:rsid w:val="001A0CF8"/>
    <w:rsid w:val="001E753A"/>
    <w:rsid w:val="001F05F6"/>
    <w:rsid w:val="00203C44"/>
    <w:rsid w:val="00207631"/>
    <w:rsid w:val="00207DD0"/>
    <w:rsid w:val="002134DC"/>
    <w:rsid w:val="00231D51"/>
    <w:rsid w:val="00236EC7"/>
    <w:rsid w:val="0025404B"/>
    <w:rsid w:val="002960A4"/>
    <w:rsid w:val="002A2A0A"/>
    <w:rsid w:val="002B603F"/>
    <w:rsid w:val="002C01DE"/>
    <w:rsid w:val="002C7516"/>
    <w:rsid w:val="002D122C"/>
    <w:rsid w:val="002D3EBB"/>
    <w:rsid w:val="002D3F00"/>
    <w:rsid w:val="002F2F43"/>
    <w:rsid w:val="002F3DFF"/>
    <w:rsid w:val="003034DA"/>
    <w:rsid w:val="00316684"/>
    <w:rsid w:val="003269CA"/>
    <w:rsid w:val="00342A6B"/>
    <w:rsid w:val="00345220"/>
    <w:rsid w:val="0034556A"/>
    <w:rsid w:val="00355D1D"/>
    <w:rsid w:val="00357D02"/>
    <w:rsid w:val="00366F80"/>
    <w:rsid w:val="00373428"/>
    <w:rsid w:val="00381244"/>
    <w:rsid w:val="0038217E"/>
    <w:rsid w:val="003866B3"/>
    <w:rsid w:val="0039709D"/>
    <w:rsid w:val="003A644C"/>
    <w:rsid w:val="003A6C53"/>
    <w:rsid w:val="003B2ED2"/>
    <w:rsid w:val="003B63B2"/>
    <w:rsid w:val="003D7D96"/>
    <w:rsid w:val="003E3610"/>
    <w:rsid w:val="003E591F"/>
    <w:rsid w:val="003F6574"/>
    <w:rsid w:val="004034EB"/>
    <w:rsid w:val="0040690A"/>
    <w:rsid w:val="00413FBA"/>
    <w:rsid w:val="004273AD"/>
    <w:rsid w:val="00427DDF"/>
    <w:rsid w:val="00433B35"/>
    <w:rsid w:val="00441FE1"/>
    <w:rsid w:val="00443012"/>
    <w:rsid w:val="0045549A"/>
    <w:rsid w:val="00455906"/>
    <w:rsid w:val="00456BFE"/>
    <w:rsid w:val="0047794D"/>
    <w:rsid w:val="00492C5E"/>
    <w:rsid w:val="004B0116"/>
    <w:rsid w:val="004B270E"/>
    <w:rsid w:val="004D03D4"/>
    <w:rsid w:val="0050550F"/>
    <w:rsid w:val="00510894"/>
    <w:rsid w:val="00532732"/>
    <w:rsid w:val="00546C5E"/>
    <w:rsid w:val="005505A5"/>
    <w:rsid w:val="005728A4"/>
    <w:rsid w:val="005763F7"/>
    <w:rsid w:val="00577B6F"/>
    <w:rsid w:val="00585BB7"/>
    <w:rsid w:val="005B7FAA"/>
    <w:rsid w:val="005C00E9"/>
    <w:rsid w:val="005C4691"/>
    <w:rsid w:val="005D3452"/>
    <w:rsid w:val="005E02F0"/>
    <w:rsid w:val="00601799"/>
    <w:rsid w:val="006061A4"/>
    <w:rsid w:val="00612B13"/>
    <w:rsid w:val="00614C33"/>
    <w:rsid w:val="00617D32"/>
    <w:rsid w:val="0062426E"/>
    <w:rsid w:val="006253D2"/>
    <w:rsid w:val="00626E0F"/>
    <w:rsid w:val="00650470"/>
    <w:rsid w:val="00653C79"/>
    <w:rsid w:val="00655ABD"/>
    <w:rsid w:val="00666C48"/>
    <w:rsid w:val="00667FD7"/>
    <w:rsid w:val="0067252F"/>
    <w:rsid w:val="00674FA0"/>
    <w:rsid w:val="00677CCD"/>
    <w:rsid w:val="00680A9C"/>
    <w:rsid w:val="006828F7"/>
    <w:rsid w:val="00683C4C"/>
    <w:rsid w:val="0068534B"/>
    <w:rsid w:val="006D2673"/>
    <w:rsid w:val="006E12AF"/>
    <w:rsid w:val="006E7E66"/>
    <w:rsid w:val="00700D08"/>
    <w:rsid w:val="00703430"/>
    <w:rsid w:val="0072777D"/>
    <w:rsid w:val="0073572B"/>
    <w:rsid w:val="00737809"/>
    <w:rsid w:val="007413F3"/>
    <w:rsid w:val="00761094"/>
    <w:rsid w:val="0076318D"/>
    <w:rsid w:val="00763BE5"/>
    <w:rsid w:val="00766B62"/>
    <w:rsid w:val="00773E5C"/>
    <w:rsid w:val="00776112"/>
    <w:rsid w:val="0077751A"/>
    <w:rsid w:val="00780B89"/>
    <w:rsid w:val="00780F15"/>
    <w:rsid w:val="00782483"/>
    <w:rsid w:val="00792627"/>
    <w:rsid w:val="0079264D"/>
    <w:rsid w:val="00797752"/>
    <w:rsid w:val="007A46E7"/>
    <w:rsid w:val="007A5C6B"/>
    <w:rsid w:val="007B0B68"/>
    <w:rsid w:val="007B7542"/>
    <w:rsid w:val="007C2CBA"/>
    <w:rsid w:val="007C465B"/>
    <w:rsid w:val="007C610F"/>
    <w:rsid w:val="007F4C3E"/>
    <w:rsid w:val="007F4FE9"/>
    <w:rsid w:val="007F70D1"/>
    <w:rsid w:val="00801BC5"/>
    <w:rsid w:val="00820613"/>
    <w:rsid w:val="00835401"/>
    <w:rsid w:val="008406FF"/>
    <w:rsid w:val="0084216D"/>
    <w:rsid w:val="00852556"/>
    <w:rsid w:val="0085266D"/>
    <w:rsid w:val="00861370"/>
    <w:rsid w:val="00863309"/>
    <w:rsid w:val="008662BC"/>
    <w:rsid w:val="00873955"/>
    <w:rsid w:val="00877323"/>
    <w:rsid w:val="0088041D"/>
    <w:rsid w:val="00881F35"/>
    <w:rsid w:val="008842AA"/>
    <w:rsid w:val="008852B1"/>
    <w:rsid w:val="00896A3E"/>
    <w:rsid w:val="008A1E73"/>
    <w:rsid w:val="008A7B7C"/>
    <w:rsid w:val="008B36B1"/>
    <w:rsid w:val="008C2134"/>
    <w:rsid w:val="008C43C1"/>
    <w:rsid w:val="008D288E"/>
    <w:rsid w:val="008F006A"/>
    <w:rsid w:val="008F4503"/>
    <w:rsid w:val="009106DE"/>
    <w:rsid w:val="00930582"/>
    <w:rsid w:val="00933C64"/>
    <w:rsid w:val="0095058C"/>
    <w:rsid w:val="009579C3"/>
    <w:rsid w:val="00957D2A"/>
    <w:rsid w:val="0098130A"/>
    <w:rsid w:val="0098621C"/>
    <w:rsid w:val="009952A9"/>
    <w:rsid w:val="0099665C"/>
    <w:rsid w:val="00997FD6"/>
    <w:rsid w:val="009A79BA"/>
    <w:rsid w:val="009C4D5E"/>
    <w:rsid w:val="009D0722"/>
    <w:rsid w:val="009D76CC"/>
    <w:rsid w:val="009E0832"/>
    <w:rsid w:val="009F1B78"/>
    <w:rsid w:val="00A14AAC"/>
    <w:rsid w:val="00A21EEA"/>
    <w:rsid w:val="00A267A7"/>
    <w:rsid w:val="00A31139"/>
    <w:rsid w:val="00A32732"/>
    <w:rsid w:val="00A507C0"/>
    <w:rsid w:val="00A545FA"/>
    <w:rsid w:val="00A77DFE"/>
    <w:rsid w:val="00A80A2A"/>
    <w:rsid w:val="00A90460"/>
    <w:rsid w:val="00A92028"/>
    <w:rsid w:val="00A932B9"/>
    <w:rsid w:val="00A95B46"/>
    <w:rsid w:val="00AB3375"/>
    <w:rsid w:val="00AB423F"/>
    <w:rsid w:val="00AD213A"/>
    <w:rsid w:val="00AD3FFA"/>
    <w:rsid w:val="00AE1360"/>
    <w:rsid w:val="00AE16FD"/>
    <w:rsid w:val="00AE7F9F"/>
    <w:rsid w:val="00AF3B69"/>
    <w:rsid w:val="00B0370C"/>
    <w:rsid w:val="00B064C3"/>
    <w:rsid w:val="00B124D8"/>
    <w:rsid w:val="00B16FE9"/>
    <w:rsid w:val="00B220C3"/>
    <w:rsid w:val="00B24C68"/>
    <w:rsid w:val="00B32DE1"/>
    <w:rsid w:val="00B36DB9"/>
    <w:rsid w:val="00B40035"/>
    <w:rsid w:val="00B4119C"/>
    <w:rsid w:val="00B6430A"/>
    <w:rsid w:val="00B96763"/>
    <w:rsid w:val="00BA202A"/>
    <w:rsid w:val="00BA69FF"/>
    <w:rsid w:val="00BD549F"/>
    <w:rsid w:val="00C00569"/>
    <w:rsid w:val="00C26B86"/>
    <w:rsid w:val="00C319FF"/>
    <w:rsid w:val="00C34D93"/>
    <w:rsid w:val="00C415C0"/>
    <w:rsid w:val="00C51A38"/>
    <w:rsid w:val="00C765AB"/>
    <w:rsid w:val="00C91BA3"/>
    <w:rsid w:val="00C92437"/>
    <w:rsid w:val="00C95844"/>
    <w:rsid w:val="00CA449D"/>
    <w:rsid w:val="00CA638D"/>
    <w:rsid w:val="00CB357E"/>
    <w:rsid w:val="00CC320A"/>
    <w:rsid w:val="00CC4110"/>
    <w:rsid w:val="00CD2DCC"/>
    <w:rsid w:val="00CE5D36"/>
    <w:rsid w:val="00CF13EC"/>
    <w:rsid w:val="00CF176B"/>
    <w:rsid w:val="00D03801"/>
    <w:rsid w:val="00D176CD"/>
    <w:rsid w:val="00D20724"/>
    <w:rsid w:val="00D22688"/>
    <w:rsid w:val="00D26589"/>
    <w:rsid w:val="00D36F04"/>
    <w:rsid w:val="00D4426C"/>
    <w:rsid w:val="00D4625B"/>
    <w:rsid w:val="00D5041E"/>
    <w:rsid w:val="00D54BFE"/>
    <w:rsid w:val="00D60124"/>
    <w:rsid w:val="00D653C8"/>
    <w:rsid w:val="00D74C2D"/>
    <w:rsid w:val="00D832CA"/>
    <w:rsid w:val="00D85CAF"/>
    <w:rsid w:val="00D85E1D"/>
    <w:rsid w:val="00D906F3"/>
    <w:rsid w:val="00DA0D54"/>
    <w:rsid w:val="00DA4A10"/>
    <w:rsid w:val="00DB6D49"/>
    <w:rsid w:val="00DD0957"/>
    <w:rsid w:val="00DD2B81"/>
    <w:rsid w:val="00DD3042"/>
    <w:rsid w:val="00DE6B2B"/>
    <w:rsid w:val="00DE7832"/>
    <w:rsid w:val="00DF23C9"/>
    <w:rsid w:val="00DF6A82"/>
    <w:rsid w:val="00E072AA"/>
    <w:rsid w:val="00E101FD"/>
    <w:rsid w:val="00E15556"/>
    <w:rsid w:val="00E158DA"/>
    <w:rsid w:val="00E257A8"/>
    <w:rsid w:val="00E2720A"/>
    <w:rsid w:val="00E27522"/>
    <w:rsid w:val="00E3000B"/>
    <w:rsid w:val="00E45C38"/>
    <w:rsid w:val="00E479AD"/>
    <w:rsid w:val="00E550B4"/>
    <w:rsid w:val="00E60C4C"/>
    <w:rsid w:val="00E61BEA"/>
    <w:rsid w:val="00E67DF4"/>
    <w:rsid w:val="00E81D12"/>
    <w:rsid w:val="00E9223B"/>
    <w:rsid w:val="00EA136D"/>
    <w:rsid w:val="00EA6B51"/>
    <w:rsid w:val="00EB01D3"/>
    <w:rsid w:val="00ED3D37"/>
    <w:rsid w:val="00EE07D2"/>
    <w:rsid w:val="00EE6AE4"/>
    <w:rsid w:val="00EE78BE"/>
    <w:rsid w:val="00EF2B2A"/>
    <w:rsid w:val="00EF4255"/>
    <w:rsid w:val="00F05C43"/>
    <w:rsid w:val="00F156D6"/>
    <w:rsid w:val="00F169BA"/>
    <w:rsid w:val="00F215CC"/>
    <w:rsid w:val="00F27C64"/>
    <w:rsid w:val="00F34BB2"/>
    <w:rsid w:val="00F3731F"/>
    <w:rsid w:val="00F42C61"/>
    <w:rsid w:val="00F4739C"/>
    <w:rsid w:val="00F563B1"/>
    <w:rsid w:val="00F6394A"/>
    <w:rsid w:val="00F643DF"/>
    <w:rsid w:val="00F82789"/>
    <w:rsid w:val="00FE2F0B"/>
    <w:rsid w:val="00FE41E5"/>
    <w:rsid w:val="00FE64C1"/>
    <w:rsid w:val="00FF2D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5A020"/>
  <w15:chartTrackingRefBased/>
  <w15:docId w15:val="{BA6E3C8C-248F-F245-98A6-55303BBA95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0569"/>
    <w:pPr>
      <w:spacing w:after="0" w:line="240" w:lineRule="auto"/>
    </w:pPr>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C005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005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05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05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05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056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056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056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056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05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005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05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05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05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05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05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05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0569"/>
    <w:rPr>
      <w:rFonts w:eastAsiaTheme="majorEastAsia" w:cstheme="majorBidi"/>
      <w:color w:val="272727" w:themeColor="text1" w:themeTint="D8"/>
    </w:rPr>
  </w:style>
  <w:style w:type="paragraph" w:styleId="Title">
    <w:name w:val="Title"/>
    <w:basedOn w:val="Normal"/>
    <w:next w:val="Normal"/>
    <w:link w:val="TitleChar"/>
    <w:uiPriority w:val="10"/>
    <w:qFormat/>
    <w:rsid w:val="00C0056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05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05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05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0569"/>
    <w:pPr>
      <w:spacing w:before="160"/>
      <w:jc w:val="center"/>
    </w:pPr>
    <w:rPr>
      <w:i/>
      <w:iCs/>
      <w:color w:val="404040" w:themeColor="text1" w:themeTint="BF"/>
    </w:rPr>
  </w:style>
  <w:style w:type="character" w:customStyle="1" w:styleId="QuoteChar">
    <w:name w:val="Quote Char"/>
    <w:basedOn w:val="DefaultParagraphFont"/>
    <w:link w:val="Quote"/>
    <w:uiPriority w:val="29"/>
    <w:rsid w:val="00C00569"/>
    <w:rPr>
      <w:i/>
      <w:iCs/>
      <w:color w:val="404040" w:themeColor="text1" w:themeTint="BF"/>
    </w:rPr>
  </w:style>
  <w:style w:type="paragraph" w:styleId="ListParagraph">
    <w:name w:val="List Paragraph"/>
    <w:basedOn w:val="Normal"/>
    <w:uiPriority w:val="34"/>
    <w:qFormat/>
    <w:rsid w:val="00C00569"/>
    <w:pPr>
      <w:ind w:left="720"/>
      <w:contextualSpacing/>
    </w:pPr>
  </w:style>
  <w:style w:type="character" w:styleId="IntenseEmphasis">
    <w:name w:val="Intense Emphasis"/>
    <w:basedOn w:val="DefaultParagraphFont"/>
    <w:uiPriority w:val="21"/>
    <w:qFormat/>
    <w:rsid w:val="00C00569"/>
    <w:rPr>
      <w:i/>
      <w:iCs/>
      <w:color w:val="0F4761" w:themeColor="accent1" w:themeShade="BF"/>
    </w:rPr>
  </w:style>
  <w:style w:type="paragraph" w:styleId="IntenseQuote">
    <w:name w:val="Intense Quote"/>
    <w:basedOn w:val="Normal"/>
    <w:next w:val="Normal"/>
    <w:link w:val="IntenseQuoteChar"/>
    <w:uiPriority w:val="30"/>
    <w:qFormat/>
    <w:rsid w:val="00C005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0569"/>
    <w:rPr>
      <w:i/>
      <w:iCs/>
      <w:color w:val="0F4761" w:themeColor="accent1" w:themeShade="BF"/>
    </w:rPr>
  </w:style>
  <w:style w:type="character" w:styleId="IntenseReference">
    <w:name w:val="Intense Reference"/>
    <w:basedOn w:val="DefaultParagraphFont"/>
    <w:uiPriority w:val="32"/>
    <w:qFormat/>
    <w:rsid w:val="00C00569"/>
    <w:rPr>
      <w:b/>
      <w:bCs/>
      <w:smallCaps/>
      <w:color w:val="0F4761" w:themeColor="accent1" w:themeShade="BF"/>
      <w:spacing w:val="5"/>
    </w:rPr>
  </w:style>
  <w:style w:type="character" w:styleId="Hyperlink">
    <w:name w:val="Hyperlink"/>
    <w:basedOn w:val="DefaultParagraphFont"/>
    <w:uiPriority w:val="99"/>
    <w:unhideWhenUsed/>
    <w:rsid w:val="00C00569"/>
    <w:rPr>
      <w:color w:val="467886" w:themeColor="hyperlink"/>
      <w:u w:val="single"/>
    </w:rPr>
  </w:style>
  <w:style w:type="paragraph" w:styleId="NormalWeb">
    <w:name w:val="Normal (Web)"/>
    <w:basedOn w:val="Normal"/>
    <w:uiPriority w:val="99"/>
    <w:unhideWhenUsed/>
    <w:rsid w:val="00881F35"/>
    <w:pPr>
      <w:spacing w:before="100" w:beforeAutospacing="1" w:after="100" w:afterAutospacing="1"/>
    </w:pPr>
    <w:rPr>
      <w:lang w:eastAsia="en-GB"/>
    </w:rPr>
  </w:style>
  <w:style w:type="character" w:styleId="Emphasis">
    <w:name w:val="Emphasis"/>
    <w:basedOn w:val="DefaultParagraphFont"/>
    <w:uiPriority w:val="20"/>
    <w:qFormat/>
    <w:rsid w:val="00881F35"/>
    <w:rPr>
      <w:i/>
      <w:iCs/>
    </w:rPr>
  </w:style>
  <w:style w:type="character" w:styleId="Strong">
    <w:name w:val="Strong"/>
    <w:basedOn w:val="DefaultParagraphFont"/>
    <w:uiPriority w:val="22"/>
    <w:qFormat/>
    <w:rsid w:val="0025404B"/>
    <w:rPr>
      <w:b/>
      <w:bCs/>
    </w:rPr>
  </w:style>
  <w:style w:type="character" w:styleId="UnresolvedMention">
    <w:name w:val="Unresolved Mention"/>
    <w:basedOn w:val="DefaultParagraphFont"/>
    <w:uiPriority w:val="99"/>
    <w:semiHidden/>
    <w:unhideWhenUsed/>
    <w:rsid w:val="0077751A"/>
    <w:rPr>
      <w:color w:val="605E5C"/>
      <w:shd w:val="clear" w:color="auto" w:fill="E1DFDD"/>
    </w:rPr>
  </w:style>
  <w:style w:type="character" w:styleId="FollowedHyperlink">
    <w:name w:val="FollowedHyperlink"/>
    <w:basedOn w:val="DefaultParagraphFont"/>
    <w:uiPriority w:val="99"/>
    <w:semiHidden/>
    <w:unhideWhenUsed/>
    <w:rsid w:val="00433B35"/>
    <w:rPr>
      <w:color w:val="96607D" w:themeColor="followedHyperlink"/>
      <w:u w:val="single"/>
    </w:rPr>
  </w:style>
  <w:style w:type="paragraph" w:customStyle="1" w:styleId="gds-typography">
    <w:name w:val="gds-typography"/>
    <w:basedOn w:val="Normal"/>
    <w:rsid w:val="00A507C0"/>
    <w:pPr>
      <w:spacing w:before="100" w:beforeAutospacing="1" w:after="100" w:afterAutospacing="1"/>
    </w:pPr>
    <w:rPr>
      <w:lang w:eastAsia="en-GB"/>
    </w:rPr>
  </w:style>
  <w:style w:type="character" w:customStyle="1" w:styleId="lotnumber">
    <w:name w:val="lotnumber"/>
    <w:basedOn w:val="DefaultParagraphFont"/>
    <w:rsid w:val="00835401"/>
  </w:style>
  <w:style w:type="paragraph" w:styleId="Header">
    <w:name w:val="header"/>
    <w:basedOn w:val="Normal"/>
    <w:link w:val="HeaderChar"/>
    <w:uiPriority w:val="99"/>
    <w:unhideWhenUsed/>
    <w:rsid w:val="00B4119C"/>
    <w:pPr>
      <w:tabs>
        <w:tab w:val="center" w:pos="4513"/>
        <w:tab w:val="right" w:pos="9026"/>
      </w:tabs>
    </w:pPr>
  </w:style>
  <w:style w:type="character" w:customStyle="1" w:styleId="HeaderChar">
    <w:name w:val="Header Char"/>
    <w:basedOn w:val="DefaultParagraphFont"/>
    <w:link w:val="Header"/>
    <w:uiPriority w:val="99"/>
    <w:rsid w:val="00B4119C"/>
    <w:rPr>
      <w:rFonts w:ascii="Times New Roman" w:eastAsia="Times New Roman" w:hAnsi="Times New Roman" w:cs="Times New Roman"/>
      <w:kern w:val="0"/>
      <w14:ligatures w14:val="none"/>
    </w:rPr>
  </w:style>
  <w:style w:type="paragraph" w:styleId="Footer">
    <w:name w:val="footer"/>
    <w:basedOn w:val="Normal"/>
    <w:link w:val="FooterChar"/>
    <w:uiPriority w:val="99"/>
    <w:unhideWhenUsed/>
    <w:rsid w:val="00B4119C"/>
    <w:pPr>
      <w:tabs>
        <w:tab w:val="center" w:pos="4513"/>
        <w:tab w:val="right" w:pos="9026"/>
      </w:tabs>
    </w:pPr>
  </w:style>
  <w:style w:type="character" w:customStyle="1" w:styleId="FooterChar">
    <w:name w:val="Footer Char"/>
    <w:basedOn w:val="DefaultParagraphFont"/>
    <w:link w:val="Footer"/>
    <w:uiPriority w:val="99"/>
    <w:rsid w:val="00B4119C"/>
    <w:rPr>
      <w:rFonts w:ascii="Times New Roman" w:eastAsia="Times New Roman" w:hAnsi="Times New Roman" w:cs="Times New Roman"/>
      <w:kern w:val="0"/>
      <w14:ligatures w14:val="none"/>
    </w:rPr>
  </w:style>
  <w:style w:type="character" w:styleId="PageNumber">
    <w:name w:val="page number"/>
    <w:basedOn w:val="DefaultParagraphFont"/>
    <w:uiPriority w:val="99"/>
    <w:semiHidden/>
    <w:unhideWhenUsed/>
    <w:rsid w:val="00B411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dawsonsauctions.co.uk/news-item/is-militaria-a-good-investment/" TargetMode="External"/><Relationship Id="rId21" Type="http://schemas.openxmlformats.org/officeDocument/2006/relationships/hyperlink" Target="https://doi.org/10.1007/s10612-023-09738-0" TargetMode="External"/><Relationship Id="rId34" Type="http://schemas.openxmlformats.org/officeDocument/2006/relationships/hyperlink" Target="https://doi.org/10.1108/JCM-05-2017-2224" TargetMode="External"/><Relationship Id="rId42" Type="http://schemas.openxmlformats.org/officeDocument/2006/relationships/hyperlink" Target="https://doi.org/10.1080/00293650802522662" TargetMode="External"/><Relationship Id="rId47" Type="http://schemas.openxmlformats.org/officeDocument/2006/relationships/hyperlink" Target="https://doi.org/10.1017/S1380203822000253" TargetMode="External"/><Relationship Id="rId50" Type="http://schemas.openxmlformats.org/officeDocument/2006/relationships/hyperlink" Target="https://doi.org/10.1080/15740773.2023.2207997" TargetMode="External"/><Relationship Id="rId55" Type="http://schemas.openxmlformats.org/officeDocument/2006/relationships/hyperlink" Target="https://rmsothebys.com/auctions/lc14/" TargetMode="External"/><Relationship Id="rId63"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doi.org/10.1007/BF02803807" TargetMode="External"/><Relationship Id="rId11" Type="http://schemas.openxmlformats.org/officeDocument/2006/relationships/image" Target="media/image5.png"/><Relationship Id="rId24" Type="http://schemas.openxmlformats.org/officeDocument/2006/relationships/hyperlink" Target="https://encyclopedia.1914-1918-online.net/article/memory-of-the-war-popular-memory-1918-1945-1945-to-the-present-1-1/" TargetMode="External"/><Relationship Id="rId32" Type="http://schemas.openxmlformats.org/officeDocument/2006/relationships/hyperlink" Target="https://doi.org/10.1080/00438243.2016.1184586" TargetMode="External"/><Relationship Id="rId37" Type="http://schemas.openxmlformats.org/officeDocument/2006/relationships/hyperlink" Target="https://www.archilovers.com/projects/45274/musee-de-la-grande-guerre.html" TargetMode="External"/><Relationship Id="rId40" Type="http://schemas.openxmlformats.org/officeDocument/2006/relationships/hyperlink" Target="https://www.proquest.com/docview/1011003790?accountid=130472&amp;parentSessionId=XtPujK%2B8AIPynMPl7MYGg760WSxVGsJhHCwaKMCM0Kw%3D&amp;pq-origsite=primo&amp;sourcetype=Magazines" TargetMode="External"/><Relationship Id="rId45" Type="http://schemas.openxmlformats.org/officeDocument/2006/relationships/hyperlink" Target="https://www.museedelagrandeguerre.com/collections/prothese/" TargetMode="External"/><Relationship Id="rId53" Type="http://schemas.openxmlformats.org/officeDocument/2006/relationships/hyperlink" Target="https://doi.org/10.1017/S0940739124000079" TargetMode="External"/><Relationship Id="rId58" Type="http://schemas.openxmlformats.org/officeDocument/2006/relationships/hyperlink" Target="https://doi.org/10.15184/aqy.2019.201" TargetMode="External"/><Relationship Id="rId66"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www.google.co.uk/books/edition/A_Guide_to_Wartime_Collectables/sOd7BAAAQBAJ?hl=en&amp;gbpv=0" TargetMode="Externa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hyperlink" Target="https://www.proquest.com/docview/3090690614?accountid=130472&amp;parentSessionId=UYiOTZ1L%2FKeVhFB4l0dILVIf1Uc%2Bl3cHppE3YwtD%2B4Y%3D&amp;pq-origsite=primo&amp;sourcetype=Conference%20Papers%20&amp;%20Proceedings" TargetMode="External"/><Relationship Id="rId27" Type="http://schemas.openxmlformats.org/officeDocument/2006/relationships/hyperlink" Target="https://emergingcivilwar.com/2024/03/22/civil-war-relic-hunting-destroying-american-history/" TargetMode="External"/><Relationship Id="rId30" Type="http://schemas.openxmlformats.org/officeDocument/2006/relationships/hyperlink" Target="https://www.nytimes.com/2011/11/11/world/europe/in-france-sacrifices-of-world-war-i-resonate-anew.html" TargetMode="External"/><Relationship Id="rId35" Type="http://schemas.openxmlformats.org/officeDocument/2006/relationships/hyperlink" Target="https://www.iwm.org.uk/sites/default/files/files/2025-10/Recovering%20the%20Relics%20of%20War%20CDP%20Advert_FINAL.pdf" TargetMode="External"/><Relationship Id="rId43" Type="http://schemas.openxmlformats.org/officeDocument/2006/relationships/hyperlink" Target="https://www.museedelagrandeguerre.com/" TargetMode="External"/><Relationship Id="rId48" Type="http://schemas.openxmlformats.org/officeDocument/2006/relationships/hyperlink" Target="https://www.proquest.com/docview/201294020/5C44067BAF164EF0PQ/9?accountid=130472&amp;sourcetype=Magazines" TargetMode="External"/><Relationship Id="rId56" Type="http://schemas.openxmlformats.org/officeDocument/2006/relationships/hyperlink" Target="https://rmsothebys.com/auctions/lc14/lots/r0029-m3a1-stuart/" TargetMode="External"/><Relationship Id="rId64" Type="http://schemas.openxmlformats.org/officeDocument/2006/relationships/footer" Target="footer2.xml"/><Relationship Id="rId8" Type="http://schemas.openxmlformats.org/officeDocument/2006/relationships/image" Target="media/image2.png"/><Relationship Id="rId51" Type="http://schemas.openxmlformats.org/officeDocument/2006/relationships/hyperlink" Target="https://vwma.org.au/explore/people/149414"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proquest.com/docview/190775576?accountid=130472&amp;parentSessionId=UUk5q1p5O2dE0g3kUPmQvQgRkVRQm8WIp39jewk8X0w%3D&amp;pq-origsite=primo&amp;sourcetype=Other%20Sources" TargetMode="External"/><Relationship Id="rId33" Type="http://schemas.openxmlformats.org/officeDocument/2006/relationships/hyperlink" Target="https://www.proquest.com/docview/1560371965/fulltext/A61D6A853E174B48PQ/1?accountid=130472&amp;sourcetype=Magazines" TargetMode="External"/><Relationship Id="rId38" Type="http://schemas.openxmlformats.org/officeDocument/2006/relationships/hyperlink" Target="https://www.theguardian.com/global/2017/sep/17/battlefield-bounty-hunters-in-polish-ww2-battlefields" TargetMode="External"/><Relationship Id="rId46" Type="http://schemas.openxmlformats.org/officeDocument/2006/relationships/hyperlink" Target="https://www.museedelagrandeguerre.com/en/collections/georges-bruyer/" TargetMode="External"/><Relationship Id="rId59" Type="http://schemas.openxmlformats.org/officeDocument/2006/relationships/hyperlink" Target="https://doi.org/10.52214/jla.v44i4.8197" TargetMode="External"/><Relationship Id="rId20" Type="http://schemas.openxmlformats.org/officeDocument/2006/relationships/image" Target="media/image14.png"/><Relationship Id="rId41" Type="http://schemas.openxmlformats.org/officeDocument/2006/relationships/hyperlink" Target="https://doi.org/10.1080/01490400490272639" TargetMode="External"/><Relationship Id="rId54" Type="http://schemas.openxmlformats.org/officeDocument/2006/relationships/hyperlink" Target="https://rmsothebys.com/media-center/press-releases/global-interest-and-spirited-bidding-drive-1024-million-in-sales-at-historic-littlefield-military-collection-auction/" TargetMode="External"/><Relationship Id="rId62"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doi.org/10.1177/1043986208318210" TargetMode="External"/><Relationship Id="rId28" Type="http://schemas.openxmlformats.org/officeDocument/2006/relationships/hyperlink" Target="https://doi.org/10.1093/jhc/fhad034" TargetMode="External"/><Relationship Id="rId36" Type="http://schemas.openxmlformats.org/officeDocument/2006/relationships/hyperlink" Target="https://www.estrepublicain.fr/actualite/2011/11/12/jean-pierre-verney?utm" TargetMode="External"/><Relationship Id="rId49" Type="http://schemas.openxmlformats.org/officeDocument/2006/relationships/hyperlink" Target="https://www.bfmtv.com/societe/le-musee-de-la-grande-guerre-de-meaux-memoire-d-une-tragedie_AN-201111110009.html" TargetMode="External"/><Relationship Id="rId57" Type="http://schemas.openxmlformats.org/officeDocument/2006/relationships/hyperlink" Target="https://theoutline.com/post/8028/jew-selling-nazi-memorabilia" TargetMode="External"/><Relationship Id="rId10" Type="http://schemas.openxmlformats.org/officeDocument/2006/relationships/image" Target="media/image4.png"/><Relationship Id="rId31" Type="http://schemas.openxmlformats.org/officeDocument/2006/relationships/hyperlink" Target="https://doi.org/10.1080/14766825.2019.1560914" TargetMode="External"/><Relationship Id="rId44" Type="http://schemas.openxmlformats.org/officeDocument/2006/relationships/hyperlink" Target="https://www.museedelagrandeguerre.com/en/collections/infantryman-in-the-kings-royal-rifle-corps/" TargetMode="External"/><Relationship Id="rId52" Type="http://schemas.openxmlformats.org/officeDocument/2006/relationships/hyperlink" Target="https://doi.org/10.1080/14702029.2020.1804705" TargetMode="External"/><Relationship Id="rId60" Type="http://schemas.openxmlformats.org/officeDocument/2006/relationships/hyperlink" Target="https://www.armes-ufa.com/spip.php?article3905" TargetMode="External"/><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s://www.proquest.com/openview/db49ec3dac9c7716c7965ca5fb3a1851/1?pq-origsite=gscholar&amp;cbl=181904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4668</Words>
  <Characters>32256</Characters>
  <Application>Microsoft Office Word</Application>
  <DocSecurity>0</DocSecurity>
  <Lines>556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Bakewell (2204367)</dc:creator>
  <cp:keywords/>
  <dc:description/>
  <cp:lastModifiedBy>Richard Bakewell (2204367)</cp:lastModifiedBy>
  <cp:revision>2</cp:revision>
  <dcterms:created xsi:type="dcterms:W3CDTF">2026-02-17T12:01:00Z</dcterms:created>
  <dcterms:modified xsi:type="dcterms:W3CDTF">2026-02-17T12:01:00Z</dcterms:modified>
</cp:coreProperties>
</file>