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B8775D" w14:textId="0D2F9EF2" w:rsidR="00CB1127" w:rsidRPr="00CB1127" w:rsidRDefault="00CB1127" w:rsidP="00CB1127">
      <w:pPr>
        <w:spacing w:line="360" w:lineRule="auto"/>
        <w:rPr>
          <w:rFonts w:ascii="Times New Roman" w:hAnsi="Times New Roman" w:cs="Times New Roman"/>
          <w:b/>
          <w:color w:val="000000" w:themeColor="text1"/>
          <w:sz w:val="32"/>
          <w:shd w:val="clear" w:color="auto" w:fill="FFFFFF"/>
        </w:rPr>
      </w:pPr>
      <w:r w:rsidRPr="00CB1127">
        <w:rPr>
          <w:rFonts w:ascii="Times New Roman" w:hAnsi="Times New Roman" w:cs="Times New Roman"/>
          <w:b/>
          <w:color w:val="000000" w:themeColor="text1"/>
          <w:sz w:val="32"/>
          <w:shd w:val="clear" w:color="auto" w:fill="FFFFFF"/>
        </w:rPr>
        <w:t xml:space="preserve">Program: </w:t>
      </w:r>
      <w:r w:rsidRPr="00CB1127">
        <w:rPr>
          <w:rFonts w:ascii="Times New Roman" w:hAnsi="Times New Roman" w:cs="Times New Roman"/>
          <w:bCs/>
          <w:color w:val="000000" w:themeColor="text1"/>
          <w:sz w:val="32"/>
          <w:shd w:val="clear" w:color="auto" w:fill="FFFFFF"/>
        </w:rPr>
        <w:t>DipHE Nursing Studies and Health</w:t>
      </w:r>
    </w:p>
    <w:p w14:paraId="2CC8176F" w14:textId="77777777" w:rsidR="00CB1127" w:rsidRPr="00CB1127" w:rsidRDefault="00CB1127" w:rsidP="00CB1127">
      <w:pPr>
        <w:spacing w:line="360" w:lineRule="auto"/>
        <w:rPr>
          <w:rFonts w:ascii="Times New Roman" w:hAnsi="Times New Roman" w:cs="Times New Roman"/>
          <w:b/>
          <w:color w:val="000000" w:themeColor="text1"/>
          <w:sz w:val="32"/>
          <w:shd w:val="clear" w:color="auto" w:fill="FFFFFF"/>
        </w:rPr>
      </w:pPr>
      <w:r w:rsidRPr="00CB1127">
        <w:rPr>
          <w:rFonts w:ascii="Times New Roman" w:hAnsi="Times New Roman" w:cs="Times New Roman"/>
          <w:b/>
          <w:color w:val="000000" w:themeColor="text1"/>
          <w:sz w:val="32"/>
          <w:shd w:val="clear" w:color="auto" w:fill="FFFFFF"/>
        </w:rPr>
        <w:t xml:space="preserve">Module: </w:t>
      </w:r>
      <w:r w:rsidRPr="00CB1127">
        <w:rPr>
          <w:rFonts w:ascii="Times New Roman" w:hAnsi="Times New Roman" w:cs="Times New Roman"/>
          <w:bCs/>
          <w:color w:val="000000" w:themeColor="text1"/>
          <w:sz w:val="32"/>
          <w:shd w:val="clear" w:color="auto" w:fill="FFFFFF"/>
        </w:rPr>
        <w:t>LIVING WELL THE OLDER PERSON IN CONTEXT</w:t>
      </w:r>
      <w:r w:rsidRPr="00CB1127">
        <w:rPr>
          <w:rFonts w:ascii="Times New Roman" w:hAnsi="Times New Roman" w:cs="Times New Roman"/>
          <w:b/>
          <w:color w:val="000000" w:themeColor="text1"/>
          <w:sz w:val="32"/>
          <w:shd w:val="clear" w:color="auto" w:fill="FFFFFF"/>
        </w:rPr>
        <w:t xml:space="preserve">  </w:t>
      </w:r>
    </w:p>
    <w:p w14:paraId="1337BF57" w14:textId="77777777" w:rsidR="00CB1127" w:rsidRPr="00CB1127" w:rsidRDefault="00CB1127" w:rsidP="00CB1127">
      <w:pPr>
        <w:spacing w:line="360" w:lineRule="auto"/>
        <w:rPr>
          <w:rFonts w:ascii="Times New Roman" w:hAnsi="Times New Roman" w:cs="Times New Roman"/>
          <w:bCs/>
          <w:color w:val="000000" w:themeColor="text1"/>
          <w:sz w:val="32"/>
          <w:shd w:val="clear" w:color="auto" w:fill="FFFFFF"/>
        </w:rPr>
      </w:pPr>
      <w:r w:rsidRPr="00CB1127">
        <w:rPr>
          <w:rFonts w:ascii="Times New Roman" w:hAnsi="Times New Roman" w:cs="Times New Roman"/>
          <w:b/>
          <w:color w:val="000000" w:themeColor="text1"/>
          <w:sz w:val="32"/>
          <w:shd w:val="clear" w:color="auto" w:fill="FFFFFF"/>
        </w:rPr>
        <w:t xml:space="preserve">Module Code: </w:t>
      </w:r>
      <w:r w:rsidRPr="00CB1127">
        <w:rPr>
          <w:rFonts w:ascii="Times New Roman" w:hAnsi="Times New Roman" w:cs="Times New Roman"/>
          <w:bCs/>
          <w:color w:val="000000" w:themeColor="text1"/>
          <w:sz w:val="32"/>
          <w:shd w:val="clear" w:color="auto" w:fill="FFFFFF"/>
        </w:rPr>
        <w:t>BMNS5003</w:t>
      </w:r>
    </w:p>
    <w:p w14:paraId="5CB4210E" w14:textId="77777777" w:rsidR="00CB1127" w:rsidRPr="00CB1127" w:rsidRDefault="00CB1127" w:rsidP="00CB1127">
      <w:pPr>
        <w:spacing w:line="360" w:lineRule="auto"/>
        <w:rPr>
          <w:rFonts w:ascii="Times New Roman" w:hAnsi="Times New Roman" w:cs="Times New Roman"/>
          <w:b/>
          <w:color w:val="000000" w:themeColor="text1"/>
          <w:sz w:val="32"/>
          <w:shd w:val="clear" w:color="auto" w:fill="FFFFFF"/>
        </w:rPr>
      </w:pPr>
    </w:p>
    <w:p w14:paraId="32B1B5C0" w14:textId="77777777" w:rsidR="00ED1655" w:rsidRDefault="00ED1655" w:rsidP="00CB1127">
      <w:pPr>
        <w:spacing w:line="360" w:lineRule="auto"/>
        <w:rPr>
          <w:rFonts w:ascii="Times New Roman" w:hAnsi="Times New Roman" w:cs="Times New Roman"/>
          <w:b/>
          <w:color w:val="000000" w:themeColor="text1"/>
          <w:sz w:val="32"/>
          <w:shd w:val="clear" w:color="auto" w:fill="FFFFFF"/>
        </w:rPr>
      </w:pPr>
    </w:p>
    <w:p w14:paraId="669667DB" w14:textId="77777777" w:rsidR="00ED1655" w:rsidRDefault="00ED1655" w:rsidP="00ED1655">
      <w:pPr>
        <w:spacing w:line="360" w:lineRule="auto"/>
        <w:jc w:val="center"/>
        <w:rPr>
          <w:rFonts w:ascii="Times New Roman" w:hAnsi="Times New Roman" w:cs="Times New Roman"/>
          <w:b/>
          <w:color w:val="000000" w:themeColor="text1"/>
          <w:sz w:val="32"/>
          <w:shd w:val="clear" w:color="auto" w:fill="FFFFFF"/>
        </w:rPr>
      </w:pPr>
    </w:p>
    <w:p w14:paraId="331B25FC" w14:textId="77777777" w:rsidR="00ED1655" w:rsidRDefault="00ED1655" w:rsidP="00ED1655">
      <w:pPr>
        <w:spacing w:line="360" w:lineRule="auto"/>
        <w:jc w:val="center"/>
        <w:rPr>
          <w:rFonts w:ascii="Times New Roman" w:hAnsi="Times New Roman" w:cs="Times New Roman"/>
          <w:b/>
          <w:color w:val="000000" w:themeColor="text1"/>
          <w:sz w:val="32"/>
          <w:shd w:val="clear" w:color="auto" w:fill="FFFFFF"/>
        </w:rPr>
      </w:pPr>
    </w:p>
    <w:p w14:paraId="338CFDD4" w14:textId="77777777" w:rsidR="00ED1655" w:rsidRDefault="00ED1655" w:rsidP="00ED1655">
      <w:pPr>
        <w:spacing w:line="360" w:lineRule="auto"/>
        <w:jc w:val="center"/>
        <w:rPr>
          <w:rFonts w:ascii="Times New Roman" w:hAnsi="Times New Roman" w:cs="Times New Roman"/>
          <w:b/>
          <w:color w:val="000000" w:themeColor="text1"/>
          <w:sz w:val="32"/>
          <w:shd w:val="clear" w:color="auto" w:fill="FFFFFF"/>
        </w:rPr>
      </w:pPr>
    </w:p>
    <w:p w14:paraId="42F27A38" w14:textId="77777777" w:rsidR="00ED1655" w:rsidRDefault="00ED1655" w:rsidP="00ED1655">
      <w:pPr>
        <w:spacing w:line="360" w:lineRule="auto"/>
        <w:jc w:val="center"/>
        <w:rPr>
          <w:rFonts w:ascii="Times New Roman" w:hAnsi="Times New Roman" w:cs="Times New Roman"/>
          <w:b/>
          <w:color w:val="000000" w:themeColor="text1"/>
          <w:sz w:val="32"/>
          <w:shd w:val="clear" w:color="auto" w:fill="FFFFFF"/>
        </w:rPr>
      </w:pPr>
    </w:p>
    <w:p w14:paraId="279BD44F" w14:textId="395F7B6E" w:rsidR="00870C26" w:rsidRPr="00870C26" w:rsidRDefault="00870C26" w:rsidP="00870C26">
      <w:pPr>
        <w:jc w:val="center"/>
        <w:rPr>
          <w:rFonts w:ascii="Times New Roman" w:hAnsi="Times New Roman" w:cs="Times New Roman"/>
          <w:b/>
          <w:color w:val="000000" w:themeColor="text1"/>
          <w:sz w:val="32"/>
          <w:shd w:val="clear" w:color="auto" w:fill="FFFFFF"/>
        </w:rPr>
      </w:pPr>
      <w:r w:rsidRPr="00870C26">
        <w:rPr>
          <w:rFonts w:ascii="Times New Roman" w:hAnsi="Times New Roman" w:cs="Times New Roman"/>
          <w:b/>
          <w:color w:val="000000" w:themeColor="text1"/>
          <w:sz w:val="32"/>
          <w:shd w:val="clear" w:color="auto" w:fill="FFFFFF"/>
        </w:rPr>
        <w:t>Report - Challenges, Intervention, and Recommendation for Supporting Older Adults</w:t>
      </w:r>
    </w:p>
    <w:p w14:paraId="6B4785C4" w14:textId="77777777" w:rsidR="00ED1655" w:rsidRPr="00870C26" w:rsidRDefault="00ED1655" w:rsidP="00870C26">
      <w:pPr>
        <w:spacing w:line="360" w:lineRule="auto"/>
        <w:jc w:val="center"/>
        <w:rPr>
          <w:rFonts w:ascii="Times New Roman" w:hAnsi="Times New Roman" w:cs="Times New Roman"/>
          <w:b/>
          <w:color w:val="000000" w:themeColor="text1"/>
          <w:sz w:val="32"/>
          <w:shd w:val="clear" w:color="auto" w:fill="FFFFFF"/>
        </w:rPr>
      </w:pPr>
    </w:p>
    <w:p w14:paraId="3A71FC4E" w14:textId="77777777" w:rsidR="00CB1127" w:rsidRDefault="00CB1127" w:rsidP="00ED1655">
      <w:pPr>
        <w:spacing w:line="360" w:lineRule="auto"/>
        <w:jc w:val="center"/>
        <w:rPr>
          <w:rFonts w:ascii="Times New Roman" w:hAnsi="Times New Roman" w:cs="Times New Roman"/>
          <w:b/>
          <w:color w:val="000000" w:themeColor="text1"/>
          <w:sz w:val="32"/>
          <w:shd w:val="clear" w:color="auto" w:fill="FFFFFF"/>
        </w:rPr>
      </w:pPr>
    </w:p>
    <w:p w14:paraId="25695501" w14:textId="77777777" w:rsidR="00CB1127" w:rsidRDefault="00CB1127" w:rsidP="00ED1655">
      <w:pPr>
        <w:spacing w:line="360" w:lineRule="auto"/>
        <w:jc w:val="center"/>
        <w:rPr>
          <w:rFonts w:ascii="Times New Roman" w:hAnsi="Times New Roman" w:cs="Times New Roman"/>
          <w:b/>
          <w:color w:val="000000" w:themeColor="text1"/>
          <w:sz w:val="32"/>
          <w:shd w:val="clear" w:color="auto" w:fill="FFFFFF"/>
        </w:rPr>
      </w:pPr>
    </w:p>
    <w:p w14:paraId="6A0BE787" w14:textId="77777777" w:rsidR="00CB1127" w:rsidRDefault="00CB1127" w:rsidP="00ED1655">
      <w:pPr>
        <w:spacing w:line="360" w:lineRule="auto"/>
        <w:jc w:val="center"/>
        <w:rPr>
          <w:rFonts w:ascii="Times New Roman" w:hAnsi="Times New Roman" w:cs="Times New Roman"/>
          <w:b/>
          <w:color w:val="000000" w:themeColor="text1"/>
          <w:sz w:val="32"/>
          <w:shd w:val="clear" w:color="auto" w:fill="FFFFFF"/>
        </w:rPr>
      </w:pPr>
    </w:p>
    <w:p w14:paraId="48726BB8" w14:textId="77777777" w:rsidR="00CB1127" w:rsidRDefault="00CB1127" w:rsidP="00ED1655">
      <w:pPr>
        <w:spacing w:line="360" w:lineRule="auto"/>
        <w:jc w:val="center"/>
        <w:rPr>
          <w:rFonts w:ascii="Times New Roman" w:hAnsi="Times New Roman" w:cs="Times New Roman"/>
          <w:b/>
          <w:color w:val="000000" w:themeColor="text1"/>
          <w:sz w:val="32"/>
          <w:shd w:val="clear" w:color="auto" w:fill="FFFFFF"/>
        </w:rPr>
      </w:pPr>
    </w:p>
    <w:p w14:paraId="07E1A67F" w14:textId="77777777" w:rsidR="00CB1127" w:rsidRDefault="00CB1127" w:rsidP="00CB1127">
      <w:pPr>
        <w:spacing w:line="360" w:lineRule="auto"/>
        <w:rPr>
          <w:rFonts w:ascii="Times New Roman" w:hAnsi="Times New Roman" w:cs="Times New Roman"/>
          <w:b/>
          <w:color w:val="000000" w:themeColor="text1"/>
          <w:sz w:val="32"/>
          <w:shd w:val="clear" w:color="auto" w:fill="FFFFFF"/>
        </w:rPr>
      </w:pPr>
    </w:p>
    <w:p w14:paraId="4DF87444" w14:textId="77777777" w:rsidR="00CB1127" w:rsidRDefault="00CB1127" w:rsidP="00CB1127">
      <w:pPr>
        <w:spacing w:line="360" w:lineRule="auto"/>
        <w:rPr>
          <w:rFonts w:ascii="Times New Roman" w:hAnsi="Times New Roman" w:cs="Times New Roman"/>
          <w:b/>
          <w:color w:val="000000" w:themeColor="text1"/>
          <w:sz w:val="32"/>
          <w:shd w:val="clear" w:color="auto" w:fill="FFFFFF"/>
        </w:rPr>
      </w:pPr>
    </w:p>
    <w:p w14:paraId="108DD258" w14:textId="77777777" w:rsidR="00CB1127" w:rsidRDefault="00CB1127" w:rsidP="00CB1127">
      <w:pPr>
        <w:spacing w:line="360" w:lineRule="auto"/>
        <w:rPr>
          <w:rFonts w:ascii="Times New Roman" w:hAnsi="Times New Roman" w:cs="Times New Roman"/>
          <w:b/>
          <w:color w:val="000000" w:themeColor="text1"/>
          <w:sz w:val="32"/>
          <w:shd w:val="clear" w:color="auto" w:fill="FFFFFF"/>
        </w:rPr>
      </w:pPr>
    </w:p>
    <w:p w14:paraId="2B988BBA" w14:textId="77777777" w:rsidR="00CB1127" w:rsidRDefault="00CB1127" w:rsidP="00CB1127">
      <w:pPr>
        <w:spacing w:line="360" w:lineRule="auto"/>
        <w:rPr>
          <w:rFonts w:ascii="Times New Roman" w:hAnsi="Times New Roman" w:cs="Times New Roman"/>
          <w:b/>
          <w:color w:val="000000" w:themeColor="text1"/>
          <w:sz w:val="32"/>
          <w:shd w:val="clear" w:color="auto" w:fill="FFFFFF"/>
        </w:rPr>
      </w:pPr>
    </w:p>
    <w:p w14:paraId="10C7FC95" w14:textId="77777777" w:rsidR="00CB1127" w:rsidRDefault="00CB1127" w:rsidP="00CB1127">
      <w:pPr>
        <w:spacing w:line="360" w:lineRule="auto"/>
        <w:rPr>
          <w:rFonts w:ascii="Times New Roman" w:hAnsi="Times New Roman" w:cs="Times New Roman"/>
          <w:b/>
          <w:color w:val="000000" w:themeColor="text1"/>
          <w:sz w:val="32"/>
          <w:shd w:val="clear" w:color="auto" w:fill="FFFFFF"/>
        </w:rPr>
      </w:pPr>
    </w:p>
    <w:p w14:paraId="7F5D39F6" w14:textId="77777777" w:rsidR="00CB1127" w:rsidRDefault="00CB1127" w:rsidP="00CB1127">
      <w:pPr>
        <w:spacing w:line="360" w:lineRule="auto"/>
        <w:rPr>
          <w:rFonts w:ascii="Times New Roman" w:hAnsi="Times New Roman" w:cs="Times New Roman"/>
          <w:b/>
          <w:color w:val="000000" w:themeColor="text1"/>
          <w:sz w:val="32"/>
          <w:shd w:val="clear" w:color="auto" w:fill="FFFFFF"/>
        </w:rPr>
      </w:pPr>
    </w:p>
    <w:p w14:paraId="3C1E4AC1" w14:textId="77777777" w:rsidR="00CB1127" w:rsidRDefault="00CB1127" w:rsidP="00CB1127">
      <w:pPr>
        <w:spacing w:line="360" w:lineRule="auto"/>
        <w:rPr>
          <w:rFonts w:ascii="Times New Roman" w:hAnsi="Times New Roman" w:cs="Times New Roman"/>
          <w:b/>
          <w:color w:val="000000" w:themeColor="text1"/>
          <w:sz w:val="32"/>
          <w:shd w:val="clear" w:color="auto" w:fill="FFFFFF"/>
        </w:rPr>
      </w:pPr>
    </w:p>
    <w:p w14:paraId="5CFB08AB" w14:textId="36858A7A" w:rsidR="00CB1127" w:rsidRDefault="00CB1127" w:rsidP="00CB1127">
      <w:pPr>
        <w:spacing w:line="360" w:lineRule="auto"/>
        <w:rPr>
          <w:rFonts w:ascii="Times New Roman" w:hAnsi="Times New Roman" w:cs="Times New Roman"/>
          <w:b/>
          <w:color w:val="000000" w:themeColor="text1"/>
          <w:sz w:val="32"/>
          <w:shd w:val="clear" w:color="auto" w:fill="FFFFFF"/>
        </w:rPr>
      </w:pPr>
      <w:r>
        <w:rPr>
          <w:rFonts w:ascii="Times New Roman" w:hAnsi="Times New Roman" w:cs="Times New Roman"/>
          <w:b/>
          <w:color w:val="000000" w:themeColor="text1"/>
          <w:sz w:val="32"/>
          <w:shd w:val="clear" w:color="auto" w:fill="FFFFFF"/>
        </w:rPr>
        <w:t xml:space="preserve">Student Name: </w:t>
      </w:r>
      <w:r w:rsidRPr="00CB1127">
        <w:rPr>
          <w:rFonts w:ascii="Times New Roman" w:hAnsi="Times New Roman" w:cs="Times New Roman"/>
          <w:bCs/>
          <w:color w:val="000000" w:themeColor="text1"/>
          <w:sz w:val="32"/>
          <w:shd w:val="clear" w:color="auto" w:fill="FFFFFF"/>
        </w:rPr>
        <w:t xml:space="preserve">Cristiana I., Roman </w:t>
      </w:r>
    </w:p>
    <w:p w14:paraId="5B1567AB" w14:textId="6084C0FB" w:rsidR="001C23BF" w:rsidRPr="00ED1655" w:rsidRDefault="00CB1127" w:rsidP="00CB1127">
      <w:pPr>
        <w:spacing w:line="360" w:lineRule="auto"/>
        <w:rPr>
          <w:rFonts w:ascii="Times New Roman" w:eastAsia="Times New Roman" w:hAnsi="Times New Roman" w:cs="Times New Roman"/>
          <w:b/>
          <w:sz w:val="24"/>
          <w:szCs w:val="24"/>
          <w:lang w:val="en-GB"/>
        </w:rPr>
      </w:pPr>
      <w:r>
        <w:rPr>
          <w:rFonts w:ascii="Times New Roman" w:hAnsi="Times New Roman" w:cs="Times New Roman"/>
          <w:b/>
          <w:color w:val="000000" w:themeColor="text1"/>
          <w:sz w:val="32"/>
          <w:shd w:val="clear" w:color="auto" w:fill="FFFFFF"/>
        </w:rPr>
        <w:t xml:space="preserve">Student ID: </w:t>
      </w:r>
      <w:r w:rsidRPr="00CB1127">
        <w:rPr>
          <w:rFonts w:ascii="Times New Roman" w:hAnsi="Times New Roman" w:cs="Times New Roman"/>
          <w:bCs/>
          <w:color w:val="000000" w:themeColor="text1"/>
          <w:sz w:val="32"/>
          <w:shd w:val="clear" w:color="auto" w:fill="FFFFFF"/>
        </w:rPr>
        <w:t>1920096</w:t>
      </w:r>
      <w:r w:rsidR="001C23BF" w:rsidRPr="00ED1655">
        <w:rPr>
          <w:rFonts w:ascii="Times New Roman" w:eastAsia="Times New Roman" w:hAnsi="Times New Roman" w:cs="Times New Roman"/>
          <w:b/>
          <w:sz w:val="24"/>
          <w:szCs w:val="24"/>
          <w:lang w:val="en-GB"/>
        </w:rPr>
        <w:br w:type="page"/>
      </w:r>
    </w:p>
    <w:sdt>
      <w:sdtPr>
        <w:rPr>
          <w:rFonts w:ascii="Arial" w:eastAsia="Arial" w:hAnsi="Arial" w:cs="Arial"/>
          <w:color w:val="auto"/>
          <w:sz w:val="22"/>
          <w:szCs w:val="22"/>
        </w:rPr>
        <w:id w:val="-425347866"/>
        <w:docPartObj>
          <w:docPartGallery w:val="Table of Contents"/>
          <w:docPartUnique/>
        </w:docPartObj>
      </w:sdtPr>
      <w:sdtEndPr>
        <w:rPr>
          <w:b/>
          <w:bCs/>
          <w:noProof/>
        </w:rPr>
      </w:sdtEndPr>
      <w:sdtContent>
        <w:p w14:paraId="5F36F0B9" w14:textId="77777777" w:rsidR="00A40D96" w:rsidRPr="00A40D96" w:rsidRDefault="00A40D96" w:rsidP="00A40D96">
          <w:pPr>
            <w:pStyle w:val="Titlucuprins"/>
            <w:spacing w:line="360" w:lineRule="auto"/>
            <w:jc w:val="center"/>
            <w:rPr>
              <w:rFonts w:ascii="Times New Roman" w:hAnsi="Times New Roman" w:cs="Times New Roman"/>
              <w:b/>
              <w:color w:val="000000" w:themeColor="text1"/>
              <w:sz w:val="24"/>
            </w:rPr>
          </w:pPr>
          <w:r w:rsidRPr="00CB1127">
            <w:rPr>
              <w:rFonts w:ascii="Times New Roman" w:hAnsi="Times New Roman" w:cs="Times New Roman"/>
              <w:b/>
              <w:color w:val="4F81BD" w:themeColor="accent1"/>
              <w:sz w:val="24"/>
            </w:rPr>
            <w:t>Table of Contents</w:t>
          </w:r>
        </w:p>
        <w:p w14:paraId="59BDCEBC" w14:textId="77777777" w:rsidR="00A40D96" w:rsidRPr="00A40D96" w:rsidRDefault="00A40D96" w:rsidP="00A40D96">
          <w:pPr>
            <w:pStyle w:val="Cuprins1"/>
            <w:tabs>
              <w:tab w:val="right" w:leader="dot" w:pos="9019"/>
            </w:tabs>
            <w:spacing w:line="360" w:lineRule="auto"/>
            <w:rPr>
              <w:rFonts w:ascii="Times New Roman" w:hAnsi="Times New Roman" w:cs="Times New Roman"/>
              <w:noProof/>
              <w:sz w:val="24"/>
            </w:rPr>
          </w:pPr>
          <w:r>
            <w:fldChar w:fldCharType="begin"/>
          </w:r>
          <w:r>
            <w:instrText xml:space="preserve"> TOC \o "1-3" \h \z \u </w:instrText>
          </w:r>
          <w:r>
            <w:fldChar w:fldCharType="separate"/>
          </w:r>
          <w:hyperlink w:anchor="_Toc182921505" w:history="1">
            <w:r w:rsidRPr="00A40D96">
              <w:rPr>
                <w:rStyle w:val="Hyperlink"/>
                <w:rFonts w:ascii="Times New Roman" w:hAnsi="Times New Roman" w:cs="Times New Roman"/>
                <w:noProof/>
                <w:sz w:val="24"/>
                <w:lang w:val="en-GB"/>
              </w:rPr>
              <w:t>1. Abstract</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_Toc182921505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3</w:t>
            </w:r>
            <w:r w:rsidRPr="00A40D96">
              <w:rPr>
                <w:rFonts w:ascii="Times New Roman" w:hAnsi="Times New Roman" w:cs="Times New Roman"/>
                <w:noProof/>
                <w:webHidden/>
                <w:sz w:val="24"/>
              </w:rPr>
              <w:fldChar w:fldCharType="end"/>
            </w:r>
          </w:hyperlink>
        </w:p>
        <w:p w14:paraId="61B0E0DB" w14:textId="77777777" w:rsidR="00A40D96" w:rsidRPr="00A40D96" w:rsidRDefault="00A40D96" w:rsidP="00A40D96">
          <w:pPr>
            <w:pStyle w:val="Cuprins1"/>
            <w:tabs>
              <w:tab w:val="right" w:leader="dot" w:pos="9019"/>
            </w:tabs>
            <w:spacing w:line="360" w:lineRule="auto"/>
            <w:rPr>
              <w:rFonts w:ascii="Times New Roman" w:hAnsi="Times New Roman" w:cs="Times New Roman"/>
              <w:noProof/>
              <w:sz w:val="24"/>
            </w:rPr>
          </w:pPr>
          <w:hyperlink w:anchor="_Toc182921506" w:history="1">
            <w:r w:rsidRPr="00A40D96">
              <w:rPr>
                <w:rStyle w:val="Hyperlink"/>
                <w:rFonts w:ascii="Times New Roman" w:hAnsi="Times New Roman" w:cs="Times New Roman"/>
                <w:noProof/>
                <w:sz w:val="24"/>
                <w:lang w:val="en-GB"/>
              </w:rPr>
              <w:t>2. Introduction</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_Toc182921506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3</w:t>
            </w:r>
            <w:r w:rsidRPr="00A40D96">
              <w:rPr>
                <w:rFonts w:ascii="Times New Roman" w:hAnsi="Times New Roman" w:cs="Times New Roman"/>
                <w:noProof/>
                <w:webHidden/>
                <w:sz w:val="24"/>
              </w:rPr>
              <w:fldChar w:fldCharType="end"/>
            </w:r>
          </w:hyperlink>
        </w:p>
        <w:p w14:paraId="59AF143D" w14:textId="77777777" w:rsidR="00A40D96" w:rsidRPr="00A40D96" w:rsidRDefault="00A40D96" w:rsidP="00A40D96">
          <w:pPr>
            <w:pStyle w:val="Cuprins1"/>
            <w:tabs>
              <w:tab w:val="right" w:leader="dot" w:pos="9019"/>
            </w:tabs>
            <w:spacing w:line="360" w:lineRule="auto"/>
            <w:rPr>
              <w:rFonts w:ascii="Times New Roman" w:hAnsi="Times New Roman" w:cs="Times New Roman"/>
              <w:noProof/>
              <w:sz w:val="24"/>
            </w:rPr>
          </w:pPr>
          <w:hyperlink w:anchor="_Toc182921507" w:history="1">
            <w:r w:rsidRPr="00A40D96">
              <w:rPr>
                <w:rStyle w:val="Hyperlink"/>
                <w:rFonts w:ascii="Times New Roman" w:hAnsi="Times New Roman" w:cs="Times New Roman"/>
                <w:noProof/>
                <w:sz w:val="24"/>
                <w:lang w:val="en-GB"/>
              </w:rPr>
              <w:t>3. Main Findings</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_Toc182921507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3</w:t>
            </w:r>
            <w:r w:rsidRPr="00A40D96">
              <w:rPr>
                <w:rFonts w:ascii="Times New Roman" w:hAnsi="Times New Roman" w:cs="Times New Roman"/>
                <w:noProof/>
                <w:webHidden/>
                <w:sz w:val="24"/>
              </w:rPr>
              <w:fldChar w:fldCharType="end"/>
            </w:r>
          </w:hyperlink>
        </w:p>
        <w:p w14:paraId="2CA84A78" w14:textId="77777777" w:rsidR="00A40D96" w:rsidRPr="00A40D96" w:rsidRDefault="00A40D96" w:rsidP="00A40D96">
          <w:pPr>
            <w:pStyle w:val="Cuprins2"/>
            <w:tabs>
              <w:tab w:val="right" w:leader="dot" w:pos="9019"/>
            </w:tabs>
            <w:spacing w:line="360" w:lineRule="auto"/>
            <w:rPr>
              <w:rFonts w:ascii="Times New Roman" w:hAnsi="Times New Roman" w:cs="Times New Roman"/>
              <w:noProof/>
              <w:sz w:val="24"/>
            </w:rPr>
          </w:pPr>
          <w:hyperlink w:anchor="_Toc182921508" w:history="1">
            <w:r w:rsidRPr="00A40D96">
              <w:rPr>
                <w:rStyle w:val="Hyperlink"/>
                <w:rFonts w:ascii="Times New Roman" w:hAnsi="Times New Roman" w:cs="Times New Roman"/>
                <w:noProof/>
                <w:sz w:val="24"/>
                <w:lang w:val="en-GB"/>
              </w:rPr>
              <w:t>3.1 Perceptions of the Older Person</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_Toc182921508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3</w:t>
            </w:r>
            <w:r w:rsidRPr="00A40D96">
              <w:rPr>
                <w:rFonts w:ascii="Times New Roman" w:hAnsi="Times New Roman" w:cs="Times New Roman"/>
                <w:noProof/>
                <w:webHidden/>
                <w:sz w:val="24"/>
              </w:rPr>
              <w:fldChar w:fldCharType="end"/>
            </w:r>
          </w:hyperlink>
        </w:p>
        <w:p w14:paraId="4F3D9D0F" w14:textId="77777777" w:rsidR="00A40D96" w:rsidRPr="00A40D96" w:rsidRDefault="00A40D96" w:rsidP="00A40D96">
          <w:pPr>
            <w:pStyle w:val="Cuprins2"/>
            <w:tabs>
              <w:tab w:val="right" w:leader="dot" w:pos="9019"/>
            </w:tabs>
            <w:spacing w:line="360" w:lineRule="auto"/>
            <w:rPr>
              <w:rFonts w:ascii="Times New Roman" w:hAnsi="Times New Roman" w:cs="Times New Roman"/>
              <w:noProof/>
              <w:sz w:val="24"/>
            </w:rPr>
          </w:pPr>
          <w:hyperlink w:anchor="_Toc182921509" w:history="1">
            <w:r w:rsidRPr="00A40D96">
              <w:rPr>
                <w:rStyle w:val="Hyperlink"/>
                <w:rFonts w:ascii="Times New Roman" w:hAnsi="Times New Roman" w:cs="Times New Roman"/>
                <w:noProof/>
                <w:sz w:val="24"/>
                <w:lang w:val="en-GB"/>
              </w:rPr>
              <w:t>3.2 Ageing Population</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_Toc182921509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4</w:t>
            </w:r>
            <w:r w:rsidRPr="00A40D96">
              <w:rPr>
                <w:rFonts w:ascii="Times New Roman" w:hAnsi="Times New Roman" w:cs="Times New Roman"/>
                <w:noProof/>
                <w:webHidden/>
                <w:sz w:val="24"/>
              </w:rPr>
              <w:fldChar w:fldCharType="end"/>
            </w:r>
          </w:hyperlink>
        </w:p>
        <w:p w14:paraId="09BF1C86" w14:textId="77777777" w:rsidR="00A40D96" w:rsidRPr="00A40D96" w:rsidRDefault="00A40D96" w:rsidP="00A40D96">
          <w:pPr>
            <w:pStyle w:val="Cuprins2"/>
            <w:tabs>
              <w:tab w:val="right" w:leader="dot" w:pos="9019"/>
            </w:tabs>
            <w:spacing w:line="360" w:lineRule="auto"/>
            <w:rPr>
              <w:rFonts w:ascii="Times New Roman" w:hAnsi="Times New Roman" w:cs="Times New Roman"/>
              <w:noProof/>
              <w:sz w:val="24"/>
            </w:rPr>
          </w:pPr>
          <w:hyperlink w:anchor="_Toc182921510" w:history="1">
            <w:r w:rsidRPr="00A40D96">
              <w:rPr>
                <w:rStyle w:val="Hyperlink"/>
                <w:rFonts w:ascii="Times New Roman" w:hAnsi="Times New Roman" w:cs="Times New Roman"/>
                <w:noProof/>
                <w:sz w:val="24"/>
                <w:lang w:val="en-GB"/>
              </w:rPr>
              <w:t>3.3 Health and Environmental Influences</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_Toc182921510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5</w:t>
            </w:r>
            <w:r w:rsidRPr="00A40D96">
              <w:rPr>
                <w:rFonts w:ascii="Times New Roman" w:hAnsi="Times New Roman" w:cs="Times New Roman"/>
                <w:noProof/>
                <w:webHidden/>
                <w:sz w:val="24"/>
              </w:rPr>
              <w:fldChar w:fldCharType="end"/>
            </w:r>
          </w:hyperlink>
        </w:p>
        <w:p w14:paraId="03B5EC84" w14:textId="77777777" w:rsidR="00A40D96" w:rsidRPr="00A40D96" w:rsidRDefault="00A40D96" w:rsidP="00A40D96">
          <w:pPr>
            <w:pStyle w:val="Cuprins2"/>
            <w:tabs>
              <w:tab w:val="right" w:leader="dot" w:pos="9019"/>
            </w:tabs>
            <w:spacing w:line="360" w:lineRule="auto"/>
            <w:rPr>
              <w:rFonts w:ascii="Times New Roman" w:hAnsi="Times New Roman" w:cs="Times New Roman"/>
              <w:noProof/>
              <w:sz w:val="24"/>
            </w:rPr>
          </w:pPr>
          <w:hyperlink w:anchor="_Toc182921511" w:history="1">
            <w:r w:rsidRPr="00A40D96">
              <w:rPr>
                <w:rStyle w:val="Hyperlink"/>
                <w:rFonts w:ascii="Times New Roman" w:hAnsi="Times New Roman" w:cs="Times New Roman"/>
                <w:noProof/>
                <w:sz w:val="24"/>
                <w:lang w:val="en-GB"/>
              </w:rPr>
              <w:t>3.4 Theoretical Perspectives on Ageing</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_Toc182921511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6</w:t>
            </w:r>
            <w:r w:rsidRPr="00A40D96">
              <w:rPr>
                <w:rFonts w:ascii="Times New Roman" w:hAnsi="Times New Roman" w:cs="Times New Roman"/>
                <w:noProof/>
                <w:webHidden/>
                <w:sz w:val="24"/>
              </w:rPr>
              <w:fldChar w:fldCharType="end"/>
            </w:r>
          </w:hyperlink>
        </w:p>
        <w:p w14:paraId="753F4164" w14:textId="77777777" w:rsidR="00A40D96" w:rsidRPr="00A40D96" w:rsidRDefault="00A40D96" w:rsidP="00A40D96">
          <w:pPr>
            <w:pStyle w:val="Cuprins2"/>
            <w:tabs>
              <w:tab w:val="right" w:leader="dot" w:pos="9019"/>
            </w:tabs>
            <w:spacing w:line="360" w:lineRule="auto"/>
            <w:rPr>
              <w:rFonts w:ascii="Times New Roman" w:hAnsi="Times New Roman" w:cs="Times New Roman"/>
              <w:noProof/>
              <w:sz w:val="24"/>
            </w:rPr>
          </w:pPr>
          <w:hyperlink w:anchor="_Toc182921512" w:history="1">
            <w:r w:rsidRPr="00A40D96">
              <w:rPr>
                <w:rStyle w:val="Hyperlink"/>
                <w:rFonts w:ascii="Times New Roman" w:hAnsi="Times New Roman" w:cs="Times New Roman"/>
                <w:noProof/>
                <w:sz w:val="24"/>
                <w:lang w:val="en-GB"/>
              </w:rPr>
              <w:t>3.5 Barriers to Healthy Ageing</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_Toc182921512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7</w:t>
            </w:r>
            <w:r w:rsidRPr="00A40D96">
              <w:rPr>
                <w:rFonts w:ascii="Times New Roman" w:hAnsi="Times New Roman" w:cs="Times New Roman"/>
                <w:noProof/>
                <w:webHidden/>
                <w:sz w:val="24"/>
              </w:rPr>
              <w:fldChar w:fldCharType="end"/>
            </w:r>
          </w:hyperlink>
        </w:p>
        <w:p w14:paraId="16BC976F" w14:textId="77777777" w:rsidR="00A40D96" w:rsidRPr="00A40D96" w:rsidRDefault="00A40D96" w:rsidP="00A40D96">
          <w:pPr>
            <w:pStyle w:val="Cuprins1"/>
            <w:tabs>
              <w:tab w:val="right" w:leader="dot" w:pos="9019"/>
            </w:tabs>
            <w:spacing w:line="360" w:lineRule="auto"/>
            <w:rPr>
              <w:rFonts w:ascii="Times New Roman" w:hAnsi="Times New Roman" w:cs="Times New Roman"/>
              <w:noProof/>
              <w:sz w:val="24"/>
            </w:rPr>
          </w:pPr>
          <w:hyperlink w:anchor="_Toc182921513" w:history="1">
            <w:r w:rsidRPr="00A40D96">
              <w:rPr>
                <w:rStyle w:val="Hyperlink"/>
                <w:rFonts w:ascii="Times New Roman" w:hAnsi="Times New Roman" w:cs="Times New Roman"/>
                <w:noProof/>
                <w:sz w:val="24"/>
                <w:lang w:val="en-GB"/>
              </w:rPr>
              <w:t>4. Conclusion</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_Toc182921513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8</w:t>
            </w:r>
            <w:r w:rsidRPr="00A40D96">
              <w:rPr>
                <w:rFonts w:ascii="Times New Roman" w:hAnsi="Times New Roman" w:cs="Times New Roman"/>
                <w:noProof/>
                <w:webHidden/>
                <w:sz w:val="24"/>
              </w:rPr>
              <w:fldChar w:fldCharType="end"/>
            </w:r>
          </w:hyperlink>
        </w:p>
        <w:p w14:paraId="5C0A4BC6" w14:textId="77777777" w:rsidR="00A40D96" w:rsidRPr="00A40D96" w:rsidRDefault="00A40D96" w:rsidP="00A40D96">
          <w:pPr>
            <w:pStyle w:val="Cuprins1"/>
            <w:tabs>
              <w:tab w:val="right" w:leader="dot" w:pos="9019"/>
            </w:tabs>
            <w:spacing w:line="360" w:lineRule="auto"/>
            <w:rPr>
              <w:rFonts w:ascii="Times New Roman" w:hAnsi="Times New Roman" w:cs="Times New Roman"/>
              <w:noProof/>
              <w:sz w:val="24"/>
            </w:rPr>
          </w:pPr>
          <w:hyperlink w:anchor="_Toc182921514" w:history="1">
            <w:r w:rsidRPr="00A40D96">
              <w:rPr>
                <w:rStyle w:val="Hyperlink"/>
                <w:rFonts w:ascii="Times New Roman" w:hAnsi="Times New Roman" w:cs="Times New Roman"/>
                <w:noProof/>
                <w:sz w:val="24"/>
                <w:lang w:val="en-GB"/>
              </w:rPr>
              <w:t>5. Recommendations</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_Toc182921514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9</w:t>
            </w:r>
            <w:r w:rsidRPr="00A40D96">
              <w:rPr>
                <w:rFonts w:ascii="Times New Roman" w:hAnsi="Times New Roman" w:cs="Times New Roman"/>
                <w:noProof/>
                <w:webHidden/>
                <w:sz w:val="24"/>
              </w:rPr>
              <w:fldChar w:fldCharType="end"/>
            </w:r>
          </w:hyperlink>
        </w:p>
        <w:p w14:paraId="1209CB97" w14:textId="77777777" w:rsidR="00A40D96" w:rsidRPr="00A40D96" w:rsidRDefault="00A40D96" w:rsidP="00A40D96">
          <w:pPr>
            <w:pStyle w:val="Cuprins1"/>
            <w:tabs>
              <w:tab w:val="right" w:leader="dot" w:pos="9019"/>
            </w:tabs>
            <w:spacing w:line="360" w:lineRule="auto"/>
            <w:rPr>
              <w:rFonts w:ascii="Times New Roman" w:hAnsi="Times New Roman" w:cs="Times New Roman"/>
              <w:noProof/>
              <w:sz w:val="24"/>
            </w:rPr>
          </w:pPr>
          <w:hyperlink w:anchor="_Toc182921515" w:history="1">
            <w:r w:rsidRPr="00A40D96">
              <w:rPr>
                <w:rStyle w:val="Hyperlink"/>
                <w:rFonts w:ascii="Times New Roman" w:hAnsi="Times New Roman" w:cs="Times New Roman"/>
                <w:noProof/>
                <w:sz w:val="24"/>
                <w:lang w:val="en-GB"/>
              </w:rPr>
              <w:t>Reference list</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_Toc182921515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10</w:t>
            </w:r>
            <w:r w:rsidRPr="00A40D96">
              <w:rPr>
                <w:rFonts w:ascii="Times New Roman" w:hAnsi="Times New Roman" w:cs="Times New Roman"/>
                <w:noProof/>
                <w:webHidden/>
                <w:sz w:val="24"/>
              </w:rPr>
              <w:fldChar w:fldCharType="end"/>
            </w:r>
          </w:hyperlink>
        </w:p>
        <w:p w14:paraId="1CD41F79" w14:textId="77777777" w:rsidR="00A40D96" w:rsidRPr="00A40D96" w:rsidRDefault="00A40D96" w:rsidP="00A40D96">
          <w:pPr>
            <w:pStyle w:val="Cuprins1"/>
            <w:tabs>
              <w:tab w:val="right" w:leader="dot" w:pos="9019"/>
            </w:tabs>
            <w:spacing w:line="360" w:lineRule="auto"/>
            <w:rPr>
              <w:rFonts w:ascii="Times New Roman" w:hAnsi="Times New Roman" w:cs="Times New Roman"/>
              <w:noProof/>
              <w:sz w:val="24"/>
            </w:rPr>
          </w:pPr>
          <w:hyperlink w:anchor="_Toc182921516" w:history="1">
            <w:r w:rsidRPr="00A40D96">
              <w:rPr>
                <w:rStyle w:val="Hyperlink"/>
                <w:rFonts w:ascii="Times New Roman" w:hAnsi="Times New Roman" w:cs="Times New Roman"/>
                <w:noProof/>
                <w:sz w:val="24"/>
                <w:lang w:val="en-GB"/>
              </w:rPr>
              <w:t>Appendices</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_Toc182921516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13</w:t>
            </w:r>
            <w:r w:rsidRPr="00A40D96">
              <w:rPr>
                <w:rFonts w:ascii="Times New Roman" w:hAnsi="Times New Roman" w:cs="Times New Roman"/>
                <w:noProof/>
                <w:webHidden/>
                <w:sz w:val="24"/>
              </w:rPr>
              <w:fldChar w:fldCharType="end"/>
            </w:r>
          </w:hyperlink>
        </w:p>
        <w:p w14:paraId="10C8209A" w14:textId="77777777" w:rsidR="00A40D96" w:rsidRPr="00A40D96" w:rsidRDefault="00A40D96" w:rsidP="00A40D96">
          <w:pPr>
            <w:pStyle w:val="Cuprins2"/>
            <w:tabs>
              <w:tab w:val="right" w:leader="dot" w:pos="9019"/>
            </w:tabs>
            <w:spacing w:line="360" w:lineRule="auto"/>
            <w:rPr>
              <w:rFonts w:ascii="Times New Roman" w:hAnsi="Times New Roman" w:cs="Times New Roman"/>
              <w:noProof/>
              <w:sz w:val="24"/>
            </w:rPr>
          </w:pPr>
          <w:hyperlink w:anchor="_Toc182921517" w:history="1">
            <w:r w:rsidRPr="00A40D96">
              <w:rPr>
                <w:rStyle w:val="Hyperlink"/>
                <w:rFonts w:ascii="Times New Roman" w:hAnsi="Times New Roman" w:cs="Times New Roman"/>
                <w:noProof/>
                <w:sz w:val="24"/>
                <w:lang w:val="en-GB"/>
              </w:rPr>
              <w:t>Appendix 1: Ageing Population in the World</w:t>
            </w:r>
            <w:r w:rsidRPr="00A40D96">
              <w:rPr>
                <w:rFonts w:ascii="Times New Roman" w:hAnsi="Times New Roman" w:cs="Times New Roman"/>
                <w:noProof/>
                <w:webHidden/>
                <w:sz w:val="24"/>
              </w:rPr>
              <w:tab/>
            </w:r>
            <w:r w:rsidRPr="00A40D96">
              <w:rPr>
                <w:rFonts w:ascii="Times New Roman" w:hAnsi="Times New Roman" w:cs="Times New Roman"/>
                <w:noProof/>
                <w:webHidden/>
                <w:sz w:val="24"/>
              </w:rPr>
              <w:fldChar w:fldCharType="begin"/>
            </w:r>
            <w:r w:rsidRPr="00A40D96">
              <w:rPr>
                <w:rFonts w:ascii="Times New Roman" w:hAnsi="Times New Roman" w:cs="Times New Roman"/>
                <w:noProof/>
                <w:webHidden/>
                <w:sz w:val="24"/>
              </w:rPr>
              <w:instrText xml:space="preserve"> PAGEREF _Toc182921517 \h </w:instrText>
            </w:r>
            <w:r w:rsidRPr="00A40D96">
              <w:rPr>
                <w:rFonts w:ascii="Times New Roman" w:hAnsi="Times New Roman" w:cs="Times New Roman"/>
                <w:noProof/>
                <w:webHidden/>
                <w:sz w:val="24"/>
              </w:rPr>
            </w:r>
            <w:r w:rsidRPr="00A40D96">
              <w:rPr>
                <w:rFonts w:ascii="Times New Roman" w:hAnsi="Times New Roman" w:cs="Times New Roman"/>
                <w:noProof/>
                <w:webHidden/>
                <w:sz w:val="24"/>
              </w:rPr>
              <w:fldChar w:fldCharType="separate"/>
            </w:r>
            <w:r w:rsidRPr="00A40D96">
              <w:rPr>
                <w:rFonts w:ascii="Times New Roman" w:hAnsi="Times New Roman" w:cs="Times New Roman"/>
                <w:noProof/>
                <w:webHidden/>
                <w:sz w:val="24"/>
              </w:rPr>
              <w:t>13</w:t>
            </w:r>
            <w:r w:rsidRPr="00A40D96">
              <w:rPr>
                <w:rFonts w:ascii="Times New Roman" w:hAnsi="Times New Roman" w:cs="Times New Roman"/>
                <w:noProof/>
                <w:webHidden/>
                <w:sz w:val="24"/>
              </w:rPr>
              <w:fldChar w:fldCharType="end"/>
            </w:r>
          </w:hyperlink>
        </w:p>
        <w:p w14:paraId="68977DE6" w14:textId="77777777" w:rsidR="00A40D96" w:rsidRDefault="00A40D96">
          <w:r>
            <w:rPr>
              <w:b/>
              <w:bCs/>
              <w:noProof/>
            </w:rPr>
            <w:fldChar w:fldCharType="end"/>
          </w:r>
        </w:p>
      </w:sdtContent>
    </w:sdt>
    <w:p w14:paraId="16C5C51C" w14:textId="77777777" w:rsidR="001C23BF" w:rsidRPr="001C23BF" w:rsidRDefault="001C23BF">
      <w:pPr>
        <w:rPr>
          <w:rFonts w:ascii="Times New Roman" w:eastAsia="Times New Roman" w:hAnsi="Times New Roman" w:cs="Times New Roman"/>
          <w:b/>
          <w:sz w:val="24"/>
          <w:szCs w:val="24"/>
          <w:lang w:val="en-GB"/>
        </w:rPr>
      </w:pPr>
      <w:r w:rsidRPr="001C23BF">
        <w:rPr>
          <w:rFonts w:ascii="Times New Roman" w:eastAsia="Times New Roman" w:hAnsi="Times New Roman" w:cs="Times New Roman"/>
          <w:b/>
          <w:sz w:val="24"/>
          <w:szCs w:val="24"/>
          <w:lang w:val="en-GB"/>
        </w:rPr>
        <w:br w:type="page"/>
      </w:r>
    </w:p>
    <w:p w14:paraId="3C2793DF" w14:textId="77777777" w:rsidR="00DB7852" w:rsidRPr="001C23BF" w:rsidRDefault="00DD3224" w:rsidP="001C23BF">
      <w:pPr>
        <w:pStyle w:val="Titlu1"/>
        <w:rPr>
          <w:lang w:val="en-GB"/>
        </w:rPr>
      </w:pPr>
      <w:bookmarkStart w:id="0" w:name="_Toc182921505"/>
      <w:r w:rsidRPr="001C23BF">
        <w:rPr>
          <w:lang w:val="en-GB"/>
        </w:rPr>
        <w:lastRenderedPageBreak/>
        <w:t>1. Abstract</w:t>
      </w:r>
      <w:bookmarkEnd w:id="0"/>
    </w:p>
    <w:p w14:paraId="55609D8A" w14:textId="370FE5D5"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This task focused on what it means to live well for older persons and the emerging trends as outlined by the fact that there is a growing ageing population across the world. The major concepts explored included characteristics of growth and ageing, and the role of culture and environment on ageing, such as Disengagement Theory and Activity Theory. Discrimination and prejudice accompanied by the lack of appropriate programmes and policies that promote healthy ageing reported. They made recommendations on how policies can </w:t>
      </w:r>
      <w:r w:rsidR="00CE7D76" w:rsidRPr="001C23BF">
        <w:rPr>
          <w:rFonts w:ascii="Times New Roman" w:eastAsia="Times New Roman" w:hAnsi="Times New Roman" w:cs="Times New Roman"/>
          <w:sz w:val="24"/>
          <w:szCs w:val="24"/>
          <w:lang w:val="en-GB"/>
        </w:rPr>
        <w:t>strengthen</w:t>
      </w:r>
      <w:r w:rsidRPr="001C23BF">
        <w:rPr>
          <w:rFonts w:ascii="Times New Roman" w:eastAsia="Times New Roman" w:hAnsi="Times New Roman" w:cs="Times New Roman"/>
          <w:sz w:val="24"/>
          <w:szCs w:val="24"/>
          <w:lang w:val="en-GB"/>
        </w:rPr>
        <w:t xml:space="preserve">, diversity flogged and how older adults can </w:t>
      </w:r>
      <w:r w:rsidR="00CE7D76" w:rsidRPr="001C23BF">
        <w:rPr>
          <w:rFonts w:ascii="Times New Roman" w:eastAsia="Times New Roman" w:hAnsi="Times New Roman" w:cs="Times New Roman"/>
          <w:sz w:val="24"/>
          <w:szCs w:val="24"/>
          <w:lang w:val="en-GB"/>
        </w:rPr>
        <w:t>used</w:t>
      </w:r>
      <w:r w:rsidRPr="001C23BF">
        <w:rPr>
          <w:rFonts w:ascii="Times New Roman" w:eastAsia="Times New Roman" w:hAnsi="Times New Roman" w:cs="Times New Roman"/>
          <w:sz w:val="24"/>
          <w:szCs w:val="24"/>
          <w:lang w:val="en-GB"/>
        </w:rPr>
        <w:t xml:space="preserve">. In general, it may </w:t>
      </w:r>
      <w:r w:rsidR="00CE7D76" w:rsidRPr="001C23BF">
        <w:rPr>
          <w:rFonts w:ascii="Times New Roman" w:eastAsia="Times New Roman" w:hAnsi="Times New Roman" w:cs="Times New Roman"/>
          <w:sz w:val="24"/>
          <w:szCs w:val="24"/>
          <w:lang w:val="en-GB"/>
        </w:rPr>
        <w:t>conclude</w:t>
      </w:r>
      <w:r w:rsidRPr="001C23BF">
        <w:rPr>
          <w:rFonts w:ascii="Times New Roman" w:eastAsia="Times New Roman" w:hAnsi="Times New Roman" w:cs="Times New Roman"/>
          <w:sz w:val="24"/>
          <w:szCs w:val="24"/>
          <w:lang w:val="en-GB"/>
        </w:rPr>
        <w:t xml:space="preserve"> that proper analysis of and intervention in the requirements of the ageing population will be paramount for general social welfare.</w:t>
      </w:r>
    </w:p>
    <w:p w14:paraId="76889491" w14:textId="77777777" w:rsidR="00DB7852" w:rsidRPr="001C23BF" w:rsidRDefault="00DD3224" w:rsidP="001C23BF">
      <w:pPr>
        <w:pStyle w:val="Titlu1"/>
        <w:rPr>
          <w:lang w:val="en-GB"/>
        </w:rPr>
      </w:pPr>
      <w:bookmarkStart w:id="1" w:name="_Toc182921506"/>
      <w:r w:rsidRPr="001C23BF">
        <w:rPr>
          <w:lang w:val="en-GB"/>
        </w:rPr>
        <w:t>2. Introduction</w:t>
      </w:r>
      <w:bookmarkEnd w:id="1"/>
    </w:p>
    <w:p w14:paraId="70B86BEB" w14:textId="39A73A6E"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The purpose of this report was to identify and assess potential issues of an ageing population of the world with an emphasis on relevant characteristics that affect quality of life. There has been what </w:t>
      </w:r>
      <w:proofErr w:type="gramStart"/>
      <w:r w:rsidRPr="001C23BF">
        <w:rPr>
          <w:rFonts w:ascii="Times New Roman" w:eastAsia="Times New Roman" w:hAnsi="Times New Roman" w:cs="Times New Roman"/>
          <w:sz w:val="24"/>
          <w:szCs w:val="24"/>
          <w:lang w:val="en-GB"/>
        </w:rPr>
        <w:t>is referred</w:t>
      </w:r>
      <w:proofErr w:type="gramEnd"/>
      <w:r w:rsidRPr="001C23BF">
        <w:rPr>
          <w:rFonts w:ascii="Times New Roman" w:eastAsia="Times New Roman" w:hAnsi="Times New Roman" w:cs="Times New Roman"/>
          <w:sz w:val="24"/>
          <w:szCs w:val="24"/>
          <w:lang w:val="en-GB"/>
        </w:rPr>
        <w:t xml:space="preserve"> to as a demographic shift in the global population and the trend shows that people aged </w:t>
      </w:r>
      <w:r w:rsidR="00CE7D76" w:rsidRPr="001C23BF">
        <w:rPr>
          <w:rFonts w:ascii="Times New Roman" w:eastAsia="Times New Roman" w:hAnsi="Times New Roman" w:cs="Times New Roman"/>
          <w:sz w:val="24"/>
          <w:szCs w:val="24"/>
          <w:lang w:val="en-GB"/>
        </w:rPr>
        <w:t>sixty</w:t>
      </w:r>
      <w:r w:rsidRPr="001C23BF">
        <w:rPr>
          <w:rFonts w:ascii="Times New Roman" w:eastAsia="Times New Roman" w:hAnsi="Times New Roman" w:cs="Times New Roman"/>
          <w:sz w:val="24"/>
          <w:szCs w:val="24"/>
          <w:lang w:val="en-GB"/>
        </w:rPr>
        <w:t xml:space="preserve"> and above are projected to increase from 12% to 22% by 2050. The shift as it concerns healthcare brings and equally has its implications and prospects as it relates to societal perception and policy formulation (WHO, 2024).</w:t>
      </w:r>
    </w:p>
    <w:p w14:paraId="6E111047" w14:textId="5F7968FF" w:rsidR="00DB7852" w:rsidRPr="001C23BF" w:rsidRDefault="00DD3224">
      <w:pPr>
        <w:spacing w:before="200" w:line="360" w:lineRule="auto"/>
        <w:jc w:val="both"/>
        <w:rPr>
          <w:rFonts w:ascii="Times New Roman" w:eastAsia="Times New Roman" w:hAnsi="Times New Roman" w:cs="Times New Roman"/>
          <w:b/>
          <w:i/>
          <w:sz w:val="24"/>
          <w:szCs w:val="24"/>
          <w:lang w:val="en-GB"/>
        </w:rPr>
      </w:pPr>
      <w:r w:rsidRPr="001C23BF">
        <w:rPr>
          <w:rFonts w:ascii="Times New Roman" w:eastAsia="Times New Roman" w:hAnsi="Times New Roman" w:cs="Times New Roman"/>
          <w:sz w:val="24"/>
          <w:szCs w:val="24"/>
          <w:lang w:val="en-GB"/>
        </w:rPr>
        <w:t xml:space="preserve">Areas of concern include stereotyping of older people and inadequacy of resources, on the strengths there is recognition of the worth and ability of older persons in society. Theoretical concepts discussed herein include the Disengagement Theory and Activity Theory assist in placing the subject of ageing and social roles into perspective. Amid recent reports, the issue of the need for a sustainable and more inclusive approach which will allow older people to keep themselves healthy without requiring any significant support addressed. </w:t>
      </w:r>
      <w:r w:rsidRPr="001C23BF">
        <w:rPr>
          <w:rFonts w:ascii="Times New Roman" w:eastAsia="Times New Roman" w:hAnsi="Times New Roman" w:cs="Times New Roman"/>
          <w:b/>
          <w:i/>
          <w:sz w:val="24"/>
          <w:szCs w:val="24"/>
          <w:lang w:val="en-GB"/>
        </w:rPr>
        <w:t>[Refer to Appendix 1]</w:t>
      </w:r>
    </w:p>
    <w:p w14:paraId="1FAA6204" w14:textId="77777777" w:rsidR="00DB7852" w:rsidRPr="001C23BF" w:rsidRDefault="00DD3224" w:rsidP="001C23BF">
      <w:pPr>
        <w:pStyle w:val="Titlu1"/>
        <w:rPr>
          <w:lang w:val="en-GB"/>
        </w:rPr>
      </w:pPr>
      <w:bookmarkStart w:id="2" w:name="_Toc182921507"/>
      <w:r w:rsidRPr="001C23BF">
        <w:rPr>
          <w:lang w:val="en-GB"/>
        </w:rPr>
        <w:t>3. Main Findings</w:t>
      </w:r>
      <w:bookmarkEnd w:id="2"/>
    </w:p>
    <w:p w14:paraId="667EEE6B" w14:textId="77777777" w:rsidR="00DB7852" w:rsidRPr="001C23BF" w:rsidRDefault="00DD3224" w:rsidP="001C23BF">
      <w:pPr>
        <w:pStyle w:val="Titlu2"/>
        <w:rPr>
          <w:lang w:val="en-GB"/>
        </w:rPr>
      </w:pPr>
      <w:bookmarkStart w:id="3" w:name="_Toc182921508"/>
      <w:r w:rsidRPr="001C23BF">
        <w:rPr>
          <w:lang w:val="en-GB"/>
        </w:rPr>
        <w:t>3.1 Perceptions of the Older Person</w:t>
      </w:r>
      <w:bookmarkEnd w:id="3"/>
    </w:p>
    <w:p w14:paraId="2E8D7D34" w14:textId="77777777"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The experience of older people has always been a subject of prejudice due to ageism stereotyping, which has implications at a societal and policy level. The elderly are portrayed </w:t>
      </w:r>
      <w:proofErr w:type="gramStart"/>
      <w:r w:rsidRPr="001C23BF">
        <w:rPr>
          <w:rFonts w:ascii="Times New Roman" w:eastAsia="Times New Roman" w:hAnsi="Times New Roman" w:cs="Times New Roman"/>
          <w:sz w:val="24"/>
          <w:szCs w:val="24"/>
          <w:lang w:val="en-GB"/>
        </w:rPr>
        <w:lastRenderedPageBreak/>
        <w:t>largely as</w:t>
      </w:r>
      <w:proofErr w:type="gramEnd"/>
      <w:r w:rsidRPr="001C23BF">
        <w:rPr>
          <w:rFonts w:ascii="Times New Roman" w:eastAsia="Times New Roman" w:hAnsi="Times New Roman" w:cs="Times New Roman"/>
          <w:sz w:val="24"/>
          <w:szCs w:val="24"/>
          <w:lang w:val="en-GB"/>
        </w:rPr>
        <w:t xml:space="preserve"> useless, helpless, vulnerable, and essentially a nuisance, entailing stereotyped thinking contributions and resource distribution (WHO, 2024). This results in stereotyping that influences public perception and can lead to discrimination including prioritisation for the productivity of the economy instead of the welfare of an ageing population.</w:t>
      </w:r>
    </w:p>
    <w:p w14:paraId="0508F0D0" w14:textId="77777777"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Most of such misconceptions do not explain the varied capacity of older people nor acknowledge their contributions in the community. Here again, many older adults are healthy, physically fit, and willing to work and engage constructively, but ageism has put up structures, which hamper their chances of being useful to society (Bakht, 2023). These discriminations arise in employment, health care and social services making older persons discriminate in the reception of opportunities and services that are essential in promoting their welfare. Moreover, negative perceptions help shape older people's attitudes towards themselves which can speak volumes on their health status.</w:t>
      </w:r>
    </w:p>
    <w:p w14:paraId="430B0286" w14:textId="49A01B35"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To avoid such </w:t>
      </w:r>
      <w:r w:rsidR="00565B80" w:rsidRPr="001C23BF">
        <w:rPr>
          <w:rFonts w:ascii="Times New Roman" w:eastAsia="Times New Roman" w:hAnsi="Times New Roman" w:cs="Times New Roman"/>
          <w:sz w:val="24"/>
          <w:szCs w:val="24"/>
          <w:lang w:val="en-GB"/>
        </w:rPr>
        <w:t>perceptions,</w:t>
      </w:r>
      <w:r w:rsidRPr="001C23BF">
        <w:rPr>
          <w:rFonts w:ascii="Times New Roman" w:eastAsia="Times New Roman" w:hAnsi="Times New Roman" w:cs="Times New Roman"/>
          <w:sz w:val="24"/>
          <w:szCs w:val="24"/>
          <w:lang w:val="en-GB"/>
        </w:rPr>
        <w:t xml:space="preserve"> it is important to present and emphasise that elderly people have a lot to offer based on their skills, </w:t>
      </w:r>
      <w:r w:rsidR="00CE7D76" w:rsidRPr="001C23BF">
        <w:rPr>
          <w:rFonts w:ascii="Times New Roman" w:eastAsia="Times New Roman" w:hAnsi="Times New Roman" w:cs="Times New Roman"/>
          <w:sz w:val="24"/>
          <w:szCs w:val="24"/>
          <w:lang w:val="en-GB"/>
        </w:rPr>
        <w:t>experiences,</w:t>
      </w:r>
      <w:r w:rsidRPr="001C23BF">
        <w:rPr>
          <w:rFonts w:ascii="Times New Roman" w:eastAsia="Times New Roman" w:hAnsi="Times New Roman" w:cs="Times New Roman"/>
          <w:sz w:val="24"/>
          <w:szCs w:val="24"/>
          <w:lang w:val="en-GB"/>
        </w:rPr>
        <w:t xml:space="preserve"> and knowledge they possess (van Iersel </w:t>
      </w:r>
      <w:r w:rsidRPr="001C23BF">
        <w:rPr>
          <w:rFonts w:ascii="Times New Roman" w:eastAsia="Times New Roman" w:hAnsi="Times New Roman" w:cs="Times New Roman"/>
          <w:i/>
          <w:sz w:val="24"/>
          <w:szCs w:val="24"/>
          <w:lang w:val="en-GB"/>
        </w:rPr>
        <w:t>et al.,</w:t>
      </w:r>
      <w:r w:rsidRPr="001C23BF">
        <w:rPr>
          <w:rFonts w:ascii="Times New Roman" w:eastAsia="Times New Roman" w:hAnsi="Times New Roman" w:cs="Times New Roman"/>
          <w:sz w:val="24"/>
          <w:szCs w:val="24"/>
          <w:lang w:val="en-GB"/>
        </w:rPr>
        <w:t xml:space="preserve"> 2016). The change in the perception of ageing might contribute to the improvement of recognition of the rights of senior citizens in society and empower older people to realise their potential in society.</w:t>
      </w:r>
    </w:p>
    <w:p w14:paraId="186CB9E8" w14:textId="77777777" w:rsidR="00DB7852" w:rsidRPr="001C23BF" w:rsidRDefault="00DD3224" w:rsidP="001C23BF">
      <w:pPr>
        <w:pStyle w:val="Titlu2"/>
        <w:rPr>
          <w:lang w:val="en-GB"/>
        </w:rPr>
      </w:pPr>
      <w:bookmarkStart w:id="4" w:name="_Toc182921509"/>
      <w:r w:rsidRPr="001C23BF">
        <w:rPr>
          <w:lang w:val="en-GB"/>
        </w:rPr>
        <w:t>3.2 Ageing Population</w:t>
      </w:r>
      <w:bookmarkEnd w:id="4"/>
    </w:p>
    <w:p w14:paraId="1E24A9FD" w14:textId="58336189"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Demographic conditions around the world have been changing </w:t>
      </w:r>
      <w:r w:rsidR="00CE7D76" w:rsidRPr="001C23BF">
        <w:rPr>
          <w:rFonts w:ascii="Times New Roman" w:eastAsia="Times New Roman" w:hAnsi="Times New Roman" w:cs="Times New Roman"/>
          <w:sz w:val="24"/>
          <w:szCs w:val="24"/>
          <w:lang w:val="en-GB"/>
        </w:rPr>
        <w:t>dynamically</w:t>
      </w:r>
      <w:r w:rsidRPr="001C23BF">
        <w:rPr>
          <w:rFonts w:ascii="Times New Roman" w:eastAsia="Times New Roman" w:hAnsi="Times New Roman" w:cs="Times New Roman"/>
          <w:sz w:val="24"/>
          <w:szCs w:val="24"/>
          <w:lang w:val="en-GB"/>
        </w:rPr>
        <w:t xml:space="preserve">; one of the trends </w:t>
      </w:r>
      <w:r w:rsidR="00565B80" w:rsidRPr="001C23BF">
        <w:rPr>
          <w:rFonts w:ascii="Times New Roman" w:eastAsia="Times New Roman" w:hAnsi="Times New Roman" w:cs="Times New Roman"/>
          <w:sz w:val="24"/>
          <w:szCs w:val="24"/>
          <w:lang w:val="en-GB"/>
        </w:rPr>
        <w:t>observables</w:t>
      </w:r>
      <w:r w:rsidRPr="001C23BF">
        <w:rPr>
          <w:rFonts w:ascii="Times New Roman" w:eastAsia="Times New Roman" w:hAnsi="Times New Roman" w:cs="Times New Roman"/>
          <w:sz w:val="24"/>
          <w:szCs w:val="24"/>
          <w:lang w:val="en-GB"/>
        </w:rPr>
        <w:t xml:space="preserve"> is a sharp rise in the world population’s proportion of the ageing population. Brazil, </w:t>
      </w:r>
      <w:r w:rsidR="00CE7D76" w:rsidRPr="001C23BF">
        <w:rPr>
          <w:rFonts w:ascii="Times New Roman" w:eastAsia="Times New Roman" w:hAnsi="Times New Roman" w:cs="Times New Roman"/>
          <w:sz w:val="24"/>
          <w:szCs w:val="24"/>
          <w:lang w:val="en-GB"/>
        </w:rPr>
        <w:t>China,</w:t>
      </w:r>
      <w:r w:rsidRPr="001C23BF">
        <w:rPr>
          <w:rFonts w:ascii="Times New Roman" w:eastAsia="Times New Roman" w:hAnsi="Times New Roman" w:cs="Times New Roman"/>
          <w:sz w:val="24"/>
          <w:szCs w:val="24"/>
          <w:lang w:val="en-GB"/>
        </w:rPr>
        <w:t xml:space="preserve"> and India are some of the countries which are experiencing rapid ageing of the population structure of their countries. While today France for example takes </w:t>
      </w:r>
      <w:r w:rsidR="00CE7D76" w:rsidRPr="001C23BF">
        <w:rPr>
          <w:rFonts w:ascii="Times New Roman" w:eastAsia="Times New Roman" w:hAnsi="Times New Roman" w:cs="Times New Roman"/>
          <w:sz w:val="24"/>
          <w:szCs w:val="24"/>
          <w:lang w:val="en-GB"/>
        </w:rPr>
        <w:t>147</w:t>
      </w:r>
      <w:r w:rsidRPr="001C23BF">
        <w:rPr>
          <w:rFonts w:ascii="Times New Roman" w:eastAsia="Times New Roman" w:hAnsi="Times New Roman" w:cs="Times New Roman"/>
          <w:sz w:val="24"/>
          <w:szCs w:val="24"/>
          <w:lang w:val="en-GB"/>
        </w:rPr>
        <w:t xml:space="preserve"> years to manage a change from having 10% of its population ageing over </w:t>
      </w:r>
      <w:r w:rsidR="00CE7D76" w:rsidRPr="001C23BF">
        <w:rPr>
          <w:rFonts w:ascii="Times New Roman" w:eastAsia="Times New Roman" w:hAnsi="Times New Roman" w:cs="Times New Roman"/>
          <w:sz w:val="24"/>
          <w:szCs w:val="24"/>
          <w:lang w:val="en-GB"/>
        </w:rPr>
        <w:t>sixty</w:t>
      </w:r>
      <w:r w:rsidRPr="001C23BF">
        <w:rPr>
          <w:rFonts w:ascii="Times New Roman" w:eastAsia="Times New Roman" w:hAnsi="Times New Roman" w:cs="Times New Roman"/>
          <w:sz w:val="24"/>
          <w:szCs w:val="24"/>
          <w:lang w:val="en-GB"/>
        </w:rPr>
        <w:t xml:space="preserve"> to the current 20%, these ageing nations have only over 20 years to make those same changes happen (WHO, 2024). This compressed timeline has placed much pressure on health care, social </w:t>
      </w:r>
      <w:r w:rsidR="00CE7D76" w:rsidRPr="001C23BF">
        <w:rPr>
          <w:rFonts w:ascii="Times New Roman" w:eastAsia="Times New Roman" w:hAnsi="Times New Roman" w:cs="Times New Roman"/>
          <w:sz w:val="24"/>
          <w:szCs w:val="24"/>
          <w:lang w:val="en-GB"/>
        </w:rPr>
        <w:t>services,</w:t>
      </w:r>
      <w:r w:rsidRPr="001C23BF">
        <w:rPr>
          <w:rFonts w:ascii="Times New Roman" w:eastAsia="Times New Roman" w:hAnsi="Times New Roman" w:cs="Times New Roman"/>
          <w:sz w:val="24"/>
          <w:szCs w:val="24"/>
          <w:lang w:val="en-GB"/>
        </w:rPr>
        <w:t xml:space="preserve"> and the economy.</w:t>
      </w:r>
    </w:p>
    <w:p w14:paraId="7F9A04EE" w14:textId="714C353B"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Populations have aged swiftly to offer a unique challenge to the original systems and policies which were creat</w:t>
      </w:r>
      <w:r w:rsidR="00CE7D76">
        <w:rPr>
          <w:rFonts w:ascii="Times New Roman" w:eastAsia="Times New Roman" w:hAnsi="Times New Roman" w:cs="Times New Roman"/>
          <w:sz w:val="24"/>
          <w:szCs w:val="24"/>
          <w:lang w:val="en-GB"/>
        </w:rPr>
        <w:t xml:space="preserve">e </w:t>
      </w:r>
      <w:r w:rsidRPr="001C23BF">
        <w:rPr>
          <w:rFonts w:ascii="Times New Roman" w:eastAsia="Times New Roman" w:hAnsi="Times New Roman" w:cs="Times New Roman"/>
          <w:sz w:val="24"/>
          <w:szCs w:val="24"/>
          <w:lang w:val="en-GB"/>
        </w:rPr>
        <w:t xml:space="preserve">for far youthful demographics. The healthcare industry within such nations fails to adequately facilitate Chronic diseases and comprehensive health needs that come with ageing (Beard </w:t>
      </w:r>
      <w:r w:rsidRPr="001C23BF">
        <w:rPr>
          <w:rFonts w:ascii="Times New Roman" w:eastAsia="Times New Roman" w:hAnsi="Times New Roman" w:cs="Times New Roman"/>
          <w:i/>
          <w:sz w:val="24"/>
          <w:szCs w:val="24"/>
          <w:lang w:val="en-GB"/>
        </w:rPr>
        <w:t>et al.,</w:t>
      </w:r>
      <w:r w:rsidRPr="001C23BF">
        <w:rPr>
          <w:rFonts w:ascii="Times New Roman" w:eastAsia="Times New Roman" w:hAnsi="Times New Roman" w:cs="Times New Roman"/>
          <w:sz w:val="24"/>
          <w:szCs w:val="24"/>
          <w:lang w:val="en-GB"/>
        </w:rPr>
        <w:t xml:space="preserve"> 2016). Moreover, the need for long-term care services has rocketed, putting into tension novel paradigms of home care that rely on informal carers. Those countries </w:t>
      </w:r>
      <w:r w:rsidRPr="001C23BF">
        <w:rPr>
          <w:rFonts w:ascii="Times New Roman" w:eastAsia="Times New Roman" w:hAnsi="Times New Roman" w:cs="Times New Roman"/>
          <w:sz w:val="24"/>
          <w:szCs w:val="24"/>
          <w:lang w:val="en-GB"/>
        </w:rPr>
        <w:lastRenderedPageBreak/>
        <w:t>that have implemented social security systems are under pressure because the proportion of the working-age population to retired persons has reduced (Jun, 2020). This demographic change requires timely and responsive policy strategies aimed at guaranteeing the new larger cohort of older people to age with dignity, health and social included. The general implications attributable to a failure to address these issues adequately are disastrous in the societal and economic realms.</w:t>
      </w:r>
    </w:p>
    <w:p w14:paraId="52BC1D3D" w14:textId="77777777" w:rsidR="00DB7852" w:rsidRPr="001C23BF" w:rsidRDefault="00DD3224" w:rsidP="001C23BF">
      <w:pPr>
        <w:pStyle w:val="Titlu2"/>
        <w:rPr>
          <w:lang w:val="en-GB"/>
        </w:rPr>
      </w:pPr>
      <w:bookmarkStart w:id="5" w:name="_Toc182921510"/>
      <w:r w:rsidRPr="001C23BF">
        <w:rPr>
          <w:lang w:val="en-GB"/>
        </w:rPr>
        <w:t>3.3 Health and Environmental Influences</w:t>
      </w:r>
      <w:bookmarkEnd w:id="5"/>
    </w:p>
    <w:p w14:paraId="15BA93E4" w14:textId="77777777"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It is a fact that ageing depends not only on genes but also much more on environmental and social conditions. However, genetic preconditions do exist, and daily personal interactions with their surroundings extremely influence their well-being. Ageing is influenced by gender, ethnicity, socioeconomic </w:t>
      </w:r>
      <w:proofErr w:type="gramStart"/>
      <w:r w:rsidRPr="001C23BF">
        <w:rPr>
          <w:rFonts w:ascii="Times New Roman" w:eastAsia="Times New Roman" w:hAnsi="Times New Roman" w:cs="Times New Roman"/>
          <w:sz w:val="24"/>
          <w:szCs w:val="24"/>
          <w:lang w:val="en-GB"/>
        </w:rPr>
        <w:t>status</w:t>
      </w:r>
      <w:proofErr w:type="gramEnd"/>
      <w:r w:rsidRPr="001C23BF">
        <w:rPr>
          <w:rFonts w:ascii="Times New Roman" w:eastAsia="Times New Roman" w:hAnsi="Times New Roman" w:cs="Times New Roman"/>
          <w:sz w:val="24"/>
          <w:szCs w:val="24"/>
          <w:lang w:val="en-GB"/>
        </w:rPr>
        <w:t xml:space="preserve"> and education while influencing how aged persons can access these basic needs. For example, people belonging to higher socioeconomic settings gain better health outcomes because they enjoy access to better health facilities, adequately nutritious </w:t>
      </w:r>
      <w:proofErr w:type="gramStart"/>
      <w:r w:rsidRPr="001C23BF">
        <w:rPr>
          <w:rFonts w:ascii="Times New Roman" w:eastAsia="Times New Roman" w:hAnsi="Times New Roman" w:cs="Times New Roman"/>
          <w:sz w:val="24"/>
          <w:szCs w:val="24"/>
          <w:lang w:val="en-GB"/>
        </w:rPr>
        <w:t>foods</w:t>
      </w:r>
      <w:proofErr w:type="gramEnd"/>
      <w:r w:rsidRPr="001C23BF">
        <w:rPr>
          <w:rFonts w:ascii="Times New Roman" w:eastAsia="Times New Roman" w:hAnsi="Times New Roman" w:cs="Times New Roman"/>
          <w:sz w:val="24"/>
          <w:szCs w:val="24"/>
          <w:lang w:val="en-GB"/>
        </w:rPr>
        <w:t xml:space="preserve"> and healthier shelters (Hill-Briggs</w:t>
      </w:r>
      <w:r w:rsidRPr="001C23BF">
        <w:rPr>
          <w:rFonts w:ascii="Times New Roman" w:eastAsia="Times New Roman" w:hAnsi="Times New Roman" w:cs="Times New Roman"/>
          <w:i/>
          <w:sz w:val="24"/>
          <w:szCs w:val="24"/>
          <w:lang w:val="en-GB"/>
        </w:rPr>
        <w:t xml:space="preserve"> et al., </w:t>
      </w:r>
      <w:r w:rsidRPr="001C23BF">
        <w:rPr>
          <w:rFonts w:ascii="Times New Roman" w:eastAsia="Times New Roman" w:hAnsi="Times New Roman" w:cs="Times New Roman"/>
          <w:sz w:val="24"/>
          <w:szCs w:val="24"/>
          <w:lang w:val="en-GB"/>
        </w:rPr>
        <w:t>2020). On the other hand, those in the disadvantaged groups have several barriers that accumulate over their lifespan and therefore end up with poor health in their old age.</w:t>
      </w:r>
    </w:p>
    <w:p w14:paraId="31C8466E" w14:textId="7D27E418"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Living conditions such as the living space within a range of housing conditions, neighbourhoods, transportation systems and health care facilities are </w:t>
      </w:r>
      <w:r w:rsidR="00CE7D76" w:rsidRPr="001C23BF">
        <w:rPr>
          <w:rFonts w:ascii="Times New Roman" w:eastAsia="Times New Roman" w:hAnsi="Times New Roman" w:cs="Times New Roman"/>
          <w:sz w:val="24"/>
          <w:szCs w:val="24"/>
          <w:lang w:val="en-GB"/>
        </w:rPr>
        <w:t>principal factors</w:t>
      </w:r>
      <w:r w:rsidRPr="001C23BF">
        <w:rPr>
          <w:rFonts w:ascii="Times New Roman" w:eastAsia="Times New Roman" w:hAnsi="Times New Roman" w:cs="Times New Roman"/>
          <w:sz w:val="24"/>
          <w:szCs w:val="24"/>
          <w:lang w:val="en-GB"/>
        </w:rPr>
        <w:t xml:space="preserve"> that define the human quality of life in the later years. The environment should be accessible and age-friendly and where these conditions are lacking; inadequate infrastructure and poor living standards compound ageing-related problems (Buffel and Phillipson, 2024). Additional, social relatedness, and support structures as well as social opportunities namely, officially recognised community support structures as well as officially advertised and recognised opportunities for socialisation all contribute to the </w:t>
      </w:r>
      <w:r w:rsidR="00565B80" w:rsidRPr="001C23BF">
        <w:rPr>
          <w:rFonts w:ascii="Times New Roman" w:eastAsia="Times New Roman" w:hAnsi="Times New Roman" w:cs="Times New Roman"/>
          <w:sz w:val="24"/>
          <w:szCs w:val="24"/>
          <w:lang w:val="en-GB"/>
        </w:rPr>
        <w:t>previously mentioned</w:t>
      </w:r>
      <w:r w:rsidRPr="001C23BF">
        <w:rPr>
          <w:rFonts w:ascii="Times New Roman" w:eastAsia="Times New Roman" w:hAnsi="Times New Roman" w:cs="Times New Roman"/>
          <w:sz w:val="24"/>
          <w:szCs w:val="24"/>
          <w:lang w:val="en-GB"/>
        </w:rPr>
        <w:t xml:space="preserve"> physical and mental health indices. Notably, the effects of these environmental factors are early in life; childhood factors contribute to health differences as seen among older adults. It is, therefore, imperative that the relationships between these factors be fully understood to implement effective interventions that enhance health and ageing equity for all populations.</w:t>
      </w:r>
    </w:p>
    <w:p w14:paraId="6B42B111" w14:textId="77777777" w:rsidR="00DB7852" w:rsidRPr="001C23BF" w:rsidRDefault="00DD3224" w:rsidP="001C23BF">
      <w:pPr>
        <w:pStyle w:val="Titlu2"/>
        <w:rPr>
          <w:lang w:val="en-GB"/>
        </w:rPr>
      </w:pPr>
      <w:bookmarkStart w:id="6" w:name="_Toc182921511"/>
      <w:r w:rsidRPr="001C23BF">
        <w:rPr>
          <w:lang w:val="en-GB"/>
        </w:rPr>
        <w:lastRenderedPageBreak/>
        <w:t>3.4 Theoretical Perspectives on Ageing</w:t>
      </w:r>
      <w:bookmarkEnd w:id="6"/>
    </w:p>
    <w:p w14:paraId="788FC179" w14:textId="77777777"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Different theories have given useful guidance to define the social status and quality of life of the elderly. </w:t>
      </w:r>
      <w:r w:rsidRPr="001C23BF">
        <w:rPr>
          <w:rFonts w:ascii="Times New Roman" w:eastAsia="Times New Roman" w:hAnsi="Times New Roman" w:cs="Times New Roman"/>
          <w:b/>
          <w:i/>
          <w:sz w:val="24"/>
          <w:szCs w:val="24"/>
          <w:lang w:val="en-GB"/>
        </w:rPr>
        <w:t>The Disengagement Theory</w:t>
      </w:r>
      <w:r w:rsidRPr="001C23BF">
        <w:rPr>
          <w:rFonts w:ascii="Times New Roman" w:eastAsia="Times New Roman" w:hAnsi="Times New Roman" w:cs="Times New Roman"/>
          <w:sz w:val="24"/>
          <w:szCs w:val="24"/>
          <w:lang w:val="en-GB"/>
        </w:rPr>
        <w:t xml:space="preserve"> states that when people grow old, they tend to retire or secede from social participation and their roles and that this is not a negative process of reducing the person as well as society’s loss (Ragini, Manjit and Salwan, 2022). Advocates of the theory used to posit that demographically defined disengagement lets elderly persons create a favourable psychological climate for death while also getting ready to create space for the young. However, this point of view has been criticised for the repetition of prejudiced sentiments about elderly people and for ignoring the fact that many elderly individuals still have much to contribute to social and personal life.</w:t>
      </w:r>
    </w:p>
    <w:p w14:paraId="3DFE392A" w14:textId="77777777" w:rsidR="00DB7852" w:rsidRPr="001C23BF" w:rsidRDefault="00DD3224">
      <w:pPr>
        <w:spacing w:before="200" w:line="360" w:lineRule="auto"/>
        <w:jc w:val="center"/>
        <w:rPr>
          <w:rFonts w:ascii="Times New Roman" w:eastAsia="Times New Roman" w:hAnsi="Times New Roman" w:cs="Times New Roman"/>
          <w:sz w:val="24"/>
          <w:szCs w:val="24"/>
          <w:lang w:val="en-GB"/>
        </w:rPr>
      </w:pPr>
      <w:r w:rsidRPr="001C23BF">
        <w:rPr>
          <w:rFonts w:ascii="Times New Roman" w:eastAsia="Times New Roman" w:hAnsi="Times New Roman" w:cs="Times New Roman"/>
          <w:noProof/>
          <w:sz w:val="24"/>
          <w:szCs w:val="24"/>
          <w:lang w:val="en-GB"/>
        </w:rPr>
        <w:drawing>
          <wp:inline distT="114300" distB="114300" distL="114300" distR="114300" wp14:anchorId="6B6D85B5" wp14:editId="63AF747A">
            <wp:extent cx="5569818" cy="2849674"/>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569818" cy="2849674"/>
                    </a:xfrm>
                    <a:prstGeom prst="rect">
                      <a:avLst/>
                    </a:prstGeom>
                    <a:ln/>
                  </pic:spPr>
                </pic:pic>
              </a:graphicData>
            </a:graphic>
          </wp:inline>
        </w:drawing>
      </w:r>
    </w:p>
    <w:p w14:paraId="5CE3E3FC" w14:textId="77777777" w:rsidR="00DB7852" w:rsidRPr="001C23BF" w:rsidRDefault="00DD3224">
      <w:pPr>
        <w:spacing w:before="200" w:line="360" w:lineRule="auto"/>
        <w:jc w:val="center"/>
        <w:rPr>
          <w:rFonts w:ascii="Times New Roman" w:eastAsia="Times New Roman" w:hAnsi="Times New Roman" w:cs="Times New Roman"/>
          <w:b/>
          <w:sz w:val="24"/>
          <w:szCs w:val="24"/>
          <w:lang w:val="en-GB"/>
        </w:rPr>
      </w:pPr>
      <w:r w:rsidRPr="001C23BF">
        <w:rPr>
          <w:rFonts w:ascii="Times New Roman" w:eastAsia="Times New Roman" w:hAnsi="Times New Roman" w:cs="Times New Roman"/>
          <w:b/>
          <w:sz w:val="24"/>
          <w:szCs w:val="24"/>
          <w:lang w:val="en-GB"/>
        </w:rPr>
        <w:t>Figure 1: Disengagement Theory</w:t>
      </w:r>
    </w:p>
    <w:p w14:paraId="2DAE31AF" w14:textId="77777777" w:rsidR="00DB7852" w:rsidRPr="001C23BF" w:rsidRDefault="00DD3224">
      <w:pPr>
        <w:spacing w:before="200" w:line="360" w:lineRule="auto"/>
        <w:jc w:val="center"/>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(Source: Zhang and Lin, 2019)</w:t>
      </w:r>
    </w:p>
    <w:p w14:paraId="0EB4D913" w14:textId="349E60B6"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On the other hand, the </w:t>
      </w:r>
      <w:r w:rsidRPr="001C23BF">
        <w:rPr>
          <w:rFonts w:ascii="Times New Roman" w:eastAsia="Times New Roman" w:hAnsi="Times New Roman" w:cs="Times New Roman"/>
          <w:b/>
          <w:i/>
          <w:sz w:val="24"/>
          <w:szCs w:val="24"/>
          <w:lang w:val="en-GB"/>
        </w:rPr>
        <w:t>Activity Theory</w:t>
      </w:r>
      <w:r w:rsidRPr="001C23BF">
        <w:rPr>
          <w:rFonts w:ascii="Times New Roman" w:eastAsia="Times New Roman" w:hAnsi="Times New Roman" w:cs="Times New Roman"/>
          <w:sz w:val="24"/>
          <w:szCs w:val="24"/>
          <w:lang w:val="en-GB"/>
        </w:rPr>
        <w:t xml:space="preserve"> postulated that mere engagement in some activities socially and physically benefits every ageing </w:t>
      </w:r>
      <w:r w:rsidR="00CE7D76" w:rsidRPr="001C23BF">
        <w:rPr>
          <w:rFonts w:ascii="Times New Roman" w:eastAsia="Times New Roman" w:hAnsi="Times New Roman" w:cs="Times New Roman"/>
          <w:sz w:val="24"/>
          <w:szCs w:val="24"/>
          <w:lang w:val="en-GB"/>
        </w:rPr>
        <w:t>person</w:t>
      </w:r>
      <w:r w:rsidRPr="001C23BF">
        <w:rPr>
          <w:rFonts w:ascii="Times New Roman" w:eastAsia="Times New Roman" w:hAnsi="Times New Roman" w:cs="Times New Roman"/>
          <w:sz w:val="24"/>
          <w:szCs w:val="24"/>
          <w:lang w:val="en-GB"/>
        </w:rPr>
        <w:t xml:space="preserve">. This theory posits that the loss of roles that defined does not have the effect of producing greater contentment and that social integration and continued activation are conducive to happiness and satisfaction with life. The Activity Theory rejected the idea that ageing means deterioration and offered potential advantages of continuing activity (Tirmazee-Kaleem, 2024). While both theories have been a part of the approaches to ageing, the dominant paradigm has emerged to acknowledge and </w:t>
      </w:r>
      <w:r w:rsidRPr="001C23BF">
        <w:rPr>
          <w:rFonts w:ascii="Times New Roman" w:eastAsia="Times New Roman" w:hAnsi="Times New Roman" w:cs="Times New Roman"/>
          <w:sz w:val="24"/>
          <w:szCs w:val="24"/>
          <w:lang w:val="en-GB"/>
        </w:rPr>
        <w:lastRenderedPageBreak/>
        <w:t>promote active ageing that could help older adults participate in society to the greatest possible extent.</w:t>
      </w:r>
    </w:p>
    <w:p w14:paraId="4AF860DA" w14:textId="77777777" w:rsidR="00DB7852" w:rsidRPr="001C23BF" w:rsidRDefault="00DD3224">
      <w:pPr>
        <w:spacing w:before="200" w:line="360" w:lineRule="auto"/>
        <w:jc w:val="center"/>
        <w:rPr>
          <w:rFonts w:ascii="Times New Roman" w:eastAsia="Times New Roman" w:hAnsi="Times New Roman" w:cs="Times New Roman"/>
          <w:sz w:val="24"/>
          <w:szCs w:val="24"/>
          <w:lang w:val="en-GB"/>
        </w:rPr>
      </w:pPr>
      <w:r w:rsidRPr="001C23BF">
        <w:rPr>
          <w:rFonts w:ascii="Times New Roman" w:eastAsia="Times New Roman" w:hAnsi="Times New Roman" w:cs="Times New Roman"/>
          <w:noProof/>
          <w:sz w:val="24"/>
          <w:szCs w:val="24"/>
          <w:lang w:val="en-GB"/>
        </w:rPr>
        <w:drawing>
          <wp:inline distT="114300" distB="114300" distL="114300" distR="114300" wp14:anchorId="5D1452BF" wp14:editId="6FB74ED6">
            <wp:extent cx="4848225" cy="48101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48225" cy="4810125"/>
                    </a:xfrm>
                    <a:prstGeom prst="rect">
                      <a:avLst/>
                    </a:prstGeom>
                    <a:ln/>
                  </pic:spPr>
                </pic:pic>
              </a:graphicData>
            </a:graphic>
          </wp:inline>
        </w:drawing>
      </w:r>
    </w:p>
    <w:p w14:paraId="35A878D1" w14:textId="77777777" w:rsidR="00DB7852" w:rsidRPr="001C23BF" w:rsidRDefault="00DD3224">
      <w:pPr>
        <w:spacing w:before="200" w:line="360" w:lineRule="auto"/>
        <w:jc w:val="center"/>
        <w:rPr>
          <w:rFonts w:ascii="Times New Roman" w:eastAsia="Times New Roman" w:hAnsi="Times New Roman" w:cs="Times New Roman"/>
          <w:b/>
          <w:sz w:val="24"/>
          <w:szCs w:val="24"/>
          <w:lang w:val="en-GB"/>
        </w:rPr>
      </w:pPr>
      <w:r w:rsidRPr="001C23BF">
        <w:rPr>
          <w:rFonts w:ascii="Times New Roman" w:eastAsia="Times New Roman" w:hAnsi="Times New Roman" w:cs="Times New Roman"/>
          <w:b/>
          <w:sz w:val="24"/>
          <w:szCs w:val="24"/>
          <w:lang w:val="en-GB"/>
        </w:rPr>
        <w:t>Figure 2: Activity Theory of Ageing</w:t>
      </w:r>
    </w:p>
    <w:p w14:paraId="1B2FB9CD" w14:textId="77777777" w:rsidR="00DB7852" w:rsidRPr="001C23BF" w:rsidRDefault="00DD3224">
      <w:pPr>
        <w:spacing w:before="200" w:line="360" w:lineRule="auto"/>
        <w:jc w:val="center"/>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(Source: Tirmazee-Kaleem, 2024)</w:t>
      </w:r>
    </w:p>
    <w:p w14:paraId="10F7B914" w14:textId="77777777" w:rsidR="00DB7852" w:rsidRPr="001C23BF" w:rsidRDefault="00DD3224" w:rsidP="001C23BF">
      <w:pPr>
        <w:pStyle w:val="Titlu2"/>
        <w:rPr>
          <w:lang w:val="en-GB"/>
        </w:rPr>
      </w:pPr>
      <w:bookmarkStart w:id="7" w:name="_Toc182921512"/>
      <w:r w:rsidRPr="001C23BF">
        <w:rPr>
          <w:lang w:val="en-GB"/>
        </w:rPr>
        <w:t>3.5 Barriers to Healthy Ageing</w:t>
      </w:r>
      <w:bookmarkEnd w:id="7"/>
    </w:p>
    <w:p w14:paraId="0A83F24F" w14:textId="06012921"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Several gaps have posed challenges to older persons to health and healthy living to restore their functionality hence the need to address the issues. Prejudice based on elderly people continues to be a prevalent problem, which </w:t>
      </w:r>
      <w:r w:rsidR="00565B80">
        <w:rPr>
          <w:rFonts w:ascii="Times New Roman" w:eastAsia="Times New Roman" w:hAnsi="Times New Roman" w:cs="Times New Roman"/>
          <w:sz w:val="24"/>
          <w:szCs w:val="24"/>
          <w:lang w:val="en-GB"/>
        </w:rPr>
        <w:t>it</w:t>
      </w:r>
      <w:r w:rsidRPr="001C23BF">
        <w:rPr>
          <w:rFonts w:ascii="Times New Roman" w:eastAsia="Times New Roman" w:hAnsi="Times New Roman" w:cs="Times New Roman"/>
          <w:sz w:val="24"/>
          <w:szCs w:val="24"/>
          <w:lang w:val="en-GB"/>
        </w:rPr>
        <w:t xml:space="preserve">s expressed in discriminating against older people and denying them new possibilities to develop (Weir, 2023). Stereotypes of ageing have a negative representation of older adults as weak or a liability hence laws that would foster the active participation of the elderly remain restricted. Such discrimination does not only depict the </w:t>
      </w:r>
      <w:r w:rsidRPr="001C23BF">
        <w:rPr>
          <w:rFonts w:ascii="Times New Roman" w:eastAsia="Times New Roman" w:hAnsi="Times New Roman" w:cs="Times New Roman"/>
          <w:sz w:val="24"/>
          <w:szCs w:val="24"/>
          <w:lang w:val="en-GB"/>
        </w:rPr>
        <w:lastRenderedPageBreak/>
        <w:t>community in the eyes of the public but also leads to insufficient provision of funding for services and requisite structures for the care of these populations.</w:t>
      </w:r>
    </w:p>
    <w:p w14:paraId="02F38377" w14:textId="77777777"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Policy gaps also play an essential role in causing these barriers as much as any other factor. A substantial number of the existing policies are incongruent with the individual and multiple experiences of ageing without focusing on health and social needs (World Health Organization, 2024). For example, public transportation itself is constructively not suitable for independently operating elderly people, and they lose mobility. In the same way, the health care services may not have the ability to deliver specialised care fitting the age-related illnesses that are pervasive among the ageing population. Additionally, there are also barriers to environments, like the building facilities or communities that allow older adults or persons with limited mobility difficulty to access.</w:t>
      </w:r>
    </w:p>
    <w:p w14:paraId="530719A3" w14:textId="171B5D21"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The other major challenge is the non-involvement of elderly persons when making decisions. Their opinions and understandings </w:t>
      </w:r>
      <w:r w:rsidR="00CE7D76" w:rsidRPr="001C23BF">
        <w:rPr>
          <w:rFonts w:ascii="Times New Roman" w:eastAsia="Times New Roman" w:hAnsi="Times New Roman" w:cs="Times New Roman"/>
          <w:sz w:val="24"/>
          <w:szCs w:val="24"/>
          <w:lang w:val="en-GB"/>
        </w:rPr>
        <w:t>ignor</w:t>
      </w:r>
      <w:r w:rsidR="00CE7D76">
        <w:rPr>
          <w:rFonts w:ascii="Times New Roman" w:eastAsia="Times New Roman" w:hAnsi="Times New Roman" w:cs="Times New Roman"/>
          <w:sz w:val="24"/>
          <w:szCs w:val="24"/>
          <w:lang w:val="en-GB"/>
        </w:rPr>
        <w:t>ed</w:t>
      </w:r>
      <w:r w:rsidRPr="001C23BF">
        <w:rPr>
          <w:rFonts w:ascii="Times New Roman" w:eastAsia="Times New Roman" w:hAnsi="Times New Roman" w:cs="Times New Roman"/>
          <w:sz w:val="24"/>
          <w:szCs w:val="24"/>
          <w:lang w:val="en-GB"/>
        </w:rPr>
        <w:t xml:space="preserve">, which in turn means that the majority of the policies and initiatives formulated for their benefit are in one way or the other not appropriate for them (Ghenţa </w:t>
      </w:r>
      <w:r w:rsidRPr="001C23BF">
        <w:rPr>
          <w:rFonts w:ascii="Times New Roman" w:eastAsia="Times New Roman" w:hAnsi="Times New Roman" w:cs="Times New Roman"/>
          <w:i/>
          <w:sz w:val="24"/>
          <w:szCs w:val="24"/>
          <w:lang w:val="en-GB"/>
        </w:rPr>
        <w:t>et al.</w:t>
      </w:r>
      <w:r w:rsidRPr="001C23BF">
        <w:rPr>
          <w:rFonts w:ascii="Times New Roman" w:eastAsia="Times New Roman" w:hAnsi="Times New Roman" w:cs="Times New Roman"/>
          <w:sz w:val="24"/>
          <w:szCs w:val="24"/>
          <w:lang w:val="en-GB"/>
        </w:rPr>
        <w:t>, 2022). Organisations that seek to incorporate the elderly in policy planning stand to benefit from effective and suitable recommendations making ageing persons more important and appreciated. In this case, it is important to encourage and remove these barriers to ensure that seniors can function within the communities hence promoting healthy and active ageing.</w:t>
      </w:r>
    </w:p>
    <w:p w14:paraId="526F5EE7" w14:textId="77777777" w:rsidR="00DB7852" w:rsidRPr="001C23BF" w:rsidRDefault="00DD3224" w:rsidP="001C23BF">
      <w:pPr>
        <w:pStyle w:val="Titlu1"/>
        <w:rPr>
          <w:lang w:val="en-GB"/>
        </w:rPr>
      </w:pPr>
      <w:bookmarkStart w:id="8" w:name="_Toc182921513"/>
      <w:r w:rsidRPr="001C23BF">
        <w:rPr>
          <w:lang w:val="en-GB"/>
        </w:rPr>
        <w:t>4. Conclusion</w:t>
      </w:r>
      <w:bookmarkEnd w:id="8"/>
    </w:p>
    <w:p w14:paraId="1598A8D9" w14:textId="17D93FC7" w:rsidR="00DB7852" w:rsidRPr="001C23BF" w:rsidRDefault="00DD3224">
      <w:p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The report focused on the phenomenon of ageing globally and the necessity of employing more effective approaches toward the ageing population. Preconceptions and limited policies are still the core concerns of well-being and longevity which are </w:t>
      </w:r>
      <w:r w:rsidR="00241409">
        <w:rPr>
          <w:rFonts w:ascii="Times New Roman" w:eastAsia="Times New Roman" w:hAnsi="Times New Roman" w:cs="Times New Roman"/>
          <w:sz w:val="24"/>
          <w:szCs w:val="24"/>
          <w:lang w:val="en-GB"/>
        </w:rPr>
        <w:t xml:space="preserve">serious </w:t>
      </w:r>
      <w:r w:rsidR="00565B80">
        <w:rPr>
          <w:rFonts w:ascii="Times New Roman" w:eastAsia="Times New Roman" w:hAnsi="Times New Roman" w:cs="Times New Roman"/>
          <w:sz w:val="24"/>
          <w:szCs w:val="24"/>
          <w:lang w:val="en-GB"/>
        </w:rPr>
        <w:t>i</w:t>
      </w:r>
      <w:r w:rsidRPr="001C23BF">
        <w:rPr>
          <w:rFonts w:ascii="Times New Roman" w:eastAsia="Times New Roman" w:hAnsi="Times New Roman" w:cs="Times New Roman"/>
          <w:sz w:val="24"/>
          <w:szCs w:val="24"/>
          <w:lang w:val="en-GB"/>
        </w:rPr>
        <w:t xml:space="preserve">mpacted by environmental and personal factors. The Disengagement and Activity Theories gave </w:t>
      </w:r>
      <w:r w:rsidR="00241409" w:rsidRPr="001C23BF">
        <w:rPr>
          <w:rFonts w:ascii="Times New Roman" w:eastAsia="Times New Roman" w:hAnsi="Times New Roman" w:cs="Times New Roman"/>
          <w:sz w:val="24"/>
          <w:szCs w:val="24"/>
          <w:lang w:val="en-GB"/>
        </w:rPr>
        <w:t>an unfamiliar perspective</w:t>
      </w:r>
      <w:r w:rsidRPr="001C23BF">
        <w:rPr>
          <w:rFonts w:ascii="Times New Roman" w:eastAsia="Times New Roman" w:hAnsi="Times New Roman" w:cs="Times New Roman"/>
          <w:sz w:val="24"/>
          <w:szCs w:val="24"/>
          <w:lang w:val="en-GB"/>
        </w:rPr>
        <w:t xml:space="preserve"> on ageing since evidence suggests that continued activities are beneficial. To see that older people can live well and that they can make positive contributions to society, these problems must be </w:t>
      </w:r>
      <w:proofErr w:type="gramStart"/>
      <w:r w:rsidR="00241409" w:rsidRPr="001C23BF">
        <w:rPr>
          <w:rFonts w:ascii="Times New Roman" w:eastAsia="Times New Roman" w:hAnsi="Times New Roman" w:cs="Times New Roman"/>
          <w:sz w:val="24"/>
          <w:szCs w:val="24"/>
          <w:lang w:val="en-GB"/>
        </w:rPr>
        <w:t>solv</w:t>
      </w:r>
      <w:r w:rsidR="00CE7D76">
        <w:rPr>
          <w:rFonts w:ascii="Times New Roman" w:eastAsia="Times New Roman" w:hAnsi="Times New Roman" w:cs="Times New Roman"/>
          <w:sz w:val="24"/>
          <w:szCs w:val="24"/>
          <w:lang w:val="en-GB"/>
        </w:rPr>
        <w:t>e</w:t>
      </w:r>
      <w:proofErr w:type="gramEnd"/>
      <w:r w:rsidR="00CE7D76">
        <w:rPr>
          <w:rFonts w:ascii="Times New Roman" w:eastAsia="Times New Roman" w:hAnsi="Times New Roman" w:cs="Times New Roman"/>
          <w:sz w:val="24"/>
          <w:szCs w:val="24"/>
          <w:lang w:val="en-GB"/>
        </w:rPr>
        <w:t xml:space="preserve">. </w:t>
      </w:r>
    </w:p>
    <w:p w14:paraId="1C925A03" w14:textId="77777777" w:rsidR="00DB7852" w:rsidRPr="001C23BF" w:rsidRDefault="00DD3224" w:rsidP="001C23BF">
      <w:pPr>
        <w:pStyle w:val="Titlu1"/>
        <w:rPr>
          <w:lang w:val="en-GB"/>
        </w:rPr>
      </w:pPr>
      <w:bookmarkStart w:id="9" w:name="_Toc182921514"/>
      <w:r w:rsidRPr="001C23BF">
        <w:rPr>
          <w:lang w:val="en-GB"/>
        </w:rPr>
        <w:lastRenderedPageBreak/>
        <w:t>5. Recommendations</w:t>
      </w:r>
      <w:bookmarkEnd w:id="9"/>
    </w:p>
    <w:p w14:paraId="3593DC03" w14:textId="396365CD" w:rsidR="00DB7852" w:rsidRPr="001C23BF" w:rsidRDefault="00DD3224">
      <w:pPr>
        <w:numPr>
          <w:ilvl w:val="0"/>
          <w:numId w:val="1"/>
        </w:num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b/>
          <w:i/>
          <w:sz w:val="24"/>
          <w:szCs w:val="24"/>
          <w:lang w:val="en-GB"/>
        </w:rPr>
        <w:t>Update and Strengthen Policies:</w:t>
      </w:r>
      <w:r w:rsidRPr="001C23BF">
        <w:rPr>
          <w:rFonts w:ascii="Times New Roman" w:eastAsia="Times New Roman" w:hAnsi="Times New Roman" w:cs="Times New Roman"/>
          <w:sz w:val="24"/>
          <w:szCs w:val="24"/>
          <w:lang w:val="en-GB"/>
        </w:rPr>
        <w:t xml:space="preserve"> General resilient policies should </w:t>
      </w:r>
      <w:r w:rsidR="00241409" w:rsidRPr="001C23BF">
        <w:rPr>
          <w:rFonts w:ascii="Times New Roman" w:eastAsia="Times New Roman" w:hAnsi="Times New Roman" w:cs="Times New Roman"/>
          <w:sz w:val="24"/>
          <w:szCs w:val="24"/>
          <w:lang w:val="en-GB"/>
        </w:rPr>
        <w:t>adopt</w:t>
      </w:r>
      <w:r w:rsidRPr="001C23BF">
        <w:rPr>
          <w:rFonts w:ascii="Times New Roman" w:eastAsia="Times New Roman" w:hAnsi="Times New Roman" w:cs="Times New Roman"/>
          <w:sz w:val="24"/>
          <w:szCs w:val="24"/>
          <w:lang w:val="en-GB"/>
        </w:rPr>
        <w:t xml:space="preserve"> to support and meet the multifaceted and constantly changing requirements of elderly individuals (Reynolds </w:t>
      </w:r>
      <w:r w:rsidRPr="001C23BF">
        <w:rPr>
          <w:rFonts w:ascii="Times New Roman" w:eastAsia="Times New Roman" w:hAnsi="Times New Roman" w:cs="Times New Roman"/>
          <w:i/>
          <w:sz w:val="24"/>
          <w:szCs w:val="24"/>
          <w:lang w:val="en-GB"/>
        </w:rPr>
        <w:t>et al.,</w:t>
      </w:r>
      <w:r w:rsidRPr="001C23BF">
        <w:rPr>
          <w:rFonts w:ascii="Times New Roman" w:eastAsia="Times New Roman" w:hAnsi="Times New Roman" w:cs="Times New Roman"/>
          <w:sz w:val="24"/>
          <w:szCs w:val="24"/>
          <w:lang w:val="en-GB"/>
        </w:rPr>
        <w:t xml:space="preserve"> 2022). Such policies should focus on primary care access, individualised social services, and the creation of age-appropriate programmes and services. The plans which involve addressing the problems faced by the elderly would guarantee their healthy independent lives in the future. Policy frameworks should also focus on how resources are allocated because this may contribute to differences between different demography.</w:t>
      </w:r>
    </w:p>
    <w:p w14:paraId="046C3E67" w14:textId="761DD3D4" w:rsidR="00DB7852" w:rsidRPr="001C23BF" w:rsidRDefault="00DD3224">
      <w:pPr>
        <w:numPr>
          <w:ilvl w:val="0"/>
          <w:numId w:val="1"/>
        </w:num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b/>
          <w:i/>
          <w:sz w:val="24"/>
          <w:szCs w:val="24"/>
          <w:lang w:val="en-GB"/>
        </w:rPr>
        <w:t>Combat Ageism:</w:t>
      </w:r>
      <w:r w:rsidRPr="001C23BF">
        <w:rPr>
          <w:rFonts w:ascii="Times New Roman" w:eastAsia="Times New Roman" w:hAnsi="Times New Roman" w:cs="Times New Roman"/>
          <w:sz w:val="24"/>
          <w:szCs w:val="24"/>
          <w:lang w:val="en-GB"/>
        </w:rPr>
        <w:t xml:space="preserve"> Such kinds of stereotyped depictions of the elderly require vigorous counter campaigns</w:t>
      </w:r>
      <w:r w:rsidR="00241409">
        <w:rPr>
          <w:rFonts w:ascii="Times New Roman" w:eastAsia="Times New Roman" w:hAnsi="Times New Roman" w:cs="Times New Roman"/>
          <w:sz w:val="24"/>
          <w:szCs w:val="24"/>
          <w:lang w:val="en-GB"/>
        </w:rPr>
        <w:t xml:space="preserve">. </w:t>
      </w:r>
      <w:r w:rsidRPr="001C23BF">
        <w:rPr>
          <w:rFonts w:ascii="Times New Roman" w:eastAsia="Times New Roman" w:hAnsi="Times New Roman" w:cs="Times New Roman"/>
          <w:sz w:val="24"/>
          <w:szCs w:val="24"/>
          <w:lang w:val="en-GB"/>
        </w:rPr>
        <w:t>These initiatives should portray the elderly as assets as well as change the perception of society towards the elderly (Officer and de la Fuente-Núñez, 2018). For example, educating schools and media can enhance attention to and appreciation of the value of the aged persons’ skills, information and experience which could help in eradicating prejudices against them.</w:t>
      </w:r>
    </w:p>
    <w:p w14:paraId="47A2AAB1" w14:textId="4B77590B" w:rsidR="00DB7852" w:rsidRPr="001C23BF" w:rsidRDefault="00DD3224">
      <w:pPr>
        <w:numPr>
          <w:ilvl w:val="0"/>
          <w:numId w:val="1"/>
        </w:num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b/>
          <w:i/>
          <w:sz w:val="24"/>
          <w:szCs w:val="24"/>
          <w:lang w:val="en-GB"/>
        </w:rPr>
        <w:t>Promote Active Ageing:</w:t>
      </w:r>
      <w:r w:rsidRPr="001C23BF">
        <w:rPr>
          <w:rFonts w:ascii="Times New Roman" w:eastAsia="Times New Roman" w:hAnsi="Times New Roman" w:cs="Times New Roman"/>
          <w:sz w:val="24"/>
          <w:szCs w:val="24"/>
          <w:lang w:val="en-GB"/>
        </w:rPr>
        <w:t xml:space="preserve"> It can also </w:t>
      </w:r>
      <w:r w:rsidR="00241409" w:rsidRPr="001C23BF">
        <w:rPr>
          <w:rFonts w:ascii="Times New Roman" w:eastAsia="Times New Roman" w:hAnsi="Times New Roman" w:cs="Times New Roman"/>
          <w:sz w:val="24"/>
          <w:szCs w:val="24"/>
          <w:lang w:val="en-GB"/>
        </w:rPr>
        <w:t>discuss</w:t>
      </w:r>
      <w:r w:rsidRPr="001C23BF">
        <w:rPr>
          <w:rFonts w:ascii="Times New Roman" w:eastAsia="Times New Roman" w:hAnsi="Times New Roman" w:cs="Times New Roman"/>
          <w:sz w:val="24"/>
          <w:szCs w:val="24"/>
          <w:lang w:val="en-GB"/>
        </w:rPr>
        <w:t xml:space="preserve"> that more attention </w:t>
      </w:r>
      <w:r w:rsidR="00241409">
        <w:rPr>
          <w:rFonts w:ascii="Times New Roman" w:eastAsia="Times New Roman" w:hAnsi="Times New Roman" w:cs="Times New Roman"/>
          <w:sz w:val="24"/>
          <w:szCs w:val="24"/>
          <w:lang w:val="en-GB"/>
        </w:rPr>
        <w:t xml:space="preserve">that </w:t>
      </w:r>
      <w:r w:rsidRPr="001C23BF">
        <w:rPr>
          <w:rFonts w:ascii="Times New Roman" w:eastAsia="Times New Roman" w:hAnsi="Times New Roman" w:cs="Times New Roman"/>
          <w:sz w:val="24"/>
          <w:szCs w:val="24"/>
          <w:lang w:val="en-GB"/>
        </w:rPr>
        <w:t>should paid</w:t>
      </w:r>
      <w:r w:rsidR="00241409">
        <w:rPr>
          <w:rFonts w:ascii="Times New Roman" w:eastAsia="Times New Roman" w:hAnsi="Times New Roman" w:cs="Times New Roman"/>
          <w:sz w:val="24"/>
          <w:szCs w:val="24"/>
          <w:lang w:val="en-GB"/>
        </w:rPr>
        <w:t xml:space="preserve"> attention</w:t>
      </w:r>
      <w:r w:rsidRPr="001C23BF">
        <w:rPr>
          <w:rFonts w:ascii="Times New Roman" w:eastAsia="Times New Roman" w:hAnsi="Times New Roman" w:cs="Times New Roman"/>
          <w:sz w:val="24"/>
          <w:szCs w:val="24"/>
          <w:lang w:val="en-GB"/>
        </w:rPr>
        <w:t xml:space="preserve"> to the promotion of active living among elderly people and the utilisation of community programmes (Davodi </w:t>
      </w:r>
      <w:r w:rsidRPr="001C23BF">
        <w:rPr>
          <w:rFonts w:ascii="Times New Roman" w:eastAsia="Times New Roman" w:hAnsi="Times New Roman" w:cs="Times New Roman"/>
          <w:i/>
          <w:sz w:val="24"/>
          <w:szCs w:val="24"/>
          <w:lang w:val="en-GB"/>
        </w:rPr>
        <w:t>et al.,</w:t>
      </w:r>
      <w:r w:rsidRPr="001C23BF">
        <w:rPr>
          <w:rFonts w:ascii="Times New Roman" w:eastAsia="Times New Roman" w:hAnsi="Times New Roman" w:cs="Times New Roman"/>
          <w:sz w:val="24"/>
          <w:szCs w:val="24"/>
          <w:lang w:val="en-GB"/>
        </w:rPr>
        <w:t xml:space="preserve"> 2023). Some of these could include volunteering activities, </w:t>
      </w:r>
      <w:r w:rsidR="00241409" w:rsidRPr="001C23BF">
        <w:rPr>
          <w:rFonts w:ascii="Times New Roman" w:eastAsia="Times New Roman" w:hAnsi="Times New Roman" w:cs="Times New Roman"/>
          <w:sz w:val="24"/>
          <w:szCs w:val="24"/>
          <w:lang w:val="en-GB"/>
        </w:rPr>
        <w:t>exercise,</w:t>
      </w:r>
      <w:r w:rsidRPr="001C23BF">
        <w:rPr>
          <w:rFonts w:ascii="Times New Roman" w:eastAsia="Times New Roman" w:hAnsi="Times New Roman" w:cs="Times New Roman"/>
          <w:sz w:val="24"/>
          <w:szCs w:val="24"/>
          <w:lang w:val="en-GB"/>
        </w:rPr>
        <w:t xml:space="preserve"> and social groups and all these relate to the Activity Theory. Old people can be motivated and engaged; therefore, they will be healthy and enjoy their lives more.</w:t>
      </w:r>
    </w:p>
    <w:p w14:paraId="467B27C2" w14:textId="77777777" w:rsidR="00DB7852" w:rsidRPr="001C23BF" w:rsidRDefault="00DD3224">
      <w:pPr>
        <w:numPr>
          <w:ilvl w:val="0"/>
          <w:numId w:val="1"/>
        </w:num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b/>
          <w:i/>
          <w:sz w:val="24"/>
          <w:szCs w:val="24"/>
          <w:lang w:val="en-GB"/>
        </w:rPr>
        <w:t xml:space="preserve">Improve Accessibility: </w:t>
      </w:r>
      <w:r w:rsidRPr="001C23BF">
        <w:rPr>
          <w:rFonts w:ascii="Times New Roman" w:eastAsia="Times New Roman" w:hAnsi="Times New Roman" w:cs="Times New Roman"/>
          <w:sz w:val="24"/>
          <w:szCs w:val="24"/>
          <w:lang w:val="en-GB"/>
        </w:rPr>
        <w:t xml:space="preserve">There is a need to spend on senior citizens’ infrastructures that enable the aged to be more independent. This includes improvements to public transport and to making public areas available and secure to the public (Ravensbergen </w:t>
      </w:r>
      <w:r w:rsidRPr="001C23BF">
        <w:rPr>
          <w:rFonts w:ascii="Times New Roman" w:eastAsia="Times New Roman" w:hAnsi="Times New Roman" w:cs="Times New Roman"/>
          <w:i/>
          <w:sz w:val="24"/>
          <w:szCs w:val="24"/>
          <w:lang w:val="en-GB"/>
        </w:rPr>
        <w:t>et al.,</w:t>
      </w:r>
      <w:r w:rsidRPr="001C23BF">
        <w:rPr>
          <w:rFonts w:ascii="Times New Roman" w:eastAsia="Times New Roman" w:hAnsi="Times New Roman" w:cs="Times New Roman"/>
          <w:sz w:val="24"/>
          <w:szCs w:val="24"/>
          <w:lang w:val="en-GB"/>
        </w:rPr>
        <w:t xml:space="preserve"> 2022). Transportation investments improve mobility, social relations, and self–management.</w:t>
      </w:r>
    </w:p>
    <w:p w14:paraId="7DB1270C" w14:textId="047077FC" w:rsidR="00DB7852" w:rsidRPr="001C23BF" w:rsidRDefault="00DD3224">
      <w:pPr>
        <w:numPr>
          <w:ilvl w:val="0"/>
          <w:numId w:val="1"/>
        </w:numPr>
        <w:spacing w:before="200" w:line="360" w:lineRule="auto"/>
        <w:jc w:val="both"/>
        <w:rPr>
          <w:rFonts w:ascii="Times New Roman" w:eastAsia="Times New Roman" w:hAnsi="Times New Roman" w:cs="Times New Roman"/>
          <w:sz w:val="24"/>
          <w:szCs w:val="24"/>
          <w:lang w:val="en-GB"/>
        </w:rPr>
      </w:pPr>
      <w:r w:rsidRPr="001C23BF">
        <w:rPr>
          <w:rFonts w:ascii="Times New Roman" w:eastAsia="Times New Roman" w:hAnsi="Times New Roman" w:cs="Times New Roman"/>
          <w:b/>
          <w:i/>
          <w:sz w:val="24"/>
          <w:szCs w:val="24"/>
          <w:lang w:val="en-GB"/>
        </w:rPr>
        <w:t>Include Older Adults in Decision-Making:</w:t>
      </w:r>
      <w:r w:rsidRPr="001C23BF">
        <w:rPr>
          <w:rFonts w:ascii="Times New Roman" w:eastAsia="Times New Roman" w:hAnsi="Times New Roman" w:cs="Times New Roman"/>
          <w:sz w:val="24"/>
          <w:szCs w:val="24"/>
          <w:lang w:val="en-GB"/>
        </w:rPr>
        <w:t xml:space="preserve"> Policies affecting older persons should therefore be in a position to influenced by the older persons themselves (UNECE, 2021). It is also to be ensure that they involved in the decision-making processes so that their inputs and requirements can </w:t>
      </w:r>
      <w:proofErr w:type="gramStart"/>
      <w:r w:rsidRPr="001C23BF">
        <w:rPr>
          <w:rFonts w:ascii="Times New Roman" w:eastAsia="Times New Roman" w:hAnsi="Times New Roman" w:cs="Times New Roman"/>
          <w:sz w:val="24"/>
          <w:szCs w:val="24"/>
          <w:lang w:val="en-GB"/>
        </w:rPr>
        <w:t>be factored</w:t>
      </w:r>
      <w:proofErr w:type="gramEnd"/>
      <w:r w:rsidRPr="001C23BF">
        <w:rPr>
          <w:rFonts w:ascii="Times New Roman" w:eastAsia="Times New Roman" w:hAnsi="Times New Roman" w:cs="Times New Roman"/>
          <w:sz w:val="24"/>
          <w:szCs w:val="24"/>
          <w:lang w:val="en-GB"/>
        </w:rPr>
        <w:t xml:space="preserve"> into the processes resulting in much-improved results that are relevant, </w:t>
      </w:r>
      <w:r w:rsidR="00241409" w:rsidRPr="001C23BF">
        <w:rPr>
          <w:rFonts w:ascii="Times New Roman" w:eastAsia="Times New Roman" w:hAnsi="Times New Roman" w:cs="Times New Roman"/>
          <w:sz w:val="24"/>
          <w:szCs w:val="24"/>
          <w:lang w:val="en-GB"/>
        </w:rPr>
        <w:t>effective,</w:t>
      </w:r>
      <w:r w:rsidRPr="001C23BF">
        <w:rPr>
          <w:rFonts w:ascii="Times New Roman" w:eastAsia="Times New Roman" w:hAnsi="Times New Roman" w:cs="Times New Roman"/>
          <w:sz w:val="24"/>
          <w:szCs w:val="24"/>
          <w:lang w:val="en-GB"/>
        </w:rPr>
        <w:t xml:space="preserve"> and inclusive.</w:t>
      </w:r>
      <w:r w:rsidRPr="001C23BF">
        <w:rPr>
          <w:lang w:val="en-GB"/>
        </w:rPr>
        <w:br w:type="page"/>
      </w:r>
    </w:p>
    <w:p w14:paraId="1033F4F1" w14:textId="30E2B9C2" w:rsidR="00DB7852" w:rsidRPr="00CE7D76" w:rsidRDefault="00DD3224" w:rsidP="001C23BF">
      <w:pPr>
        <w:pStyle w:val="Titlu1"/>
        <w:rPr>
          <w:color w:val="1F497D" w:themeColor="text2"/>
          <w:lang w:val="en-GB"/>
        </w:rPr>
      </w:pPr>
      <w:bookmarkStart w:id="10" w:name="_Toc182921515"/>
      <w:r w:rsidRPr="00CE7D76">
        <w:rPr>
          <w:color w:val="1F497D" w:themeColor="text2"/>
          <w:lang w:val="en-GB"/>
        </w:rPr>
        <w:lastRenderedPageBreak/>
        <w:t>Reference list</w:t>
      </w:r>
      <w:bookmarkEnd w:id="10"/>
      <w:r w:rsidR="00CE7D76">
        <w:rPr>
          <w:color w:val="1F497D" w:themeColor="text2"/>
          <w:lang w:val="en-GB"/>
        </w:rPr>
        <w:t>:</w:t>
      </w:r>
    </w:p>
    <w:p w14:paraId="34488583" w14:textId="48C6CA00"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Bakht, S. (2023). </w:t>
      </w:r>
      <w:r w:rsidRPr="001C23BF">
        <w:rPr>
          <w:rFonts w:ascii="Times New Roman" w:eastAsia="Times New Roman" w:hAnsi="Times New Roman" w:cs="Times New Roman"/>
          <w:i/>
          <w:sz w:val="24"/>
          <w:szCs w:val="24"/>
          <w:lang w:val="en-GB"/>
        </w:rPr>
        <w:t>Generativity and Aspirational Dignity in Old Age - The Engagement of Older People for Younger People among Elite Professionals in Delhi and other Indian Cities</w:t>
      </w:r>
      <w:r w:rsidRPr="001C23BF">
        <w:rPr>
          <w:rFonts w:ascii="Times New Roman" w:eastAsia="Times New Roman" w:hAnsi="Times New Roman" w:cs="Times New Roman"/>
          <w:sz w:val="24"/>
          <w:szCs w:val="24"/>
          <w:lang w:val="en-GB"/>
        </w:rPr>
        <w:t xml:space="preserve">. [online] archiv.ub.uni-heidelberg.de. Available at: </w:t>
      </w:r>
      <w:hyperlink r:id="rId10" w:history="1">
        <w:r w:rsidR="00565B80" w:rsidRPr="00510F52">
          <w:rPr>
            <w:rStyle w:val="Hyperlink"/>
            <w:rFonts w:ascii="Times New Roman" w:eastAsia="Times New Roman" w:hAnsi="Times New Roman" w:cs="Times New Roman"/>
            <w:sz w:val="24"/>
            <w:szCs w:val="24"/>
            <w:lang w:val="en-GB"/>
          </w:rPr>
          <w:t>https://archiv.ub.uni-heidelberg.de/volltextserver/33259/</w:t>
        </w:r>
      </w:hyperlink>
      <w:r w:rsidR="00565B80">
        <w:rPr>
          <w:rFonts w:ascii="Times New Roman" w:eastAsia="Times New Roman" w:hAnsi="Times New Roman" w:cs="Times New Roman"/>
          <w:sz w:val="24"/>
          <w:szCs w:val="24"/>
          <w:lang w:val="en-GB"/>
        </w:rPr>
        <w:t xml:space="preserve"> .</w:t>
      </w:r>
    </w:p>
    <w:p w14:paraId="5D36C2C3" w14:textId="6F073CA4"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Beard, J.R., Officer, A., de Carvalho, I.A., Sadana, R., Pot, A.M., Michel, J.-P., Lloyd-Sherlock, P., Epping-Jordan, J.E., Peeters, G.M.E.E.G., Mahanani, W.R., Thiyagarajan, J.A. and Chatterji, S. (2016). The World report on ageing and health: a policy framework for healthy ageing. </w:t>
      </w:r>
      <w:r w:rsidRPr="001C23BF">
        <w:rPr>
          <w:rFonts w:ascii="Times New Roman" w:eastAsia="Times New Roman" w:hAnsi="Times New Roman" w:cs="Times New Roman"/>
          <w:i/>
          <w:sz w:val="24"/>
          <w:szCs w:val="24"/>
          <w:lang w:val="en-GB"/>
        </w:rPr>
        <w:t>Lancet (London, England)</w:t>
      </w:r>
      <w:r w:rsidRPr="001C23BF">
        <w:rPr>
          <w:rFonts w:ascii="Times New Roman" w:eastAsia="Times New Roman" w:hAnsi="Times New Roman" w:cs="Times New Roman"/>
          <w:sz w:val="24"/>
          <w:szCs w:val="24"/>
          <w:lang w:val="en-GB"/>
        </w:rPr>
        <w:t>, [online] 387(10033), pp.2145–2154. doi:</w:t>
      </w:r>
      <w:r w:rsidR="00565B80">
        <w:rPr>
          <w:rFonts w:ascii="Times New Roman" w:eastAsia="Times New Roman" w:hAnsi="Times New Roman" w:cs="Times New Roman"/>
          <w:sz w:val="24"/>
          <w:szCs w:val="24"/>
          <w:lang w:val="en-GB"/>
        </w:rPr>
        <w:t xml:space="preserve"> </w:t>
      </w:r>
      <w:hyperlink r:id="rId11" w:history="1">
        <w:r w:rsidR="00565B80" w:rsidRPr="00510F52">
          <w:rPr>
            <w:rStyle w:val="Hyperlink"/>
            <w:rFonts w:ascii="Times New Roman" w:eastAsia="Times New Roman" w:hAnsi="Times New Roman" w:cs="Times New Roman"/>
            <w:sz w:val="24"/>
            <w:szCs w:val="24"/>
            <w:lang w:val="en-GB"/>
          </w:rPr>
          <w:t>https://doi.org/10.1016/S0140-6736(15)00516-4</w:t>
        </w:r>
      </w:hyperlink>
      <w:r w:rsidR="00565B80">
        <w:rPr>
          <w:rFonts w:ascii="Times New Roman" w:eastAsia="Times New Roman" w:hAnsi="Times New Roman" w:cs="Times New Roman"/>
          <w:sz w:val="24"/>
          <w:szCs w:val="24"/>
          <w:lang w:val="en-GB"/>
        </w:rPr>
        <w:t xml:space="preserve"> . </w:t>
      </w:r>
    </w:p>
    <w:p w14:paraId="18DA9A52" w14:textId="73101419"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Buffel, T. and Phillipson, C. (2024). </w:t>
      </w:r>
      <w:r w:rsidRPr="001C23BF">
        <w:rPr>
          <w:rFonts w:ascii="Times New Roman" w:eastAsia="Times New Roman" w:hAnsi="Times New Roman" w:cs="Times New Roman"/>
          <w:i/>
          <w:sz w:val="24"/>
          <w:szCs w:val="24"/>
          <w:lang w:val="en-GB"/>
        </w:rPr>
        <w:t>Ageing in Place in Urban Environments: Critical Perspectives</w:t>
      </w:r>
      <w:r w:rsidRPr="001C23BF">
        <w:rPr>
          <w:rFonts w:ascii="Times New Roman" w:eastAsia="Times New Roman" w:hAnsi="Times New Roman" w:cs="Times New Roman"/>
          <w:sz w:val="24"/>
          <w:szCs w:val="24"/>
          <w:lang w:val="en-GB"/>
        </w:rPr>
        <w:t xml:space="preserve">. [online] </w:t>
      </w:r>
      <w:r w:rsidRPr="001C23BF">
        <w:rPr>
          <w:rFonts w:ascii="Times New Roman" w:eastAsia="Times New Roman" w:hAnsi="Times New Roman" w:cs="Times New Roman"/>
          <w:i/>
          <w:sz w:val="24"/>
          <w:szCs w:val="24"/>
          <w:lang w:val="en-GB"/>
        </w:rPr>
        <w:t>library.oapen.org</w:t>
      </w:r>
      <w:r w:rsidRPr="001C23BF">
        <w:rPr>
          <w:rFonts w:ascii="Times New Roman" w:eastAsia="Times New Roman" w:hAnsi="Times New Roman" w:cs="Times New Roman"/>
          <w:sz w:val="24"/>
          <w:szCs w:val="24"/>
          <w:lang w:val="en-GB"/>
        </w:rPr>
        <w:t xml:space="preserve">. Taylor &amp; Francis. Available at: </w:t>
      </w:r>
      <w:hyperlink r:id="rId12" w:history="1">
        <w:r w:rsidR="00565B80" w:rsidRPr="00510F52">
          <w:rPr>
            <w:rStyle w:val="Hyperlink"/>
            <w:rFonts w:ascii="Times New Roman" w:eastAsia="Times New Roman" w:hAnsi="Times New Roman" w:cs="Times New Roman"/>
            <w:sz w:val="24"/>
            <w:szCs w:val="24"/>
            <w:lang w:val="en-GB"/>
          </w:rPr>
          <w:t>https://library.oapen.org/handle/20.500.12657/63851</w:t>
        </w:r>
      </w:hyperlink>
      <w:r w:rsidR="00565B80">
        <w:rPr>
          <w:rFonts w:ascii="Times New Roman" w:eastAsia="Times New Roman" w:hAnsi="Times New Roman" w:cs="Times New Roman"/>
          <w:sz w:val="24"/>
          <w:szCs w:val="24"/>
          <w:lang w:val="en-GB"/>
        </w:rPr>
        <w:t xml:space="preserve"> .</w:t>
      </w:r>
    </w:p>
    <w:p w14:paraId="155EE959" w14:textId="2A050EF3"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Davodi, S.R., Zendehtalab, H., Zare, M. and Hamidreza Behnam Vashani (2023). Effect of Health Promotion Interventions in Active Aging in the Elderly: A Randomized Controlled Trial. 11(1), pp.34–43. doi:</w:t>
      </w:r>
      <w:r w:rsidR="00565B80">
        <w:rPr>
          <w:rFonts w:ascii="Times New Roman" w:eastAsia="Times New Roman" w:hAnsi="Times New Roman" w:cs="Times New Roman"/>
          <w:sz w:val="24"/>
          <w:szCs w:val="24"/>
          <w:lang w:val="en-GB"/>
        </w:rPr>
        <w:t xml:space="preserve"> </w:t>
      </w:r>
      <w:hyperlink r:id="rId13" w:history="1">
        <w:r w:rsidR="00565B80" w:rsidRPr="00510F52">
          <w:rPr>
            <w:rStyle w:val="Hyperlink"/>
            <w:rFonts w:ascii="Times New Roman" w:eastAsia="Times New Roman" w:hAnsi="Times New Roman" w:cs="Times New Roman"/>
            <w:sz w:val="24"/>
            <w:szCs w:val="24"/>
            <w:lang w:val="en-GB"/>
          </w:rPr>
          <w:t>https://doi.org/10.30476/ijcbnm.2022.96246.2117</w:t>
        </w:r>
      </w:hyperlink>
      <w:r w:rsidR="00565B80">
        <w:rPr>
          <w:rFonts w:ascii="Times New Roman" w:eastAsia="Times New Roman" w:hAnsi="Times New Roman" w:cs="Times New Roman"/>
          <w:sz w:val="24"/>
          <w:szCs w:val="24"/>
          <w:lang w:val="en-GB"/>
        </w:rPr>
        <w:t xml:space="preserve"> .</w:t>
      </w:r>
    </w:p>
    <w:p w14:paraId="752ABF97" w14:textId="5D04C3D9"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Ghenţa, M., Matei, A., Mladen-Macovei, L. and Stănescu, S. (2022). Quality of Life of Older Persons: The Role and Challenges of Social Services Providers. </w:t>
      </w:r>
      <w:r w:rsidRPr="001C23BF">
        <w:rPr>
          <w:rFonts w:ascii="Times New Roman" w:eastAsia="Times New Roman" w:hAnsi="Times New Roman" w:cs="Times New Roman"/>
          <w:i/>
          <w:sz w:val="24"/>
          <w:szCs w:val="24"/>
          <w:lang w:val="en-GB"/>
        </w:rPr>
        <w:t>International journal of environmental research and public health</w:t>
      </w:r>
      <w:r w:rsidRPr="001C23BF">
        <w:rPr>
          <w:rFonts w:ascii="Times New Roman" w:eastAsia="Times New Roman" w:hAnsi="Times New Roman" w:cs="Times New Roman"/>
          <w:sz w:val="24"/>
          <w:szCs w:val="24"/>
          <w:lang w:val="en-GB"/>
        </w:rPr>
        <w:t>, [online] 19(14). doi:</w:t>
      </w:r>
      <w:r w:rsidR="00565B80">
        <w:rPr>
          <w:rFonts w:ascii="Times New Roman" w:eastAsia="Times New Roman" w:hAnsi="Times New Roman" w:cs="Times New Roman"/>
          <w:sz w:val="24"/>
          <w:szCs w:val="24"/>
          <w:lang w:val="en-GB"/>
        </w:rPr>
        <w:t xml:space="preserve"> </w:t>
      </w:r>
      <w:hyperlink r:id="rId14" w:history="1">
        <w:r w:rsidR="00565B80" w:rsidRPr="00510F52">
          <w:rPr>
            <w:rStyle w:val="Hyperlink"/>
            <w:rFonts w:ascii="Times New Roman" w:eastAsia="Times New Roman" w:hAnsi="Times New Roman" w:cs="Times New Roman"/>
            <w:sz w:val="24"/>
            <w:szCs w:val="24"/>
            <w:lang w:val="en-GB"/>
          </w:rPr>
          <w:t>https://doi.org/10.3390/ijerph19148573</w:t>
        </w:r>
      </w:hyperlink>
      <w:r w:rsidR="00565B80">
        <w:rPr>
          <w:rFonts w:ascii="Times New Roman" w:eastAsia="Times New Roman" w:hAnsi="Times New Roman" w:cs="Times New Roman"/>
          <w:sz w:val="24"/>
          <w:szCs w:val="24"/>
          <w:lang w:val="en-GB"/>
        </w:rPr>
        <w:t xml:space="preserve"> .</w:t>
      </w:r>
    </w:p>
    <w:p w14:paraId="0404EFE8" w14:textId="5CA3A238"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Hill-Briggs, F., Adler, N.E., Berkowitz, S.A., Chin, M.H., Gary-Webb, T.L., Navas-Acien, A., Thornton, P.L. and Haire-Joshu, D. (2020). Social determinants of health and diabetes: A scientific review. </w:t>
      </w:r>
      <w:r w:rsidRPr="001C23BF">
        <w:rPr>
          <w:rFonts w:ascii="Times New Roman" w:eastAsia="Times New Roman" w:hAnsi="Times New Roman" w:cs="Times New Roman"/>
          <w:i/>
          <w:sz w:val="24"/>
          <w:szCs w:val="24"/>
          <w:lang w:val="en-GB"/>
        </w:rPr>
        <w:t>Diabetes Care</w:t>
      </w:r>
      <w:r w:rsidRPr="001C23BF">
        <w:rPr>
          <w:rFonts w:ascii="Times New Roman" w:eastAsia="Times New Roman" w:hAnsi="Times New Roman" w:cs="Times New Roman"/>
          <w:sz w:val="24"/>
          <w:szCs w:val="24"/>
          <w:lang w:val="en-GB"/>
        </w:rPr>
        <w:t>, 44(1), pp.258–279. doi:</w:t>
      </w:r>
      <w:r w:rsidR="00565B80">
        <w:rPr>
          <w:rFonts w:ascii="Times New Roman" w:eastAsia="Times New Roman" w:hAnsi="Times New Roman" w:cs="Times New Roman"/>
          <w:sz w:val="24"/>
          <w:szCs w:val="24"/>
          <w:lang w:val="en-GB"/>
        </w:rPr>
        <w:t xml:space="preserve"> </w:t>
      </w:r>
      <w:hyperlink r:id="rId15" w:history="1">
        <w:r w:rsidR="00565B80" w:rsidRPr="00510F52">
          <w:rPr>
            <w:rStyle w:val="Hyperlink"/>
            <w:rFonts w:ascii="Times New Roman" w:eastAsia="Times New Roman" w:hAnsi="Times New Roman" w:cs="Times New Roman"/>
            <w:sz w:val="24"/>
            <w:szCs w:val="24"/>
            <w:lang w:val="en-GB"/>
          </w:rPr>
          <w:t>https://doi.org/10.2337/dci20-0053</w:t>
        </w:r>
      </w:hyperlink>
      <w:r w:rsidR="00565B80">
        <w:rPr>
          <w:rFonts w:ascii="Times New Roman" w:eastAsia="Times New Roman" w:hAnsi="Times New Roman" w:cs="Times New Roman"/>
          <w:sz w:val="24"/>
          <w:szCs w:val="24"/>
          <w:lang w:val="en-GB"/>
        </w:rPr>
        <w:t xml:space="preserve">. </w:t>
      </w:r>
    </w:p>
    <w:p w14:paraId="4C74480F" w14:textId="34806CA4"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Jun, H. (2020). Social security and retirement in fast-aging middle-income countries: Evidence from Korea. </w:t>
      </w:r>
      <w:r w:rsidRPr="001C23BF">
        <w:rPr>
          <w:rFonts w:ascii="Times New Roman" w:eastAsia="Times New Roman" w:hAnsi="Times New Roman" w:cs="Times New Roman"/>
          <w:i/>
          <w:sz w:val="24"/>
          <w:szCs w:val="24"/>
          <w:lang w:val="en-GB"/>
        </w:rPr>
        <w:t>The Journal of the Economics of Ageing</w:t>
      </w:r>
      <w:r w:rsidRPr="001C23BF">
        <w:rPr>
          <w:rFonts w:ascii="Times New Roman" w:eastAsia="Times New Roman" w:hAnsi="Times New Roman" w:cs="Times New Roman"/>
          <w:sz w:val="24"/>
          <w:szCs w:val="24"/>
          <w:lang w:val="en-GB"/>
        </w:rPr>
        <w:t>, 17, p.100284. doi:</w:t>
      </w:r>
      <w:r w:rsidR="00565B80">
        <w:rPr>
          <w:rFonts w:ascii="Times New Roman" w:eastAsia="Times New Roman" w:hAnsi="Times New Roman" w:cs="Times New Roman"/>
          <w:sz w:val="24"/>
          <w:szCs w:val="24"/>
          <w:lang w:val="en-GB"/>
        </w:rPr>
        <w:t xml:space="preserve"> </w:t>
      </w:r>
      <w:hyperlink r:id="rId16" w:history="1">
        <w:r w:rsidR="00565B80" w:rsidRPr="00510F52">
          <w:rPr>
            <w:rStyle w:val="Hyperlink"/>
            <w:rFonts w:ascii="Times New Roman" w:eastAsia="Times New Roman" w:hAnsi="Times New Roman" w:cs="Times New Roman"/>
            <w:sz w:val="24"/>
            <w:szCs w:val="24"/>
            <w:lang w:val="en-GB"/>
          </w:rPr>
          <w:t>https://doi.org/10.1016/j.jeoa.2020.100284</w:t>
        </w:r>
      </w:hyperlink>
      <w:r w:rsidR="00565B80">
        <w:rPr>
          <w:rFonts w:ascii="Times New Roman" w:eastAsia="Times New Roman" w:hAnsi="Times New Roman" w:cs="Times New Roman"/>
          <w:sz w:val="24"/>
          <w:szCs w:val="24"/>
          <w:lang w:val="en-GB"/>
        </w:rPr>
        <w:t xml:space="preserve"> .</w:t>
      </w:r>
    </w:p>
    <w:p w14:paraId="23FD4ACE" w14:textId="7A7CBEE6"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Officer, A. and de la Fuente-Núñez, V. (2018). A global campaign to combat ageism. </w:t>
      </w:r>
      <w:r w:rsidRPr="001C23BF">
        <w:rPr>
          <w:rFonts w:ascii="Times New Roman" w:eastAsia="Times New Roman" w:hAnsi="Times New Roman" w:cs="Times New Roman"/>
          <w:i/>
          <w:sz w:val="24"/>
          <w:szCs w:val="24"/>
          <w:lang w:val="en-GB"/>
        </w:rPr>
        <w:t>Bulletin of the World Health Organization</w:t>
      </w:r>
      <w:r w:rsidRPr="001C23BF">
        <w:rPr>
          <w:rFonts w:ascii="Times New Roman" w:eastAsia="Times New Roman" w:hAnsi="Times New Roman" w:cs="Times New Roman"/>
          <w:sz w:val="24"/>
          <w:szCs w:val="24"/>
          <w:lang w:val="en-GB"/>
        </w:rPr>
        <w:t>, 96(4), pp.295–296. doi:</w:t>
      </w:r>
      <w:r w:rsidR="00565B80">
        <w:rPr>
          <w:rFonts w:ascii="Times New Roman" w:eastAsia="Times New Roman" w:hAnsi="Times New Roman" w:cs="Times New Roman"/>
          <w:sz w:val="24"/>
          <w:szCs w:val="24"/>
          <w:lang w:val="en-GB"/>
        </w:rPr>
        <w:t xml:space="preserve"> </w:t>
      </w:r>
      <w:hyperlink r:id="rId17" w:history="1">
        <w:r w:rsidR="00565B80" w:rsidRPr="00510F52">
          <w:rPr>
            <w:rStyle w:val="Hyperlink"/>
            <w:rFonts w:ascii="Times New Roman" w:eastAsia="Times New Roman" w:hAnsi="Times New Roman" w:cs="Times New Roman"/>
            <w:sz w:val="24"/>
            <w:szCs w:val="24"/>
            <w:lang w:val="en-GB"/>
          </w:rPr>
          <w:t>https://doi.org/10.2471/blt.17.202424</w:t>
        </w:r>
      </w:hyperlink>
      <w:r w:rsidR="00565B80">
        <w:rPr>
          <w:rFonts w:ascii="Times New Roman" w:eastAsia="Times New Roman" w:hAnsi="Times New Roman" w:cs="Times New Roman"/>
          <w:sz w:val="24"/>
          <w:szCs w:val="24"/>
          <w:lang w:val="en-GB"/>
        </w:rPr>
        <w:t xml:space="preserve"> .</w:t>
      </w:r>
    </w:p>
    <w:p w14:paraId="472B9521" w14:textId="221DA895"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lastRenderedPageBreak/>
        <w:t>Ragini, M., Manjit, K. and Salwan (2022). DISENGAGEMENT THEORY. [online] doi:</w:t>
      </w:r>
      <w:r w:rsidR="00565B80">
        <w:rPr>
          <w:rFonts w:ascii="Times New Roman" w:eastAsia="Times New Roman" w:hAnsi="Times New Roman" w:cs="Times New Roman"/>
          <w:sz w:val="24"/>
          <w:szCs w:val="24"/>
          <w:lang w:val="en-GB"/>
        </w:rPr>
        <w:t xml:space="preserve"> </w:t>
      </w:r>
      <w:hyperlink r:id="rId18" w:history="1">
        <w:r w:rsidR="00565B80" w:rsidRPr="00510F52">
          <w:rPr>
            <w:rStyle w:val="Hyperlink"/>
            <w:rFonts w:ascii="Times New Roman" w:eastAsia="Times New Roman" w:hAnsi="Times New Roman" w:cs="Times New Roman"/>
            <w:sz w:val="24"/>
            <w:szCs w:val="24"/>
            <w:lang w:val="en-GB"/>
          </w:rPr>
          <w:t>https://doi.org/10.47211/trr.2022.v08i01.021</w:t>
        </w:r>
      </w:hyperlink>
      <w:r w:rsidR="00565B80">
        <w:rPr>
          <w:rFonts w:ascii="Times New Roman" w:eastAsia="Times New Roman" w:hAnsi="Times New Roman" w:cs="Times New Roman"/>
          <w:sz w:val="24"/>
          <w:szCs w:val="24"/>
          <w:lang w:val="en-GB"/>
        </w:rPr>
        <w:t xml:space="preserve"> . </w:t>
      </w:r>
    </w:p>
    <w:p w14:paraId="6E04FA16" w14:textId="329D6623"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Ravensbergen, L., Van Liefferinge, M., Isabella, J., Merrina, Z. and El-Geneidy, A. (2022). Accessibility by public transport for older adults: A systematic review. </w:t>
      </w:r>
      <w:r w:rsidRPr="001C23BF">
        <w:rPr>
          <w:rFonts w:ascii="Times New Roman" w:eastAsia="Times New Roman" w:hAnsi="Times New Roman" w:cs="Times New Roman"/>
          <w:i/>
          <w:sz w:val="24"/>
          <w:szCs w:val="24"/>
          <w:lang w:val="en-GB"/>
        </w:rPr>
        <w:t>Journal of Transport Geography</w:t>
      </w:r>
      <w:r w:rsidRPr="001C23BF">
        <w:rPr>
          <w:rFonts w:ascii="Times New Roman" w:eastAsia="Times New Roman" w:hAnsi="Times New Roman" w:cs="Times New Roman"/>
          <w:sz w:val="24"/>
          <w:szCs w:val="24"/>
          <w:lang w:val="en-GB"/>
        </w:rPr>
        <w:t>, [online] 103, p.103408. doi:</w:t>
      </w:r>
      <w:r w:rsidR="00565B80">
        <w:rPr>
          <w:rFonts w:ascii="Times New Roman" w:eastAsia="Times New Roman" w:hAnsi="Times New Roman" w:cs="Times New Roman"/>
          <w:sz w:val="24"/>
          <w:szCs w:val="24"/>
          <w:lang w:val="en-GB"/>
        </w:rPr>
        <w:t xml:space="preserve"> </w:t>
      </w:r>
      <w:hyperlink r:id="rId19" w:history="1">
        <w:r w:rsidR="00565B80" w:rsidRPr="00510F52">
          <w:rPr>
            <w:rStyle w:val="Hyperlink"/>
            <w:rFonts w:ascii="Times New Roman" w:eastAsia="Times New Roman" w:hAnsi="Times New Roman" w:cs="Times New Roman"/>
            <w:sz w:val="24"/>
            <w:szCs w:val="24"/>
            <w:lang w:val="en-GB"/>
          </w:rPr>
          <w:t>https://doi.org/10.1016/j.jtrangeo.2022.103408</w:t>
        </w:r>
      </w:hyperlink>
      <w:r w:rsidR="00565B80">
        <w:rPr>
          <w:rFonts w:ascii="Times New Roman" w:eastAsia="Times New Roman" w:hAnsi="Times New Roman" w:cs="Times New Roman"/>
          <w:sz w:val="24"/>
          <w:szCs w:val="24"/>
          <w:lang w:val="en-GB"/>
        </w:rPr>
        <w:t xml:space="preserve"> . </w:t>
      </w:r>
    </w:p>
    <w:p w14:paraId="4FFB1BCC" w14:textId="0A685162"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Reynolds, C.F., Jeste, D.V., Sachdev, P.S. and Blazer, D.G. (2022). Mental health care for older adults: recent advances and new directions in clinical practice and research. </w:t>
      </w:r>
      <w:r w:rsidRPr="001C23BF">
        <w:rPr>
          <w:rFonts w:ascii="Times New Roman" w:eastAsia="Times New Roman" w:hAnsi="Times New Roman" w:cs="Times New Roman"/>
          <w:i/>
          <w:sz w:val="24"/>
          <w:szCs w:val="24"/>
          <w:lang w:val="en-GB"/>
        </w:rPr>
        <w:t>World Psychiatry</w:t>
      </w:r>
      <w:r w:rsidRPr="001C23BF">
        <w:rPr>
          <w:rFonts w:ascii="Times New Roman" w:eastAsia="Times New Roman" w:hAnsi="Times New Roman" w:cs="Times New Roman"/>
          <w:sz w:val="24"/>
          <w:szCs w:val="24"/>
          <w:lang w:val="en-GB"/>
        </w:rPr>
        <w:t>, 21(3), pp.336–363. doi:</w:t>
      </w:r>
      <w:r w:rsidR="00565B80">
        <w:rPr>
          <w:rFonts w:ascii="Times New Roman" w:eastAsia="Times New Roman" w:hAnsi="Times New Roman" w:cs="Times New Roman"/>
          <w:sz w:val="24"/>
          <w:szCs w:val="24"/>
          <w:lang w:val="en-GB"/>
        </w:rPr>
        <w:t xml:space="preserve"> </w:t>
      </w:r>
      <w:hyperlink r:id="rId20" w:history="1">
        <w:r w:rsidR="00565B80" w:rsidRPr="00510F52">
          <w:rPr>
            <w:rStyle w:val="Hyperlink"/>
            <w:rFonts w:ascii="Times New Roman" w:eastAsia="Times New Roman" w:hAnsi="Times New Roman" w:cs="Times New Roman"/>
            <w:sz w:val="24"/>
            <w:szCs w:val="24"/>
            <w:lang w:val="en-GB"/>
          </w:rPr>
          <w:t>https://doi.org/10.1002/wps.20996</w:t>
        </w:r>
      </w:hyperlink>
      <w:r w:rsidR="00565B80">
        <w:rPr>
          <w:rFonts w:ascii="Times New Roman" w:eastAsia="Times New Roman" w:hAnsi="Times New Roman" w:cs="Times New Roman"/>
          <w:sz w:val="24"/>
          <w:szCs w:val="24"/>
          <w:lang w:val="en-GB"/>
        </w:rPr>
        <w:t xml:space="preserve"> .</w:t>
      </w:r>
    </w:p>
    <w:p w14:paraId="6F663A0C" w14:textId="428F65F0"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Tirmazee-Kaleem, A. (2024). </w:t>
      </w:r>
      <w:r w:rsidRPr="001C23BF">
        <w:rPr>
          <w:rFonts w:ascii="Times New Roman" w:eastAsia="Times New Roman" w:hAnsi="Times New Roman" w:cs="Times New Roman"/>
          <w:i/>
          <w:sz w:val="24"/>
          <w:szCs w:val="24"/>
          <w:lang w:val="en-GB"/>
        </w:rPr>
        <w:t>The Activity Theory of Ageing and Modern Practice</w:t>
      </w:r>
      <w:r w:rsidRPr="001C23BF">
        <w:rPr>
          <w:rFonts w:ascii="Times New Roman" w:eastAsia="Times New Roman" w:hAnsi="Times New Roman" w:cs="Times New Roman"/>
          <w:sz w:val="24"/>
          <w:szCs w:val="24"/>
          <w:lang w:val="en-GB"/>
        </w:rPr>
        <w:t xml:space="preserve">. [online] Napa-activities.co.uk. Available at: </w:t>
      </w:r>
      <w:hyperlink r:id="rId21" w:history="1">
        <w:r w:rsidR="00565B80" w:rsidRPr="00510F52">
          <w:rPr>
            <w:rStyle w:val="Hyperlink"/>
            <w:rFonts w:ascii="Times New Roman" w:eastAsia="Times New Roman" w:hAnsi="Times New Roman" w:cs="Times New Roman"/>
            <w:sz w:val="24"/>
            <w:szCs w:val="24"/>
            <w:lang w:val="en-GB"/>
          </w:rPr>
          <w:t>https://napa-activities.co.uk/activity-theory-of-ageing-and-modern-practice</w:t>
        </w:r>
      </w:hyperlink>
      <w:r w:rsidR="00565B80">
        <w:rPr>
          <w:rFonts w:ascii="Times New Roman" w:eastAsia="Times New Roman" w:hAnsi="Times New Roman" w:cs="Times New Roman"/>
          <w:sz w:val="24"/>
          <w:szCs w:val="24"/>
          <w:lang w:val="en-GB"/>
        </w:rPr>
        <w:t xml:space="preserve"> .</w:t>
      </w:r>
    </w:p>
    <w:p w14:paraId="3FCDCF80" w14:textId="1952B114"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UNECE (2021). </w:t>
      </w:r>
      <w:r w:rsidRPr="001C23BF">
        <w:rPr>
          <w:rFonts w:ascii="Times New Roman" w:eastAsia="Times New Roman" w:hAnsi="Times New Roman" w:cs="Times New Roman"/>
          <w:i/>
          <w:sz w:val="24"/>
          <w:szCs w:val="24"/>
          <w:lang w:val="en-GB"/>
        </w:rPr>
        <w:t>Meaningful participation of older persons and civil society in policymaking DESIGNING A STAKEHOLDER ENGAGEMENT AND PARTICIPATION PROCESS Guidance note</w:t>
      </w:r>
      <w:r w:rsidRPr="001C23BF">
        <w:rPr>
          <w:rFonts w:ascii="Times New Roman" w:eastAsia="Times New Roman" w:hAnsi="Times New Roman" w:cs="Times New Roman"/>
          <w:sz w:val="24"/>
          <w:szCs w:val="24"/>
          <w:lang w:val="en-GB"/>
        </w:rPr>
        <w:t xml:space="preserve">. [online] </w:t>
      </w:r>
      <w:r w:rsidRPr="001C23BF">
        <w:rPr>
          <w:rFonts w:ascii="Times New Roman" w:eastAsia="Times New Roman" w:hAnsi="Times New Roman" w:cs="Times New Roman"/>
          <w:i/>
          <w:sz w:val="24"/>
          <w:szCs w:val="24"/>
          <w:lang w:val="en-GB"/>
        </w:rPr>
        <w:t>UNECE</w:t>
      </w:r>
      <w:r w:rsidRPr="001C23BF">
        <w:rPr>
          <w:rFonts w:ascii="Times New Roman" w:eastAsia="Times New Roman" w:hAnsi="Times New Roman" w:cs="Times New Roman"/>
          <w:sz w:val="24"/>
          <w:szCs w:val="24"/>
          <w:lang w:val="en-GB"/>
        </w:rPr>
        <w:t xml:space="preserve">. Available at: </w:t>
      </w:r>
      <w:hyperlink r:id="rId22" w:history="1">
        <w:r w:rsidR="00565B80" w:rsidRPr="00510F52">
          <w:rPr>
            <w:rStyle w:val="Hyperlink"/>
            <w:rFonts w:ascii="Times New Roman" w:eastAsia="Times New Roman" w:hAnsi="Times New Roman" w:cs="Times New Roman"/>
            <w:sz w:val="24"/>
            <w:szCs w:val="24"/>
            <w:lang w:val="en-GB"/>
          </w:rPr>
          <w:t>https://unece.org/sites/default/files/2021-09/UNECE%20meaningful%20participation%20guidance%20note.pdf</w:t>
        </w:r>
      </w:hyperlink>
      <w:r w:rsidR="00565B80">
        <w:rPr>
          <w:rFonts w:ascii="Times New Roman" w:eastAsia="Times New Roman" w:hAnsi="Times New Roman" w:cs="Times New Roman"/>
          <w:sz w:val="24"/>
          <w:szCs w:val="24"/>
          <w:lang w:val="en-GB"/>
        </w:rPr>
        <w:t xml:space="preserve">  .</w:t>
      </w:r>
    </w:p>
    <w:p w14:paraId="559E4621" w14:textId="64A7E0EB"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van Iersel, M., Latour, C.H.M., de Vos, R., Kirschner, P.A. and Scholte op Reimer, W.J.M. (2016). Nursing students’ perceptions of community care and other areas of nursing practice – A review of the literature. </w:t>
      </w:r>
      <w:r w:rsidRPr="001C23BF">
        <w:rPr>
          <w:rFonts w:ascii="Times New Roman" w:eastAsia="Times New Roman" w:hAnsi="Times New Roman" w:cs="Times New Roman"/>
          <w:i/>
          <w:sz w:val="24"/>
          <w:szCs w:val="24"/>
          <w:lang w:val="en-GB"/>
        </w:rPr>
        <w:t>International Journal of Nursing Studies</w:t>
      </w:r>
      <w:r w:rsidRPr="001C23BF">
        <w:rPr>
          <w:rFonts w:ascii="Times New Roman" w:eastAsia="Times New Roman" w:hAnsi="Times New Roman" w:cs="Times New Roman"/>
          <w:sz w:val="24"/>
          <w:szCs w:val="24"/>
          <w:lang w:val="en-GB"/>
        </w:rPr>
        <w:t>, 61, pp.1–19. doi:</w:t>
      </w:r>
      <w:r w:rsidR="00565B80">
        <w:rPr>
          <w:rFonts w:ascii="Times New Roman" w:eastAsia="Times New Roman" w:hAnsi="Times New Roman" w:cs="Times New Roman"/>
          <w:sz w:val="24"/>
          <w:szCs w:val="24"/>
          <w:lang w:val="en-GB"/>
        </w:rPr>
        <w:t xml:space="preserve"> </w:t>
      </w:r>
      <w:hyperlink r:id="rId23" w:history="1">
        <w:r w:rsidR="00565B80" w:rsidRPr="00510F52">
          <w:rPr>
            <w:rStyle w:val="Hyperlink"/>
            <w:rFonts w:ascii="Times New Roman" w:eastAsia="Times New Roman" w:hAnsi="Times New Roman" w:cs="Times New Roman"/>
            <w:sz w:val="24"/>
            <w:szCs w:val="24"/>
            <w:lang w:val="en-GB"/>
          </w:rPr>
          <w:t>https://doi.org/10.1016/j.ijnurstu.2016.05.011</w:t>
        </w:r>
      </w:hyperlink>
      <w:r w:rsidR="00565B80">
        <w:rPr>
          <w:rFonts w:ascii="Times New Roman" w:eastAsia="Times New Roman" w:hAnsi="Times New Roman" w:cs="Times New Roman"/>
          <w:sz w:val="24"/>
          <w:szCs w:val="24"/>
          <w:lang w:val="en-GB"/>
        </w:rPr>
        <w:t xml:space="preserve"> </w:t>
      </w:r>
      <w:r w:rsidRPr="001C23BF">
        <w:rPr>
          <w:rFonts w:ascii="Times New Roman" w:eastAsia="Times New Roman" w:hAnsi="Times New Roman" w:cs="Times New Roman"/>
          <w:sz w:val="24"/>
          <w:szCs w:val="24"/>
          <w:lang w:val="en-GB"/>
        </w:rPr>
        <w:t>.</w:t>
      </w:r>
    </w:p>
    <w:p w14:paraId="33F537A8" w14:textId="37CE5205"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Weir, K. (2023). </w:t>
      </w:r>
      <w:r w:rsidRPr="001C23BF">
        <w:rPr>
          <w:rFonts w:ascii="Times New Roman" w:eastAsia="Times New Roman" w:hAnsi="Times New Roman" w:cs="Times New Roman"/>
          <w:i/>
          <w:sz w:val="24"/>
          <w:szCs w:val="24"/>
          <w:lang w:val="en-GB"/>
        </w:rPr>
        <w:t>Ageism Is One of the Last Socially Acceptable prejudices. Psychologists Are Working to Change That</w:t>
      </w:r>
      <w:r w:rsidRPr="001C23BF">
        <w:rPr>
          <w:rFonts w:ascii="Times New Roman" w:eastAsia="Times New Roman" w:hAnsi="Times New Roman" w:cs="Times New Roman"/>
          <w:sz w:val="24"/>
          <w:szCs w:val="24"/>
          <w:lang w:val="en-GB"/>
        </w:rPr>
        <w:t xml:space="preserve">. [online] American Psychological Association. Available at: </w:t>
      </w:r>
      <w:hyperlink r:id="rId24" w:history="1">
        <w:r w:rsidR="00565B80" w:rsidRPr="00510F52">
          <w:rPr>
            <w:rStyle w:val="Hyperlink"/>
            <w:rFonts w:ascii="Times New Roman" w:eastAsia="Times New Roman" w:hAnsi="Times New Roman" w:cs="Times New Roman"/>
            <w:sz w:val="24"/>
            <w:szCs w:val="24"/>
            <w:lang w:val="en-GB"/>
          </w:rPr>
          <w:t>https://www.apa.org/monitor/2023/03/cover-new-concept-of-aging</w:t>
        </w:r>
      </w:hyperlink>
      <w:r w:rsidR="00565B80">
        <w:rPr>
          <w:rFonts w:ascii="Times New Roman" w:eastAsia="Times New Roman" w:hAnsi="Times New Roman" w:cs="Times New Roman"/>
          <w:sz w:val="24"/>
          <w:szCs w:val="24"/>
          <w:lang w:val="en-GB"/>
        </w:rPr>
        <w:t xml:space="preserve"> .</w:t>
      </w:r>
    </w:p>
    <w:p w14:paraId="7842797F" w14:textId="073E386D"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World Health Organization (2024). </w:t>
      </w:r>
      <w:r w:rsidRPr="001C23BF">
        <w:rPr>
          <w:rFonts w:ascii="Times New Roman" w:eastAsia="Times New Roman" w:hAnsi="Times New Roman" w:cs="Times New Roman"/>
          <w:i/>
          <w:sz w:val="24"/>
          <w:szCs w:val="24"/>
          <w:lang w:val="en-GB"/>
        </w:rPr>
        <w:t>Ageing and Health</w:t>
      </w:r>
      <w:r w:rsidRPr="001C23BF">
        <w:rPr>
          <w:rFonts w:ascii="Times New Roman" w:eastAsia="Times New Roman" w:hAnsi="Times New Roman" w:cs="Times New Roman"/>
          <w:sz w:val="24"/>
          <w:szCs w:val="24"/>
          <w:lang w:val="en-GB"/>
        </w:rPr>
        <w:t xml:space="preserve">. [online] World Health Organization. Available at: </w:t>
      </w:r>
      <w:hyperlink r:id="rId25" w:history="1">
        <w:r w:rsidR="00565B80" w:rsidRPr="00510F52">
          <w:rPr>
            <w:rStyle w:val="Hyperlink"/>
            <w:rFonts w:ascii="Times New Roman" w:eastAsia="Times New Roman" w:hAnsi="Times New Roman" w:cs="Times New Roman"/>
            <w:sz w:val="24"/>
            <w:szCs w:val="24"/>
            <w:lang w:val="en-GB"/>
          </w:rPr>
          <w:t>https://www.who.int/news-room/fact-sheets/detail/ageing-and-health</w:t>
        </w:r>
      </w:hyperlink>
      <w:r w:rsidR="00565B80">
        <w:rPr>
          <w:rFonts w:ascii="Times New Roman" w:eastAsia="Times New Roman" w:hAnsi="Times New Roman" w:cs="Times New Roman"/>
          <w:sz w:val="24"/>
          <w:szCs w:val="24"/>
          <w:lang w:val="en-GB"/>
        </w:rPr>
        <w:t xml:space="preserve"> .</w:t>
      </w:r>
    </w:p>
    <w:p w14:paraId="293BE6DD" w14:textId="34857FB5" w:rsidR="00DB7852" w:rsidRPr="001C23BF" w:rsidRDefault="00DD3224" w:rsidP="00565B80">
      <w:pPr>
        <w:spacing w:after="240" w:line="360" w:lineRule="auto"/>
        <w:rPr>
          <w:rFonts w:ascii="Times New Roman" w:eastAsia="Times New Roman" w:hAnsi="Times New Roman" w:cs="Times New Roman"/>
          <w:sz w:val="24"/>
          <w:szCs w:val="24"/>
          <w:lang w:val="en-GB"/>
        </w:rPr>
      </w:pPr>
      <w:r w:rsidRPr="001C23BF">
        <w:rPr>
          <w:rFonts w:ascii="Times New Roman" w:eastAsia="Times New Roman" w:hAnsi="Times New Roman" w:cs="Times New Roman"/>
          <w:sz w:val="24"/>
          <w:szCs w:val="24"/>
          <w:lang w:val="en-GB"/>
        </w:rPr>
        <w:t xml:space="preserve">Zhang, X. and Lin, H. (2019). Disengagement Theory. </w:t>
      </w:r>
      <w:r w:rsidRPr="001C23BF">
        <w:rPr>
          <w:rFonts w:ascii="Times New Roman" w:eastAsia="Times New Roman" w:hAnsi="Times New Roman" w:cs="Times New Roman"/>
          <w:i/>
          <w:sz w:val="24"/>
          <w:szCs w:val="24"/>
          <w:lang w:val="en-GB"/>
        </w:rPr>
        <w:t>Encyclopedia of Gerontology and Population Aging</w:t>
      </w:r>
      <w:r w:rsidRPr="001C23BF">
        <w:rPr>
          <w:rFonts w:ascii="Times New Roman" w:eastAsia="Times New Roman" w:hAnsi="Times New Roman" w:cs="Times New Roman"/>
          <w:sz w:val="24"/>
          <w:szCs w:val="24"/>
          <w:lang w:val="en-GB"/>
        </w:rPr>
        <w:t>, [online] pp.1–6. doi:</w:t>
      </w:r>
      <w:r w:rsidR="00565B80">
        <w:rPr>
          <w:rFonts w:ascii="Times New Roman" w:eastAsia="Times New Roman" w:hAnsi="Times New Roman" w:cs="Times New Roman"/>
          <w:sz w:val="24"/>
          <w:szCs w:val="24"/>
          <w:lang w:val="en-GB"/>
        </w:rPr>
        <w:t xml:space="preserve"> </w:t>
      </w:r>
      <w:hyperlink r:id="rId26" w:history="1">
        <w:r w:rsidR="00565B80" w:rsidRPr="00510F52">
          <w:rPr>
            <w:rStyle w:val="Hyperlink"/>
            <w:rFonts w:ascii="Times New Roman" w:eastAsia="Times New Roman" w:hAnsi="Times New Roman" w:cs="Times New Roman"/>
            <w:sz w:val="24"/>
            <w:szCs w:val="24"/>
            <w:lang w:val="en-GB"/>
          </w:rPr>
          <w:t>https://doi.org/10.1007/978-3-319-69892-2_645-11</w:t>
        </w:r>
      </w:hyperlink>
      <w:r w:rsidR="00565B80">
        <w:rPr>
          <w:rFonts w:ascii="Times New Roman" w:eastAsia="Times New Roman" w:hAnsi="Times New Roman" w:cs="Times New Roman"/>
          <w:sz w:val="24"/>
          <w:szCs w:val="24"/>
          <w:lang w:val="en-GB"/>
        </w:rPr>
        <w:t xml:space="preserve"> .</w:t>
      </w:r>
      <w:r w:rsidRPr="001C23BF">
        <w:rPr>
          <w:lang w:val="en-GB"/>
        </w:rPr>
        <w:br w:type="page"/>
      </w:r>
    </w:p>
    <w:p w14:paraId="7A146B26" w14:textId="77777777" w:rsidR="00DB7852" w:rsidRPr="001C23BF" w:rsidRDefault="00DD3224" w:rsidP="001C23BF">
      <w:pPr>
        <w:pStyle w:val="Titlu1"/>
        <w:rPr>
          <w:lang w:val="en-GB"/>
        </w:rPr>
      </w:pPr>
      <w:bookmarkStart w:id="11" w:name="_Toc182921516"/>
      <w:r w:rsidRPr="001C23BF">
        <w:rPr>
          <w:lang w:val="en-GB"/>
        </w:rPr>
        <w:lastRenderedPageBreak/>
        <w:t>Appendices</w:t>
      </w:r>
      <w:bookmarkEnd w:id="11"/>
    </w:p>
    <w:p w14:paraId="7C5F79DA" w14:textId="77777777" w:rsidR="00DB7852" w:rsidRPr="001C23BF" w:rsidRDefault="00DD3224" w:rsidP="001C23BF">
      <w:pPr>
        <w:pStyle w:val="Titlu2"/>
        <w:rPr>
          <w:lang w:val="en-GB"/>
        </w:rPr>
      </w:pPr>
      <w:bookmarkStart w:id="12" w:name="_Toc182921517"/>
      <w:r w:rsidRPr="001C23BF">
        <w:rPr>
          <w:lang w:val="en-GB"/>
        </w:rPr>
        <w:t>Appendix 1: Ageing Population in the World</w:t>
      </w:r>
      <w:bookmarkEnd w:id="12"/>
    </w:p>
    <w:p w14:paraId="75D29382" w14:textId="77777777" w:rsidR="00DB7852" w:rsidRPr="001C23BF" w:rsidRDefault="00DD3224">
      <w:pPr>
        <w:spacing w:before="200" w:line="360" w:lineRule="auto"/>
        <w:jc w:val="both"/>
        <w:rPr>
          <w:rFonts w:ascii="Times New Roman" w:eastAsia="Times New Roman" w:hAnsi="Times New Roman" w:cs="Times New Roman"/>
          <w:b/>
          <w:sz w:val="24"/>
          <w:szCs w:val="24"/>
          <w:lang w:val="en-GB"/>
        </w:rPr>
      </w:pPr>
      <w:r w:rsidRPr="001C23BF">
        <w:rPr>
          <w:rFonts w:ascii="Times New Roman" w:eastAsia="Times New Roman" w:hAnsi="Times New Roman" w:cs="Times New Roman"/>
          <w:b/>
          <w:noProof/>
          <w:sz w:val="24"/>
          <w:szCs w:val="24"/>
          <w:lang w:val="en-GB"/>
        </w:rPr>
        <w:drawing>
          <wp:inline distT="114300" distB="114300" distL="114300" distR="114300" wp14:anchorId="665865B2" wp14:editId="6842448A">
            <wp:extent cx="5731200" cy="35179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7"/>
                    <a:srcRect/>
                    <a:stretch>
                      <a:fillRect/>
                    </a:stretch>
                  </pic:blipFill>
                  <pic:spPr>
                    <a:xfrm>
                      <a:off x="0" y="0"/>
                      <a:ext cx="5731200" cy="3517900"/>
                    </a:xfrm>
                    <a:prstGeom prst="rect">
                      <a:avLst/>
                    </a:prstGeom>
                    <a:ln/>
                  </pic:spPr>
                </pic:pic>
              </a:graphicData>
            </a:graphic>
          </wp:inline>
        </w:drawing>
      </w:r>
    </w:p>
    <w:p w14:paraId="2A71D10C" w14:textId="77777777" w:rsidR="001C23BF" w:rsidRPr="001C23BF" w:rsidRDefault="001C23BF">
      <w:pPr>
        <w:spacing w:before="200" w:line="360" w:lineRule="auto"/>
        <w:jc w:val="both"/>
        <w:rPr>
          <w:rFonts w:ascii="Times New Roman" w:eastAsia="Times New Roman" w:hAnsi="Times New Roman" w:cs="Times New Roman"/>
          <w:b/>
          <w:sz w:val="24"/>
          <w:szCs w:val="24"/>
          <w:lang w:val="en-GB"/>
        </w:rPr>
      </w:pPr>
    </w:p>
    <w:sectPr w:rsidR="001C23BF" w:rsidRPr="001C23BF" w:rsidSect="00A40D96">
      <w:footerReference w:type="default" r:id="rId2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0FB280" w14:textId="77777777" w:rsidR="00DD3224" w:rsidRDefault="00DD3224" w:rsidP="00A40D96">
      <w:pPr>
        <w:spacing w:line="240" w:lineRule="auto"/>
      </w:pPr>
      <w:r>
        <w:separator/>
      </w:r>
    </w:p>
  </w:endnote>
  <w:endnote w:type="continuationSeparator" w:id="0">
    <w:p w14:paraId="65C3641D" w14:textId="77777777" w:rsidR="00DD3224" w:rsidRDefault="00DD3224" w:rsidP="00A40D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57490868"/>
      <w:docPartObj>
        <w:docPartGallery w:val="Page Numbers (Bottom of Page)"/>
        <w:docPartUnique/>
      </w:docPartObj>
    </w:sdtPr>
    <w:sdtEndPr>
      <w:rPr>
        <w:rFonts w:ascii="Times New Roman" w:hAnsi="Times New Roman" w:cs="Times New Roman"/>
        <w:noProof/>
        <w:sz w:val="20"/>
      </w:rPr>
    </w:sdtEndPr>
    <w:sdtContent>
      <w:p w14:paraId="41238120" w14:textId="77777777" w:rsidR="00A40D96" w:rsidRPr="00A40D96" w:rsidRDefault="00A40D96">
        <w:pPr>
          <w:pStyle w:val="Subsol"/>
          <w:jc w:val="right"/>
          <w:rPr>
            <w:rFonts w:ascii="Times New Roman" w:hAnsi="Times New Roman" w:cs="Times New Roman"/>
            <w:sz w:val="20"/>
          </w:rPr>
        </w:pPr>
        <w:r w:rsidRPr="00A40D96">
          <w:rPr>
            <w:rFonts w:ascii="Times New Roman" w:hAnsi="Times New Roman" w:cs="Times New Roman"/>
            <w:sz w:val="20"/>
          </w:rPr>
          <w:fldChar w:fldCharType="begin"/>
        </w:r>
        <w:r w:rsidRPr="00A40D96">
          <w:rPr>
            <w:rFonts w:ascii="Times New Roman" w:hAnsi="Times New Roman" w:cs="Times New Roman"/>
            <w:sz w:val="20"/>
          </w:rPr>
          <w:instrText xml:space="preserve"> PAGE   \* MERGEFORMAT </w:instrText>
        </w:r>
        <w:r w:rsidRPr="00A40D96">
          <w:rPr>
            <w:rFonts w:ascii="Times New Roman" w:hAnsi="Times New Roman" w:cs="Times New Roman"/>
            <w:sz w:val="20"/>
          </w:rPr>
          <w:fldChar w:fldCharType="separate"/>
        </w:r>
        <w:r w:rsidR="00ED1655">
          <w:rPr>
            <w:rFonts w:ascii="Times New Roman" w:hAnsi="Times New Roman" w:cs="Times New Roman"/>
            <w:noProof/>
            <w:sz w:val="20"/>
          </w:rPr>
          <w:t>13</w:t>
        </w:r>
        <w:r w:rsidRPr="00A40D96">
          <w:rPr>
            <w:rFonts w:ascii="Times New Roman" w:hAnsi="Times New Roman" w:cs="Times New Roman"/>
            <w:noProof/>
            <w:sz w:val="20"/>
          </w:rPr>
          <w:fldChar w:fldCharType="end"/>
        </w:r>
      </w:p>
    </w:sdtContent>
  </w:sdt>
  <w:p w14:paraId="0A1D7B0D" w14:textId="77777777" w:rsidR="00A40D96" w:rsidRDefault="00A40D96">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E75722" w14:textId="77777777" w:rsidR="00DD3224" w:rsidRDefault="00DD3224" w:rsidP="00A40D96">
      <w:pPr>
        <w:spacing w:line="240" w:lineRule="auto"/>
      </w:pPr>
      <w:r>
        <w:separator/>
      </w:r>
    </w:p>
  </w:footnote>
  <w:footnote w:type="continuationSeparator" w:id="0">
    <w:p w14:paraId="2CAAE85F" w14:textId="77777777" w:rsidR="00DD3224" w:rsidRDefault="00DD3224" w:rsidP="00A40D9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8C7CEF"/>
    <w:multiLevelType w:val="multilevel"/>
    <w:tmpl w:val="6D5AA4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00496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852"/>
    <w:rsid w:val="00140288"/>
    <w:rsid w:val="001C23BF"/>
    <w:rsid w:val="00241409"/>
    <w:rsid w:val="0026107C"/>
    <w:rsid w:val="005201E2"/>
    <w:rsid w:val="00565B80"/>
    <w:rsid w:val="006B559D"/>
    <w:rsid w:val="00870C26"/>
    <w:rsid w:val="00A40D96"/>
    <w:rsid w:val="00CB1127"/>
    <w:rsid w:val="00CB3AFA"/>
    <w:rsid w:val="00CE7D76"/>
    <w:rsid w:val="00DB7852"/>
    <w:rsid w:val="00DD3224"/>
    <w:rsid w:val="00E863E0"/>
    <w:rsid w:val="00ED16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66951"/>
  <w15:docId w15:val="{83352E1F-432F-438F-AE3B-259886073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1C23BF"/>
    <w:pPr>
      <w:keepNext/>
      <w:keepLines/>
      <w:spacing w:before="400" w:after="120" w:line="360" w:lineRule="auto"/>
      <w:jc w:val="both"/>
      <w:outlineLvl w:val="0"/>
    </w:pPr>
    <w:rPr>
      <w:rFonts w:ascii="Times New Roman" w:hAnsi="Times New Roman"/>
      <w:b/>
      <w:sz w:val="28"/>
      <w:szCs w:val="40"/>
    </w:rPr>
  </w:style>
  <w:style w:type="paragraph" w:styleId="Titlu2">
    <w:name w:val="heading 2"/>
    <w:basedOn w:val="Normal"/>
    <w:next w:val="Normal"/>
    <w:rsid w:val="001C23BF"/>
    <w:pPr>
      <w:keepNext/>
      <w:keepLines/>
      <w:spacing w:before="360" w:after="120" w:line="360" w:lineRule="auto"/>
      <w:jc w:val="both"/>
      <w:outlineLvl w:val="1"/>
    </w:pPr>
    <w:rPr>
      <w:rFonts w:ascii="Times New Roman" w:hAnsi="Times New Roman"/>
      <w:b/>
      <w:sz w:val="26"/>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paragraph" w:styleId="Antet">
    <w:name w:val="header"/>
    <w:basedOn w:val="Normal"/>
    <w:link w:val="AntetCaracter"/>
    <w:uiPriority w:val="99"/>
    <w:unhideWhenUsed/>
    <w:rsid w:val="00A40D96"/>
    <w:pPr>
      <w:tabs>
        <w:tab w:val="center" w:pos="4680"/>
        <w:tab w:val="right" w:pos="9360"/>
      </w:tabs>
      <w:spacing w:line="240" w:lineRule="auto"/>
    </w:pPr>
  </w:style>
  <w:style w:type="character" w:customStyle="1" w:styleId="AntetCaracter">
    <w:name w:val="Antet Caracter"/>
    <w:basedOn w:val="Fontdeparagrafimplicit"/>
    <w:link w:val="Antet"/>
    <w:uiPriority w:val="99"/>
    <w:rsid w:val="00A40D96"/>
  </w:style>
  <w:style w:type="paragraph" w:styleId="Subsol">
    <w:name w:val="footer"/>
    <w:basedOn w:val="Normal"/>
    <w:link w:val="SubsolCaracter"/>
    <w:uiPriority w:val="99"/>
    <w:unhideWhenUsed/>
    <w:rsid w:val="00A40D96"/>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40D96"/>
  </w:style>
  <w:style w:type="paragraph" w:styleId="Titlucuprins">
    <w:name w:val="TOC Heading"/>
    <w:basedOn w:val="Titlu1"/>
    <w:next w:val="Normal"/>
    <w:uiPriority w:val="39"/>
    <w:unhideWhenUsed/>
    <w:qFormat/>
    <w:rsid w:val="00A40D9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Cuprins1">
    <w:name w:val="toc 1"/>
    <w:basedOn w:val="Normal"/>
    <w:next w:val="Normal"/>
    <w:autoRedefine/>
    <w:uiPriority w:val="39"/>
    <w:unhideWhenUsed/>
    <w:rsid w:val="00A40D96"/>
    <w:pPr>
      <w:spacing w:after="100"/>
    </w:pPr>
  </w:style>
  <w:style w:type="paragraph" w:styleId="Cuprins2">
    <w:name w:val="toc 2"/>
    <w:basedOn w:val="Normal"/>
    <w:next w:val="Normal"/>
    <w:autoRedefine/>
    <w:uiPriority w:val="39"/>
    <w:unhideWhenUsed/>
    <w:rsid w:val="00A40D96"/>
    <w:pPr>
      <w:spacing w:after="100"/>
      <w:ind w:left="220"/>
    </w:pPr>
  </w:style>
  <w:style w:type="character" w:styleId="Hyperlink">
    <w:name w:val="Hyperlink"/>
    <w:basedOn w:val="Fontdeparagrafimplicit"/>
    <w:uiPriority w:val="99"/>
    <w:unhideWhenUsed/>
    <w:rsid w:val="00A40D96"/>
    <w:rPr>
      <w:color w:val="0000FF" w:themeColor="hyperlink"/>
      <w:u w:val="single"/>
    </w:rPr>
  </w:style>
  <w:style w:type="character" w:styleId="MeniuneNerezolvat">
    <w:name w:val="Unresolved Mention"/>
    <w:basedOn w:val="Fontdeparagrafimplicit"/>
    <w:uiPriority w:val="99"/>
    <w:semiHidden/>
    <w:unhideWhenUsed/>
    <w:rsid w:val="00565B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0476/ijcbnm.2022.96246.2117" TargetMode="External"/><Relationship Id="rId18" Type="http://schemas.openxmlformats.org/officeDocument/2006/relationships/hyperlink" Target="https://doi.org/10.47211/trr.2022.v08i01.021" TargetMode="External"/><Relationship Id="rId26" Type="http://schemas.openxmlformats.org/officeDocument/2006/relationships/hyperlink" Target="https://doi.org/10.1007/978-3-319-69892-2_645-11" TargetMode="External"/><Relationship Id="rId3" Type="http://schemas.openxmlformats.org/officeDocument/2006/relationships/styles" Target="styles.xml"/><Relationship Id="rId21" Type="http://schemas.openxmlformats.org/officeDocument/2006/relationships/hyperlink" Target="https://napa-activities.co.uk/activity-theory-of-ageing-and-modern-practice" TargetMode="External"/><Relationship Id="rId7" Type="http://schemas.openxmlformats.org/officeDocument/2006/relationships/endnotes" Target="endnotes.xml"/><Relationship Id="rId12" Type="http://schemas.openxmlformats.org/officeDocument/2006/relationships/hyperlink" Target="https://library.oapen.org/handle/20.500.12657/63851" TargetMode="External"/><Relationship Id="rId17" Type="http://schemas.openxmlformats.org/officeDocument/2006/relationships/hyperlink" Target="https://doi.org/10.2471/blt.17.202424" TargetMode="External"/><Relationship Id="rId25" Type="http://schemas.openxmlformats.org/officeDocument/2006/relationships/hyperlink" Target="https://www.who.int/news-room/fact-sheets/detail/ageing-and-health" TargetMode="External"/><Relationship Id="rId2" Type="http://schemas.openxmlformats.org/officeDocument/2006/relationships/numbering" Target="numbering.xml"/><Relationship Id="rId16" Type="http://schemas.openxmlformats.org/officeDocument/2006/relationships/hyperlink" Target="https://doi.org/10.1016/j.jeoa.2020.100284" TargetMode="External"/><Relationship Id="rId20" Type="http://schemas.openxmlformats.org/officeDocument/2006/relationships/hyperlink" Target="https://doi.org/10.1002/wps.20996"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0140-6736(15)00516-4" TargetMode="External"/><Relationship Id="rId24" Type="http://schemas.openxmlformats.org/officeDocument/2006/relationships/hyperlink" Target="https://www.apa.org/monitor/2023/03/cover-new-concept-of-aging" TargetMode="External"/><Relationship Id="rId5" Type="http://schemas.openxmlformats.org/officeDocument/2006/relationships/webSettings" Target="webSettings.xml"/><Relationship Id="rId15" Type="http://schemas.openxmlformats.org/officeDocument/2006/relationships/hyperlink" Target="https://doi.org/10.2337/dci20-0053" TargetMode="External"/><Relationship Id="rId23" Type="http://schemas.openxmlformats.org/officeDocument/2006/relationships/hyperlink" Target="https://doi.org/10.1016/j.ijnurstu.2016.05.011" TargetMode="External"/><Relationship Id="rId28" Type="http://schemas.openxmlformats.org/officeDocument/2006/relationships/footer" Target="footer1.xml"/><Relationship Id="rId10" Type="http://schemas.openxmlformats.org/officeDocument/2006/relationships/hyperlink" Target="https://archiv.ub.uni-heidelberg.de/volltextserver/33259/" TargetMode="External"/><Relationship Id="rId19" Type="http://schemas.openxmlformats.org/officeDocument/2006/relationships/hyperlink" Target="https://doi.org/10.1016/j.jtrangeo.2022.10340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ijerph19148573" TargetMode="External"/><Relationship Id="rId22" Type="http://schemas.openxmlformats.org/officeDocument/2006/relationships/hyperlink" Target="https://unece.org/sites/default/files/2021-09/UNECE%20meaningful%20participation%20guidance%20note.pdf" TargetMode="External"/><Relationship Id="rId27" Type="http://schemas.openxmlformats.org/officeDocument/2006/relationships/image" Target="media/image3.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805629-B88B-42C6-8BEA-2DBB8C027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3092</Words>
  <Characters>17626</Characters>
  <Application>Microsoft Office Word</Application>
  <DocSecurity>0</DocSecurity>
  <Lines>146</Lines>
  <Paragraphs>41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20677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dc:creator>
  <cp:lastModifiedBy>Christine Roman</cp:lastModifiedBy>
  <cp:revision>2</cp:revision>
  <dcterms:created xsi:type="dcterms:W3CDTF">2024-12-05T19:00:00Z</dcterms:created>
  <dcterms:modified xsi:type="dcterms:W3CDTF">2024-12-05T19:00:00Z</dcterms:modified>
</cp:coreProperties>
</file>