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keepNext w:val="0"/>
        <w:keepLines w:val="0"/>
        <w:widowControl w:val="0"/>
        <w:pBdr>
          <w:top w:color="auto" w:space="5" w:sz="0" w:val="none"/>
          <w:bottom w:color="auto" w:space="5" w:sz="0" w:val="none"/>
          <w:between w:color="auto" w:space="5" w:sz="0" w:val="none"/>
        </w:pBdr>
        <w:spacing w:after="240" w:before="240" w:line="360" w:lineRule="auto"/>
        <w:rPr>
          <w:color w:val="cc0000"/>
          <w:sz w:val="24"/>
          <w:szCs w:val="24"/>
        </w:rPr>
      </w:pPr>
      <w:r w:rsidDel="00000000" w:rsidR="00000000" w:rsidRPr="00000000">
        <w:rPr>
          <w:sz w:val="24"/>
          <w:szCs w:val="24"/>
          <w:rtl w:val="0"/>
        </w:rPr>
        <w:t xml:space="preserve">This essay will discuss the prevalence of Cardiovascular disease (CVD) in England and Wales, the social and geographical distribution, the main causes and risk factors of the disease and how it relates to physical activity. CVD has a number of disorders such as diseases to the cardiac muscle and the vascular system which supplies the heart , brain and other important organs (gaziano, 2006). CVD is known to be one of the leading causes of premature death (Bmj, 2008).  As an estimate 17.9 million people died from CVD in 2019 which represents 32% of all global deaths. With WHO </w:t>
      </w:r>
      <w:r w:rsidDel="00000000" w:rsidR="00000000" w:rsidRPr="00000000">
        <w:rPr>
          <w:sz w:val="24"/>
          <w:szCs w:val="24"/>
          <w:rtl w:val="0"/>
        </w:rPr>
        <w:t xml:space="preserve">stating</w:t>
      </w:r>
      <w:r w:rsidDel="00000000" w:rsidR="00000000" w:rsidRPr="00000000">
        <w:rPr>
          <w:sz w:val="24"/>
          <w:szCs w:val="24"/>
          <w:rtl w:val="0"/>
        </w:rPr>
        <w:t xml:space="preserve"> over three quarters of CVD deaths take place in low-middle income countries and in 2019, 38% out of 17 million premature deaths due to noncommunicable disease were caused by CVD. It is important to discover CVD as early as possible in order to have access to medicines and appropriate measures as soon as possible to be able to aid the deduction of risk (WHO, 2022). 6.8 million people are living with CVD. This is a major issue for health and social care as it places an economic burden on the NHS with CVD healthcare costs estimated at £7.4 billion alone in England per year and an estimated £15.8 billion to the wider economy annually (Waterall, J. 2019)</w:t>
      </w:r>
      <w:r w:rsidDel="00000000" w:rsidR="00000000" w:rsidRPr="00000000">
        <w:rPr>
          <w:color w:val="cc0000"/>
          <w:sz w:val="24"/>
          <w:szCs w:val="24"/>
          <w:rtl w:val="0"/>
        </w:rPr>
        <w:t xml:space="preserve"> </w:t>
      </w:r>
    </w:p>
    <w:p w:rsidR="00000000" w:rsidDel="00000000" w:rsidP="00000000" w:rsidRDefault="00000000" w:rsidRPr="00000000" w14:paraId="00000002">
      <w:pPr>
        <w:keepNext w:val="0"/>
        <w:keepLines w:val="0"/>
        <w:widowControl w:val="0"/>
        <w:pBdr>
          <w:top w:color="auto" w:space="5" w:sz="0" w:val="none"/>
          <w:bottom w:color="auto" w:space="5" w:sz="0" w:val="none"/>
          <w:between w:color="auto" w:space="5" w:sz="0" w:val="none"/>
        </w:pBdr>
        <w:spacing w:after="240" w:before="240" w:line="360" w:lineRule="auto"/>
        <w:rPr>
          <w:sz w:val="24"/>
          <w:szCs w:val="24"/>
        </w:rPr>
      </w:pPr>
      <w:r w:rsidDel="00000000" w:rsidR="00000000" w:rsidRPr="00000000">
        <w:rPr>
          <w:sz w:val="24"/>
          <w:szCs w:val="24"/>
          <w:rtl w:val="0"/>
        </w:rPr>
        <w:t xml:space="preserve">CVD is a radical abnormality of the heart and blood vessels which include; coronary heart disease, cerebrovascular disease, peripheral arterial disease,  rheumatic heart disease, congenital heart disease, deep vein thrombosis and pulmonary embolism (WHO, 2022). CVD continues to be a major cause of untimely mortality and rising health care costs worldwide (Gregory, 2020). People living in low-middle income countries do not have the benefit of primary health care programmes to be able to detect the risk factors of CVD, this accounts for at least three-quarters of the worlds deaths, people in these low income countries who suffer with CVD and other noncommunicable diseases often detect this disease late thus leading to premature death often in their most productive years (WHO, 2022). Amongst women the age- standardised rates were highest in central asia, Oceania, North Africa and the Middle East and lowest in high- income Asia Pacific, Australasia, and Western Europe, amongst the men were highest in Central Asia, Eastern Europe and Oceania and lowest in high- income Asia Pacific Australasia, Western Europe and Andean Latin America. These regional and national differences in total CVD reflect the differences in prevalence of CVD risk factors due to the access to health care; the difference may be due to access to effective primary and secondary prevention strategies in low and middle income countries (Gregory,  2020). </w:t>
      </w:r>
    </w:p>
    <w:p w:rsidR="00000000" w:rsidDel="00000000" w:rsidP="00000000" w:rsidRDefault="00000000" w:rsidRPr="00000000" w14:paraId="00000003">
      <w:pPr>
        <w:keepNext w:val="0"/>
        <w:keepLines w:val="0"/>
        <w:widowControl w:val="0"/>
        <w:pBdr>
          <w:top w:color="auto" w:space="5" w:sz="0" w:val="none"/>
          <w:bottom w:color="auto" w:space="5" w:sz="0" w:val="none"/>
          <w:between w:color="auto" w:space="5" w:sz="0" w:val="none"/>
        </w:pBdr>
        <w:spacing w:after="240" w:before="240" w:line="360" w:lineRule="auto"/>
        <w:rPr>
          <w:sz w:val="24"/>
          <w:szCs w:val="24"/>
        </w:rPr>
      </w:pPr>
      <w:r w:rsidDel="00000000" w:rsidR="00000000" w:rsidRPr="00000000">
        <w:rPr>
          <w:sz w:val="24"/>
          <w:szCs w:val="24"/>
          <w:rtl w:val="0"/>
        </w:rPr>
        <w:t xml:space="preserve">In Wales Cardiovascular disease is a major cause of death and ill health, according to public health Wales data produced in 2009 the mortality rate was 77.3% out of 100,000 people under the age of 75, compared to 66.1% in England (PHW, 2020). Mortality rates from CVD had declined over previous years from 2005-2011 in Wales although in America, Heart News published a 2021 statistical update stating that globally nearly 18.6 million people died in 2019 which reflected a 17.1% increase over the past 10 years (Heart News, 2021). Heart disease is a leading cause of death in many countries however various studies have disclosed that areas such as Japan, Korea and France have the lowest heart related issues and it is said that it is down to the lifestyle they follow (TNN, 2019). An international comparison of recent mortality statistics among G7 countries was carried out and Japan had the longest average lifespan due to their mortality rates from Ischemic Heart Disease being outstandingly low these are thought to reflect the low prevalence of obesity in Japan stating low intake of red meat and high intakes of fish decreasing rates of blood pressure, a typical japanese diet is defined by plant food and fish </w:t>
      </w:r>
      <w:r w:rsidDel="00000000" w:rsidR="00000000" w:rsidRPr="00000000">
        <w:rPr>
          <w:sz w:val="24"/>
          <w:szCs w:val="24"/>
          <w:highlight w:val="white"/>
          <w:rtl w:val="0"/>
        </w:rPr>
        <w:t xml:space="preserve">the association with longevity in Japan may be due to a diet including meat, milk and dairy products (Tsugane, 2021). CVD affects individuals in  different ways and among different ethnic groups, the government has not set any specific targets to reduce ethnic inequalities in CVD in the UK, it has been recommended by the department for health that local authorities set their own targets according to local demography. Non-white ehtnic groups in the UK tend to be more deprived than the white population but is unclear to the extent of ethnic inequalities in CVD are due to the socioeconomies inequalities. Group of ethnic mortality statistics are not available as death certificates only record the country of birth of the deceased (Scarborough, 2010). </w:t>
      </w:r>
      <w:r w:rsidDel="00000000" w:rsidR="00000000" w:rsidRPr="00000000">
        <w:rPr>
          <w:sz w:val="24"/>
          <w:szCs w:val="24"/>
          <w:rtl w:val="0"/>
        </w:rPr>
        <w:t xml:space="preserve">CVD is caused by certain risk factors which can either be controlled, modified or treated, these include cholesterol levels and blood pressure known as  modifiable risk factors however some risk factors which cannot be controlled are age and sex known as non-modifiable risk factors. Although CVD cannot be cured, the disease can be managed through lifestyle change and medication to prevent the disease from advancing. Some examples of improving lifestyle are eating a healthy diet, stopping smoking, limiting alcohol and stress (PHW, 2020). There are </w:t>
      </w:r>
      <w:r w:rsidDel="00000000" w:rsidR="00000000" w:rsidRPr="00000000">
        <w:rPr>
          <w:sz w:val="24"/>
          <w:szCs w:val="24"/>
          <w:rtl w:val="0"/>
        </w:rPr>
        <w:t xml:space="preserve">differencials</w:t>
      </w:r>
      <w:r w:rsidDel="00000000" w:rsidR="00000000" w:rsidRPr="00000000">
        <w:rPr>
          <w:sz w:val="24"/>
          <w:szCs w:val="24"/>
          <w:rtl w:val="0"/>
        </w:rPr>
        <w:t xml:space="preserve"> in these risk factors when comparing ethnicity, it is debated whether socioeconomic factors play a part. Evidence which was conducted by health survey for England in 2004 focus on minority ethnic groups, in 2004 a quarter of  both men and women (23-24%) revealed the consumption of smoking in england, the prevalence  of smoking ranged from 20% in indian men and 40% in bangladeshi men whereas the variation of smoking in women was very uncommon in the south asian ethnic group around 5% for indian-bangladeshi women which could be the reason for higher mortality rates in men from these countries defined by one risk factor,  another risk factor being  drinking, although drinking alcohol on a regular basis varies by ethnic group, abstention is more common in the Indian, black and Chinese ethnic groups than in the general population (Scarborough, 2010). </w:t>
      </w:r>
    </w:p>
    <w:p w:rsidR="00000000" w:rsidDel="00000000" w:rsidP="00000000" w:rsidRDefault="00000000" w:rsidRPr="00000000" w14:paraId="00000004">
      <w:pPr>
        <w:keepNext w:val="0"/>
        <w:keepLines w:val="0"/>
        <w:widowControl w:val="0"/>
        <w:pBdr>
          <w:top w:color="auto" w:space="5" w:sz="0" w:val="none"/>
          <w:bottom w:color="auto" w:space="5" w:sz="0" w:val="none"/>
          <w:between w:color="auto" w:space="5" w:sz="0" w:val="none"/>
        </w:pBdr>
        <w:spacing w:after="240" w:before="240" w:line="360" w:lineRule="auto"/>
        <w:rPr>
          <w:sz w:val="24"/>
          <w:szCs w:val="24"/>
        </w:rPr>
      </w:pPr>
      <w:r w:rsidDel="00000000" w:rsidR="00000000" w:rsidRPr="00000000">
        <w:rPr>
          <w:sz w:val="24"/>
          <w:szCs w:val="24"/>
          <w:rtl w:val="0"/>
        </w:rPr>
        <w:t xml:space="preserve"> In developed countries, deaths from CVD occur in people aged 65 years or older, coronary heart disease and stroke are two of the major causes of death amongst the elderly and middle aged people, physical activity is indirectly associated with coronary heart disease thus decreased physical activity may be associated with enhanced cardiovascular risk in the elderly, however limited data are available for risk of specific diseases such as CVDs in contrast to consistent reports associated between physical activity and all-cause mortality amongst elderly people (Fransje, 1998). This is also further supported by an article published in 2021 by the european heart journal which conducted a study on 104406 adults although it states physical activity effectiveness is dependant on the type of activity, higher leisure time activity is associated with reduced risk of all cause mortality whereas higher occupation physical activity has an increased risk independent on each other which supports the physical activity paradox. Leisure time physical activity has shown to cause improved cardiorespiratory and metabolic fitness and health although fatigue, insufficient recovery and elevated blood pressure has been seen when looking at the characteristics of occupational physical activity (Holterman, 2021). This has also been supported by kokkinos which stated “walking is man's best medicine” (kokkinos, 2012).</w:t>
      </w:r>
    </w:p>
    <w:p w:rsidR="00000000" w:rsidDel="00000000" w:rsidP="00000000" w:rsidRDefault="00000000" w:rsidRPr="00000000" w14:paraId="00000005">
      <w:pPr>
        <w:pBdr>
          <w:top w:color="auto" w:space="5" w:sz="0" w:val="none"/>
          <w:bottom w:color="auto" w:space="5" w:sz="0" w:val="none"/>
          <w:between w:color="auto" w:space="5" w:sz="0" w:val="none"/>
        </w:pBdr>
        <w:spacing w:after="240" w:before="240" w:line="360" w:lineRule="auto"/>
        <w:rPr>
          <w:sz w:val="24"/>
          <w:szCs w:val="24"/>
        </w:rPr>
      </w:pPr>
      <w:r w:rsidDel="00000000" w:rsidR="00000000" w:rsidRPr="00000000">
        <w:rPr>
          <w:sz w:val="24"/>
          <w:szCs w:val="24"/>
          <w:rtl w:val="0"/>
        </w:rPr>
        <w:t xml:space="preserve">I</w:t>
      </w:r>
      <w:r w:rsidDel="00000000" w:rsidR="00000000" w:rsidRPr="00000000">
        <w:rPr>
          <w:sz w:val="24"/>
          <w:szCs w:val="24"/>
          <w:rtl w:val="0"/>
        </w:rPr>
        <w:t xml:space="preserve">n conclusion the reduction of CVD</w:t>
      </w:r>
      <w:r w:rsidDel="00000000" w:rsidR="00000000" w:rsidRPr="00000000">
        <w:rPr>
          <w:sz w:val="24"/>
          <w:szCs w:val="24"/>
          <w:rtl w:val="0"/>
        </w:rPr>
        <w:t xml:space="preserve"> is dependent on the incorporation of CVD management intercession in the universal health board. However, health systems in a number of countries require funds and readjustment to efficiently manage CVD,</w:t>
      </w:r>
      <w:r w:rsidDel="00000000" w:rsidR="00000000" w:rsidRPr="00000000">
        <w:rPr>
          <w:sz w:val="24"/>
          <w:szCs w:val="24"/>
          <w:rtl w:val="0"/>
        </w:rPr>
        <w:t xml:space="preserve"> evidence from 18 countries suggest high blood pressure programmes can be enforced cost effectively at the primary care level which could ultimately lead to reduced cases in coronary heart disease and stroke. People who already suffer from cardiovascular disease should have the option to access appropriate medication and technology.  Medications such as aspirin, beta blockers and statins should be made available and a critical event such as a heart attack or a stroke should be managed promptly. On occasions surgical operations are required to treat CVD which include coronary artery bypass valve repair and replacement, heart transplant, also some medical devices are required to treat some CVDs such as pacemakers, prosthetic valves and patches for closing holes in the heart. WHO suggested a global action plan to prevent and control of Noncommunicable diseases which aims to reduce the number of premature deaths by 25% by 2025 through nine global targets, two targets focus directly on preventing and controlling CVDs it will require significant investment in and strengthening of all health systems to achieve these targets (WHO, 2022). </w:t>
      </w:r>
      <w:r w:rsidDel="00000000" w:rsidR="00000000" w:rsidRPr="00000000">
        <w:rPr>
          <w:rtl w:val="0"/>
        </w:rPr>
      </w:r>
    </w:p>
    <w:p w:rsidR="00000000" w:rsidDel="00000000" w:rsidP="00000000" w:rsidRDefault="00000000" w:rsidRPr="00000000" w14:paraId="00000006">
      <w:pPr>
        <w:pBdr>
          <w:top w:color="auto" w:space="8" w:sz="0" w:val="none"/>
          <w:bottom w:color="auto" w:space="8" w:sz="0" w:val="none"/>
          <w:right w:color="auto" w:space="0" w:sz="0" w:val="none"/>
          <w:between w:color="auto" w:space="8" w:sz="0" w:val="none"/>
        </w:pBdr>
        <w:spacing w:after="320" w:before="780" w:line="360" w:lineRule="auto"/>
        <w:ind w:left="0" w:right="-220" w:firstLine="0"/>
        <w:rPr>
          <w:sz w:val="24"/>
          <w:szCs w:val="24"/>
        </w:rPr>
      </w:pPr>
      <w:r w:rsidDel="00000000" w:rsidR="00000000" w:rsidRPr="00000000">
        <w:rPr>
          <w:sz w:val="24"/>
          <w:szCs w:val="24"/>
          <w:rtl w:val="0"/>
        </w:rPr>
        <w:t xml:space="preserve">Word count 1420 </w:t>
      </w:r>
    </w:p>
    <w:p w:rsidR="00000000" w:rsidDel="00000000" w:rsidP="00000000" w:rsidRDefault="00000000" w:rsidRPr="00000000" w14:paraId="00000007">
      <w:pPr>
        <w:pBdr>
          <w:top w:color="auto" w:space="5" w:sz="0" w:val="none"/>
          <w:bottom w:color="auto" w:space="5" w:sz="0" w:val="none"/>
          <w:between w:color="auto" w:space="5" w:sz="0" w:val="none"/>
        </w:pBdr>
        <w:spacing w:after="240" w:before="240" w:line="360" w:lineRule="auto"/>
        <w:rPr>
          <w:color w:val="0000ff"/>
          <w:sz w:val="24"/>
          <w:szCs w:val="24"/>
        </w:rPr>
      </w:pPr>
      <w:r w:rsidDel="00000000" w:rsidR="00000000" w:rsidRPr="00000000">
        <w:rPr>
          <w:rtl w:val="0"/>
        </w:rPr>
      </w:r>
    </w:p>
    <w:p w:rsidR="00000000" w:rsidDel="00000000" w:rsidP="00000000" w:rsidRDefault="00000000" w:rsidRPr="00000000" w14:paraId="00000008">
      <w:pPr>
        <w:pBdr>
          <w:top w:color="auto" w:space="5" w:sz="0" w:val="none"/>
          <w:bottom w:color="auto" w:space="5" w:sz="0" w:val="none"/>
          <w:between w:color="auto" w:space="5" w:sz="0" w:val="none"/>
        </w:pBdr>
        <w:spacing w:after="240" w:before="240" w:line="360" w:lineRule="auto"/>
        <w:rPr>
          <w:color w:val="0000ff"/>
          <w:sz w:val="24"/>
          <w:szCs w:val="24"/>
        </w:rPr>
      </w:pPr>
      <w:r w:rsidDel="00000000" w:rsidR="00000000" w:rsidRPr="00000000">
        <w:rPr>
          <w:rtl w:val="0"/>
        </w:rPr>
      </w:r>
    </w:p>
    <w:p w:rsidR="00000000" w:rsidDel="00000000" w:rsidP="00000000" w:rsidRDefault="00000000" w:rsidRPr="00000000" w14:paraId="00000009">
      <w:pPr>
        <w:pBdr>
          <w:top w:color="auto" w:space="5" w:sz="0" w:val="none"/>
          <w:bottom w:color="auto" w:space="5" w:sz="0" w:val="none"/>
          <w:between w:color="auto" w:space="5" w:sz="0" w:val="none"/>
        </w:pBdr>
        <w:spacing w:after="240" w:before="240" w:line="360" w:lineRule="auto"/>
        <w:rPr>
          <w:color w:val="0000ff"/>
          <w:sz w:val="24"/>
          <w:szCs w:val="24"/>
        </w:rPr>
      </w:pPr>
      <w:r w:rsidDel="00000000" w:rsidR="00000000" w:rsidRPr="00000000">
        <w:rPr>
          <w:rtl w:val="0"/>
        </w:rPr>
      </w:r>
    </w:p>
    <w:p w:rsidR="00000000" w:rsidDel="00000000" w:rsidP="00000000" w:rsidRDefault="00000000" w:rsidRPr="00000000" w14:paraId="0000000A">
      <w:pPr>
        <w:pBdr>
          <w:top w:color="auto" w:space="5" w:sz="0" w:val="none"/>
          <w:bottom w:color="auto" w:space="5" w:sz="0" w:val="none"/>
          <w:between w:color="auto" w:space="5" w:sz="0" w:val="none"/>
        </w:pBdr>
        <w:spacing w:after="240" w:before="240" w:line="360" w:lineRule="auto"/>
        <w:rPr>
          <w:color w:val="0000ff"/>
          <w:sz w:val="24"/>
          <w:szCs w:val="24"/>
        </w:rPr>
      </w:pPr>
      <w:r w:rsidDel="00000000" w:rsidR="00000000" w:rsidRPr="00000000">
        <w:rPr>
          <w:rtl w:val="0"/>
        </w:rPr>
      </w:r>
    </w:p>
    <w:p w:rsidR="00000000" w:rsidDel="00000000" w:rsidP="00000000" w:rsidRDefault="00000000" w:rsidRPr="00000000" w14:paraId="0000000B">
      <w:pPr>
        <w:pBdr>
          <w:top w:color="auto" w:space="5" w:sz="0" w:val="none"/>
          <w:bottom w:color="auto" w:space="5" w:sz="0" w:val="none"/>
          <w:between w:color="auto" w:space="5" w:sz="0" w:val="none"/>
        </w:pBdr>
        <w:spacing w:after="240" w:before="240" w:line="360" w:lineRule="auto"/>
        <w:rPr>
          <w:color w:val="0000ff"/>
          <w:sz w:val="24"/>
          <w:szCs w:val="24"/>
        </w:rPr>
      </w:pPr>
      <w:r w:rsidDel="00000000" w:rsidR="00000000" w:rsidRPr="00000000">
        <w:rPr>
          <w:rtl w:val="0"/>
        </w:rPr>
      </w:r>
    </w:p>
    <w:p w:rsidR="00000000" w:rsidDel="00000000" w:rsidP="00000000" w:rsidRDefault="00000000" w:rsidRPr="00000000" w14:paraId="0000000C">
      <w:pPr>
        <w:pBdr>
          <w:top w:color="auto" w:space="5" w:sz="0" w:val="none"/>
          <w:bottom w:color="auto" w:space="5" w:sz="0" w:val="none"/>
          <w:between w:color="auto" w:space="5" w:sz="0" w:val="none"/>
        </w:pBdr>
        <w:spacing w:after="240" w:before="240" w:line="360" w:lineRule="auto"/>
        <w:rPr>
          <w:color w:val="0000ff"/>
          <w:sz w:val="24"/>
          <w:szCs w:val="24"/>
        </w:rPr>
      </w:pPr>
      <w:r w:rsidDel="00000000" w:rsidR="00000000" w:rsidRPr="00000000">
        <w:rPr>
          <w:rtl w:val="0"/>
        </w:rPr>
      </w:r>
    </w:p>
    <w:p w:rsidR="00000000" w:rsidDel="00000000" w:rsidP="00000000" w:rsidRDefault="00000000" w:rsidRPr="00000000" w14:paraId="0000000D">
      <w:pPr>
        <w:pBdr>
          <w:top w:color="auto" w:space="5" w:sz="0" w:val="none"/>
          <w:bottom w:color="auto" w:space="5" w:sz="0" w:val="none"/>
          <w:between w:color="auto" w:space="5" w:sz="0" w:val="none"/>
        </w:pBdr>
        <w:spacing w:after="240" w:before="240" w:line="360" w:lineRule="auto"/>
        <w:rPr>
          <w:sz w:val="24"/>
          <w:szCs w:val="24"/>
        </w:rPr>
      </w:pPr>
      <w:r w:rsidDel="00000000" w:rsidR="00000000" w:rsidRPr="00000000">
        <w:rPr>
          <w:sz w:val="24"/>
          <w:szCs w:val="24"/>
          <w:rtl w:val="0"/>
        </w:rPr>
        <w:t xml:space="preserve">References:</w:t>
      </w:r>
    </w:p>
    <w:p w:rsidR="00000000" w:rsidDel="00000000" w:rsidP="00000000" w:rsidRDefault="00000000" w:rsidRPr="00000000" w14:paraId="0000000E">
      <w:pPr>
        <w:pBdr>
          <w:top w:color="auto" w:space="5" w:sz="0" w:val="none"/>
          <w:bottom w:color="auto" w:space="5" w:sz="0" w:val="none"/>
          <w:between w:color="auto" w:space="5" w:sz="0" w:val="none"/>
        </w:pBdr>
        <w:spacing w:line="360" w:lineRule="auto"/>
        <w:rPr>
          <w:sz w:val="24"/>
          <w:szCs w:val="24"/>
          <w:highlight w:val="white"/>
        </w:rPr>
      </w:pPr>
      <w:r w:rsidDel="00000000" w:rsidR="00000000" w:rsidRPr="00000000">
        <w:rPr>
          <w:sz w:val="24"/>
          <w:szCs w:val="24"/>
          <w:highlight w:val="white"/>
          <w:rtl w:val="0"/>
        </w:rPr>
        <w:t xml:space="preserve">BMJ. (2008) </w:t>
      </w:r>
      <w:r w:rsidDel="00000000" w:rsidR="00000000" w:rsidRPr="00000000">
        <w:rPr>
          <w:i w:val="1"/>
          <w:sz w:val="24"/>
          <w:szCs w:val="24"/>
          <w:highlight w:val="white"/>
          <w:rtl w:val="0"/>
        </w:rPr>
        <w:t xml:space="preserve">Predicting cardiovascular risk in England and Wales: prospective derivation and validation of QRISK2. Available at:</w:t>
      </w:r>
      <w:hyperlink r:id="rId6">
        <w:r w:rsidDel="00000000" w:rsidR="00000000" w:rsidRPr="00000000">
          <w:rPr>
            <w:sz w:val="24"/>
            <w:szCs w:val="24"/>
            <w:highlight w:val="white"/>
            <w:u w:val="single"/>
            <w:rtl w:val="0"/>
          </w:rPr>
          <w:t xml:space="preserve">https://www.bmj.com/content/336/7659/1475.short</w:t>
        </w:r>
      </w:hyperlink>
      <w:r w:rsidDel="00000000" w:rsidR="00000000" w:rsidRPr="00000000">
        <w:rPr>
          <w:sz w:val="24"/>
          <w:szCs w:val="24"/>
          <w:highlight w:val="white"/>
          <w:rtl w:val="0"/>
        </w:rPr>
        <w:t xml:space="preserve"> (Accessed on 8th March 2022).</w:t>
      </w:r>
    </w:p>
    <w:p w:rsidR="00000000" w:rsidDel="00000000" w:rsidP="00000000" w:rsidRDefault="00000000" w:rsidRPr="00000000" w14:paraId="0000000F">
      <w:pPr>
        <w:pBdr>
          <w:top w:color="auto" w:space="5" w:sz="0" w:val="none"/>
          <w:bottom w:color="auto" w:space="5" w:sz="0" w:val="none"/>
          <w:between w:color="auto" w:space="5" w:sz="0" w:val="none"/>
        </w:pBdr>
        <w:spacing w:line="360" w:lineRule="auto"/>
        <w:rPr>
          <w:sz w:val="24"/>
          <w:szCs w:val="24"/>
          <w:highlight w:val="white"/>
        </w:rPr>
      </w:pPr>
      <w:r w:rsidDel="00000000" w:rsidR="00000000" w:rsidRPr="00000000">
        <w:rPr>
          <w:sz w:val="24"/>
          <w:szCs w:val="24"/>
          <w:highlight w:val="white"/>
          <w:rtl w:val="0"/>
        </w:rPr>
        <w:t xml:space="preserve"> </w:t>
      </w:r>
    </w:p>
    <w:p w:rsidR="00000000" w:rsidDel="00000000" w:rsidP="00000000" w:rsidRDefault="00000000" w:rsidRPr="00000000" w14:paraId="00000010">
      <w:pPr>
        <w:pBdr>
          <w:top w:color="auto" w:space="5" w:sz="0" w:val="none"/>
          <w:bottom w:color="auto" w:space="5" w:sz="0" w:val="none"/>
          <w:between w:color="auto" w:space="5" w:sz="0" w:val="none"/>
        </w:pBdr>
        <w:shd w:fill="ffffff" w:val="clear"/>
        <w:spacing w:line="360" w:lineRule="auto"/>
        <w:rPr>
          <w:sz w:val="24"/>
          <w:szCs w:val="24"/>
        </w:rPr>
      </w:pPr>
      <w:hyperlink r:id="rId7">
        <w:r w:rsidDel="00000000" w:rsidR="00000000" w:rsidRPr="00000000">
          <w:rPr>
            <w:sz w:val="24"/>
            <w:szCs w:val="24"/>
            <w:u w:val="single"/>
            <w:rtl w:val="0"/>
          </w:rPr>
          <w:t xml:space="preserve">Fransje C.</w:t>
        </w:r>
      </w:hyperlink>
      <w:r w:rsidDel="00000000" w:rsidR="00000000" w:rsidRPr="00000000">
        <w:rPr>
          <w:sz w:val="24"/>
          <w:szCs w:val="24"/>
          <w:rtl w:val="0"/>
        </w:rPr>
        <w:t xml:space="preserve"> </w:t>
      </w:r>
      <w:hyperlink r:id="rId8">
        <w:r w:rsidDel="00000000" w:rsidR="00000000" w:rsidRPr="00000000">
          <w:rPr>
            <w:sz w:val="24"/>
            <w:szCs w:val="24"/>
            <w:u w:val="single"/>
            <w:rtl w:val="0"/>
          </w:rPr>
          <w:t xml:space="preserve">Caspersen</w:t>
        </w:r>
      </w:hyperlink>
      <w:r w:rsidDel="00000000" w:rsidR="00000000" w:rsidRPr="00000000">
        <w:rPr>
          <w:sz w:val="24"/>
          <w:szCs w:val="24"/>
          <w:rtl w:val="0"/>
        </w:rPr>
        <w:t xml:space="preserve">, et al. (1998) </w:t>
      </w:r>
      <w:r w:rsidDel="00000000" w:rsidR="00000000" w:rsidRPr="00000000">
        <w:rPr>
          <w:i w:val="1"/>
          <w:sz w:val="24"/>
          <w:szCs w:val="24"/>
          <w:rtl w:val="0"/>
        </w:rPr>
        <w:t xml:space="preserve">original investigation The Zutphen Elderly Study. Available at: </w:t>
      </w:r>
      <w:hyperlink r:id="rId9">
        <w:r w:rsidDel="00000000" w:rsidR="00000000" w:rsidRPr="00000000">
          <w:rPr>
            <w:sz w:val="24"/>
            <w:szCs w:val="24"/>
            <w:u w:val="single"/>
            <w:rtl w:val="0"/>
          </w:rPr>
          <w:t xml:space="preserve">https://jamanetwork.com/journals/jamainternalmedicine/article-abstract/208552</w:t>
        </w:r>
      </w:hyperlink>
      <w:r w:rsidDel="00000000" w:rsidR="00000000" w:rsidRPr="00000000">
        <w:rPr>
          <w:sz w:val="24"/>
          <w:szCs w:val="24"/>
          <w:rtl w:val="0"/>
        </w:rPr>
        <w:t xml:space="preserve"> (Accessed on 8th March 2022).</w:t>
      </w:r>
    </w:p>
    <w:p w:rsidR="00000000" w:rsidDel="00000000" w:rsidP="00000000" w:rsidRDefault="00000000" w:rsidRPr="00000000" w14:paraId="00000011">
      <w:pPr>
        <w:pBdr>
          <w:top w:color="auto" w:space="5" w:sz="0" w:val="none"/>
          <w:bottom w:color="auto" w:space="5" w:sz="0" w:val="none"/>
          <w:between w:color="auto" w:space="5" w:sz="0" w:val="none"/>
        </w:pBdr>
        <w:shd w:fill="ffffff" w:val="clear"/>
        <w:spacing w:line="360" w:lineRule="auto"/>
        <w:rPr>
          <w:sz w:val="24"/>
          <w:szCs w:val="24"/>
        </w:rPr>
      </w:pPr>
      <w:r w:rsidDel="00000000" w:rsidR="00000000" w:rsidRPr="00000000">
        <w:rPr>
          <w:sz w:val="24"/>
          <w:szCs w:val="24"/>
          <w:rtl w:val="0"/>
        </w:rPr>
        <w:t xml:space="preserve"> </w:t>
      </w:r>
    </w:p>
    <w:p w:rsidR="00000000" w:rsidDel="00000000" w:rsidP="00000000" w:rsidRDefault="00000000" w:rsidRPr="00000000" w14:paraId="00000012">
      <w:pPr>
        <w:pBdr>
          <w:top w:color="auto" w:space="5" w:sz="0" w:val="none"/>
          <w:bottom w:color="auto" w:space="5" w:sz="0" w:val="none"/>
          <w:between w:color="auto" w:space="5" w:sz="0" w:val="none"/>
        </w:pBdr>
        <w:shd w:fill="ffffff" w:val="clear"/>
        <w:spacing w:line="360" w:lineRule="auto"/>
        <w:rPr>
          <w:sz w:val="24"/>
          <w:szCs w:val="24"/>
        </w:rPr>
      </w:pPr>
      <w:r w:rsidDel="00000000" w:rsidR="00000000" w:rsidRPr="00000000">
        <w:rPr>
          <w:sz w:val="24"/>
          <w:szCs w:val="24"/>
          <w:rtl w:val="0"/>
        </w:rPr>
        <w:t xml:space="preserve">Heart news. (2021) </w:t>
      </w:r>
      <w:r w:rsidDel="00000000" w:rsidR="00000000" w:rsidRPr="00000000">
        <w:rPr>
          <w:i w:val="1"/>
          <w:sz w:val="24"/>
          <w:szCs w:val="24"/>
          <w:rtl w:val="0"/>
        </w:rPr>
        <w:t xml:space="preserve">Heart disease #1 cause of death rank likely to be impacted by COVID-19 for years to come. Available at:</w:t>
      </w:r>
      <w:hyperlink r:id="rId10">
        <w:r w:rsidDel="00000000" w:rsidR="00000000" w:rsidRPr="00000000">
          <w:rPr>
            <w:sz w:val="24"/>
            <w:szCs w:val="24"/>
            <w:u w:val="single"/>
            <w:rtl w:val="0"/>
          </w:rPr>
          <w:t xml:space="preserve">https://newsroom.heart.org/news/heart-disease</w:t>
        </w:r>
      </w:hyperlink>
      <w:r w:rsidDel="00000000" w:rsidR="00000000" w:rsidRPr="00000000">
        <w:rPr>
          <w:sz w:val="24"/>
          <w:szCs w:val="24"/>
          <w:rtl w:val="0"/>
        </w:rPr>
        <w:t xml:space="preserve"> (Accessed on 8th March 2022).</w:t>
      </w:r>
    </w:p>
    <w:p w:rsidR="00000000" w:rsidDel="00000000" w:rsidP="00000000" w:rsidRDefault="00000000" w:rsidRPr="00000000" w14:paraId="00000013">
      <w:pPr>
        <w:pBdr>
          <w:top w:color="auto" w:space="5" w:sz="0" w:val="none"/>
          <w:bottom w:color="auto" w:space="5" w:sz="0" w:val="none"/>
          <w:between w:color="auto" w:space="5" w:sz="0" w:val="none"/>
        </w:pBdr>
        <w:shd w:fill="ffffff" w:val="clear"/>
        <w:spacing w:line="360" w:lineRule="auto"/>
        <w:rPr>
          <w:rFonts w:ascii="Times New Roman" w:cs="Times New Roman" w:eastAsia="Times New Roman" w:hAnsi="Times New Roman"/>
          <w:color w:val="222222"/>
          <w:sz w:val="24"/>
          <w:szCs w:val="24"/>
        </w:rPr>
      </w:pPr>
      <w:r w:rsidDel="00000000" w:rsidR="00000000" w:rsidRPr="00000000">
        <w:rPr>
          <w:rFonts w:ascii="Times New Roman" w:cs="Times New Roman" w:eastAsia="Times New Roman" w:hAnsi="Times New Roman"/>
          <w:color w:val="222222"/>
          <w:sz w:val="24"/>
          <w:szCs w:val="24"/>
          <w:rtl w:val="0"/>
        </w:rPr>
        <w:t xml:space="preserve"> </w:t>
      </w:r>
    </w:p>
    <w:p w:rsidR="00000000" w:rsidDel="00000000" w:rsidP="00000000" w:rsidRDefault="00000000" w:rsidRPr="00000000" w14:paraId="00000014">
      <w:pPr>
        <w:pBdr>
          <w:top w:color="auto" w:space="5" w:sz="0" w:val="none"/>
          <w:bottom w:color="auto" w:space="5" w:sz="0" w:val="none"/>
          <w:between w:color="auto" w:space="5" w:sz="0" w:val="none"/>
        </w:pBdr>
        <w:shd w:fill="ffffff" w:val="clear"/>
        <w:spacing w:line="360" w:lineRule="auto"/>
        <w:rPr>
          <w:sz w:val="24"/>
          <w:szCs w:val="24"/>
        </w:rPr>
      </w:pPr>
      <w:r w:rsidDel="00000000" w:rsidR="00000000" w:rsidRPr="00000000">
        <w:rPr>
          <w:sz w:val="24"/>
          <w:szCs w:val="24"/>
          <w:rtl w:val="0"/>
        </w:rPr>
        <w:t xml:space="preserve">Holtermann, A. Schnohr, P. Et al. (2021) </w:t>
      </w:r>
      <w:r w:rsidDel="00000000" w:rsidR="00000000" w:rsidRPr="00000000">
        <w:rPr>
          <w:i w:val="1"/>
          <w:sz w:val="24"/>
          <w:szCs w:val="24"/>
          <w:rtl w:val="0"/>
        </w:rPr>
        <w:t xml:space="preserve">The physical activity paradox in cardiovascular disease and all-cause mortality: the contemporary Copenhagen General Population Study with 104 046 adults. Available at:</w:t>
      </w:r>
      <w:hyperlink r:id="rId11">
        <w:r w:rsidDel="00000000" w:rsidR="00000000" w:rsidRPr="00000000">
          <w:rPr>
            <w:sz w:val="24"/>
            <w:szCs w:val="24"/>
            <w:u w:val="single"/>
            <w:rtl w:val="0"/>
          </w:rPr>
          <w:t xml:space="preserve">https://academic.oup.com/eurheartj/article/42/15/1499/6213772?login=false#235458603</w:t>
        </w:r>
      </w:hyperlink>
      <w:r w:rsidDel="00000000" w:rsidR="00000000" w:rsidRPr="00000000">
        <w:rPr>
          <w:sz w:val="24"/>
          <w:szCs w:val="24"/>
          <w:rtl w:val="0"/>
        </w:rPr>
        <w:t xml:space="preserve"> (Accessed on 8th March 2022).</w:t>
      </w:r>
    </w:p>
    <w:p w:rsidR="00000000" w:rsidDel="00000000" w:rsidP="00000000" w:rsidRDefault="00000000" w:rsidRPr="00000000" w14:paraId="00000015">
      <w:pPr>
        <w:pBdr>
          <w:top w:color="auto" w:space="5" w:sz="0" w:val="none"/>
          <w:bottom w:color="auto" w:space="5" w:sz="0" w:val="none"/>
          <w:between w:color="auto" w:space="5" w:sz="0" w:val="none"/>
        </w:pBdr>
        <w:shd w:fill="ffffff" w:val="clear"/>
        <w:spacing w:line="360" w:lineRule="auto"/>
        <w:rPr>
          <w:sz w:val="24"/>
          <w:szCs w:val="24"/>
        </w:rPr>
      </w:pPr>
      <w:r w:rsidDel="00000000" w:rsidR="00000000" w:rsidRPr="00000000">
        <w:rPr>
          <w:sz w:val="24"/>
          <w:szCs w:val="24"/>
          <w:rtl w:val="0"/>
        </w:rPr>
        <w:t xml:space="preserve"> </w:t>
      </w:r>
    </w:p>
    <w:p w:rsidR="00000000" w:rsidDel="00000000" w:rsidP="00000000" w:rsidRDefault="00000000" w:rsidRPr="00000000" w14:paraId="00000016">
      <w:pPr>
        <w:pBdr>
          <w:top w:color="auto" w:space="5" w:sz="0" w:val="none"/>
          <w:bottom w:color="auto" w:space="5" w:sz="0" w:val="none"/>
          <w:between w:color="auto" w:space="5" w:sz="0" w:val="none"/>
        </w:pBdr>
        <w:shd w:fill="ffffff" w:val="clear"/>
        <w:spacing w:line="360" w:lineRule="auto"/>
        <w:rPr>
          <w:sz w:val="24"/>
          <w:szCs w:val="24"/>
        </w:rPr>
      </w:pPr>
      <w:r w:rsidDel="00000000" w:rsidR="00000000" w:rsidRPr="00000000">
        <w:rPr>
          <w:sz w:val="24"/>
          <w:szCs w:val="24"/>
          <w:rtl w:val="0"/>
        </w:rPr>
        <w:t xml:space="preserve">Kokkinos, P. (2012) </w:t>
      </w:r>
      <w:r w:rsidDel="00000000" w:rsidR="00000000" w:rsidRPr="00000000">
        <w:rPr>
          <w:i w:val="1"/>
          <w:sz w:val="24"/>
          <w:szCs w:val="24"/>
          <w:rtl w:val="0"/>
        </w:rPr>
        <w:t xml:space="preserve">Physical activity, health benefits and mortality risks. Available at:</w:t>
      </w:r>
      <w:hyperlink r:id="rId12">
        <w:r w:rsidDel="00000000" w:rsidR="00000000" w:rsidRPr="00000000">
          <w:rPr>
            <w:sz w:val="24"/>
            <w:szCs w:val="24"/>
            <w:u w:val="single"/>
            <w:rtl w:val="0"/>
          </w:rPr>
          <w:t xml:space="preserve">https://www.ncbi.nlm.nih.gov/pmc/articles/PMC3501820/</w:t>
        </w:r>
      </w:hyperlink>
      <w:r w:rsidDel="00000000" w:rsidR="00000000" w:rsidRPr="00000000">
        <w:rPr>
          <w:sz w:val="24"/>
          <w:szCs w:val="24"/>
          <w:rtl w:val="0"/>
        </w:rPr>
        <w:t xml:space="preserve"> (Accessed on 8th March 2022).</w:t>
      </w:r>
    </w:p>
    <w:p w:rsidR="00000000" w:rsidDel="00000000" w:rsidP="00000000" w:rsidRDefault="00000000" w:rsidRPr="00000000" w14:paraId="00000017">
      <w:pPr>
        <w:pBdr>
          <w:top w:color="auto" w:space="5" w:sz="0" w:val="none"/>
          <w:bottom w:color="auto" w:space="5" w:sz="0" w:val="none"/>
          <w:between w:color="auto" w:space="5" w:sz="0" w:val="none"/>
        </w:pBdr>
        <w:shd w:fill="ffffff" w:val="clear"/>
        <w:spacing w:line="360" w:lineRule="auto"/>
        <w:rPr>
          <w:sz w:val="24"/>
          <w:szCs w:val="24"/>
        </w:rPr>
      </w:pPr>
      <w:r w:rsidDel="00000000" w:rsidR="00000000" w:rsidRPr="00000000">
        <w:rPr>
          <w:sz w:val="24"/>
          <w:szCs w:val="24"/>
          <w:rtl w:val="0"/>
        </w:rPr>
        <w:t xml:space="preserve"> </w:t>
      </w:r>
    </w:p>
    <w:p w:rsidR="00000000" w:rsidDel="00000000" w:rsidP="00000000" w:rsidRDefault="00000000" w:rsidRPr="00000000" w14:paraId="00000018">
      <w:pPr>
        <w:pBdr>
          <w:top w:color="auto" w:space="5" w:sz="0" w:val="none"/>
          <w:bottom w:color="auto" w:space="5" w:sz="0" w:val="none"/>
          <w:between w:color="auto" w:space="5" w:sz="0" w:val="none"/>
        </w:pBdr>
        <w:shd w:fill="ffffff" w:val="clear"/>
        <w:spacing w:line="360" w:lineRule="auto"/>
        <w:rPr>
          <w:sz w:val="24"/>
          <w:szCs w:val="24"/>
        </w:rPr>
      </w:pPr>
      <w:r w:rsidDel="00000000" w:rsidR="00000000" w:rsidRPr="00000000">
        <w:rPr>
          <w:sz w:val="24"/>
          <w:szCs w:val="24"/>
          <w:rtl w:val="0"/>
        </w:rPr>
        <w:t xml:space="preserve">Kreatsoulas, Anand. (2010) </w:t>
      </w:r>
      <w:r w:rsidDel="00000000" w:rsidR="00000000" w:rsidRPr="00000000">
        <w:rPr>
          <w:i w:val="1"/>
          <w:sz w:val="24"/>
          <w:szCs w:val="24"/>
          <w:rtl w:val="0"/>
        </w:rPr>
        <w:t xml:space="preserve">The impact of social determinants on cardiovascular disease. Canadian Journal of Cardiology, </w:t>
      </w:r>
      <w:r w:rsidDel="00000000" w:rsidR="00000000" w:rsidRPr="00000000">
        <w:rPr>
          <w:b w:val="1"/>
          <w:sz w:val="24"/>
          <w:szCs w:val="24"/>
          <w:rtl w:val="0"/>
        </w:rPr>
        <w:t xml:space="preserve">26</w:t>
      </w:r>
      <w:r w:rsidDel="00000000" w:rsidR="00000000" w:rsidRPr="00000000">
        <w:rPr>
          <w:sz w:val="24"/>
          <w:szCs w:val="24"/>
          <w:rtl w:val="0"/>
        </w:rPr>
        <w:t xml:space="preserve">, pp. 8C-13C. Available at: </w:t>
      </w:r>
      <w:hyperlink r:id="rId13">
        <w:r w:rsidDel="00000000" w:rsidR="00000000" w:rsidRPr="00000000">
          <w:rPr>
            <w:sz w:val="24"/>
            <w:szCs w:val="24"/>
            <w:u w:val="single"/>
            <w:rtl w:val="0"/>
          </w:rPr>
          <w:t xml:space="preserve">https://www.sciencedirect.com/science/article/abs/pii/S0828282X10710758</w:t>
        </w:r>
      </w:hyperlink>
      <w:r w:rsidDel="00000000" w:rsidR="00000000" w:rsidRPr="00000000">
        <w:rPr>
          <w:sz w:val="24"/>
          <w:szCs w:val="24"/>
          <w:rtl w:val="0"/>
        </w:rPr>
        <w:t xml:space="preserve"> (Accessed on 8th March 2022).</w:t>
      </w:r>
    </w:p>
    <w:p w:rsidR="00000000" w:rsidDel="00000000" w:rsidP="00000000" w:rsidRDefault="00000000" w:rsidRPr="00000000" w14:paraId="00000019">
      <w:pPr>
        <w:pBdr>
          <w:top w:color="auto" w:space="5" w:sz="0" w:val="none"/>
          <w:bottom w:color="auto" w:space="5" w:sz="0" w:val="none"/>
          <w:between w:color="auto" w:space="5" w:sz="0" w:val="none"/>
        </w:pBdr>
        <w:spacing w:line="360" w:lineRule="auto"/>
        <w:rPr>
          <w:sz w:val="24"/>
          <w:szCs w:val="24"/>
          <w:highlight w:val="white"/>
        </w:rPr>
      </w:pPr>
      <w:r w:rsidDel="00000000" w:rsidR="00000000" w:rsidRPr="00000000">
        <w:rPr>
          <w:sz w:val="24"/>
          <w:szCs w:val="24"/>
          <w:highlight w:val="white"/>
          <w:rtl w:val="0"/>
        </w:rPr>
        <w:t xml:space="preserve"> </w:t>
      </w:r>
    </w:p>
    <w:p w:rsidR="00000000" w:rsidDel="00000000" w:rsidP="00000000" w:rsidRDefault="00000000" w:rsidRPr="00000000" w14:paraId="0000001A">
      <w:pPr>
        <w:pBdr>
          <w:top w:color="auto" w:space="5" w:sz="0" w:val="none"/>
          <w:bottom w:color="auto" w:space="5" w:sz="0" w:val="none"/>
          <w:between w:color="auto" w:space="5" w:sz="0" w:val="none"/>
        </w:pBdr>
        <w:spacing w:line="360" w:lineRule="auto"/>
        <w:rPr>
          <w:sz w:val="24"/>
          <w:szCs w:val="24"/>
          <w:highlight w:val="white"/>
        </w:rPr>
      </w:pPr>
      <w:r w:rsidDel="00000000" w:rsidR="00000000" w:rsidRPr="00000000">
        <w:rPr>
          <w:sz w:val="24"/>
          <w:szCs w:val="24"/>
          <w:highlight w:val="white"/>
          <w:rtl w:val="0"/>
        </w:rPr>
        <w:t xml:space="preserve">Public Health Wales. (2020) </w:t>
      </w:r>
      <w:r w:rsidDel="00000000" w:rsidR="00000000" w:rsidRPr="00000000">
        <w:rPr>
          <w:i w:val="1"/>
          <w:sz w:val="24"/>
          <w:szCs w:val="24"/>
          <w:highlight w:val="white"/>
          <w:rtl w:val="0"/>
        </w:rPr>
        <w:t xml:space="preserve">Cardiovascular disease. Available at:</w:t>
      </w:r>
      <w:hyperlink r:id="rId14">
        <w:r w:rsidDel="00000000" w:rsidR="00000000" w:rsidRPr="00000000">
          <w:rPr>
            <w:sz w:val="24"/>
            <w:szCs w:val="24"/>
            <w:highlight w:val="white"/>
            <w:u w:val="single"/>
            <w:rtl w:val="0"/>
          </w:rPr>
          <w:t xml:space="preserve">https://phw.nhs.wales/services-and-teams/observatory/data-and-analysis/cardiovascular-disease/</w:t>
        </w:r>
      </w:hyperlink>
      <w:r w:rsidDel="00000000" w:rsidR="00000000" w:rsidRPr="00000000">
        <w:rPr>
          <w:sz w:val="24"/>
          <w:szCs w:val="24"/>
          <w:highlight w:val="white"/>
          <w:rtl w:val="0"/>
        </w:rPr>
        <w:t xml:space="preserve"> (Accessed on 8th March 2022).</w:t>
      </w:r>
    </w:p>
    <w:p w:rsidR="00000000" w:rsidDel="00000000" w:rsidP="00000000" w:rsidRDefault="00000000" w:rsidRPr="00000000" w14:paraId="0000001B">
      <w:pPr>
        <w:pBdr>
          <w:top w:color="auto" w:space="5" w:sz="0" w:val="none"/>
          <w:bottom w:color="auto" w:space="5" w:sz="0" w:val="none"/>
          <w:between w:color="auto" w:space="5" w:sz="0" w:val="none"/>
        </w:pBdr>
        <w:spacing w:line="360" w:lineRule="auto"/>
        <w:rPr>
          <w:rFonts w:ascii="Times New Roman" w:cs="Times New Roman" w:eastAsia="Times New Roman" w:hAnsi="Times New Roman"/>
          <w:color w:val="500050"/>
          <w:sz w:val="24"/>
          <w:szCs w:val="24"/>
          <w:highlight w:val="white"/>
        </w:rPr>
      </w:pPr>
      <w:r w:rsidDel="00000000" w:rsidR="00000000" w:rsidRPr="00000000">
        <w:rPr>
          <w:rFonts w:ascii="Times New Roman" w:cs="Times New Roman" w:eastAsia="Times New Roman" w:hAnsi="Times New Roman"/>
          <w:color w:val="500050"/>
          <w:sz w:val="24"/>
          <w:szCs w:val="24"/>
          <w:highlight w:val="white"/>
          <w:rtl w:val="0"/>
        </w:rPr>
        <w:t xml:space="preserve"> </w:t>
      </w:r>
    </w:p>
    <w:p w:rsidR="00000000" w:rsidDel="00000000" w:rsidP="00000000" w:rsidRDefault="00000000" w:rsidRPr="00000000" w14:paraId="0000001C">
      <w:pPr>
        <w:pBdr>
          <w:top w:color="auto" w:space="5" w:sz="0" w:val="none"/>
          <w:bottom w:color="auto" w:space="5" w:sz="0" w:val="none"/>
          <w:between w:color="auto" w:space="5" w:sz="0" w:val="none"/>
        </w:pBdr>
        <w:shd w:fill="ffffff" w:val="clear"/>
        <w:spacing w:line="360" w:lineRule="auto"/>
        <w:rPr>
          <w:sz w:val="24"/>
          <w:szCs w:val="24"/>
        </w:rPr>
      </w:pPr>
      <w:r w:rsidDel="00000000" w:rsidR="00000000" w:rsidRPr="00000000">
        <w:rPr>
          <w:sz w:val="24"/>
          <w:szCs w:val="24"/>
          <w:rtl w:val="0"/>
        </w:rPr>
        <w:t xml:space="preserve">Randal A. Skidgel. (2019) </w:t>
      </w:r>
      <w:r w:rsidDel="00000000" w:rsidR="00000000" w:rsidRPr="00000000">
        <w:rPr>
          <w:i w:val="1"/>
          <w:sz w:val="24"/>
          <w:szCs w:val="24"/>
          <w:rtl w:val="0"/>
        </w:rPr>
        <w:t xml:space="preserve">Global Burden of Cardiovascular Diseases and Risk Factors.Available at:</w:t>
      </w:r>
      <w:hyperlink r:id="rId15">
        <w:r w:rsidDel="00000000" w:rsidR="00000000" w:rsidRPr="00000000">
          <w:rPr>
            <w:sz w:val="24"/>
            <w:szCs w:val="24"/>
            <w:u w:val="single"/>
            <w:rtl w:val="0"/>
          </w:rPr>
          <w:t xml:space="preserve">https://www.sciencedirect.com/science/article/pii/S0735109720377755</w:t>
        </w:r>
      </w:hyperlink>
      <w:r w:rsidDel="00000000" w:rsidR="00000000" w:rsidRPr="00000000">
        <w:rPr>
          <w:sz w:val="24"/>
          <w:szCs w:val="24"/>
          <w:rtl w:val="0"/>
        </w:rPr>
        <w:t xml:space="preserve"> Accessed on (8th March 2022).</w:t>
      </w:r>
    </w:p>
    <w:p w:rsidR="00000000" w:rsidDel="00000000" w:rsidP="00000000" w:rsidRDefault="00000000" w:rsidRPr="00000000" w14:paraId="0000001D">
      <w:pPr>
        <w:pBdr>
          <w:top w:color="auto" w:space="5" w:sz="0" w:val="none"/>
          <w:bottom w:color="auto" w:space="5" w:sz="0" w:val="none"/>
          <w:between w:color="auto" w:space="5" w:sz="0" w:val="none"/>
        </w:pBdr>
        <w:spacing w:line="360" w:lineRule="auto"/>
        <w:rPr>
          <w:sz w:val="24"/>
          <w:szCs w:val="24"/>
          <w:highlight w:val="white"/>
        </w:rPr>
      </w:pPr>
      <w:r w:rsidDel="00000000" w:rsidR="00000000" w:rsidRPr="00000000">
        <w:rPr>
          <w:sz w:val="24"/>
          <w:szCs w:val="24"/>
          <w:highlight w:val="white"/>
          <w:rtl w:val="0"/>
        </w:rPr>
        <w:t xml:space="preserve"> </w:t>
      </w:r>
    </w:p>
    <w:p w:rsidR="00000000" w:rsidDel="00000000" w:rsidP="00000000" w:rsidRDefault="00000000" w:rsidRPr="00000000" w14:paraId="0000001E">
      <w:pPr>
        <w:pBdr>
          <w:top w:color="auto" w:space="5" w:sz="0" w:val="none"/>
          <w:bottom w:color="auto" w:space="5" w:sz="0" w:val="none"/>
          <w:between w:color="auto" w:space="5" w:sz="0" w:val="none"/>
        </w:pBdr>
        <w:spacing w:line="360" w:lineRule="auto"/>
        <w:rPr>
          <w:sz w:val="24"/>
          <w:szCs w:val="24"/>
          <w:highlight w:val="white"/>
        </w:rPr>
      </w:pPr>
      <w:r w:rsidDel="00000000" w:rsidR="00000000" w:rsidRPr="00000000">
        <w:rPr>
          <w:sz w:val="24"/>
          <w:szCs w:val="24"/>
          <w:highlight w:val="white"/>
          <w:rtl w:val="0"/>
        </w:rPr>
        <w:t xml:space="preserve">TNN. (2019) </w:t>
      </w:r>
      <w:r w:rsidDel="00000000" w:rsidR="00000000" w:rsidRPr="00000000">
        <w:rPr>
          <w:i w:val="1"/>
          <w:sz w:val="24"/>
          <w:szCs w:val="24"/>
          <w:highlight w:val="white"/>
          <w:rtl w:val="0"/>
        </w:rPr>
        <w:t xml:space="preserve">Secrets To Steal From Countries With The Lowest Heart Problems. Available at: </w:t>
      </w:r>
      <w:hyperlink r:id="rId16">
        <w:r w:rsidDel="00000000" w:rsidR="00000000" w:rsidRPr="00000000">
          <w:rPr>
            <w:sz w:val="24"/>
            <w:szCs w:val="24"/>
            <w:highlight w:val="white"/>
            <w:u w:val="single"/>
            <w:rtl w:val="0"/>
          </w:rPr>
          <w:t xml:space="preserve">https://timesofindia.indiatimes.com/life-style/health-fitness/health-news/secrets-to-steal-from-countries-with-the-lowest-heart-problems/photostory/69145891.cms?picid=69146078</w:t>
        </w:r>
      </w:hyperlink>
      <w:r w:rsidDel="00000000" w:rsidR="00000000" w:rsidRPr="00000000">
        <w:rPr>
          <w:sz w:val="24"/>
          <w:szCs w:val="24"/>
          <w:highlight w:val="white"/>
          <w:rtl w:val="0"/>
        </w:rPr>
        <w:t xml:space="preserve"> (Accessed on 8th March).</w:t>
      </w:r>
    </w:p>
    <w:p w:rsidR="00000000" w:rsidDel="00000000" w:rsidP="00000000" w:rsidRDefault="00000000" w:rsidRPr="00000000" w14:paraId="0000001F">
      <w:pPr>
        <w:pBdr>
          <w:top w:color="auto" w:space="5" w:sz="0" w:val="none"/>
          <w:bottom w:color="auto" w:space="5" w:sz="0" w:val="none"/>
          <w:between w:color="auto" w:space="5" w:sz="0" w:val="none"/>
        </w:pBdr>
        <w:spacing w:line="360" w:lineRule="auto"/>
        <w:rPr>
          <w:sz w:val="24"/>
          <w:szCs w:val="24"/>
          <w:highlight w:val="white"/>
        </w:rPr>
      </w:pPr>
      <w:r w:rsidDel="00000000" w:rsidR="00000000" w:rsidRPr="00000000">
        <w:rPr>
          <w:sz w:val="24"/>
          <w:szCs w:val="24"/>
          <w:highlight w:val="white"/>
          <w:rtl w:val="0"/>
        </w:rPr>
        <w:t xml:space="preserve"> </w:t>
      </w:r>
    </w:p>
    <w:p w:rsidR="00000000" w:rsidDel="00000000" w:rsidP="00000000" w:rsidRDefault="00000000" w:rsidRPr="00000000" w14:paraId="00000020">
      <w:pPr>
        <w:pBdr>
          <w:top w:color="auto" w:space="5" w:sz="0" w:val="none"/>
          <w:bottom w:color="auto" w:space="5" w:sz="0" w:val="none"/>
          <w:between w:color="auto" w:space="5" w:sz="0" w:val="none"/>
        </w:pBdr>
        <w:spacing w:line="360" w:lineRule="auto"/>
        <w:rPr>
          <w:sz w:val="24"/>
          <w:szCs w:val="24"/>
          <w:highlight w:val="white"/>
        </w:rPr>
      </w:pPr>
      <w:r w:rsidDel="00000000" w:rsidR="00000000" w:rsidRPr="00000000">
        <w:rPr>
          <w:sz w:val="24"/>
          <w:szCs w:val="24"/>
          <w:highlight w:val="white"/>
          <w:rtl w:val="0"/>
        </w:rPr>
        <w:t xml:space="preserve">Tsugane, S. (2021) </w:t>
      </w:r>
      <w:r w:rsidDel="00000000" w:rsidR="00000000" w:rsidRPr="00000000">
        <w:rPr>
          <w:i w:val="1"/>
          <w:sz w:val="24"/>
          <w:szCs w:val="24"/>
          <w:highlight w:val="white"/>
          <w:rtl w:val="0"/>
        </w:rPr>
        <w:t xml:space="preserve">Why has Japan become the world’s most long-lived country: insights from a food and nutrition perspective. Eur,J, clin Nutr 75. Available at:</w:t>
      </w:r>
      <w:hyperlink r:id="rId17">
        <w:r w:rsidDel="00000000" w:rsidR="00000000" w:rsidRPr="00000000">
          <w:rPr>
            <w:sz w:val="24"/>
            <w:szCs w:val="24"/>
            <w:highlight w:val="white"/>
            <w:u w:val="single"/>
            <w:rtl w:val="0"/>
          </w:rPr>
          <w:t xml:space="preserve">https://www.nature.com/articles/s41430-020-0677-5</w:t>
        </w:r>
      </w:hyperlink>
      <w:r w:rsidDel="00000000" w:rsidR="00000000" w:rsidRPr="00000000">
        <w:rPr>
          <w:sz w:val="24"/>
          <w:szCs w:val="24"/>
          <w:highlight w:val="white"/>
          <w:rtl w:val="0"/>
        </w:rPr>
        <w:t xml:space="preserve"> (Accessed on 8th March 2022).</w:t>
      </w:r>
    </w:p>
    <w:p w:rsidR="00000000" w:rsidDel="00000000" w:rsidP="00000000" w:rsidRDefault="00000000" w:rsidRPr="00000000" w14:paraId="00000021">
      <w:pPr>
        <w:pBdr>
          <w:top w:color="auto" w:space="5" w:sz="0" w:val="none"/>
          <w:bottom w:color="auto" w:space="5" w:sz="0" w:val="none"/>
          <w:between w:color="auto" w:space="5" w:sz="0" w:val="none"/>
        </w:pBdr>
        <w:shd w:fill="ffffff" w:val="clear"/>
        <w:spacing w:line="360" w:lineRule="auto"/>
        <w:rPr/>
      </w:pPr>
      <w:r w:rsidDel="00000000" w:rsidR="00000000" w:rsidRPr="00000000">
        <w:rPr>
          <w:rtl w:val="0"/>
        </w:rPr>
        <w:t xml:space="preserve">Wateral, J. (2019) </w:t>
      </w:r>
      <w:r w:rsidDel="00000000" w:rsidR="00000000" w:rsidRPr="00000000">
        <w:rPr>
          <w:i w:val="1"/>
          <w:rtl w:val="0"/>
        </w:rPr>
        <w:t xml:space="preserve">Health matters:preventing cardiovascular disease. Available at: </w:t>
      </w:r>
      <w:hyperlink r:id="rId18">
        <w:r w:rsidDel="00000000" w:rsidR="00000000" w:rsidRPr="00000000">
          <w:rPr>
            <w:color w:val="1155cc"/>
            <w:u w:val="single"/>
            <w:rtl w:val="0"/>
          </w:rPr>
          <w:t xml:space="preserve">https://ukhsa.blog.gov.uk/2019/02/14/health-matters-preventing-cardiovascular-disease/#:~:text=This%20places%20a%20considerable%20financial,an%20estimated%20%C2%A315.8%20billion</w:t>
        </w:r>
      </w:hyperlink>
      <w:r w:rsidDel="00000000" w:rsidR="00000000" w:rsidRPr="00000000">
        <w:rPr>
          <w:rtl w:val="0"/>
        </w:rPr>
        <w:t xml:space="preserve">. (Accessed on 9th March 2022)</w:t>
      </w:r>
    </w:p>
    <w:p w:rsidR="00000000" w:rsidDel="00000000" w:rsidP="00000000" w:rsidRDefault="00000000" w:rsidRPr="00000000" w14:paraId="00000022">
      <w:pPr>
        <w:pBdr>
          <w:top w:color="auto" w:space="5" w:sz="0" w:val="none"/>
          <w:bottom w:color="auto" w:space="5" w:sz="0" w:val="none"/>
          <w:between w:color="auto" w:space="5" w:sz="0" w:val="none"/>
        </w:pBdr>
        <w:shd w:fill="ffffff" w:val="clear"/>
        <w:spacing w:line="360" w:lineRule="auto"/>
        <w:rPr>
          <w:rFonts w:ascii="Times New Roman" w:cs="Times New Roman" w:eastAsia="Times New Roman" w:hAnsi="Times New Roman"/>
          <w:color w:val="222222"/>
          <w:sz w:val="24"/>
          <w:szCs w:val="24"/>
        </w:rPr>
      </w:pPr>
      <w:r w:rsidDel="00000000" w:rsidR="00000000" w:rsidRPr="00000000">
        <w:rPr>
          <w:rFonts w:ascii="Times New Roman" w:cs="Times New Roman" w:eastAsia="Times New Roman" w:hAnsi="Times New Roman"/>
          <w:color w:val="222222"/>
          <w:sz w:val="24"/>
          <w:szCs w:val="24"/>
          <w:rtl w:val="0"/>
        </w:rPr>
        <w:t xml:space="preserve"> </w:t>
      </w:r>
    </w:p>
    <w:p w:rsidR="00000000" w:rsidDel="00000000" w:rsidP="00000000" w:rsidRDefault="00000000" w:rsidRPr="00000000" w14:paraId="00000023">
      <w:pPr>
        <w:pBdr>
          <w:top w:color="auto" w:space="5" w:sz="0" w:val="none"/>
          <w:bottom w:color="auto" w:space="5" w:sz="0" w:val="none"/>
          <w:between w:color="auto" w:space="5" w:sz="0" w:val="none"/>
        </w:pBdr>
        <w:shd w:fill="ffffff" w:val="clear"/>
        <w:spacing w:line="360" w:lineRule="auto"/>
        <w:rPr>
          <w:sz w:val="24"/>
          <w:szCs w:val="24"/>
        </w:rPr>
      </w:pPr>
      <w:r w:rsidDel="00000000" w:rsidR="00000000" w:rsidRPr="00000000">
        <w:rPr>
          <w:sz w:val="24"/>
          <w:szCs w:val="24"/>
          <w:rtl w:val="0"/>
        </w:rPr>
        <w:t xml:space="preserve">World Health Organisation. (2021) </w:t>
      </w:r>
      <w:r w:rsidDel="00000000" w:rsidR="00000000" w:rsidRPr="00000000">
        <w:rPr>
          <w:i w:val="1"/>
          <w:sz w:val="24"/>
          <w:szCs w:val="24"/>
          <w:rtl w:val="0"/>
        </w:rPr>
        <w:t xml:space="preserve">Cardiovascular disease (CVDs). Available at:</w:t>
      </w:r>
      <w:hyperlink r:id="rId19">
        <w:r w:rsidDel="00000000" w:rsidR="00000000" w:rsidRPr="00000000">
          <w:rPr>
            <w:sz w:val="24"/>
            <w:szCs w:val="24"/>
            <w:u w:val="single"/>
            <w:rtl w:val="0"/>
          </w:rPr>
          <w:t xml:space="preserve">https://www.who.int/news-room/fact-sheets/detail/cardiovascular-diseases-(cvds)</w:t>
        </w:r>
      </w:hyperlink>
      <w:r w:rsidDel="00000000" w:rsidR="00000000" w:rsidRPr="00000000">
        <w:rPr>
          <w:sz w:val="24"/>
          <w:szCs w:val="24"/>
          <w:rtl w:val="0"/>
        </w:rPr>
        <w:t xml:space="preserve"> (Accessed on 8th March 2022).</w:t>
      </w:r>
    </w:p>
    <w:p w:rsidR="00000000" w:rsidDel="00000000" w:rsidP="00000000" w:rsidRDefault="00000000" w:rsidRPr="00000000" w14:paraId="00000024">
      <w:pPr>
        <w:pBdr>
          <w:top w:color="auto" w:space="5" w:sz="0" w:val="none"/>
          <w:bottom w:color="auto" w:space="5" w:sz="0" w:val="none"/>
          <w:between w:color="auto" w:space="5" w:sz="0" w:val="none"/>
        </w:pBdr>
        <w:spacing w:after="240" w:before="240" w:line="288" w:lineRule="auto"/>
        <w:rPr>
          <w:sz w:val="24"/>
          <w:szCs w:val="24"/>
        </w:rPr>
      </w:pPr>
      <w:r w:rsidDel="00000000" w:rsidR="00000000" w:rsidRPr="00000000">
        <w:rPr>
          <w:rtl w:val="0"/>
        </w:rPr>
      </w:r>
    </w:p>
    <w:p w:rsidR="00000000" w:rsidDel="00000000" w:rsidP="00000000" w:rsidRDefault="00000000" w:rsidRPr="00000000" w14:paraId="00000025">
      <w:pPr>
        <w:pBdr>
          <w:top w:color="auto" w:space="5" w:sz="0" w:val="none"/>
          <w:bottom w:color="auto" w:space="5" w:sz="0" w:val="none"/>
          <w:between w:color="auto" w:space="5" w:sz="0" w:val="none"/>
        </w:pBdr>
        <w:spacing w:after="240" w:before="240" w:line="288" w:lineRule="auto"/>
        <w:rPr>
          <w:sz w:val="24"/>
          <w:szCs w:val="24"/>
        </w:rPr>
      </w:pPr>
      <w:r w:rsidDel="00000000" w:rsidR="00000000" w:rsidRPr="00000000">
        <w:rPr>
          <w:rtl w:val="0"/>
        </w:rPr>
      </w:r>
    </w:p>
    <w:p w:rsidR="00000000" w:rsidDel="00000000" w:rsidP="00000000" w:rsidRDefault="00000000" w:rsidRPr="00000000" w14:paraId="00000026">
      <w:pPr>
        <w:pBdr>
          <w:top w:color="auto" w:space="5" w:sz="0" w:val="none"/>
          <w:bottom w:color="auto" w:space="5" w:sz="0" w:val="none"/>
          <w:between w:color="auto" w:space="5" w:sz="0" w:val="none"/>
        </w:pBdr>
        <w:spacing w:after="240" w:before="240" w:line="288" w:lineRule="auto"/>
        <w:rPr>
          <w:sz w:val="24"/>
          <w:szCs w:val="24"/>
        </w:rPr>
      </w:pPr>
      <w:r w:rsidDel="00000000" w:rsidR="00000000" w:rsidRPr="00000000">
        <w:rPr>
          <w:rtl w:val="0"/>
        </w:rPr>
      </w:r>
    </w:p>
    <w:p w:rsidR="00000000" w:rsidDel="00000000" w:rsidP="00000000" w:rsidRDefault="00000000" w:rsidRPr="00000000" w14:paraId="00000027">
      <w:pPr>
        <w:pBdr>
          <w:top w:color="auto" w:space="5" w:sz="0" w:val="none"/>
          <w:bottom w:color="auto" w:space="5" w:sz="0" w:val="none"/>
          <w:between w:color="auto" w:space="5" w:sz="0" w:val="none"/>
        </w:pBdr>
        <w:spacing w:after="240" w:before="240" w:line="288" w:lineRule="auto"/>
        <w:rPr>
          <w:sz w:val="24"/>
          <w:szCs w:val="24"/>
        </w:rPr>
      </w:pPr>
      <w:r w:rsidDel="00000000" w:rsidR="00000000" w:rsidRPr="00000000">
        <w:rPr>
          <w:rtl w:val="0"/>
        </w:rPr>
      </w:r>
    </w:p>
    <w:p w:rsidR="00000000" w:rsidDel="00000000" w:rsidP="00000000" w:rsidRDefault="00000000" w:rsidRPr="00000000" w14:paraId="00000028">
      <w:pPr>
        <w:pBdr>
          <w:top w:color="auto" w:space="5" w:sz="0" w:val="none"/>
          <w:bottom w:color="auto" w:space="5" w:sz="0" w:val="none"/>
          <w:between w:color="auto" w:space="5" w:sz="0" w:val="none"/>
        </w:pBdr>
        <w:spacing w:after="240" w:before="240" w:line="288" w:lineRule="auto"/>
        <w:rPr>
          <w:sz w:val="24"/>
          <w:szCs w:val="24"/>
        </w:rPr>
      </w:pPr>
      <w:r w:rsidDel="00000000" w:rsidR="00000000" w:rsidRPr="00000000">
        <w:rPr>
          <w:rtl w:val="0"/>
        </w:rPr>
      </w:r>
    </w:p>
    <w:p w:rsidR="00000000" w:rsidDel="00000000" w:rsidP="00000000" w:rsidRDefault="00000000" w:rsidRPr="00000000" w14:paraId="00000029">
      <w:pPr>
        <w:pBdr>
          <w:top w:color="auto" w:space="5" w:sz="0" w:val="none"/>
          <w:bottom w:color="auto" w:space="5" w:sz="0" w:val="none"/>
          <w:between w:color="auto" w:space="5" w:sz="0" w:val="none"/>
        </w:pBdr>
        <w:spacing w:after="240" w:before="240" w:line="288" w:lineRule="auto"/>
        <w:rPr>
          <w:sz w:val="24"/>
          <w:szCs w:val="24"/>
        </w:rPr>
      </w:pPr>
      <w:r w:rsidDel="00000000" w:rsidR="00000000" w:rsidRPr="00000000">
        <w:rPr>
          <w:rtl w:val="0"/>
        </w:rPr>
      </w:r>
    </w:p>
    <w:p w:rsidR="00000000" w:rsidDel="00000000" w:rsidP="00000000" w:rsidRDefault="00000000" w:rsidRPr="00000000" w14:paraId="0000002A">
      <w:pPr>
        <w:pBdr>
          <w:top w:color="auto" w:space="5" w:sz="0" w:val="none"/>
          <w:bottom w:color="auto" w:space="5" w:sz="0" w:val="none"/>
          <w:between w:color="auto" w:space="5" w:sz="0" w:val="none"/>
        </w:pBdr>
        <w:spacing w:after="240" w:before="240" w:line="288" w:lineRule="auto"/>
        <w:rPr>
          <w:sz w:val="24"/>
          <w:szCs w:val="24"/>
        </w:rPr>
      </w:pPr>
      <w:r w:rsidDel="00000000" w:rsidR="00000000" w:rsidRPr="00000000">
        <w:rPr>
          <w:rtl w:val="0"/>
        </w:rPr>
      </w:r>
    </w:p>
    <w:p w:rsidR="00000000" w:rsidDel="00000000" w:rsidP="00000000" w:rsidRDefault="00000000" w:rsidRPr="00000000" w14:paraId="0000002B">
      <w:pPr>
        <w:pBdr>
          <w:top w:color="auto" w:space="5" w:sz="0" w:val="none"/>
          <w:bottom w:color="auto" w:space="5" w:sz="0" w:val="none"/>
          <w:between w:color="auto" w:space="5" w:sz="0" w:val="none"/>
        </w:pBdr>
        <w:spacing w:after="240" w:before="240" w:line="288" w:lineRule="auto"/>
        <w:rPr>
          <w:sz w:val="24"/>
          <w:szCs w:val="24"/>
        </w:rPr>
      </w:pPr>
      <w:r w:rsidDel="00000000" w:rsidR="00000000" w:rsidRPr="00000000">
        <w:rPr>
          <w:rtl w:val="0"/>
        </w:rPr>
      </w:r>
    </w:p>
    <w:p w:rsidR="00000000" w:rsidDel="00000000" w:rsidP="00000000" w:rsidRDefault="00000000" w:rsidRPr="00000000" w14:paraId="0000002C">
      <w:pPr>
        <w:pBdr>
          <w:top w:color="auto" w:space="5" w:sz="0" w:val="none"/>
          <w:bottom w:color="auto" w:space="5" w:sz="0" w:val="none"/>
          <w:between w:color="auto" w:space="5" w:sz="0" w:val="none"/>
        </w:pBdr>
        <w:spacing w:after="240" w:before="240" w:line="288" w:lineRule="auto"/>
        <w:rPr>
          <w:sz w:val="24"/>
          <w:szCs w:val="24"/>
        </w:rPr>
      </w:pPr>
      <w:r w:rsidDel="00000000" w:rsidR="00000000" w:rsidRPr="00000000">
        <w:rPr>
          <w:rtl w:val="0"/>
        </w:rPr>
      </w:r>
    </w:p>
    <w:p w:rsidR="00000000" w:rsidDel="00000000" w:rsidP="00000000" w:rsidRDefault="00000000" w:rsidRPr="00000000" w14:paraId="0000002D">
      <w:pPr>
        <w:pBdr>
          <w:top w:color="auto" w:space="5" w:sz="0" w:val="none"/>
          <w:bottom w:color="auto" w:space="5" w:sz="0" w:val="none"/>
          <w:between w:color="auto" w:space="5" w:sz="0" w:val="none"/>
        </w:pBdr>
        <w:spacing w:after="240" w:before="240" w:line="288" w:lineRule="auto"/>
        <w:rPr>
          <w:sz w:val="24"/>
          <w:szCs w:val="24"/>
        </w:rPr>
      </w:pPr>
      <w:r w:rsidDel="00000000" w:rsidR="00000000" w:rsidRPr="00000000">
        <w:rPr>
          <w:rtl w:val="0"/>
        </w:rPr>
      </w:r>
    </w:p>
    <w:p w:rsidR="00000000" w:rsidDel="00000000" w:rsidP="00000000" w:rsidRDefault="00000000" w:rsidRPr="00000000" w14:paraId="0000002E">
      <w:pPr>
        <w:pBdr>
          <w:top w:color="auto" w:space="5" w:sz="0" w:val="none"/>
          <w:bottom w:color="auto" w:space="5" w:sz="0" w:val="none"/>
          <w:between w:color="auto" w:space="5" w:sz="0" w:val="none"/>
        </w:pBdr>
        <w:spacing w:after="240" w:before="240" w:line="288" w:lineRule="auto"/>
        <w:rPr>
          <w:sz w:val="24"/>
          <w:szCs w:val="24"/>
        </w:rPr>
      </w:pPr>
      <w:r w:rsidDel="00000000" w:rsidR="00000000" w:rsidRPr="00000000">
        <w:rPr>
          <w:rtl w:val="0"/>
        </w:rPr>
      </w:r>
    </w:p>
    <w:p w:rsidR="00000000" w:rsidDel="00000000" w:rsidP="00000000" w:rsidRDefault="00000000" w:rsidRPr="00000000" w14:paraId="0000002F">
      <w:pPr>
        <w:pBdr>
          <w:top w:color="auto" w:space="5" w:sz="0" w:val="none"/>
          <w:bottom w:color="auto" w:space="5" w:sz="0" w:val="none"/>
          <w:between w:color="auto" w:space="5" w:sz="0" w:val="none"/>
        </w:pBdr>
        <w:spacing w:after="240" w:before="240" w:line="288" w:lineRule="auto"/>
        <w:rPr>
          <w:sz w:val="24"/>
          <w:szCs w:val="24"/>
        </w:rPr>
      </w:pPr>
      <w:r w:rsidDel="00000000" w:rsidR="00000000" w:rsidRPr="00000000">
        <w:rPr>
          <w:rtl w:val="0"/>
        </w:rPr>
      </w:r>
    </w:p>
    <w:p w:rsidR="00000000" w:rsidDel="00000000" w:rsidP="00000000" w:rsidRDefault="00000000" w:rsidRPr="00000000" w14:paraId="00000030">
      <w:pPr>
        <w:pBdr>
          <w:top w:color="auto" w:space="5" w:sz="0" w:val="none"/>
          <w:bottom w:color="auto" w:space="5" w:sz="0" w:val="none"/>
          <w:between w:color="auto" w:space="5" w:sz="0" w:val="none"/>
        </w:pBdr>
        <w:spacing w:after="240" w:before="240" w:line="288" w:lineRule="auto"/>
        <w:rPr>
          <w:sz w:val="24"/>
          <w:szCs w:val="24"/>
        </w:rPr>
      </w:pPr>
      <w:r w:rsidDel="00000000" w:rsidR="00000000" w:rsidRPr="00000000">
        <w:rPr>
          <w:rtl w:val="0"/>
        </w:rPr>
      </w:r>
    </w:p>
    <w:p w:rsidR="00000000" w:rsidDel="00000000" w:rsidP="00000000" w:rsidRDefault="00000000" w:rsidRPr="00000000" w14:paraId="00000031">
      <w:pPr>
        <w:pBdr>
          <w:top w:color="auto" w:space="5" w:sz="0" w:val="none"/>
          <w:bottom w:color="auto" w:space="5" w:sz="0" w:val="none"/>
          <w:between w:color="auto" w:space="5" w:sz="0" w:val="none"/>
        </w:pBdr>
        <w:spacing w:after="240" w:before="240" w:line="288" w:lineRule="auto"/>
        <w:rPr>
          <w:sz w:val="24"/>
          <w:szCs w:val="24"/>
        </w:rPr>
      </w:pPr>
      <w:r w:rsidDel="00000000" w:rsidR="00000000" w:rsidRPr="00000000">
        <w:rPr>
          <w:rtl w:val="0"/>
        </w:rPr>
      </w:r>
    </w:p>
    <w:p w:rsidR="00000000" w:rsidDel="00000000" w:rsidP="00000000" w:rsidRDefault="00000000" w:rsidRPr="00000000" w14:paraId="00000032">
      <w:pPr>
        <w:pBdr>
          <w:top w:color="auto" w:space="5" w:sz="0" w:val="none"/>
          <w:bottom w:color="auto" w:space="5" w:sz="0" w:val="none"/>
          <w:between w:color="auto" w:space="5" w:sz="0" w:val="none"/>
        </w:pBdr>
        <w:spacing w:after="240" w:before="240" w:line="288" w:lineRule="auto"/>
        <w:rPr>
          <w:sz w:val="24"/>
          <w:szCs w:val="24"/>
        </w:rPr>
      </w:pPr>
      <w:r w:rsidDel="00000000" w:rsidR="00000000" w:rsidRPr="00000000">
        <w:rPr>
          <w:rtl w:val="0"/>
        </w:rPr>
      </w:r>
    </w:p>
    <w:p w:rsidR="00000000" w:rsidDel="00000000" w:rsidP="00000000" w:rsidRDefault="00000000" w:rsidRPr="00000000" w14:paraId="00000033">
      <w:pPr>
        <w:pBdr>
          <w:top w:color="auto" w:space="5" w:sz="0" w:val="none"/>
          <w:bottom w:color="auto" w:space="5" w:sz="0" w:val="none"/>
          <w:between w:color="auto" w:space="5" w:sz="0" w:val="none"/>
        </w:pBdr>
        <w:spacing w:after="240" w:before="240" w:line="288" w:lineRule="auto"/>
        <w:rPr>
          <w:sz w:val="24"/>
          <w:szCs w:val="24"/>
        </w:rPr>
      </w:pPr>
      <w:r w:rsidDel="00000000" w:rsidR="00000000" w:rsidRPr="00000000">
        <w:rPr>
          <w:rtl w:val="0"/>
        </w:rPr>
      </w:r>
    </w:p>
    <w:p w:rsidR="00000000" w:rsidDel="00000000" w:rsidP="00000000" w:rsidRDefault="00000000" w:rsidRPr="00000000" w14:paraId="00000034">
      <w:pPr>
        <w:pBdr>
          <w:top w:color="auto" w:space="5" w:sz="0" w:val="none"/>
          <w:bottom w:color="auto" w:space="5" w:sz="0" w:val="none"/>
          <w:between w:color="auto" w:space="5" w:sz="0" w:val="none"/>
        </w:pBdr>
        <w:spacing w:after="240" w:before="240" w:line="288" w:lineRule="auto"/>
        <w:rPr>
          <w:sz w:val="24"/>
          <w:szCs w:val="24"/>
        </w:rPr>
      </w:pPr>
      <w:r w:rsidDel="00000000" w:rsidR="00000000" w:rsidRPr="00000000">
        <w:rPr>
          <w:rtl w:val="0"/>
        </w:rPr>
      </w:r>
    </w:p>
    <w:p w:rsidR="00000000" w:rsidDel="00000000" w:rsidP="00000000" w:rsidRDefault="00000000" w:rsidRPr="00000000" w14:paraId="0000003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bl>
      <w:tblPr>
        <w:tblStyle w:val="Table1"/>
        <w:tblW w:w="9025.511811023624" w:type="dxa"/>
        <w:jc w:val="left"/>
        <w:tblInd w:w="100.0" w:type="pc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9025.511811023624"/>
        <w:tblGridChange w:id="0">
          <w:tblGrid>
            <w:gridCol w:w="9025.511811023624"/>
          </w:tblGrid>
        </w:tblGridChange>
      </w:tblGrid>
      <w:tr>
        <w:trPr>
          <w:cantSplit w:val="0"/>
          <w:trHeight w:val="710" w:hRule="atLeast"/>
          <w:tblHeader w:val="0"/>
        </w:trPr>
        <w:tc>
          <w:tcPr>
            <w:tcBorders>
              <w:top w:color="000000" w:space="0" w:sz="0" w:val="nil"/>
              <w:left w:color="000000" w:space="0" w:sz="0" w:val="nil"/>
              <w:bottom w:color="000000" w:space="0" w:sz="0" w:val="nil"/>
              <w:right w:color="000000" w:space="0" w:sz="0" w:val="nil"/>
            </w:tcBorders>
            <w:shd w:fill="bfbfbf" w:val="clear"/>
            <w:tcMar>
              <w:top w:w="100.0" w:type="dxa"/>
              <w:left w:w="100.0" w:type="dxa"/>
              <w:bottom w:w="100.0" w:type="dxa"/>
              <w:right w:w="100.0" w:type="dxa"/>
            </w:tcMar>
            <w:vAlign w:val="top"/>
          </w:tcPr>
          <w:p w:rsidR="00000000" w:rsidDel="00000000" w:rsidP="00000000" w:rsidRDefault="00000000" w:rsidRPr="00000000" w14:paraId="00000036">
            <w:pPr>
              <w:widowControl w:val="0"/>
              <w:spacing w:after="240" w:before="240" w:line="240" w:lineRule="auto"/>
              <w:rPr>
                <w:b w:val="1"/>
                <w:sz w:val="40"/>
                <w:szCs w:val="40"/>
              </w:rPr>
            </w:pPr>
            <w:r w:rsidDel="00000000" w:rsidR="00000000" w:rsidRPr="00000000">
              <w:rPr>
                <w:b w:val="1"/>
                <w:sz w:val="40"/>
                <w:szCs w:val="40"/>
                <w:rtl w:val="0"/>
              </w:rPr>
              <w:t xml:space="preserve">Student FEEDBACK FORM</w:t>
            </w:r>
          </w:p>
        </w:tc>
      </w:tr>
    </w:tbl>
    <w:p w:rsidR="00000000" w:rsidDel="00000000" w:rsidP="00000000" w:rsidRDefault="00000000" w:rsidRPr="00000000" w14:paraId="00000037">
      <w:pPr>
        <w:widowControl w:val="0"/>
        <w:spacing w:after="240" w:before="240" w:line="240" w:lineRule="auto"/>
        <w:rPr>
          <w:b w:val="1"/>
        </w:rPr>
      </w:pPr>
      <w:r w:rsidDel="00000000" w:rsidR="00000000" w:rsidRPr="00000000">
        <w:rPr>
          <w:rtl w:val="0"/>
        </w:rPr>
      </w:r>
    </w:p>
    <w:tbl>
      <w:tblPr>
        <w:tblStyle w:val="Table2"/>
        <w:tblW w:w="9025.511811023622" w:type="dxa"/>
        <w:jc w:val="left"/>
        <w:tblInd w:w="100.0" w:type="pc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7145.1968503937005"/>
        <w:gridCol w:w="909.1632776672147"/>
        <w:gridCol w:w="971.1516829627067"/>
        <w:tblGridChange w:id="0">
          <w:tblGrid>
            <w:gridCol w:w="7145.1968503937005"/>
            <w:gridCol w:w="909.1632776672147"/>
            <w:gridCol w:w="971.1516829627067"/>
          </w:tblGrid>
        </w:tblGridChange>
      </w:tblGrid>
      <w:tr>
        <w:trPr>
          <w:cantSplit w:val="0"/>
          <w:trHeight w:val="1220" w:hRule="atLeast"/>
          <w:tblHeader w:val="0"/>
        </w:trPr>
        <w:tc>
          <w:tcPr>
            <w:tcBorders>
              <w:top w:color="000000" w:space="0" w:sz="8" w:val="single"/>
              <w:left w:color="000000" w:space="0" w:sz="8" w:val="single"/>
              <w:bottom w:color="000000" w:space="0" w:sz="0" w:val="nil"/>
              <w:right w:color="000000" w:space="0" w:sz="8" w:val="single"/>
            </w:tcBorders>
            <w:shd w:fill="bfbfbf" w:val="clear"/>
            <w:tcMar>
              <w:top w:w="100.0" w:type="dxa"/>
              <w:left w:w="100.0" w:type="dxa"/>
              <w:bottom w:w="100.0" w:type="dxa"/>
              <w:right w:w="100.0" w:type="dxa"/>
            </w:tcMar>
            <w:vAlign w:val="center"/>
          </w:tcPr>
          <w:p w:rsidR="00000000" w:rsidDel="00000000" w:rsidP="00000000" w:rsidRDefault="00000000" w:rsidRPr="00000000" w14:paraId="00000038">
            <w:pPr>
              <w:widowControl w:val="0"/>
              <w:spacing w:after="240" w:before="240" w:line="240" w:lineRule="auto"/>
              <w:rPr>
                <w:b w:val="1"/>
              </w:rPr>
            </w:pPr>
            <w:r w:rsidDel="00000000" w:rsidR="00000000" w:rsidRPr="00000000">
              <w:rPr>
                <w:b w:val="1"/>
                <w:rtl w:val="0"/>
              </w:rPr>
              <w:t xml:space="preserve">Generic Assessment Criteria</w:t>
            </w:r>
          </w:p>
        </w:tc>
        <w:tc>
          <w:tcPr>
            <w:tcBorders>
              <w:top w:color="000000" w:space="0" w:sz="8" w:val="single"/>
              <w:left w:color="000000" w:space="0" w:sz="8" w:val="single"/>
              <w:bottom w:color="000000" w:space="0" w:sz="0" w:val="nil"/>
              <w:right w:color="000000" w:space="0" w:sz="8" w:val="single"/>
            </w:tcBorders>
            <w:shd w:fill="bfbfbf" w:val="clear"/>
            <w:tcMar>
              <w:top w:w="100.0" w:type="dxa"/>
              <w:left w:w="100.0" w:type="dxa"/>
              <w:bottom w:w="100.0" w:type="dxa"/>
              <w:right w:w="100.0" w:type="dxa"/>
            </w:tcMar>
            <w:vAlign w:val="top"/>
          </w:tcPr>
          <w:p w:rsidR="00000000" w:rsidDel="00000000" w:rsidP="00000000" w:rsidRDefault="00000000" w:rsidRPr="00000000" w14:paraId="00000039">
            <w:pPr>
              <w:widowControl w:val="0"/>
              <w:spacing w:after="240" w:before="240" w:line="240" w:lineRule="auto"/>
              <w:ind w:left="40" w:right="120" w:firstLine="0"/>
              <w:jc w:val="center"/>
              <w:rPr>
                <w:b w:val="1"/>
                <w:sz w:val="18"/>
                <w:szCs w:val="18"/>
              </w:rPr>
            </w:pPr>
            <w:r w:rsidDel="00000000" w:rsidR="00000000" w:rsidRPr="00000000">
              <w:rPr>
                <w:b w:val="1"/>
                <w:sz w:val="18"/>
                <w:szCs w:val="18"/>
                <w:rtl w:val="0"/>
              </w:rPr>
              <w:t xml:space="preserve">Marks available</w:t>
            </w:r>
          </w:p>
        </w:tc>
        <w:tc>
          <w:tcPr>
            <w:tcBorders>
              <w:top w:color="000000" w:space="0" w:sz="8" w:val="single"/>
              <w:left w:color="000000" w:space="0" w:sz="8" w:val="single"/>
              <w:bottom w:color="000000" w:space="0" w:sz="8" w:val="single"/>
              <w:right w:color="000000" w:space="0" w:sz="8" w:val="single"/>
            </w:tcBorders>
            <w:shd w:fill="bfbfbf" w:val="clear"/>
            <w:tcMar>
              <w:top w:w="100.0" w:type="dxa"/>
              <w:left w:w="100.0" w:type="dxa"/>
              <w:bottom w:w="100.0" w:type="dxa"/>
              <w:right w:w="100.0" w:type="dxa"/>
            </w:tcMar>
            <w:vAlign w:val="center"/>
          </w:tcPr>
          <w:p w:rsidR="00000000" w:rsidDel="00000000" w:rsidP="00000000" w:rsidRDefault="00000000" w:rsidRPr="00000000" w14:paraId="0000003A">
            <w:pPr>
              <w:widowControl w:val="0"/>
              <w:spacing w:after="240" w:before="240" w:line="240" w:lineRule="auto"/>
              <w:ind w:left="120" w:right="120" w:firstLine="0"/>
              <w:jc w:val="center"/>
              <w:rPr>
                <w:b w:val="1"/>
                <w:sz w:val="18"/>
                <w:szCs w:val="18"/>
              </w:rPr>
            </w:pPr>
            <w:r w:rsidDel="00000000" w:rsidR="00000000" w:rsidRPr="00000000">
              <w:rPr>
                <w:b w:val="1"/>
                <w:sz w:val="18"/>
                <w:szCs w:val="18"/>
                <w:rtl w:val="0"/>
              </w:rPr>
              <w:t xml:space="preserve">Marks</w:t>
            </w:r>
          </w:p>
          <w:p w:rsidR="00000000" w:rsidDel="00000000" w:rsidP="00000000" w:rsidRDefault="00000000" w:rsidRPr="00000000" w14:paraId="0000003B">
            <w:pPr>
              <w:widowControl w:val="0"/>
              <w:spacing w:after="240" w:before="240" w:line="240" w:lineRule="auto"/>
              <w:ind w:left="120" w:right="120" w:firstLine="0"/>
              <w:jc w:val="center"/>
              <w:rPr>
                <w:b w:val="1"/>
                <w:sz w:val="18"/>
                <w:szCs w:val="18"/>
              </w:rPr>
            </w:pPr>
            <w:r w:rsidDel="00000000" w:rsidR="00000000" w:rsidRPr="00000000">
              <w:rPr>
                <w:b w:val="1"/>
                <w:sz w:val="18"/>
                <w:szCs w:val="18"/>
                <w:rtl w:val="0"/>
              </w:rPr>
              <w:t xml:space="preserve">awarded</w:t>
            </w:r>
          </w:p>
        </w:tc>
      </w:tr>
      <w:tr>
        <w:trPr>
          <w:cantSplit w:val="0"/>
          <w:trHeight w:val="1100" w:hRule="atLeast"/>
          <w:tblHeader w:val="0"/>
        </w:trPr>
        <w:tc>
          <w:tcPr>
            <w:tcBorders>
              <w:top w:color="000000" w:space="0" w:sz="8" w:val="single"/>
              <w:left w:color="000000" w:space="0" w:sz="8" w:val="single"/>
              <w:bottom w:color="000000" w:space="0" w:sz="0" w:val="nil"/>
              <w:right w:color="000000" w:space="0" w:sz="8" w:val="single"/>
            </w:tcBorders>
            <w:shd w:fill="d9d9d9" w:val="clear"/>
            <w:tcMar>
              <w:top w:w="100.0" w:type="dxa"/>
              <w:left w:w="100.0" w:type="dxa"/>
              <w:bottom w:w="100.0" w:type="dxa"/>
              <w:right w:w="100.0" w:type="dxa"/>
            </w:tcMar>
            <w:vAlign w:val="top"/>
          </w:tcPr>
          <w:p w:rsidR="00000000" w:rsidDel="00000000" w:rsidP="00000000" w:rsidRDefault="00000000" w:rsidRPr="00000000" w14:paraId="0000003C">
            <w:pPr>
              <w:widowControl w:val="0"/>
              <w:spacing w:after="240" w:before="240" w:line="240" w:lineRule="auto"/>
              <w:rPr>
                <w:b w:val="1"/>
              </w:rPr>
            </w:pPr>
            <w:r w:rsidDel="00000000" w:rsidR="00000000" w:rsidRPr="00000000">
              <w:rPr>
                <w:b w:val="1"/>
                <w:sz w:val="16"/>
                <w:szCs w:val="16"/>
                <w:rtl w:val="0"/>
              </w:rPr>
              <w:t xml:space="preserve">1. </w:t>
            </w:r>
            <w:r w:rsidDel="00000000" w:rsidR="00000000" w:rsidRPr="00000000">
              <w:rPr>
                <w:b w:val="1"/>
                <w:rtl w:val="0"/>
              </w:rPr>
              <w:t xml:space="preserve">Engagement with Literature Skills</w:t>
            </w:r>
          </w:p>
          <w:p w:rsidR="00000000" w:rsidDel="00000000" w:rsidP="00000000" w:rsidRDefault="00000000" w:rsidRPr="00000000" w14:paraId="0000003D">
            <w:pPr>
              <w:widowControl w:val="0"/>
              <w:pBdr>
                <w:bottom w:color="auto" w:space="6" w:sz="0" w:val="none"/>
              </w:pBdr>
              <w:spacing w:after="240" w:before="240" w:line="240" w:lineRule="auto"/>
              <w:rPr>
                <w:sz w:val="14"/>
                <w:szCs w:val="14"/>
              </w:rPr>
            </w:pPr>
            <w:r w:rsidDel="00000000" w:rsidR="00000000" w:rsidRPr="00000000">
              <w:rPr>
                <w:sz w:val="14"/>
                <w:szCs w:val="14"/>
                <w:rtl w:val="0"/>
              </w:rPr>
              <w:t xml:space="preserve">.</w:t>
            </w:r>
          </w:p>
        </w:tc>
        <w:tc>
          <w:tcPr>
            <w:tcBorders>
              <w:top w:color="000000" w:space="0" w:sz="8" w:val="single"/>
              <w:left w:color="000000" w:space="0" w:sz="8" w:val="single"/>
              <w:bottom w:color="000000" w:space="0" w:sz="0" w:val="nil"/>
              <w:right w:color="000000" w:space="0" w:sz="8" w:val="single"/>
            </w:tcBorders>
            <w:shd w:fill="d9d9d9" w:val="clear"/>
            <w:tcMar>
              <w:top w:w="100.0" w:type="dxa"/>
              <w:left w:w="100.0" w:type="dxa"/>
              <w:bottom w:w="100.0" w:type="dxa"/>
              <w:right w:w="100.0" w:type="dxa"/>
            </w:tcMar>
            <w:vAlign w:val="top"/>
          </w:tcPr>
          <w:p w:rsidR="00000000" w:rsidDel="00000000" w:rsidP="00000000" w:rsidRDefault="00000000" w:rsidRPr="00000000" w14:paraId="0000003E">
            <w:pPr>
              <w:widowControl w:val="0"/>
              <w:spacing w:after="240" w:before="240" w:line="240" w:lineRule="auto"/>
              <w:jc w:val="center"/>
              <w:rPr>
                <w:sz w:val="32"/>
                <w:szCs w:val="32"/>
              </w:rPr>
            </w:pP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shd w:fill="d9d9d9" w:val="clear"/>
            <w:tcMar>
              <w:top w:w="100.0" w:type="dxa"/>
              <w:left w:w="100.0" w:type="dxa"/>
              <w:bottom w:w="100.0" w:type="dxa"/>
              <w:right w:w="100.0" w:type="dxa"/>
            </w:tcMar>
            <w:vAlign w:val="top"/>
          </w:tcPr>
          <w:p w:rsidR="00000000" w:rsidDel="00000000" w:rsidP="00000000" w:rsidRDefault="00000000" w:rsidRPr="00000000" w14:paraId="0000003F">
            <w:pPr>
              <w:widowControl w:val="0"/>
              <w:spacing w:after="240" w:before="240" w:line="240" w:lineRule="auto"/>
              <w:jc w:val="center"/>
              <w:rPr>
                <w:sz w:val="32"/>
                <w:szCs w:val="32"/>
              </w:rPr>
            </w:pPr>
            <w:r w:rsidDel="00000000" w:rsidR="00000000" w:rsidRPr="00000000">
              <w:rPr>
                <w:rtl w:val="0"/>
              </w:rPr>
            </w:r>
          </w:p>
        </w:tc>
      </w:tr>
      <w:tr>
        <w:trPr>
          <w:cantSplit w:val="0"/>
          <w:trHeight w:val="1715" w:hRule="atLeast"/>
          <w:tblHeader w:val="0"/>
        </w:trPr>
        <w:tc>
          <w:tcPr>
            <w:vMerge w:val="restart"/>
            <w:tcBorders>
              <w:top w:color="000000" w:space="0" w:sz="8" w:val="single"/>
              <w:left w:color="000000" w:space="0" w:sz="8" w:val="single"/>
              <w:bottom w:color="000000" w:space="0" w:sz="0" w:val="nil"/>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40">
            <w:pPr>
              <w:widowControl w:val="0"/>
              <w:pBdr>
                <w:bottom w:color="auto" w:space="6" w:sz="0" w:val="none"/>
              </w:pBdr>
              <w:spacing w:after="240" w:before="240" w:line="240" w:lineRule="auto"/>
              <w:rPr>
                <w:sz w:val="14"/>
                <w:szCs w:val="14"/>
              </w:rPr>
            </w:pPr>
            <w:r w:rsidDel="00000000" w:rsidR="00000000" w:rsidRPr="00000000">
              <w:rPr>
                <w:rtl w:val="0"/>
              </w:rPr>
            </w:r>
          </w:p>
        </w:tc>
        <w:tc>
          <w:tcPr>
            <w:tcBorders>
              <w:top w:color="000000" w:space="0" w:sz="8" w:val="single"/>
              <w:left w:color="000000" w:space="0" w:sz="8" w:val="single"/>
              <w:bottom w:color="000000" w:space="0" w:sz="0" w:val="nil"/>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41">
            <w:pPr>
              <w:widowControl w:val="0"/>
              <w:spacing w:after="240" w:before="240" w:line="240" w:lineRule="auto"/>
              <w:jc w:val="center"/>
              <w:rPr>
                <w:sz w:val="32"/>
                <w:szCs w:val="32"/>
              </w:rPr>
            </w:pPr>
            <w:r w:rsidDel="00000000" w:rsidR="00000000" w:rsidRPr="00000000">
              <w:rPr>
                <w:sz w:val="32"/>
                <w:szCs w:val="32"/>
                <w:rtl w:val="0"/>
              </w:rPr>
              <w:t xml:space="preserve">20</w:t>
            </w:r>
          </w:p>
        </w:tc>
        <w:tc>
          <w:tcPr>
            <w:vMerge w:val="restart"/>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42">
            <w:pPr>
              <w:widowControl w:val="0"/>
              <w:spacing w:after="240" w:before="240" w:line="240" w:lineRule="auto"/>
              <w:jc w:val="center"/>
              <w:rPr>
                <w:sz w:val="32"/>
                <w:szCs w:val="32"/>
              </w:rPr>
            </w:pPr>
            <w:r w:rsidDel="00000000" w:rsidR="00000000" w:rsidRPr="00000000">
              <w:rPr>
                <w:rtl w:val="0"/>
              </w:rPr>
            </w:r>
          </w:p>
        </w:tc>
      </w:tr>
      <w:tr>
        <w:trPr>
          <w:cantSplit w:val="0"/>
          <w:tblHeader w:val="0"/>
        </w:trPr>
        <w:tc>
          <w:tcPr>
            <w:vMerge w:val="continue"/>
            <w:tcBorders>
              <w:bottom w:color="000000" w:space="0" w:sz="0" w:val="nil"/>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43">
            <w:pPr>
              <w:widowControl w:val="0"/>
              <w:spacing w:line="240" w:lineRule="auto"/>
              <w:rPr/>
            </w:pPr>
            <w:r w:rsidDel="00000000" w:rsidR="00000000" w:rsidRPr="00000000">
              <w:rPr>
                <w:rtl w:val="0"/>
              </w:rPr>
            </w:r>
          </w:p>
        </w:tc>
        <w:tc>
          <w:tcPr>
            <w:tcBorders>
              <w:top w:color="000000" w:space="0" w:sz="0" w:val="nil"/>
              <w:left w:color="000000" w:space="0" w:sz="8"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44">
            <w:pPr>
              <w:widowControl w:val="0"/>
              <w:spacing w:after="240" w:before="240" w:line="240" w:lineRule="auto"/>
              <w:jc w:val="center"/>
              <w:rPr>
                <w:sz w:val="32"/>
                <w:szCs w:val="32"/>
              </w:rPr>
            </w:pPr>
            <w:r w:rsidDel="00000000" w:rsidR="00000000" w:rsidRPr="00000000">
              <w:rPr>
                <w:rtl w:val="0"/>
              </w:rPr>
            </w:r>
          </w:p>
        </w:tc>
        <w:tc>
          <w:tcPr>
            <w:vMerge w:val="continue"/>
            <w:tcBorders>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45">
            <w:pPr>
              <w:widowControl w:val="0"/>
              <w:spacing w:line="240" w:lineRule="auto"/>
              <w:rPr/>
            </w:pPr>
            <w:r w:rsidDel="00000000" w:rsidR="00000000" w:rsidRPr="00000000">
              <w:rPr>
                <w:rtl w:val="0"/>
              </w:rPr>
            </w:r>
          </w:p>
        </w:tc>
      </w:tr>
      <w:tr>
        <w:trPr>
          <w:cantSplit w:val="0"/>
          <w:trHeight w:val="1100" w:hRule="atLeast"/>
          <w:tblHeader w:val="0"/>
        </w:trPr>
        <w:tc>
          <w:tcPr>
            <w:tcBorders>
              <w:top w:color="000000" w:space="0" w:sz="8" w:val="single"/>
              <w:left w:color="000000" w:space="0" w:sz="8" w:val="single"/>
              <w:bottom w:color="000000" w:space="0" w:sz="0" w:val="nil"/>
              <w:right w:color="000000" w:space="0" w:sz="8" w:val="single"/>
            </w:tcBorders>
            <w:shd w:fill="d9d9d9" w:val="clear"/>
            <w:tcMar>
              <w:top w:w="100.0" w:type="dxa"/>
              <w:left w:w="100.0" w:type="dxa"/>
              <w:bottom w:w="100.0" w:type="dxa"/>
              <w:right w:w="100.0" w:type="dxa"/>
            </w:tcMar>
            <w:vAlign w:val="top"/>
          </w:tcPr>
          <w:p w:rsidR="00000000" w:rsidDel="00000000" w:rsidP="00000000" w:rsidRDefault="00000000" w:rsidRPr="00000000" w14:paraId="00000046">
            <w:pPr>
              <w:widowControl w:val="0"/>
              <w:spacing w:after="240" w:before="240" w:line="240" w:lineRule="auto"/>
              <w:rPr>
                <w:b w:val="1"/>
              </w:rPr>
            </w:pPr>
            <w:r w:rsidDel="00000000" w:rsidR="00000000" w:rsidRPr="00000000">
              <w:rPr>
                <w:b w:val="1"/>
                <w:sz w:val="16"/>
                <w:szCs w:val="16"/>
                <w:rtl w:val="0"/>
              </w:rPr>
              <w:t xml:space="preserve">2. </w:t>
            </w:r>
            <w:r w:rsidDel="00000000" w:rsidR="00000000" w:rsidRPr="00000000">
              <w:rPr>
                <w:b w:val="1"/>
                <w:rtl w:val="0"/>
              </w:rPr>
              <w:t xml:space="preserve">Knowledge and Understanding Skills</w:t>
            </w:r>
          </w:p>
          <w:p w:rsidR="00000000" w:rsidDel="00000000" w:rsidP="00000000" w:rsidRDefault="00000000" w:rsidRPr="00000000" w14:paraId="00000047">
            <w:pPr>
              <w:widowControl w:val="0"/>
              <w:pBdr>
                <w:bottom w:color="auto" w:space="6" w:sz="0" w:val="none"/>
              </w:pBdr>
              <w:spacing w:after="240" w:before="240" w:line="240" w:lineRule="auto"/>
              <w:rPr>
                <w:sz w:val="14"/>
                <w:szCs w:val="14"/>
              </w:rPr>
            </w:pPr>
            <w:r w:rsidDel="00000000" w:rsidR="00000000" w:rsidRPr="00000000">
              <w:rPr>
                <w:rtl w:val="0"/>
              </w:rPr>
            </w:r>
          </w:p>
        </w:tc>
        <w:tc>
          <w:tcPr>
            <w:tcBorders>
              <w:top w:color="000000" w:space="0" w:sz="8" w:val="single"/>
              <w:left w:color="000000" w:space="0" w:sz="8" w:val="single"/>
              <w:bottom w:color="000000" w:space="0" w:sz="0" w:val="nil"/>
              <w:right w:color="000000" w:space="0" w:sz="8" w:val="single"/>
            </w:tcBorders>
            <w:shd w:fill="d9d9d9" w:val="clear"/>
            <w:tcMar>
              <w:top w:w="100.0" w:type="dxa"/>
              <w:left w:w="100.0" w:type="dxa"/>
              <w:bottom w:w="100.0" w:type="dxa"/>
              <w:right w:w="100.0" w:type="dxa"/>
            </w:tcMar>
            <w:vAlign w:val="top"/>
          </w:tcPr>
          <w:p w:rsidR="00000000" w:rsidDel="00000000" w:rsidP="00000000" w:rsidRDefault="00000000" w:rsidRPr="00000000" w14:paraId="00000048">
            <w:pPr>
              <w:widowControl w:val="0"/>
              <w:spacing w:after="240" w:before="240" w:line="240" w:lineRule="auto"/>
              <w:jc w:val="center"/>
              <w:rPr>
                <w:sz w:val="32"/>
                <w:szCs w:val="32"/>
              </w:rPr>
            </w:pP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shd w:fill="d9d9d9" w:val="clear"/>
            <w:tcMar>
              <w:top w:w="100.0" w:type="dxa"/>
              <w:left w:w="100.0" w:type="dxa"/>
              <w:bottom w:w="100.0" w:type="dxa"/>
              <w:right w:w="100.0" w:type="dxa"/>
            </w:tcMar>
            <w:vAlign w:val="top"/>
          </w:tcPr>
          <w:p w:rsidR="00000000" w:rsidDel="00000000" w:rsidP="00000000" w:rsidRDefault="00000000" w:rsidRPr="00000000" w14:paraId="00000049">
            <w:pPr>
              <w:widowControl w:val="0"/>
              <w:spacing w:after="240" w:before="240" w:line="240" w:lineRule="auto"/>
              <w:jc w:val="center"/>
              <w:rPr>
                <w:sz w:val="32"/>
                <w:szCs w:val="32"/>
              </w:rPr>
            </w:pPr>
            <w:r w:rsidDel="00000000" w:rsidR="00000000" w:rsidRPr="00000000">
              <w:rPr>
                <w:rtl w:val="0"/>
              </w:rPr>
            </w:r>
          </w:p>
        </w:tc>
      </w:tr>
      <w:tr>
        <w:trPr>
          <w:cantSplit w:val="0"/>
          <w:trHeight w:val="1715" w:hRule="atLeast"/>
          <w:tblHeader w:val="0"/>
        </w:trPr>
        <w:tc>
          <w:tcPr>
            <w:vMerge w:val="restart"/>
            <w:tcBorders>
              <w:top w:color="000000" w:space="0" w:sz="8" w:val="single"/>
              <w:left w:color="000000" w:space="0" w:sz="8" w:val="single"/>
              <w:bottom w:color="000000" w:space="0" w:sz="0" w:val="nil"/>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4A">
            <w:pPr>
              <w:widowControl w:val="0"/>
              <w:pBdr>
                <w:bottom w:color="auto" w:space="6" w:sz="0" w:val="none"/>
              </w:pBdr>
              <w:spacing w:after="240" w:before="240" w:line="240" w:lineRule="auto"/>
              <w:rPr>
                <w:sz w:val="14"/>
                <w:szCs w:val="14"/>
              </w:rPr>
            </w:pPr>
            <w:r w:rsidDel="00000000" w:rsidR="00000000" w:rsidRPr="00000000">
              <w:rPr>
                <w:rtl w:val="0"/>
              </w:rPr>
            </w:r>
          </w:p>
        </w:tc>
        <w:tc>
          <w:tcPr>
            <w:tcBorders>
              <w:top w:color="000000" w:space="0" w:sz="8" w:val="single"/>
              <w:left w:color="000000" w:space="0" w:sz="8" w:val="single"/>
              <w:bottom w:color="000000" w:space="0" w:sz="0" w:val="nil"/>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4B">
            <w:pPr>
              <w:widowControl w:val="0"/>
              <w:spacing w:after="240" w:before="240" w:line="240" w:lineRule="auto"/>
              <w:jc w:val="center"/>
              <w:rPr>
                <w:sz w:val="32"/>
                <w:szCs w:val="32"/>
              </w:rPr>
            </w:pPr>
            <w:r w:rsidDel="00000000" w:rsidR="00000000" w:rsidRPr="00000000">
              <w:rPr>
                <w:sz w:val="32"/>
                <w:szCs w:val="32"/>
                <w:rtl w:val="0"/>
              </w:rPr>
              <w:t xml:space="preserve">50</w:t>
            </w:r>
          </w:p>
        </w:tc>
        <w:tc>
          <w:tcPr>
            <w:vMerge w:val="restart"/>
            <w:tcBorders>
              <w:top w:color="000000" w:space="0" w:sz="8" w:val="single"/>
              <w:left w:color="000000" w:space="0" w:sz="8"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4C">
            <w:pPr>
              <w:widowControl w:val="0"/>
              <w:spacing w:after="240" w:before="240" w:line="240" w:lineRule="auto"/>
              <w:jc w:val="center"/>
              <w:rPr>
                <w:sz w:val="32"/>
                <w:szCs w:val="32"/>
              </w:rPr>
            </w:pPr>
            <w:r w:rsidDel="00000000" w:rsidR="00000000" w:rsidRPr="00000000">
              <w:rPr>
                <w:rtl w:val="0"/>
              </w:rPr>
            </w:r>
          </w:p>
        </w:tc>
      </w:tr>
      <w:tr>
        <w:trPr>
          <w:cantSplit w:val="0"/>
          <w:tblHeader w:val="0"/>
        </w:trPr>
        <w:tc>
          <w:tcPr>
            <w:vMerge w:val="continue"/>
            <w:tcBorders>
              <w:bottom w:color="000000" w:space="0" w:sz="0" w:val="nil"/>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4D">
            <w:pPr>
              <w:widowControl w:val="0"/>
              <w:spacing w:line="240" w:lineRule="auto"/>
              <w:rPr/>
            </w:pPr>
            <w:r w:rsidDel="00000000" w:rsidR="00000000" w:rsidRPr="00000000">
              <w:rPr>
                <w:rtl w:val="0"/>
              </w:rPr>
            </w:r>
          </w:p>
        </w:tc>
        <w:tc>
          <w:tcPr>
            <w:tcBorders>
              <w:top w:color="000000" w:space="0" w:sz="0" w:val="nil"/>
              <w:left w:color="000000" w:space="0" w:sz="8"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4E">
            <w:pPr>
              <w:widowControl w:val="0"/>
              <w:spacing w:after="240" w:before="240" w:line="240" w:lineRule="auto"/>
              <w:jc w:val="center"/>
              <w:rPr>
                <w:sz w:val="32"/>
                <w:szCs w:val="32"/>
              </w:rPr>
            </w:pPr>
            <w:r w:rsidDel="00000000" w:rsidR="00000000" w:rsidRPr="00000000">
              <w:rPr>
                <w:rtl w:val="0"/>
              </w:rPr>
            </w:r>
          </w:p>
        </w:tc>
        <w:tc>
          <w:tcPr>
            <w:vMerge w:val="continue"/>
            <w:tcBorders>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4F">
            <w:pPr>
              <w:widowControl w:val="0"/>
              <w:spacing w:line="240" w:lineRule="auto"/>
              <w:rPr/>
            </w:pPr>
            <w:r w:rsidDel="00000000" w:rsidR="00000000" w:rsidRPr="00000000">
              <w:rPr>
                <w:rtl w:val="0"/>
              </w:rPr>
            </w:r>
          </w:p>
        </w:tc>
      </w:tr>
      <w:tr>
        <w:trPr>
          <w:cantSplit w:val="0"/>
          <w:trHeight w:val="1100" w:hRule="atLeast"/>
          <w:tblHeader w:val="0"/>
        </w:trPr>
        <w:tc>
          <w:tcPr>
            <w:tcBorders>
              <w:top w:color="000000" w:space="0" w:sz="8" w:val="single"/>
              <w:left w:color="000000" w:space="0" w:sz="8" w:val="single"/>
              <w:bottom w:color="000000" w:space="0" w:sz="0" w:val="nil"/>
              <w:right w:color="000000" w:space="0" w:sz="8" w:val="single"/>
            </w:tcBorders>
            <w:shd w:fill="d9d9d9" w:val="clear"/>
            <w:tcMar>
              <w:top w:w="100.0" w:type="dxa"/>
              <w:left w:w="100.0" w:type="dxa"/>
              <w:bottom w:w="100.0" w:type="dxa"/>
              <w:right w:w="100.0" w:type="dxa"/>
            </w:tcMar>
            <w:vAlign w:val="top"/>
          </w:tcPr>
          <w:p w:rsidR="00000000" w:rsidDel="00000000" w:rsidP="00000000" w:rsidRDefault="00000000" w:rsidRPr="00000000" w14:paraId="00000050">
            <w:pPr>
              <w:widowControl w:val="0"/>
              <w:spacing w:after="240" w:before="240" w:line="240" w:lineRule="auto"/>
              <w:rPr>
                <w:b w:val="1"/>
              </w:rPr>
            </w:pPr>
            <w:r w:rsidDel="00000000" w:rsidR="00000000" w:rsidRPr="00000000">
              <w:rPr>
                <w:b w:val="1"/>
                <w:sz w:val="16"/>
                <w:szCs w:val="16"/>
                <w:rtl w:val="0"/>
              </w:rPr>
              <w:t xml:space="preserve">3. </w:t>
            </w:r>
            <w:r w:rsidDel="00000000" w:rsidR="00000000" w:rsidRPr="00000000">
              <w:rPr>
                <w:b w:val="1"/>
                <w:rtl w:val="0"/>
              </w:rPr>
              <w:t xml:space="preserve">Cognitive and Intellectual Skills</w:t>
            </w:r>
          </w:p>
          <w:p w:rsidR="00000000" w:rsidDel="00000000" w:rsidP="00000000" w:rsidRDefault="00000000" w:rsidRPr="00000000" w14:paraId="00000051">
            <w:pPr>
              <w:widowControl w:val="0"/>
              <w:pBdr>
                <w:bottom w:color="auto" w:space="6" w:sz="0" w:val="none"/>
              </w:pBdr>
              <w:spacing w:after="240" w:before="240" w:line="240" w:lineRule="auto"/>
              <w:rPr>
                <w:sz w:val="14"/>
                <w:szCs w:val="14"/>
              </w:rPr>
            </w:pPr>
            <w:r w:rsidDel="00000000" w:rsidR="00000000" w:rsidRPr="00000000">
              <w:rPr>
                <w:rtl w:val="0"/>
              </w:rPr>
            </w:r>
          </w:p>
        </w:tc>
        <w:tc>
          <w:tcPr>
            <w:tcBorders>
              <w:top w:color="000000" w:space="0" w:sz="8" w:val="single"/>
              <w:left w:color="000000" w:space="0" w:sz="8" w:val="single"/>
              <w:bottom w:color="000000" w:space="0" w:sz="0" w:val="nil"/>
              <w:right w:color="000000" w:space="0" w:sz="8" w:val="single"/>
            </w:tcBorders>
            <w:shd w:fill="d9d9d9" w:val="clear"/>
            <w:tcMar>
              <w:top w:w="100.0" w:type="dxa"/>
              <w:left w:w="100.0" w:type="dxa"/>
              <w:bottom w:w="100.0" w:type="dxa"/>
              <w:right w:w="100.0" w:type="dxa"/>
            </w:tcMar>
            <w:vAlign w:val="top"/>
          </w:tcPr>
          <w:p w:rsidR="00000000" w:rsidDel="00000000" w:rsidP="00000000" w:rsidRDefault="00000000" w:rsidRPr="00000000" w14:paraId="00000052">
            <w:pPr>
              <w:widowControl w:val="0"/>
              <w:spacing w:after="240" w:before="240" w:line="240" w:lineRule="auto"/>
              <w:jc w:val="center"/>
              <w:rPr>
                <w:sz w:val="32"/>
                <w:szCs w:val="32"/>
              </w:rPr>
            </w:pP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shd w:fill="d9d9d9" w:val="clear"/>
            <w:tcMar>
              <w:top w:w="100.0" w:type="dxa"/>
              <w:left w:w="100.0" w:type="dxa"/>
              <w:bottom w:w="100.0" w:type="dxa"/>
              <w:right w:w="100.0" w:type="dxa"/>
            </w:tcMar>
            <w:vAlign w:val="top"/>
          </w:tcPr>
          <w:p w:rsidR="00000000" w:rsidDel="00000000" w:rsidP="00000000" w:rsidRDefault="00000000" w:rsidRPr="00000000" w14:paraId="00000053">
            <w:pPr>
              <w:widowControl w:val="0"/>
              <w:spacing w:after="240" w:before="240" w:line="240" w:lineRule="auto"/>
              <w:jc w:val="center"/>
              <w:rPr>
                <w:sz w:val="32"/>
                <w:szCs w:val="32"/>
              </w:rPr>
            </w:pPr>
            <w:r w:rsidDel="00000000" w:rsidR="00000000" w:rsidRPr="00000000">
              <w:rPr>
                <w:rtl w:val="0"/>
              </w:rPr>
            </w:r>
          </w:p>
        </w:tc>
      </w:tr>
      <w:tr>
        <w:trPr>
          <w:cantSplit w:val="0"/>
          <w:trHeight w:val="1715" w:hRule="atLeast"/>
          <w:tblHeader w:val="0"/>
        </w:trPr>
        <w:tc>
          <w:tcPr>
            <w:vMerge w:val="restart"/>
            <w:tcBorders>
              <w:top w:color="000000" w:space="0" w:sz="8" w:val="single"/>
              <w:left w:color="000000" w:space="0" w:sz="8" w:val="single"/>
              <w:bottom w:color="000000" w:space="0" w:sz="0" w:val="nil"/>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54">
            <w:pPr>
              <w:widowControl w:val="0"/>
              <w:pBdr>
                <w:bottom w:color="auto" w:space="6" w:sz="0" w:val="none"/>
              </w:pBdr>
              <w:spacing w:after="240" w:before="240" w:line="240" w:lineRule="auto"/>
              <w:rPr>
                <w:sz w:val="14"/>
                <w:szCs w:val="14"/>
              </w:rPr>
            </w:pPr>
            <w:r w:rsidDel="00000000" w:rsidR="00000000" w:rsidRPr="00000000">
              <w:rPr>
                <w:rtl w:val="0"/>
              </w:rPr>
            </w:r>
          </w:p>
          <w:p w:rsidR="00000000" w:rsidDel="00000000" w:rsidP="00000000" w:rsidRDefault="00000000" w:rsidRPr="00000000" w14:paraId="00000055">
            <w:pPr>
              <w:widowControl w:val="0"/>
              <w:pBdr>
                <w:bottom w:color="auto" w:space="6" w:sz="0" w:val="none"/>
              </w:pBdr>
              <w:spacing w:after="240" w:before="240" w:line="240" w:lineRule="auto"/>
              <w:rPr>
                <w:sz w:val="14"/>
                <w:szCs w:val="14"/>
              </w:rPr>
            </w:pPr>
            <w:r w:rsidDel="00000000" w:rsidR="00000000" w:rsidRPr="00000000">
              <w:rPr>
                <w:rtl w:val="0"/>
              </w:rPr>
            </w:r>
          </w:p>
          <w:p w:rsidR="00000000" w:rsidDel="00000000" w:rsidP="00000000" w:rsidRDefault="00000000" w:rsidRPr="00000000" w14:paraId="00000056">
            <w:pPr>
              <w:widowControl w:val="0"/>
              <w:pBdr>
                <w:bottom w:color="auto" w:space="6" w:sz="0" w:val="none"/>
              </w:pBdr>
              <w:spacing w:after="240" w:before="240" w:line="240" w:lineRule="auto"/>
              <w:rPr>
                <w:sz w:val="14"/>
                <w:szCs w:val="14"/>
              </w:rPr>
            </w:pPr>
            <w:r w:rsidDel="00000000" w:rsidR="00000000" w:rsidRPr="00000000">
              <w:rPr>
                <w:rtl w:val="0"/>
              </w:rPr>
            </w:r>
          </w:p>
          <w:p w:rsidR="00000000" w:rsidDel="00000000" w:rsidP="00000000" w:rsidRDefault="00000000" w:rsidRPr="00000000" w14:paraId="00000057">
            <w:pPr>
              <w:widowControl w:val="0"/>
              <w:pBdr>
                <w:bottom w:color="auto" w:space="6" w:sz="0" w:val="none"/>
              </w:pBdr>
              <w:spacing w:after="240" w:before="240" w:line="240" w:lineRule="auto"/>
              <w:rPr>
                <w:sz w:val="14"/>
                <w:szCs w:val="14"/>
              </w:rPr>
            </w:pPr>
            <w:r w:rsidDel="00000000" w:rsidR="00000000" w:rsidRPr="00000000">
              <w:rPr>
                <w:rtl w:val="0"/>
              </w:rPr>
            </w:r>
          </w:p>
        </w:tc>
        <w:tc>
          <w:tcPr>
            <w:tcBorders>
              <w:top w:color="000000" w:space="0" w:sz="8" w:val="single"/>
              <w:left w:color="000000" w:space="0" w:sz="8" w:val="single"/>
              <w:bottom w:color="000000" w:space="0" w:sz="0" w:val="nil"/>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58">
            <w:pPr>
              <w:widowControl w:val="0"/>
              <w:spacing w:after="240" w:before="240" w:line="240" w:lineRule="auto"/>
              <w:jc w:val="center"/>
              <w:rPr>
                <w:sz w:val="32"/>
                <w:szCs w:val="32"/>
              </w:rPr>
            </w:pPr>
            <w:r w:rsidDel="00000000" w:rsidR="00000000" w:rsidRPr="00000000">
              <w:rPr>
                <w:sz w:val="32"/>
                <w:szCs w:val="32"/>
                <w:rtl w:val="0"/>
              </w:rPr>
              <w:t xml:space="preserve">20</w:t>
            </w:r>
          </w:p>
        </w:tc>
        <w:tc>
          <w:tcPr>
            <w:vMerge w:val="restart"/>
            <w:tcBorders>
              <w:top w:color="000000" w:space="0" w:sz="8" w:val="single"/>
              <w:left w:color="000000" w:space="0" w:sz="8"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59">
            <w:pPr>
              <w:widowControl w:val="0"/>
              <w:spacing w:after="240" w:before="240" w:line="240" w:lineRule="auto"/>
              <w:jc w:val="center"/>
              <w:rPr>
                <w:sz w:val="32"/>
                <w:szCs w:val="32"/>
              </w:rPr>
            </w:pPr>
            <w:r w:rsidDel="00000000" w:rsidR="00000000" w:rsidRPr="00000000">
              <w:rPr>
                <w:rtl w:val="0"/>
              </w:rPr>
            </w:r>
          </w:p>
        </w:tc>
      </w:tr>
      <w:tr>
        <w:trPr>
          <w:cantSplit w:val="0"/>
          <w:tblHeader w:val="0"/>
        </w:trPr>
        <w:tc>
          <w:tcPr>
            <w:vMerge w:val="continue"/>
            <w:tcBorders>
              <w:bottom w:color="000000" w:space="0" w:sz="0" w:val="nil"/>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5A">
            <w:pPr>
              <w:widowControl w:val="0"/>
              <w:spacing w:line="240" w:lineRule="auto"/>
              <w:rPr/>
            </w:pPr>
            <w:r w:rsidDel="00000000" w:rsidR="00000000" w:rsidRPr="00000000">
              <w:rPr>
                <w:rtl w:val="0"/>
              </w:rPr>
            </w:r>
          </w:p>
        </w:tc>
        <w:tc>
          <w:tcPr>
            <w:tcBorders>
              <w:top w:color="000000" w:space="0" w:sz="0" w:val="nil"/>
              <w:left w:color="000000" w:space="0" w:sz="8"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5B">
            <w:pPr>
              <w:widowControl w:val="0"/>
              <w:spacing w:after="240" w:before="240" w:line="240" w:lineRule="auto"/>
              <w:jc w:val="center"/>
              <w:rPr>
                <w:sz w:val="32"/>
                <w:szCs w:val="32"/>
              </w:rPr>
            </w:pPr>
            <w:r w:rsidDel="00000000" w:rsidR="00000000" w:rsidRPr="00000000">
              <w:rPr>
                <w:rtl w:val="0"/>
              </w:rPr>
            </w:r>
          </w:p>
        </w:tc>
        <w:tc>
          <w:tcPr>
            <w:vMerge w:val="continue"/>
            <w:tcBorders>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5C">
            <w:pPr>
              <w:widowControl w:val="0"/>
              <w:spacing w:line="240" w:lineRule="auto"/>
              <w:rPr/>
            </w:pPr>
            <w:r w:rsidDel="00000000" w:rsidR="00000000" w:rsidRPr="00000000">
              <w:rPr>
                <w:rtl w:val="0"/>
              </w:rPr>
            </w:r>
          </w:p>
        </w:tc>
      </w:tr>
      <w:tr>
        <w:trPr>
          <w:cantSplit w:val="0"/>
          <w:trHeight w:val="1100" w:hRule="atLeast"/>
          <w:tblHeader w:val="0"/>
        </w:trPr>
        <w:tc>
          <w:tcPr>
            <w:tcBorders>
              <w:top w:color="000000" w:space="0" w:sz="8" w:val="single"/>
              <w:left w:color="000000" w:space="0" w:sz="8" w:val="single"/>
              <w:bottom w:color="000000" w:space="0" w:sz="0" w:val="nil"/>
              <w:right w:color="000000" w:space="0" w:sz="8" w:val="single"/>
            </w:tcBorders>
            <w:shd w:fill="d9d9d9" w:val="clear"/>
            <w:tcMar>
              <w:top w:w="100.0" w:type="dxa"/>
              <w:left w:w="100.0" w:type="dxa"/>
              <w:bottom w:w="100.0" w:type="dxa"/>
              <w:right w:w="100.0" w:type="dxa"/>
            </w:tcMar>
            <w:vAlign w:val="top"/>
          </w:tcPr>
          <w:p w:rsidR="00000000" w:rsidDel="00000000" w:rsidP="00000000" w:rsidRDefault="00000000" w:rsidRPr="00000000" w14:paraId="0000005D">
            <w:pPr>
              <w:widowControl w:val="0"/>
              <w:spacing w:after="240" w:before="240" w:line="240" w:lineRule="auto"/>
              <w:rPr>
                <w:b w:val="1"/>
              </w:rPr>
            </w:pPr>
            <w:r w:rsidDel="00000000" w:rsidR="00000000" w:rsidRPr="00000000">
              <w:rPr>
                <w:b w:val="1"/>
                <w:sz w:val="16"/>
                <w:szCs w:val="16"/>
                <w:rtl w:val="0"/>
              </w:rPr>
              <w:t xml:space="preserve">4. </w:t>
            </w:r>
            <w:r w:rsidDel="00000000" w:rsidR="00000000" w:rsidRPr="00000000">
              <w:rPr>
                <w:b w:val="1"/>
                <w:rtl w:val="0"/>
              </w:rPr>
              <w:t xml:space="preserve">Practical Application Skills</w:t>
            </w:r>
          </w:p>
          <w:p w:rsidR="00000000" w:rsidDel="00000000" w:rsidP="00000000" w:rsidRDefault="00000000" w:rsidRPr="00000000" w14:paraId="0000005E">
            <w:pPr>
              <w:widowControl w:val="0"/>
              <w:pBdr>
                <w:bottom w:color="auto" w:space="6" w:sz="0" w:val="none"/>
              </w:pBdr>
              <w:spacing w:after="240" w:before="240" w:line="240" w:lineRule="auto"/>
              <w:rPr>
                <w:sz w:val="14"/>
                <w:szCs w:val="14"/>
              </w:rPr>
            </w:pPr>
            <w:r w:rsidDel="00000000" w:rsidR="00000000" w:rsidRPr="00000000">
              <w:rPr>
                <w:rtl w:val="0"/>
              </w:rPr>
            </w:r>
          </w:p>
        </w:tc>
        <w:tc>
          <w:tcPr>
            <w:tcBorders>
              <w:top w:color="000000" w:space="0" w:sz="8" w:val="single"/>
              <w:left w:color="000000" w:space="0" w:sz="8" w:val="single"/>
              <w:bottom w:color="000000" w:space="0" w:sz="0" w:val="nil"/>
              <w:right w:color="000000" w:space="0" w:sz="8" w:val="single"/>
            </w:tcBorders>
            <w:shd w:fill="d9d9d9" w:val="clear"/>
            <w:tcMar>
              <w:top w:w="100.0" w:type="dxa"/>
              <w:left w:w="100.0" w:type="dxa"/>
              <w:bottom w:w="100.0" w:type="dxa"/>
              <w:right w:w="100.0" w:type="dxa"/>
            </w:tcMar>
            <w:vAlign w:val="top"/>
          </w:tcPr>
          <w:p w:rsidR="00000000" w:rsidDel="00000000" w:rsidP="00000000" w:rsidRDefault="00000000" w:rsidRPr="00000000" w14:paraId="0000005F">
            <w:pPr>
              <w:widowControl w:val="0"/>
              <w:spacing w:after="240" w:before="240" w:line="240" w:lineRule="auto"/>
              <w:jc w:val="center"/>
              <w:rPr>
                <w:sz w:val="32"/>
                <w:szCs w:val="32"/>
              </w:rPr>
            </w:pP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shd w:fill="d9d9d9" w:val="clear"/>
            <w:tcMar>
              <w:top w:w="100.0" w:type="dxa"/>
              <w:left w:w="100.0" w:type="dxa"/>
              <w:bottom w:w="100.0" w:type="dxa"/>
              <w:right w:w="100.0" w:type="dxa"/>
            </w:tcMar>
            <w:vAlign w:val="top"/>
          </w:tcPr>
          <w:p w:rsidR="00000000" w:rsidDel="00000000" w:rsidP="00000000" w:rsidRDefault="00000000" w:rsidRPr="00000000" w14:paraId="00000060">
            <w:pPr>
              <w:widowControl w:val="0"/>
              <w:spacing w:after="240" w:before="240" w:line="240" w:lineRule="auto"/>
              <w:jc w:val="center"/>
              <w:rPr>
                <w:sz w:val="32"/>
                <w:szCs w:val="32"/>
              </w:rPr>
            </w:pPr>
            <w:r w:rsidDel="00000000" w:rsidR="00000000" w:rsidRPr="00000000">
              <w:rPr>
                <w:rtl w:val="0"/>
              </w:rPr>
            </w:r>
          </w:p>
        </w:tc>
      </w:tr>
      <w:tr>
        <w:trPr>
          <w:cantSplit w:val="0"/>
          <w:trHeight w:val="1715" w:hRule="atLeast"/>
          <w:tblHeader w:val="0"/>
        </w:trPr>
        <w:tc>
          <w:tcPr>
            <w:vMerge w:val="restart"/>
            <w:tcBorders>
              <w:top w:color="000000" w:space="0" w:sz="8" w:val="single"/>
              <w:left w:color="000000" w:space="0" w:sz="8" w:val="single"/>
              <w:bottom w:color="000000" w:space="0" w:sz="0" w:val="nil"/>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61">
            <w:pPr>
              <w:widowControl w:val="0"/>
              <w:pBdr>
                <w:bottom w:color="auto" w:space="6" w:sz="0" w:val="none"/>
              </w:pBdr>
              <w:spacing w:after="240" w:before="240" w:line="240" w:lineRule="auto"/>
              <w:rPr>
                <w:sz w:val="14"/>
                <w:szCs w:val="14"/>
              </w:rPr>
            </w:pPr>
            <w:r w:rsidDel="00000000" w:rsidR="00000000" w:rsidRPr="00000000">
              <w:rPr>
                <w:rtl w:val="0"/>
              </w:rPr>
            </w:r>
          </w:p>
          <w:p w:rsidR="00000000" w:rsidDel="00000000" w:rsidP="00000000" w:rsidRDefault="00000000" w:rsidRPr="00000000" w14:paraId="00000062">
            <w:pPr>
              <w:widowControl w:val="0"/>
              <w:pBdr>
                <w:bottom w:color="auto" w:space="6" w:sz="0" w:val="none"/>
              </w:pBdr>
              <w:spacing w:after="240" w:before="240" w:line="240" w:lineRule="auto"/>
              <w:rPr>
                <w:sz w:val="14"/>
                <w:szCs w:val="14"/>
              </w:rPr>
            </w:pPr>
            <w:r w:rsidDel="00000000" w:rsidR="00000000" w:rsidRPr="00000000">
              <w:rPr>
                <w:rtl w:val="0"/>
              </w:rPr>
            </w:r>
          </w:p>
          <w:p w:rsidR="00000000" w:rsidDel="00000000" w:rsidP="00000000" w:rsidRDefault="00000000" w:rsidRPr="00000000" w14:paraId="00000063">
            <w:pPr>
              <w:widowControl w:val="0"/>
              <w:pBdr>
                <w:bottom w:color="auto" w:space="6" w:sz="0" w:val="none"/>
              </w:pBdr>
              <w:spacing w:after="240" w:before="240" w:line="240" w:lineRule="auto"/>
              <w:rPr>
                <w:sz w:val="14"/>
                <w:szCs w:val="14"/>
              </w:rPr>
            </w:pPr>
            <w:r w:rsidDel="00000000" w:rsidR="00000000" w:rsidRPr="00000000">
              <w:rPr>
                <w:rtl w:val="0"/>
              </w:rPr>
            </w:r>
          </w:p>
          <w:p w:rsidR="00000000" w:rsidDel="00000000" w:rsidP="00000000" w:rsidRDefault="00000000" w:rsidRPr="00000000" w14:paraId="00000064">
            <w:pPr>
              <w:widowControl w:val="0"/>
              <w:pBdr>
                <w:bottom w:color="auto" w:space="6" w:sz="0" w:val="none"/>
              </w:pBdr>
              <w:spacing w:after="240" w:before="240" w:line="240" w:lineRule="auto"/>
              <w:rPr>
                <w:sz w:val="14"/>
                <w:szCs w:val="14"/>
              </w:rPr>
            </w:pPr>
            <w:r w:rsidDel="00000000" w:rsidR="00000000" w:rsidRPr="00000000">
              <w:rPr>
                <w:rtl w:val="0"/>
              </w:rPr>
            </w:r>
          </w:p>
          <w:p w:rsidR="00000000" w:rsidDel="00000000" w:rsidP="00000000" w:rsidRDefault="00000000" w:rsidRPr="00000000" w14:paraId="00000065">
            <w:pPr>
              <w:widowControl w:val="0"/>
              <w:pBdr>
                <w:bottom w:color="auto" w:space="6" w:sz="0" w:val="none"/>
              </w:pBdr>
              <w:spacing w:after="240" w:before="240" w:line="240" w:lineRule="auto"/>
              <w:rPr>
                <w:sz w:val="14"/>
                <w:szCs w:val="14"/>
              </w:rPr>
            </w:pPr>
            <w:r w:rsidDel="00000000" w:rsidR="00000000" w:rsidRPr="00000000">
              <w:rPr>
                <w:rtl w:val="0"/>
              </w:rPr>
            </w:r>
          </w:p>
          <w:p w:rsidR="00000000" w:rsidDel="00000000" w:rsidP="00000000" w:rsidRDefault="00000000" w:rsidRPr="00000000" w14:paraId="00000066">
            <w:pPr>
              <w:widowControl w:val="0"/>
              <w:pBdr>
                <w:bottom w:color="auto" w:space="6" w:sz="0" w:val="none"/>
              </w:pBdr>
              <w:spacing w:after="240" w:before="240" w:line="240" w:lineRule="auto"/>
              <w:rPr>
                <w:sz w:val="14"/>
                <w:szCs w:val="14"/>
              </w:rPr>
            </w:pPr>
            <w:r w:rsidDel="00000000" w:rsidR="00000000" w:rsidRPr="00000000">
              <w:rPr>
                <w:rtl w:val="0"/>
              </w:rPr>
            </w:r>
          </w:p>
        </w:tc>
        <w:tc>
          <w:tcPr>
            <w:tcBorders>
              <w:top w:color="000000" w:space="0" w:sz="8" w:val="single"/>
              <w:left w:color="000000" w:space="0" w:sz="8" w:val="single"/>
              <w:bottom w:color="000000" w:space="0" w:sz="0" w:val="nil"/>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67">
            <w:pPr>
              <w:widowControl w:val="0"/>
              <w:spacing w:after="240" w:before="240" w:line="240" w:lineRule="auto"/>
              <w:jc w:val="center"/>
              <w:rPr>
                <w:sz w:val="32"/>
                <w:szCs w:val="32"/>
              </w:rPr>
            </w:pPr>
            <w:r w:rsidDel="00000000" w:rsidR="00000000" w:rsidRPr="00000000">
              <w:rPr>
                <w:sz w:val="32"/>
                <w:szCs w:val="32"/>
                <w:rtl w:val="0"/>
              </w:rPr>
              <w:t xml:space="preserve">0</w:t>
            </w:r>
          </w:p>
        </w:tc>
        <w:tc>
          <w:tcPr>
            <w:vMerge w:val="restart"/>
            <w:tcBorders>
              <w:top w:color="000000" w:space="0" w:sz="8" w:val="single"/>
              <w:left w:color="000000" w:space="0" w:sz="8"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68">
            <w:pPr>
              <w:widowControl w:val="0"/>
              <w:spacing w:after="240" w:before="240" w:line="240" w:lineRule="auto"/>
              <w:jc w:val="center"/>
              <w:rPr>
                <w:sz w:val="32"/>
                <w:szCs w:val="32"/>
              </w:rPr>
            </w:pPr>
            <w:r w:rsidDel="00000000" w:rsidR="00000000" w:rsidRPr="00000000">
              <w:rPr>
                <w:rtl w:val="0"/>
              </w:rPr>
            </w:r>
          </w:p>
        </w:tc>
      </w:tr>
      <w:tr>
        <w:trPr>
          <w:cantSplit w:val="0"/>
          <w:tblHeader w:val="0"/>
        </w:trPr>
        <w:tc>
          <w:tcPr>
            <w:vMerge w:val="continue"/>
            <w:tcBorders>
              <w:bottom w:color="000000" w:space="0" w:sz="0" w:val="nil"/>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69">
            <w:pPr>
              <w:widowControl w:val="0"/>
              <w:spacing w:line="240" w:lineRule="auto"/>
              <w:rPr/>
            </w:pPr>
            <w:r w:rsidDel="00000000" w:rsidR="00000000" w:rsidRPr="00000000">
              <w:rPr>
                <w:rtl w:val="0"/>
              </w:rPr>
            </w:r>
          </w:p>
        </w:tc>
        <w:tc>
          <w:tcPr>
            <w:tcBorders>
              <w:top w:color="000000" w:space="0" w:sz="0" w:val="nil"/>
              <w:left w:color="000000" w:space="0" w:sz="8"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6A">
            <w:pPr>
              <w:widowControl w:val="0"/>
              <w:spacing w:after="240" w:before="240" w:line="240" w:lineRule="auto"/>
              <w:jc w:val="center"/>
              <w:rPr>
                <w:sz w:val="32"/>
                <w:szCs w:val="32"/>
              </w:rPr>
            </w:pPr>
            <w:r w:rsidDel="00000000" w:rsidR="00000000" w:rsidRPr="00000000">
              <w:rPr>
                <w:rtl w:val="0"/>
              </w:rPr>
            </w:r>
          </w:p>
        </w:tc>
        <w:tc>
          <w:tcPr>
            <w:vMerge w:val="continue"/>
            <w:tcBorders>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6B">
            <w:pPr>
              <w:widowControl w:val="0"/>
              <w:spacing w:line="240" w:lineRule="auto"/>
              <w:rPr/>
            </w:pPr>
            <w:r w:rsidDel="00000000" w:rsidR="00000000" w:rsidRPr="00000000">
              <w:rPr>
                <w:rtl w:val="0"/>
              </w:rPr>
            </w:r>
          </w:p>
        </w:tc>
      </w:tr>
      <w:tr>
        <w:trPr>
          <w:cantSplit w:val="0"/>
          <w:trHeight w:val="1100" w:hRule="atLeast"/>
          <w:tblHeader w:val="0"/>
        </w:trPr>
        <w:tc>
          <w:tcPr>
            <w:tcBorders>
              <w:top w:color="000000" w:space="0" w:sz="8" w:val="single"/>
              <w:left w:color="000000" w:space="0" w:sz="8" w:val="single"/>
              <w:bottom w:color="000000" w:space="0" w:sz="0" w:val="nil"/>
              <w:right w:color="000000" w:space="0" w:sz="8" w:val="single"/>
            </w:tcBorders>
            <w:shd w:fill="d9d9d9" w:val="clear"/>
            <w:tcMar>
              <w:top w:w="100.0" w:type="dxa"/>
              <w:left w:w="100.0" w:type="dxa"/>
              <w:bottom w:w="100.0" w:type="dxa"/>
              <w:right w:w="100.0" w:type="dxa"/>
            </w:tcMar>
            <w:vAlign w:val="top"/>
          </w:tcPr>
          <w:p w:rsidR="00000000" w:rsidDel="00000000" w:rsidP="00000000" w:rsidRDefault="00000000" w:rsidRPr="00000000" w14:paraId="0000006C">
            <w:pPr>
              <w:widowControl w:val="0"/>
              <w:spacing w:after="240" w:before="240" w:line="240" w:lineRule="auto"/>
              <w:rPr>
                <w:b w:val="1"/>
              </w:rPr>
            </w:pPr>
            <w:r w:rsidDel="00000000" w:rsidR="00000000" w:rsidRPr="00000000">
              <w:rPr>
                <w:b w:val="1"/>
                <w:sz w:val="16"/>
                <w:szCs w:val="16"/>
                <w:rtl w:val="0"/>
              </w:rPr>
              <w:t xml:space="preserve">5. </w:t>
            </w:r>
            <w:r w:rsidDel="00000000" w:rsidR="00000000" w:rsidRPr="00000000">
              <w:rPr>
                <w:b w:val="1"/>
                <w:rtl w:val="0"/>
              </w:rPr>
              <w:t xml:space="preserve">Transferable Skills for Life and Professional Practice</w:t>
            </w:r>
          </w:p>
          <w:p w:rsidR="00000000" w:rsidDel="00000000" w:rsidP="00000000" w:rsidRDefault="00000000" w:rsidRPr="00000000" w14:paraId="0000006D">
            <w:pPr>
              <w:widowControl w:val="0"/>
              <w:pBdr>
                <w:bottom w:color="auto" w:space="6" w:sz="0" w:val="none"/>
              </w:pBdr>
              <w:spacing w:after="240" w:before="240" w:line="240" w:lineRule="auto"/>
              <w:rPr>
                <w:sz w:val="14"/>
                <w:szCs w:val="14"/>
              </w:rPr>
            </w:pPr>
            <w:r w:rsidDel="00000000" w:rsidR="00000000" w:rsidRPr="00000000">
              <w:rPr>
                <w:rtl w:val="0"/>
              </w:rPr>
            </w:r>
          </w:p>
        </w:tc>
        <w:tc>
          <w:tcPr>
            <w:tcBorders>
              <w:top w:color="000000" w:space="0" w:sz="8" w:val="single"/>
              <w:left w:color="000000" w:space="0" w:sz="8" w:val="single"/>
              <w:bottom w:color="000000" w:space="0" w:sz="0" w:val="nil"/>
              <w:right w:color="000000" w:space="0" w:sz="8" w:val="single"/>
            </w:tcBorders>
            <w:shd w:fill="d9d9d9" w:val="clear"/>
            <w:tcMar>
              <w:top w:w="100.0" w:type="dxa"/>
              <w:left w:w="100.0" w:type="dxa"/>
              <w:bottom w:w="100.0" w:type="dxa"/>
              <w:right w:w="100.0" w:type="dxa"/>
            </w:tcMar>
            <w:vAlign w:val="top"/>
          </w:tcPr>
          <w:p w:rsidR="00000000" w:rsidDel="00000000" w:rsidP="00000000" w:rsidRDefault="00000000" w:rsidRPr="00000000" w14:paraId="0000006E">
            <w:pPr>
              <w:widowControl w:val="0"/>
              <w:spacing w:after="240" w:before="240" w:line="240" w:lineRule="auto"/>
              <w:jc w:val="center"/>
              <w:rPr>
                <w:sz w:val="32"/>
                <w:szCs w:val="32"/>
              </w:rPr>
            </w:pP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shd w:fill="d9d9d9" w:val="clear"/>
            <w:tcMar>
              <w:top w:w="100.0" w:type="dxa"/>
              <w:left w:w="100.0" w:type="dxa"/>
              <w:bottom w:w="100.0" w:type="dxa"/>
              <w:right w:w="100.0" w:type="dxa"/>
            </w:tcMar>
            <w:vAlign w:val="top"/>
          </w:tcPr>
          <w:p w:rsidR="00000000" w:rsidDel="00000000" w:rsidP="00000000" w:rsidRDefault="00000000" w:rsidRPr="00000000" w14:paraId="0000006F">
            <w:pPr>
              <w:widowControl w:val="0"/>
              <w:spacing w:after="240" w:before="240" w:line="240" w:lineRule="auto"/>
              <w:jc w:val="center"/>
              <w:rPr>
                <w:sz w:val="32"/>
                <w:szCs w:val="32"/>
              </w:rPr>
            </w:pPr>
            <w:r w:rsidDel="00000000" w:rsidR="00000000" w:rsidRPr="00000000">
              <w:rPr>
                <w:rtl w:val="0"/>
              </w:rPr>
            </w:r>
          </w:p>
        </w:tc>
      </w:tr>
      <w:tr>
        <w:trPr>
          <w:cantSplit w:val="0"/>
          <w:trHeight w:val="665" w:hRule="atLeast"/>
          <w:tblHeader w:val="0"/>
        </w:trPr>
        <w:tc>
          <w:tcPr>
            <w:vMerge w:val="restart"/>
            <w:tcBorders>
              <w:top w:color="000000" w:space="0" w:sz="8" w:val="single"/>
              <w:left w:color="000000" w:space="0" w:sz="8" w:val="single"/>
              <w:bottom w:color="000000" w:space="0" w:sz="0" w:val="nil"/>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70">
            <w:pPr>
              <w:widowControl w:val="0"/>
              <w:pBdr>
                <w:bottom w:color="auto" w:space="6" w:sz="0" w:val="none"/>
              </w:pBdr>
              <w:spacing w:after="240" w:before="240" w:line="240" w:lineRule="auto"/>
              <w:rPr>
                <w:sz w:val="14"/>
                <w:szCs w:val="14"/>
              </w:rPr>
            </w:pPr>
            <w:r w:rsidDel="00000000" w:rsidR="00000000" w:rsidRPr="00000000">
              <w:rPr>
                <w:rtl w:val="0"/>
              </w:rPr>
            </w:r>
          </w:p>
        </w:tc>
        <w:tc>
          <w:tcPr>
            <w:tcBorders>
              <w:top w:color="000000" w:space="0" w:sz="8" w:val="single"/>
              <w:left w:color="000000" w:space="0" w:sz="8" w:val="single"/>
              <w:bottom w:color="000000" w:space="0" w:sz="0" w:val="nil"/>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71">
            <w:pPr>
              <w:widowControl w:val="0"/>
              <w:spacing w:after="240" w:before="240" w:line="240" w:lineRule="auto"/>
              <w:jc w:val="center"/>
              <w:rPr>
                <w:sz w:val="32"/>
                <w:szCs w:val="32"/>
              </w:rPr>
            </w:pPr>
            <w:r w:rsidDel="00000000" w:rsidR="00000000" w:rsidRPr="00000000">
              <w:rPr>
                <w:sz w:val="32"/>
                <w:szCs w:val="32"/>
                <w:rtl w:val="0"/>
              </w:rPr>
              <w:t xml:space="preserve">10</w:t>
            </w:r>
          </w:p>
        </w:tc>
        <w:tc>
          <w:tcPr>
            <w:vMerge w:val="restart"/>
            <w:tcBorders>
              <w:top w:color="000000" w:space="0" w:sz="8" w:val="single"/>
              <w:left w:color="000000" w:space="0" w:sz="8"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72">
            <w:pPr>
              <w:widowControl w:val="0"/>
              <w:spacing w:after="240" w:before="240" w:line="240" w:lineRule="auto"/>
              <w:jc w:val="center"/>
              <w:rPr>
                <w:sz w:val="32"/>
                <w:szCs w:val="32"/>
              </w:rPr>
            </w:pPr>
            <w:r w:rsidDel="00000000" w:rsidR="00000000" w:rsidRPr="00000000">
              <w:rPr>
                <w:rtl w:val="0"/>
              </w:rPr>
            </w:r>
          </w:p>
        </w:tc>
      </w:tr>
      <w:tr>
        <w:trPr>
          <w:cantSplit w:val="0"/>
          <w:tblHeader w:val="0"/>
        </w:trPr>
        <w:tc>
          <w:tcPr>
            <w:vMerge w:val="continue"/>
            <w:tcBorders>
              <w:bottom w:color="000000" w:space="0" w:sz="0" w:val="nil"/>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73">
            <w:pPr>
              <w:widowControl w:val="0"/>
              <w:spacing w:line="240" w:lineRule="auto"/>
              <w:rPr/>
            </w:pPr>
            <w:r w:rsidDel="00000000" w:rsidR="00000000" w:rsidRPr="00000000">
              <w:rPr>
                <w:rtl w:val="0"/>
              </w:rPr>
            </w:r>
          </w:p>
        </w:tc>
        <w:tc>
          <w:tcPr>
            <w:tcBorders>
              <w:top w:color="000000" w:space="0" w:sz="0" w:val="nil"/>
              <w:left w:color="000000" w:space="0" w:sz="8"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74">
            <w:pPr>
              <w:widowControl w:val="0"/>
              <w:spacing w:after="240" w:before="240" w:line="240" w:lineRule="auto"/>
              <w:jc w:val="center"/>
              <w:rPr>
                <w:sz w:val="32"/>
                <w:szCs w:val="32"/>
              </w:rPr>
            </w:pPr>
            <w:r w:rsidDel="00000000" w:rsidR="00000000" w:rsidRPr="00000000">
              <w:rPr>
                <w:rtl w:val="0"/>
              </w:rPr>
            </w:r>
          </w:p>
        </w:tc>
        <w:tc>
          <w:tcPr>
            <w:vMerge w:val="continue"/>
            <w:tcBorders>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75">
            <w:pPr>
              <w:widowControl w:val="0"/>
              <w:spacing w:line="240" w:lineRule="auto"/>
              <w:rPr/>
            </w:pPr>
            <w:r w:rsidDel="00000000" w:rsidR="00000000" w:rsidRPr="00000000">
              <w:rPr>
                <w:rtl w:val="0"/>
              </w:rPr>
            </w:r>
          </w:p>
        </w:tc>
      </w:tr>
    </w:tbl>
    <w:p w:rsidR="00000000" w:rsidDel="00000000" w:rsidP="00000000" w:rsidRDefault="00000000" w:rsidRPr="00000000" w14:paraId="00000076">
      <w:pPr>
        <w:widowControl w:val="0"/>
        <w:spacing w:after="240" w:before="240" w:line="240" w:lineRule="auto"/>
        <w:ind w:left="0" w:right="540" w:firstLine="0"/>
        <w:rPr>
          <w:b w:val="1"/>
          <w:sz w:val="16"/>
          <w:szCs w:val="16"/>
        </w:rPr>
      </w:pPr>
      <w:r w:rsidDel="00000000" w:rsidR="00000000" w:rsidRPr="00000000">
        <w:rPr>
          <w:rtl w:val="0"/>
        </w:rPr>
      </w:r>
    </w:p>
    <w:tbl>
      <w:tblPr>
        <w:tblStyle w:val="Table3"/>
        <w:tblW w:w="9025.511811023624" w:type="dxa"/>
        <w:jc w:val="left"/>
        <w:tblInd w:w="100.0" w:type="pc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4929.1947823292285"/>
        <w:gridCol w:w="2442.5741813329237"/>
        <w:gridCol w:w="664.7005149201071"/>
        <w:gridCol w:w="989.0423324413642"/>
        <w:tblGridChange w:id="0">
          <w:tblGrid>
            <w:gridCol w:w="4929.1947823292285"/>
            <w:gridCol w:w="2442.5741813329237"/>
            <w:gridCol w:w="664.7005149201071"/>
            <w:gridCol w:w="989.0423324413642"/>
          </w:tblGrid>
        </w:tblGridChange>
      </w:tblGrid>
      <w:tr>
        <w:trPr>
          <w:cantSplit w:val="0"/>
          <w:trHeight w:val="3127.96875" w:hRule="atLeast"/>
          <w:tblHeader w:val="0"/>
        </w:trPr>
        <w:tc>
          <w:tcPr>
            <w:vMerge w:val="restart"/>
            <w:tcBorders>
              <w:top w:color="000000" w:space="0" w:sz="0" w:val="nil"/>
              <w:left w:color="000000" w:space="0" w:sz="0" w:val="nil"/>
              <w:bottom w:color="000000" w:space="0" w:sz="0" w:val="nil"/>
              <w:right w:color="000000" w:space="0" w:sz="0" w:val="nil"/>
            </w:tcBorders>
            <w:shd w:fill="auto" w:val="clear"/>
            <w:tcMar>
              <w:top w:w="100.0" w:type="dxa"/>
              <w:left w:w="100.0" w:type="dxa"/>
              <w:bottom w:w="100.0" w:type="dxa"/>
              <w:right w:w="100.0" w:type="dxa"/>
            </w:tcMar>
            <w:vAlign w:val="center"/>
          </w:tcPr>
          <w:p w:rsidR="00000000" w:rsidDel="00000000" w:rsidP="00000000" w:rsidRDefault="00000000" w:rsidRPr="00000000" w14:paraId="00000077">
            <w:pPr>
              <w:widowControl w:val="0"/>
              <w:spacing w:after="240" w:before="240" w:line="240" w:lineRule="auto"/>
              <w:rPr>
                <w:sz w:val="16"/>
                <w:szCs w:val="16"/>
              </w:rPr>
            </w:pPr>
            <w:r w:rsidDel="00000000" w:rsidR="00000000" w:rsidRPr="00000000">
              <w:rPr>
                <w:b w:val="1"/>
                <w:rtl w:val="0"/>
              </w:rPr>
              <w:t xml:space="preserve">Assessment Mark </w:t>
            </w:r>
            <w:r w:rsidDel="00000000" w:rsidR="00000000" w:rsidRPr="00000000">
              <w:rPr>
                <w:rtl w:val="0"/>
              </w:rPr>
              <w:t xml:space="preserve">(</w:t>
            </w:r>
            <w:r w:rsidDel="00000000" w:rsidR="00000000" w:rsidRPr="00000000">
              <w:rPr>
                <w:sz w:val="16"/>
                <w:szCs w:val="16"/>
                <w:rtl w:val="0"/>
              </w:rPr>
              <w:t xml:space="preserve">Assessment marks are subject to ratification at the Exam Board. These comments and marks are to give feedback on module work and are for guidance only until they are confirmed. )</w:t>
            </w:r>
          </w:p>
        </w:tc>
        <w:tc>
          <w:tcPr>
            <w:gridSpan w:val="2"/>
            <w:tcBorders>
              <w:top w:color="000000" w:space="0" w:sz="0" w:val="nil"/>
              <w:left w:color="000000" w:space="0" w:sz="0" w:val="nil"/>
              <w:bottom w:color="000000" w:space="0" w:sz="8" w:val="single"/>
              <w:right w:color="000000" w:space="0" w:sz="0" w:val="nil"/>
            </w:tcBorders>
            <w:shd w:fill="auto" w:val="clear"/>
            <w:tcMar>
              <w:top w:w="100.0" w:type="dxa"/>
              <w:left w:w="100.0" w:type="dxa"/>
              <w:bottom w:w="100.0" w:type="dxa"/>
              <w:right w:w="100.0" w:type="dxa"/>
            </w:tcMar>
            <w:vAlign w:val="bottom"/>
          </w:tcPr>
          <w:p w:rsidR="00000000" w:rsidDel="00000000" w:rsidP="00000000" w:rsidRDefault="00000000" w:rsidRPr="00000000" w14:paraId="00000078">
            <w:pPr>
              <w:widowControl w:val="0"/>
              <w:spacing w:after="240" w:before="240" w:line="240" w:lineRule="auto"/>
              <w:rPr>
                <w:b w:val="1"/>
                <w:sz w:val="16"/>
                <w:szCs w:val="16"/>
              </w:rPr>
            </w:pPr>
            <w:r w:rsidDel="00000000" w:rsidR="00000000" w:rsidRPr="00000000">
              <w:rPr>
                <w:b w:val="1"/>
                <w:sz w:val="16"/>
                <w:szCs w:val="16"/>
                <w:rtl w:val="0"/>
              </w:rPr>
              <w:t xml:space="preserve">Late Submission Penalties (tick if appropriate)</w:t>
            </w:r>
          </w:p>
        </w:tc>
        <w:tc>
          <w:tcPr>
            <w:vMerge w:val="restart"/>
            <w:tcBorders>
              <w:top w:color="000000" w:space="0" w:sz="0" w:val="nil"/>
              <w:left w:color="000000" w:space="0" w:sz="0" w:val="nil"/>
              <w:bottom w:color="000000" w:space="0" w:sz="0" w:val="nil"/>
              <w:right w:color="000000" w:space="0" w:sz="0" w:val="nil"/>
            </w:tcBorders>
            <w:shd w:fill="auto" w:val="clear"/>
            <w:tcMar>
              <w:top w:w="100.0" w:type="dxa"/>
              <w:left w:w="100.0" w:type="dxa"/>
              <w:bottom w:w="100.0" w:type="dxa"/>
              <w:right w:w="100.0" w:type="dxa"/>
            </w:tcMar>
            <w:vAlign w:val="center"/>
          </w:tcPr>
          <w:p w:rsidR="00000000" w:rsidDel="00000000" w:rsidP="00000000" w:rsidRDefault="00000000" w:rsidRPr="00000000" w14:paraId="0000007A">
            <w:pPr>
              <w:widowControl w:val="0"/>
              <w:spacing w:after="240" w:before="240" w:line="240" w:lineRule="auto"/>
              <w:jc w:val="right"/>
              <w:rPr>
                <w:b w:val="1"/>
              </w:rPr>
            </w:pPr>
            <w:r w:rsidDel="00000000" w:rsidR="00000000" w:rsidRPr="00000000">
              <w:rPr>
                <w:b w:val="1"/>
                <w:rtl w:val="0"/>
              </w:rPr>
              <w:t xml:space="preserve">%</w:t>
            </w:r>
          </w:p>
        </w:tc>
      </w:tr>
      <w:tr>
        <w:trPr>
          <w:cantSplit w:val="0"/>
          <w:trHeight w:val="440" w:hRule="atLeast"/>
          <w:tblHeader w:val="0"/>
        </w:trPr>
        <w:tc>
          <w:tcPr>
            <w:vMerge w:val="continue"/>
            <w:tcBorders>
              <w:bottom w:color="000000" w:space="0" w:sz="0" w:val="nil"/>
              <w:right w:color="000000" w:space="0" w:sz="0" w:val="nil"/>
            </w:tcBorders>
            <w:shd w:fill="auto" w:val="clear"/>
            <w:tcMar>
              <w:top w:w="100.0" w:type="dxa"/>
              <w:left w:w="100.0" w:type="dxa"/>
              <w:bottom w:w="100.0" w:type="dxa"/>
              <w:right w:w="100.0" w:type="dxa"/>
            </w:tcMar>
            <w:vAlign w:val="top"/>
          </w:tcPr>
          <w:p w:rsidR="00000000" w:rsidDel="00000000" w:rsidP="00000000" w:rsidRDefault="00000000" w:rsidRPr="00000000" w14:paraId="0000007B">
            <w:pPr>
              <w:widowControl w:val="0"/>
              <w:spacing w:line="240" w:lineRule="auto"/>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tcMar>
              <w:top w:w="100.0" w:type="dxa"/>
              <w:left w:w="100.0" w:type="dxa"/>
              <w:bottom w:w="100.0" w:type="dxa"/>
              <w:right w:w="100.0" w:type="dxa"/>
            </w:tcMar>
            <w:vAlign w:val="bottom"/>
          </w:tcPr>
          <w:p w:rsidR="00000000" w:rsidDel="00000000" w:rsidP="00000000" w:rsidRDefault="00000000" w:rsidRPr="00000000" w14:paraId="0000007C">
            <w:pPr>
              <w:widowControl w:val="0"/>
              <w:spacing w:after="240" w:before="240" w:line="240" w:lineRule="auto"/>
              <w:rPr>
                <w:sz w:val="12"/>
                <w:szCs w:val="12"/>
              </w:rPr>
            </w:pPr>
            <w:r w:rsidDel="00000000" w:rsidR="00000000" w:rsidRPr="00000000">
              <w:rPr>
                <w:sz w:val="16"/>
                <w:szCs w:val="16"/>
                <w:rtl w:val="0"/>
              </w:rPr>
              <w:t xml:space="preserve">Up to 1 week late (</w:t>
            </w:r>
            <w:r w:rsidDel="00000000" w:rsidR="00000000" w:rsidRPr="00000000">
              <w:rPr>
                <w:sz w:val="12"/>
                <w:szCs w:val="12"/>
                <w:rtl w:val="0"/>
              </w:rPr>
              <w:t xml:space="preserve">40% Max)</w:t>
            </w:r>
          </w:p>
        </w:tc>
        <w:tc>
          <w:tcPr>
            <w:tcBorders>
              <w:top w:color="000000" w:space="0" w:sz="0" w:val="nil"/>
              <w:left w:color="000000" w:space="0" w:sz="0" w:val="nil"/>
              <w:bottom w:color="000000" w:space="0" w:sz="0" w:val="nil"/>
              <w:right w:color="000000" w:space="0" w:sz="0" w:val="nil"/>
            </w:tcBorders>
            <w:shd w:fill="auto" w:val="clear"/>
            <w:tcMar>
              <w:top w:w="100.0" w:type="dxa"/>
              <w:left w:w="100.0" w:type="dxa"/>
              <w:bottom w:w="100.0" w:type="dxa"/>
              <w:right w:w="100.0" w:type="dxa"/>
            </w:tcMar>
            <w:vAlign w:val="bottom"/>
          </w:tcPr>
          <w:p w:rsidR="00000000" w:rsidDel="00000000" w:rsidP="00000000" w:rsidRDefault="00000000" w:rsidRPr="00000000" w14:paraId="0000007D">
            <w:pPr>
              <w:widowControl w:val="0"/>
              <w:spacing w:after="240" w:before="240" w:line="240" w:lineRule="auto"/>
              <w:jc w:val="center"/>
              <w:rPr>
                <w:sz w:val="12"/>
                <w:szCs w:val="12"/>
              </w:rPr>
            </w:pPr>
            <w:r w:rsidDel="00000000" w:rsidR="00000000" w:rsidRPr="00000000">
              <w:rPr>
                <w:rtl w:val="0"/>
              </w:rPr>
            </w:r>
          </w:p>
        </w:tc>
        <w:tc>
          <w:tcPr>
            <w:vMerge w:val="continue"/>
            <w:tcBorders>
              <w:bottom w:color="000000" w:space="0" w:sz="0" w:val="nil"/>
              <w:right w:color="000000" w:space="0" w:sz="0" w:val="nil"/>
            </w:tcBorders>
            <w:shd w:fill="auto" w:val="clear"/>
            <w:tcMar>
              <w:top w:w="100.0" w:type="dxa"/>
              <w:left w:w="100.0" w:type="dxa"/>
              <w:bottom w:w="100.0" w:type="dxa"/>
              <w:right w:w="100.0" w:type="dxa"/>
            </w:tcMar>
            <w:vAlign w:val="top"/>
          </w:tcPr>
          <w:p w:rsidR="00000000" w:rsidDel="00000000" w:rsidP="00000000" w:rsidRDefault="00000000" w:rsidRPr="00000000" w14:paraId="0000007E">
            <w:pPr>
              <w:widowControl w:val="0"/>
              <w:spacing w:line="240" w:lineRule="auto"/>
              <w:rPr/>
            </w:pPr>
            <w:r w:rsidDel="00000000" w:rsidR="00000000" w:rsidRPr="00000000">
              <w:rPr>
                <w:rtl w:val="0"/>
              </w:rPr>
            </w:r>
          </w:p>
        </w:tc>
      </w:tr>
      <w:tr>
        <w:trPr>
          <w:cantSplit w:val="0"/>
          <w:trHeight w:val="440" w:hRule="atLeast"/>
          <w:tblHeader w:val="0"/>
        </w:trPr>
        <w:tc>
          <w:tcPr>
            <w:vMerge w:val="continue"/>
            <w:tcBorders>
              <w:bottom w:color="000000" w:space="0" w:sz="0" w:val="nil"/>
              <w:right w:color="000000" w:space="0" w:sz="0" w:val="nil"/>
            </w:tcBorders>
            <w:shd w:fill="auto" w:val="clear"/>
            <w:tcMar>
              <w:top w:w="100.0" w:type="dxa"/>
              <w:left w:w="100.0" w:type="dxa"/>
              <w:bottom w:w="100.0" w:type="dxa"/>
              <w:right w:w="100.0" w:type="dxa"/>
            </w:tcMar>
            <w:vAlign w:val="top"/>
          </w:tcPr>
          <w:p w:rsidR="00000000" w:rsidDel="00000000" w:rsidP="00000000" w:rsidRDefault="00000000" w:rsidRPr="00000000" w14:paraId="0000007F">
            <w:pPr>
              <w:widowControl w:val="0"/>
              <w:spacing w:line="240" w:lineRule="auto"/>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tcMar>
              <w:top w:w="100.0" w:type="dxa"/>
              <w:left w:w="100.0" w:type="dxa"/>
              <w:bottom w:w="100.0" w:type="dxa"/>
              <w:right w:w="100.0" w:type="dxa"/>
            </w:tcMar>
            <w:vAlign w:val="bottom"/>
          </w:tcPr>
          <w:p w:rsidR="00000000" w:rsidDel="00000000" w:rsidP="00000000" w:rsidRDefault="00000000" w:rsidRPr="00000000" w14:paraId="00000080">
            <w:pPr>
              <w:widowControl w:val="0"/>
              <w:spacing w:after="240" w:before="240" w:line="240" w:lineRule="auto"/>
              <w:rPr>
                <w:sz w:val="12"/>
                <w:szCs w:val="12"/>
              </w:rPr>
            </w:pPr>
            <w:r w:rsidDel="00000000" w:rsidR="00000000" w:rsidRPr="00000000">
              <w:rPr>
                <w:sz w:val="16"/>
                <w:szCs w:val="16"/>
                <w:rtl w:val="0"/>
              </w:rPr>
              <w:t xml:space="preserve">Over 1 week late (</w:t>
            </w:r>
            <w:r w:rsidDel="00000000" w:rsidR="00000000" w:rsidRPr="00000000">
              <w:rPr>
                <w:sz w:val="12"/>
                <w:szCs w:val="12"/>
                <w:rtl w:val="0"/>
              </w:rPr>
              <w:t xml:space="preserve">0%)</w:t>
            </w:r>
          </w:p>
        </w:tc>
        <w:tc>
          <w:tcPr>
            <w:tcBorders>
              <w:top w:color="000000" w:space="0" w:sz="0" w:val="nil"/>
              <w:left w:color="000000" w:space="0" w:sz="0" w:val="nil"/>
              <w:bottom w:color="000000" w:space="0" w:sz="0" w:val="nil"/>
              <w:right w:color="000000" w:space="0" w:sz="0" w:val="nil"/>
            </w:tcBorders>
            <w:shd w:fill="auto" w:val="clear"/>
            <w:tcMar>
              <w:top w:w="100.0" w:type="dxa"/>
              <w:left w:w="100.0" w:type="dxa"/>
              <w:bottom w:w="100.0" w:type="dxa"/>
              <w:right w:w="100.0" w:type="dxa"/>
            </w:tcMar>
            <w:vAlign w:val="bottom"/>
          </w:tcPr>
          <w:p w:rsidR="00000000" w:rsidDel="00000000" w:rsidP="00000000" w:rsidRDefault="00000000" w:rsidRPr="00000000" w14:paraId="00000081">
            <w:pPr>
              <w:widowControl w:val="0"/>
              <w:spacing w:after="240" w:before="240" w:line="240" w:lineRule="auto"/>
              <w:jc w:val="center"/>
              <w:rPr>
                <w:sz w:val="12"/>
                <w:szCs w:val="12"/>
              </w:rPr>
            </w:pPr>
            <w:r w:rsidDel="00000000" w:rsidR="00000000" w:rsidRPr="00000000">
              <w:rPr>
                <w:rtl w:val="0"/>
              </w:rPr>
            </w:r>
          </w:p>
        </w:tc>
        <w:tc>
          <w:tcPr>
            <w:vMerge w:val="continue"/>
            <w:tcBorders>
              <w:bottom w:color="000000" w:space="0" w:sz="0" w:val="nil"/>
              <w:right w:color="000000" w:space="0" w:sz="0" w:val="nil"/>
            </w:tcBorders>
            <w:shd w:fill="auto" w:val="clear"/>
            <w:tcMar>
              <w:top w:w="100.0" w:type="dxa"/>
              <w:left w:w="100.0" w:type="dxa"/>
              <w:bottom w:w="100.0" w:type="dxa"/>
              <w:right w:w="100.0" w:type="dxa"/>
            </w:tcMar>
            <w:vAlign w:val="top"/>
          </w:tcPr>
          <w:p w:rsidR="00000000" w:rsidDel="00000000" w:rsidP="00000000" w:rsidRDefault="00000000" w:rsidRPr="00000000" w14:paraId="00000082">
            <w:pPr>
              <w:widowControl w:val="0"/>
              <w:spacing w:line="240" w:lineRule="auto"/>
              <w:rPr/>
            </w:pPr>
            <w:r w:rsidDel="00000000" w:rsidR="00000000" w:rsidRPr="00000000">
              <w:rPr>
                <w:rtl w:val="0"/>
              </w:rPr>
            </w:r>
          </w:p>
        </w:tc>
      </w:tr>
    </w:tbl>
    <w:p w:rsidR="00000000" w:rsidDel="00000000" w:rsidP="00000000" w:rsidRDefault="00000000" w:rsidRPr="00000000" w14:paraId="0000008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sectPr>
      <w:headerReference r:id="rId20"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84">
    <w:pPr>
      <w:rPr/>
    </w:pPr>
    <w:r w:rsidDel="00000000" w:rsidR="00000000" w:rsidRPr="00000000">
      <w:rPr>
        <w:rtl w:val="0"/>
      </w:rPr>
      <w:t xml:space="preserve">Name: Stacy Rees                       Module: BMHN4001                              Student ID:1809144</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 w:type="table" w:styleId="Table3">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20" Type="http://schemas.openxmlformats.org/officeDocument/2006/relationships/header" Target="header1.xml"/><Relationship Id="rId11" Type="http://schemas.openxmlformats.org/officeDocument/2006/relationships/hyperlink" Target="https://academic.oup.com/eurheartj/article/42/15/1499/6213772?login=false#235458603" TargetMode="External"/><Relationship Id="rId10" Type="http://schemas.openxmlformats.org/officeDocument/2006/relationships/hyperlink" Target="https://newsroom.heart.org/news/heart-disease" TargetMode="External"/><Relationship Id="rId13" Type="http://schemas.openxmlformats.org/officeDocument/2006/relationships/hyperlink" Target="https://www.sciencedirect.com/science/article/abs/pii/S0828282X10710758" TargetMode="External"/><Relationship Id="rId12" Type="http://schemas.openxmlformats.org/officeDocument/2006/relationships/hyperlink" Target="https://www.ncbi.nlm.nih.gov/pmc/articles/PMC3501820/"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jamanetwork.com/journals/jamainternalmedicine/article-abstract/208552" TargetMode="External"/><Relationship Id="rId15" Type="http://schemas.openxmlformats.org/officeDocument/2006/relationships/hyperlink" Target="https://www.sciencedirect.com/science/article/pii/S0735109720377755" TargetMode="External"/><Relationship Id="rId14" Type="http://schemas.openxmlformats.org/officeDocument/2006/relationships/hyperlink" Target="https://phw.nhs.wales/services-and-teams/observatory/data-and-analysis/cardiovascular-disease/" TargetMode="External"/><Relationship Id="rId17" Type="http://schemas.openxmlformats.org/officeDocument/2006/relationships/hyperlink" Target="https://www.nature.com/articles/s41430-020-0677-5" TargetMode="External"/><Relationship Id="rId16" Type="http://schemas.openxmlformats.org/officeDocument/2006/relationships/hyperlink" Target="https://timesofindia.indiatimes.com/life-style/health-fitness/health-news/secrets-to-steal-from-countries-with-the-lowest-heart-problems/photostory/69145891.cms?picid=69146078" TargetMode="External"/><Relationship Id="rId5" Type="http://schemas.openxmlformats.org/officeDocument/2006/relationships/styles" Target="styles.xml"/><Relationship Id="rId19" Type="http://schemas.openxmlformats.org/officeDocument/2006/relationships/hyperlink" Target="https://www.who.int/news-room/fact-sheets/detail/cardiovascular-diseases-(cvds)" TargetMode="External"/><Relationship Id="rId6" Type="http://schemas.openxmlformats.org/officeDocument/2006/relationships/hyperlink" Target="https://www.bmj.com/content/336/7659/1475.short" TargetMode="External"/><Relationship Id="rId18" Type="http://schemas.openxmlformats.org/officeDocument/2006/relationships/hyperlink" Target="https://ukhsa.blog.gov.uk/2019/02/14/health-matters-preventing-cardiovascular-disease/#:~:text=This%20places%20a%20considerable%20financial,an%20estimated%20%C2%A315.8%20billion" TargetMode="External"/><Relationship Id="rId7" Type="http://schemas.openxmlformats.org/officeDocument/2006/relationships/hyperlink" Target="https://jamanetwork.com/searchresults?author=Fransje+C.+H.+Bijnen&amp;q=Fransje+C.+H.+Bijnen" TargetMode="External"/><Relationship Id="rId8" Type="http://schemas.openxmlformats.org/officeDocument/2006/relationships/hyperlink" Target="https://jamanetwork.com/searchresults?author=Carl+J.+Caspersen&amp;q=Carl+J.+Caspers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